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6F28" w:rsidRDefault="007B6F28" w:rsidP="007B6F28">
      <w:pPr>
        <w:spacing w:line="240" w:lineRule="auto"/>
        <w:jc w:val="left"/>
        <w:rPr>
          <w:szCs w:val="6"/>
        </w:rPr>
        <w:sectPr w:rsidR="007B6F28" w:rsidSect="007B6F28">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1909" w:h="16834" w:code="1"/>
          <w:pgMar w:top="1742" w:right="936" w:bottom="1898" w:left="936" w:header="576" w:footer="1030" w:gutter="0"/>
          <w:cols w:space="720"/>
          <w:titlePg/>
          <w:bidi/>
          <w:rtlGutter/>
          <w:docGrid w:linePitch="278"/>
        </w:sectPr>
      </w:pPr>
      <w:r>
        <w:rPr>
          <w:rStyle w:val="CommentReference"/>
        </w:rPr>
        <w:commentReference w:id="0"/>
      </w:r>
      <w:bookmarkStart w:id="1" w:name="_GoBack"/>
      <w:bookmarkEnd w:id="1"/>
    </w:p>
    <w:p w:rsidR="007B6F28" w:rsidRDefault="007B6F28" w:rsidP="007B6F28">
      <w:pPr>
        <w:pStyle w:val="H1"/>
        <w:rPr>
          <w:rtl/>
        </w:rPr>
      </w:pPr>
      <w:r>
        <w:rPr>
          <w:rFonts w:hint="cs"/>
          <w:rtl/>
        </w:rPr>
        <w:lastRenderedPageBreak/>
        <w:t>اللجنة</w:t>
      </w:r>
      <w:r>
        <w:rPr>
          <w:rtl/>
        </w:rPr>
        <w:t xml:space="preserve"> المعنية بحقوق الإنسان</w:t>
      </w:r>
    </w:p>
    <w:p w:rsidR="00991554" w:rsidRPr="00991554" w:rsidRDefault="00991554" w:rsidP="00991554">
      <w:pPr>
        <w:pStyle w:val="HCh"/>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991554" w:rsidRPr="00991554" w:rsidRDefault="00991554" w:rsidP="00991554">
      <w:pPr>
        <w:pStyle w:val="HCh"/>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991554" w:rsidRPr="00991554" w:rsidRDefault="00991554" w:rsidP="00991554">
      <w:pPr>
        <w:pStyle w:val="HCh"/>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FE6707" w:rsidRPr="00D070FF" w:rsidRDefault="00FE6707" w:rsidP="00FE6707">
      <w:pPr>
        <w:framePr w:w="9792" w:h="432" w:hSpace="187" w:wrap="around" w:hAnchor="page" w:x="1196" w:yAlign="bottom"/>
        <w:spacing w:line="240" w:lineRule="auto"/>
        <w:rPr>
          <w:szCs w:val="10"/>
          <w:rtl/>
        </w:rPr>
      </w:pPr>
    </w:p>
    <w:p w:rsidR="00FE6707" w:rsidRPr="00D070FF" w:rsidRDefault="00FE6707" w:rsidP="00FE6707">
      <w:pPr>
        <w:framePr w:w="9792" w:h="432" w:hSpace="187" w:wrap="around" w:hAnchor="page" w:x="1196" w:yAlign="bottom"/>
        <w:spacing w:line="240" w:lineRule="auto"/>
        <w:rPr>
          <w:szCs w:val="6"/>
          <w:rtl/>
        </w:rPr>
      </w:pPr>
      <w:r w:rsidRPr="00D070FF">
        <w:rPr>
          <w:noProof/>
          <w:w w:val="100"/>
          <w:szCs w:val="6"/>
          <w:rtl/>
        </w:rPr>
        <mc:AlternateContent>
          <mc:Choice Requires="wps">
            <w:drawing>
              <wp:anchor distT="0" distB="0" distL="114300" distR="114300" simplePos="0" relativeHeight="251659264" behindDoc="0" locked="0" layoutInCell="1" allowOverlap="1" wp14:anchorId="18BEAF86" wp14:editId="66605DC7">
                <wp:simplePos x="0" y="0"/>
                <wp:positionH relativeFrom="column">
                  <wp:posOffset>5029327</wp:posOffset>
                </wp:positionH>
                <wp:positionV relativeFrom="paragraph">
                  <wp:posOffset>-12700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396pt,-1pt" to="468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" strokecolor="#010000"/>
            </w:pict>
          </mc:Fallback>
        </mc:AlternateContent>
      </w:r>
    </w:p>
    <w:p w:rsidR="00FE6707" w:rsidRDefault="00FE6707" w:rsidP="00FE6707">
      <w:pPr>
        <w:framePr w:w="9792" w:h="432" w:hSpace="187" w:wrap="around" w:hAnchor="page" w:x="1196" w:yAlign="bottom"/>
        <w:tabs>
          <w:tab w:val="right" w:pos="1195"/>
          <w:tab w:val="left" w:pos="1267"/>
        </w:tabs>
        <w:spacing w:after="80" w:line="300" w:lineRule="exact"/>
        <w:ind w:left="1267" w:right="1267" w:hanging="547"/>
        <w:rPr>
          <w:sz w:val="17"/>
          <w:szCs w:val="26"/>
          <w:rtl/>
        </w:rPr>
      </w:pPr>
      <w:r>
        <w:rPr>
          <w:rFonts w:hint="cs"/>
          <w:sz w:val="17"/>
          <w:szCs w:val="26"/>
          <w:rtl/>
        </w:rPr>
        <w:tab/>
        <w:t>*</w:t>
      </w:r>
      <w:r>
        <w:rPr>
          <w:rFonts w:hint="cs"/>
          <w:sz w:val="17"/>
          <w:szCs w:val="26"/>
          <w:rtl/>
        </w:rPr>
        <w:tab/>
      </w:r>
      <w:r>
        <w:rPr>
          <w:sz w:val="17"/>
          <w:szCs w:val="26"/>
          <w:rtl/>
        </w:rPr>
        <w:t xml:space="preserve">اعتمدتها اللجنة في دورتها 114 (29 حزيران/يونيه </w:t>
      </w:r>
      <w:r>
        <w:rPr>
          <w:rFonts w:hint="cs"/>
          <w:sz w:val="17"/>
          <w:szCs w:val="26"/>
          <w:rtl/>
        </w:rPr>
        <w:t>-</w:t>
      </w:r>
      <w:r>
        <w:rPr>
          <w:sz w:val="17"/>
          <w:szCs w:val="26"/>
          <w:rtl/>
        </w:rPr>
        <w:t xml:space="preserve"> 24 تموز/يوليه 2015).</w:t>
      </w:r>
    </w:p>
    <w:p w:rsidR="00FE6707" w:rsidRPr="00D070FF" w:rsidRDefault="00FE6707" w:rsidP="00207FA3">
      <w:pPr>
        <w:framePr w:w="9792" w:h="432" w:hSpace="187" w:wrap="around" w:hAnchor="page" w:x="1196" w:yAlign="bottom"/>
        <w:tabs>
          <w:tab w:val="right" w:pos="1195"/>
          <w:tab w:val="left" w:pos="1267"/>
        </w:tabs>
        <w:spacing w:after="80" w:line="300" w:lineRule="exact"/>
        <w:ind w:left="1267" w:right="1267" w:hanging="547"/>
        <w:rPr>
          <w:sz w:val="17"/>
          <w:szCs w:val="26"/>
          <w:rtl/>
        </w:rPr>
      </w:pPr>
      <w:r>
        <w:rPr>
          <w:rFonts w:hint="cs"/>
          <w:sz w:val="17"/>
          <w:szCs w:val="26"/>
          <w:rtl/>
        </w:rPr>
        <w:tab/>
        <w:t>**</w:t>
      </w:r>
      <w:r>
        <w:rPr>
          <w:rFonts w:hint="cs"/>
          <w:sz w:val="17"/>
          <w:szCs w:val="26"/>
          <w:rtl/>
        </w:rPr>
        <w:tab/>
      </w:r>
      <w:r>
        <w:rPr>
          <w:sz w:val="17"/>
          <w:szCs w:val="26"/>
          <w:rtl/>
        </w:rPr>
        <w:t xml:space="preserve">تغطي الوثيقة الحالية أيضاً الأقاليم البريطانية </w:t>
      </w:r>
      <w:r w:rsidR="00207FA3">
        <w:rPr>
          <w:rFonts w:hint="cs"/>
          <w:sz w:val="17"/>
          <w:szCs w:val="26"/>
          <w:rtl/>
        </w:rPr>
        <w:t>فيما وراء البحار</w:t>
      </w:r>
      <w:r>
        <w:rPr>
          <w:sz w:val="17"/>
          <w:szCs w:val="26"/>
          <w:rtl/>
        </w:rPr>
        <w:t xml:space="preserve"> والأقاليم التابعة للتاج.</w:t>
      </w:r>
    </w:p>
    <w:p w:rsidR="00991554" w:rsidRDefault="00991554" w:rsidP="00FE6707">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spacing w:val="0"/>
          <w:position w:val="4"/>
          <w:sz w:val="20"/>
          <w:szCs w:val="30"/>
          <w:rtl/>
        </w:rPr>
      </w:pPr>
      <w:r>
        <w:rPr>
          <w:rtl/>
        </w:rPr>
        <w:tab/>
      </w:r>
      <w:r>
        <w:rPr>
          <w:rtl/>
        </w:rPr>
        <w:tab/>
        <w:t>الملاحظات الختامية بشأن التقرير الدوري السابع للمملكة المتحدة لبريطانيا العظمى وأيرلندا الشمالية</w:t>
      </w:r>
      <w:r w:rsidR="00FE6707" w:rsidRPr="00FE6707">
        <w:rPr>
          <w:rFonts w:hint="cs"/>
          <w:spacing w:val="0"/>
          <w:position w:val="4"/>
          <w:sz w:val="20"/>
          <w:szCs w:val="30"/>
          <w:rtl/>
        </w:rPr>
        <w:t>* **</w:t>
      </w:r>
    </w:p>
    <w:p w:rsidR="00207FA3" w:rsidRPr="00207FA3" w:rsidRDefault="00207FA3" w:rsidP="00207FA3">
      <w:pPr>
        <w:pStyle w:val="SingleTxt"/>
        <w:spacing w:after="0" w:line="120" w:lineRule="exact"/>
        <w:rPr>
          <w:sz w:val="10"/>
          <w:rtl/>
        </w:rPr>
      </w:pPr>
    </w:p>
    <w:p w:rsidR="00991554" w:rsidRDefault="00991554" w:rsidP="00991554">
      <w:pPr>
        <w:pStyle w:val="SingleTxt"/>
        <w:spacing w:after="0" w:line="120" w:lineRule="exact"/>
        <w:rPr>
          <w:sz w:val="10"/>
          <w:rtl/>
        </w:rPr>
      </w:pPr>
    </w:p>
    <w:p w:rsidR="00991554" w:rsidRDefault="00991554" w:rsidP="00991554">
      <w:pPr>
        <w:pStyle w:val="SingleTxt"/>
        <w:rPr>
          <w:rtl/>
        </w:rPr>
      </w:pPr>
      <w:r>
        <w:rPr>
          <w:rtl/>
        </w:rPr>
        <w:t>1</w:t>
      </w:r>
      <w:r w:rsidRPr="00991554">
        <w:rPr>
          <w:spacing w:val="-4"/>
          <w:rtl/>
        </w:rPr>
        <w:t>-</w:t>
      </w:r>
      <w:r w:rsidRPr="00991554">
        <w:rPr>
          <w:spacing w:val="-4"/>
          <w:rtl/>
        </w:rPr>
        <w:tab/>
        <w:t>نظرت اللجنة في التقرير الدوري السابع للمملكة المتحدة لبريطانيا العظمى وأيرلندا الشمالية (</w:t>
      </w:r>
      <w:r w:rsidRPr="00991554">
        <w:rPr>
          <w:spacing w:val="-4"/>
        </w:rPr>
        <w:t>CCPR/C/GBR/7</w:t>
      </w:r>
      <w:r w:rsidRPr="00991554">
        <w:rPr>
          <w:spacing w:val="-4"/>
          <w:rtl/>
        </w:rPr>
        <w:t>) في جلستيها 3168 و3169 (</w:t>
      </w:r>
      <w:r w:rsidRPr="00991554">
        <w:rPr>
          <w:spacing w:val="-4"/>
        </w:rPr>
        <w:t>CCPR/C/SR.3168</w:t>
      </w:r>
      <w:r w:rsidRPr="00991554">
        <w:rPr>
          <w:spacing w:val="-4"/>
          <w:rtl/>
        </w:rPr>
        <w:t xml:space="preserve"> و</w:t>
      </w:r>
      <w:r w:rsidRPr="00991554">
        <w:rPr>
          <w:spacing w:val="-4"/>
        </w:rPr>
        <w:t>3169</w:t>
      </w:r>
      <w:r w:rsidRPr="00991554">
        <w:rPr>
          <w:spacing w:val="-4"/>
          <w:rtl/>
        </w:rPr>
        <w:t>)، المعقودتين</w:t>
      </w:r>
      <w:r>
        <w:rPr>
          <w:rtl/>
        </w:rPr>
        <w:t xml:space="preserve"> في 1 </w:t>
      </w:r>
      <w:r w:rsidRPr="00991554">
        <w:rPr>
          <w:spacing w:val="-4"/>
          <w:rtl/>
        </w:rPr>
        <w:t>و2 تموز/يوليه 2015. واعتمدت في دورتها 3193، المعقودة في 21 تموز/يوليه 2015، الملاحظات</w:t>
      </w:r>
      <w:r>
        <w:rPr>
          <w:rtl/>
        </w:rPr>
        <w:t xml:space="preserve"> الختامية التالية.</w:t>
      </w:r>
    </w:p>
    <w:p w:rsidR="00991554" w:rsidRPr="00991554" w:rsidRDefault="00991554" w:rsidP="00991554">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991554" w:rsidRPr="00991554" w:rsidRDefault="00991554" w:rsidP="00991554">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991554" w:rsidRDefault="00991554" w:rsidP="00991554">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tl/>
        </w:rPr>
        <w:tab/>
        <w:t>ألف-</w:t>
      </w:r>
      <w:r>
        <w:rPr>
          <w:rtl/>
        </w:rPr>
        <w:tab/>
        <w:t>مقدمة</w:t>
      </w:r>
    </w:p>
    <w:p w:rsidR="00991554" w:rsidRPr="00991554" w:rsidRDefault="00991554" w:rsidP="00991554">
      <w:pPr>
        <w:pStyle w:val="SingleTxt"/>
        <w:spacing w:after="0" w:line="120" w:lineRule="exact"/>
        <w:rPr>
          <w:sz w:val="10"/>
          <w:rtl/>
        </w:rPr>
      </w:pPr>
    </w:p>
    <w:p w:rsidR="00991554" w:rsidRPr="00991554" w:rsidRDefault="00991554" w:rsidP="00991554">
      <w:pPr>
        <w:pStyle w:val="SingleTxt"/>
        <w:rPr>
          <w:spacing w:val="-2"/>
          <w:rtl/>
        </w:rPr>
      </w:pPr>
      <w:r w:rsidRPr="00991554">
        <w:rPr>
          <w:spacing w:val="-2"/>
          <w:rtl/>
        </w:rPr>
        <w:t>2-</w:t>
      </w:r>
      <w:r w:rsidRPr="00991554">
        <w:rPr>
          <w:spacing w:val="-2"/>
          <w:rtl/>
        </w:rPr>
        <w:tab/>
        <w:t>ترحب اللجنة بتقديم المملكة المتحدة لبريطانيا العظمى وأيرلندا الشمالية تقريرها الدوري السابع في حينه وبالمعلومات الواردة فيه. وتعرب عن تقديرها للفرصة التي أُتيحت أمامها لتجديد</w:t>
      </w:r>
      <w:r>
        <w:rPr>
          <w:rFonts w:hint="cs"/>
          <w:spacing w:val="-2"/>
          <w:rtl/>
        </w:rPr>
        <w:t> </w:t>
      </w:r>
      <w:r w:rsidRPr="00991554">
        <w:rPr>
          <w:spacing w:val="-2"/>
          <w:rtl/>
        </w:rPr>
        <w:t>الحوار البناء مع وفد الدولة الطرف الكبير بشأن التدابير التي اتخذتها خلال الفترة المشمولة بالتقرير لتنفيذ أحكام العهد. وتتقدم اللجنة بالشكر إلى الدولة الطرف على ردودها الكتابية (</w:t>
      </w:r>
      <w:r w:rsidRPr="00991554">
        <w:rPr>
          <w:spacing w:val="-2"/>
        </w:rPr>
        <w:t>CCPR/C/GBR/Q/7/Add.1</w:t>
      </w:r>
      <w:r w:rsidRPr="00991554">
        <w:rPr>
          <w:spacing w:val="-2"/>
          <w:rtl/>
        </w:rPr>
        <w:t>) على قائمة المسائل (</w:t>
      </w:r>
      <w:r w:rsidRPr="00991554">
        <w:rPr>
          <w:spacing w:val="-2"/>
        </w:rPr>
        <w:t>CCPR/C/GBR/Q/7</w:t>
      </w:r>
      <w:r w:rsidRPr="00991554">
        <w:rPr>
          <w:spacing w:val="-2"/>
          <w:rtl/>
        </w:rPr>
        <w:t>)، التي استُكملت بردود شفهية من الوفد، وعلى المعلومات الإضافية التي قدمتها لها خطياً.</w:t>
      </w:r>
    </w:p>
    <w:p w:rsidR="00991554" w:rsidRPr="00991554" w:rsidRDefault="00991554" w:rsidP="00991554">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991554" w:rsidRPr="00991554" w:rsidRDefault="00991554" w:rsidP="00991554">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991554" w:rsidRDefault="00991554" w:rsidP="00991554">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tl/>
        </w:rPr>
        <w:tab/>
        <w:t>باء-</w:t>
      </w:r>
      <w:r>
        <w:rPr>
          <w:rtl/>
        </w:rPr>
        <w:tab/>
        <w:t>الجوانب الإيجابية</w:t>
      </w:r>
    </w:p>
    <w:p w:rsidR="00991554" w:rsidRPr="00991554" w:rsidRDefault="00991554" w:rsidP="00991554">
      <w:pPr>
        <w:pStyle w:val="SingleTxt"/>
        <w:spacing w:after="0" w:line="120" w:lineRule="exact"/>
        <w:rPr>
          <w:sz w:val="10"/>
          <w:rtl/>
        </w:rPr>
      </w:pPr>
    </w:p>
    <w:p w:rsidR="00991554" w:rsidRDefault="00991554" w:rsidP="00FE6707">
      <w:pPr>
        <w:pStyle w:val="SingleTxt"/>
        <w:rPr>
          <w:rtl/>
        </w:rPr>
      </w:pPr>
      <w:r>
        <w:rPr>
          <w:rtl/>
        </w:rPr>
        <w:t>3-</w:t>
      </w:r>
      <w:r>
        <w:rPr>
          <w:rtl/>
        </w:rPr>
        <w:tab/>
        <w:t xml:space="preserve">ترحب اللجنة بالإجراءات التشريعية والمؤسسية </w:t>
      </w:r>
      <w:r w:rsidR="00FE6707">
        <w:rPr>
          <w:rFonts w:hint="cs"/>
          <w:rtl/>
        </w:rPr>
        <w:t xml:space="preserve">التالية </w:t>
      </w:r>
      <w:r>
        <w:rPr>
          <w:rtl/>
        </w:rPr>
        <w:t>التي اتخذتها الدولة الطرف:</w:t>
      </w:r>
    </w:p>
    <w:p w:rsidR="00991554" w:rsidRDefault="00991554" w:rsidP="00991554">
      <w:pPr>
        <w:pStyle w:val="SingleTxt"/>
        <w:rPr>
          <w:rtl/>
        </w:rPr>
      </w:pPr>
      <w:r>
        <w:rPr>
          <w:rtl/>
        </w:rPr>
        <w:tab/>
        <w:t>(أ)</w:t>
      </w:r>
      <w:r>
        <w:rPr>
          <w:rtl/>
        </w:rPr>
        <w:tab/>
        <w:t>اعتماد القانون المتعلق بالاتجار بالبشر واستغلال البشر (العدالة الجنائية وتقديم الدعم إ</w:t>
      </w:r>
      <w:r w:rsidR="00FE6707">
        <w:rPr>
          <w:rtl/>
        </w:rPr>
        <w:t xml:space="preserve">لى الضحايا) (أيرلندا الشمالية) </w:t>
      </w:r>
      <w:r w:rsidR="00FE6707">
        <w:rPr>
          <w:rFonts w:hint="cs"/>
          <w:rtl/>
        </w:rPr>
        <w:t xml:space="preserve">الصادر </w:t>
      </w:r>
      <w:r>
        <w:rPr>
          <w:rtl/>
        </w:rPr>
        <w:t>عام 2015، في 13 كانون الثاني/يناير 2015؛</w:t>
      </w:r>
    </w:p>
    <w:p w:rsidR="00991554" w:rsidRDefault="00991554" w:rsidP="00466F4A">
      <w:pPr>
        <w:pStyle w:val="SingleTxt"/>
        <w:spacing w:line="380" w:lineRule="exact"/>
        <w:rPr>
          <w:rtl/>
        </w:rPr>
      </w:pPr>
      <w:r>
        <w:rPr>
          <w:rtl/>
        </w:rPr>
        <w:tab/>
        <w:t>(ب)</w:t>
      </w:r>
      <w:r>
        <w:rPr>
          <w:rtl/>
        </w:rPr>
        <w:tab/>
        <w:t>اعتماد اتفاق ستورموند هاوس، في 23 كانون الأول/ديسمبر 2014؛</w:t>
      </w:r>
    </w:p>
    <w:p w:rsidR="00991554" w:rsidRDefault="00991554" w:rsidP="00466F4A">
      <w:pPr>
        <w:pStyle w:val="SingleTxt"/>
        <w:spacing w:line="380" w:lineRule="exact"/>
        <w:rPr>
          <w:rtl/>
        </w:rPr>
      </w:pPr>
      <w:r>
        <w:rPr>
          <w:rtl/>
        </w:rPr>
        <w:tab/>
        <w:t>(ج)</w:t>
      </w:r>
      <w:r>
        <w:rPr>
          <w:rtl/>
        </w:rPr>
        <w:tab/>
        <w:t>اعتماد استراتيجية بشأن الرق المعاصر، في تشرين الثاني/نوفمبر 2014؛</w:t>
      </w:r>
    </w:p>
    <w:p w:rsidR="00991554" w:rsidRDefault="00991554" w:rsidP="00466F4A">
      <w:pPr>
        <w:pStyle w:val="SingleTxt"/>
        <w:spacing w:line="380" w:lineRule="exact"/>
        <w:rPr>
          <w:rtl/>
        </w:rPr>
      </w:pPr>
      <w:r>
        <w:rPr>
          <w:rtl/>
        </w:rPr>
        <w:lastRenderedPageBreak/>
        <w:tab/>
        <w:t>(د)</w:t>
      </w:r>
      <w:r>
        <w:rPr>
          <w:rtl/>
        </w:rPr>
        <w:tab/>
        <w:t xml:space="preserve">تجريم الزواج القسري، بما في ذلك في قانون السلوك المعادي للمجتمع، والجريمة </w:t>
      </w:r>
      <w:r w:rsidR="00FE6707">
        <w:rPr>
          <w:rFonts w:hint="cs"/>
          <w:rtl/>
        </w:rPr>
        <w:t>وحفظ النظام</w:t>
      </w:r>
      <w:r>
        <w:rPr>
          <w:rtl/>
        </w:rPr>
        <w:t>، في عام 2014؛</w:t>
      </w:r>
    </w:p>
    <w:p w:rsidR="00991554" w:rsidRPr="00991554" w:rsidRDefault="00991554" w:rsidP="00466F4A">
      <w:pPr>
        <w:pStyle w:val="SingleTxt"/>
        <w:spacing w:line="380" w:lineRule="exact"/>
        <w:rPr>
          <w:spacing w:val="-4"/>
          <w:rtl/>
        </w:rPr>
      </w:pPr>
      <w:r w:rsidRPr="00991554">
        <w:rPr>
          <w:spacing w:val="-4"/>
          <w:rtl/>
        </w:rPr>
        <w:tab/>
        <w:t>(ه)</w:t>
      </w:r>
      <w:r w:rsidRPr="00991554">
        <w:rPr>
          <w:spacing w:val="-4"/>
          <w:rtl/>
        </w:rPr>
        <w:tab/>
        <w:t>اعتماد خطة العمل الوطنية الأسكتلندية لحقوق الإنسان للفترة 2013-2017؛</w:t>
      </w:r>
    </w:p>
    <w:p w:rsidR="00991554" w:rsidRDefault="00991554" w:rsidP="00466F4A">
      <w:pPr>
        <w:pStyle w:val="SingleTxt"/>
        <w:spacing w:line="380" w:lineRule="exact"/>
        <w:rPr>
          <w:rtl/>
        </w:rPr>
      </w:pPr>
      <w:r>
        <w:rPr>
          <w:rtl/>
        </w:rPr>
        <w:tab/>
        <w:t>(و)</w:t>
      </w:r>
      <w:r>
        <w:rPr>
          <w:rtl/>
        </w:rPr>
        <w:tab/>
        <w:t>اعتماد قانون الزواج (</w:t>
      </w:r>
      <w:r w:rsidR="00FE6707">
        <w:rPr>
          <w:rFonts w:hint="cs"/>
          <w:rtl/>
        </w:rPr>
        <w:t>للأزواج</w:t>
      </w:r>
      <w:r>
        <w:rPr>
          <w:rtl/>
        </w:rPr>
        <w:t xml:space="preserve"> من نفس الجنس)، في 17 تموز/يوليه 2013؛</w:t>
      </w:r>
    </w:p>
    <w:p w:rsidR="00991554" w:rsidRDefault="00991554" w:rsidP="00466F4A">
      <w:pPr>
        <w:pStyle w:val="SingleTxt"/>
        <w:spacing w:line="380" w:lineRule="exact"/>
        <w:rPr>
          <w:rtl/>
        </w:rPr>
      </w:pPr>
      <w:r>
        <w:rPr>
          <w:rtl/>
        </w:rPr>
        <w:tab/>
        <w:t>(ز)</w:t>
      </w:r>
      <w:r>
        <w:rPr>
          <w:rtl/>
        </w:rPr>
        <w:tab/>
        <w:t xml:space="preserve">اعتماد قانون المساواة لعام 2010، في 8 نيسان/أبريل 2010. </w:t>
      </w:r>
    </w:p>
    <w:p w:rsidR="00991554" w:rsidRDefault="00991554" w:rsidP="00466F4A">
      <w:pPr>
        <w:pStyle w:val="SingleTxt"/>
        <w:spacing w:line="380" w:lineRule="exact"/>
        <w:rPr>
          <w:rtl/>
        </w:rPr>
      </w:pPr>
      <w:r>
        <w:rPr>
          <w:rtl/>
        </w:rPr>
        <w:t>4-</w:t>
      </w:r>
      <w:r>
        <w:rPr>
          <w:rtl/>
        </w:rPr>
        <w:tab/>
        <w:t xml:space="preserve">ترحب اللجنة بتصديق الدولة الطرف </w:t>
      </w:r>
      <w:r w:rsidR="00FE6707">
        <w:rPr>
          <w:rFonts w:hint="cs"/>
          <w:rtl/>
        </w:rPr>
        <w:t>على</w:t>
      </w:r>
      <w:r>
        <w:rPr>
          <w:rtl/>
        </w:rPr>
        <w:t xml:space="preserve"> الصكوك الدولية التالية</w:t>
      </w:r>
      <w:r w:rsidR="00FE6707">
        <w:rPr>
          <w:rFonts w:hint="cs"/>
          <w:rtl/>
        </w:rPr>
        <w:t xml:space="preserve"> أو الانضمام إليها</w:t>
      </w:r>
      <w:r>
        <w:rPr>
          <w:rtl/>
        </w:rPr>
        <w:t>:</w:t>
      </w:r>
    </w:p>
    <w:p w:rsidR="00991554" w:rsidRDefault="00991554" w:rsidP="00466F4A">
      <w:pPr>
        <w:pStyle w:val="SingleTxt"/>
        <w:spacing w:line="380" w:lineRule="exact"/>
        <w:rPr>
          <w:rtl/>
        </w:rPr>
      </w:pPr>
      <w:r>
        <w:rPr>
          <w:rtl/>
        </w:rPr>
        <w:tab/>
        <w:t>(أ)</w:t>
      </w:r>
      <w:r>
        <w:rPr>
          <w:rtl/>
        </w:rPr>
        <w:tab/>
        <w:t>اتفاقية حقوق الأشخاص ذوي الإعاقة وبروتوكولها الاختياري، في 8 حزيران/</w:t>
      </w:r>
      <w:r>
        <w:rPr>
          <w:rFonts w:hint="cs"/>
          <w:rtl/>
        </w:rPr>
        <w:t xml:space="preserve">   </w:t>
      </w:r>
      <w:r>
        <w:rPr>
          <w:rtl/>
        </w:rPr>
        <w:t>يونيه 2009، و7 آب/أغسطس 2009، على التوالي؛</w:t>
      </w:r>
    </w:p>
    <w:p w:rsidR="00991554" w:rsidRDefault="00991554" w:rsidP="00466F4A">
      <w:pPr>
        <w:pStyle w:val="SingleTxt"/>
        <w:spacing w:line="380" w:lineRule="exact"/>
        <w:rPr>
          <w:rtl/>
        </w:rPr>
      </w:pPr>
      <w:r>
        <w:rPr>
          <w:rtl/>
        </w:rPr>
        <w:tab/>
        <w:t>(ب)</w:t>
      </w:r>
      <w:r>
        <w:rPr>
          <w:rtl/>
        </w:rPr>
        <w:tab/>
        <w:t xml:space="preserve">البروتوكول الاختياري الملحق باتفاقية حقوق الطفل بشأن بيع الأطفال </w:t>
      </w:r>
      <w:r w:rsidR="00FE6707">
        <w:rPr>
          <w:rFonts w:hint="cs"/>
          <w:rtl/>
        </w:rPr>
        <w:t>واستغلال الأطفال في البغاء وفي المواد الإباحية</w:t>
      </w:r>
      <w:r w:rsidRPr="00991554">
        <w:rPr>
          <w:spacing w:val="-4"/>
          <w:rtl/>
        </w:rPr>
        <w:t>، في 20 شباط/فبراير 2009،</w:t>
      </w:r>
      <w:r w:rsidRPr="00991554">
        <w:rPr>
          <w:rFonts w:hint="cs"/>
          <w:spacing w:val="-4"/>
          <w:rtl/>
        </w:rPr>
        <w:t xml:space="preserve"> </w:t>
      </w:r>
      <w:r w:rsidRPr="00991554">
        <w:rPr>
          <w:spacing w:val="-4"/>
          <w:rtl/>
        </w:rPr>
        <w:t>وتمديد نطاق التصديق</w:t>
      </w:r>
      <w:r>
        <w:rPr>
          <w:rtl/>
        </w:rPr>
        <w:t xml:space="preserve"> على هذا البروتوكول ليشمل أراضي إقليم جيرزي، في 29 نيسان/أبريل 2014.</w:t>
      </w:r>
    </w:p>
    <w:p w:rsidR="00991554" w:rsidRPr="00991554" w:rsidRDefault="00991554" w:rsidP="00991554">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991554" w:rsidRPr="00991554" w:rsidRDefault="00991554" w:rsidP="00991554">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991554" w:rsidRDefault="00991554" w:rsidP="00991554">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tl/>
        </w:rPr>
        <w:tab/>
        <w:t>جيم-</w:t>
      </w:r>
      <w:r>
        <w:rPr>
          <w:rtl/>
        </w:rPr>
        <w:tab/>
        <w:t>دواعي القلق الرئيسية والتوصيات</w:t>
      </w:r>
    </w:p>
    <w:p w:rsidR="00991554" w:rsidRPr="00991554" w:rsidRDefault="00991554" w:rsidP="00991554">
      <w:pPr>
        <w:pStyle w:val="SingleTxt"/>
        <w:spacing w:after="0" w:line="120" w:lineRule="exact"/>
        <w:rPr>
          <w:sz w:val="10"/>
          <w:rtl/>
        </w:rPr>
      </w:pPr>
    </w:p>
    <w:p w:rsidR="00991554" w:rsidRDefault="00991554" w:rsidP="00991554">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tl/>
        </w:rPr>
        <w:tab/>
      </w:r>
      <w:r>
        <w:rPr>
          <w:rtl/>
        </w:rPr>
        <w:tab/>
        <w:t>تطبيق العهد والإطار الداخلي لحقوق الإنسان</w:t>
      </w:r>
    </w:p>
    <w:p w:rsidR="00991554" w:rsidRPr="00991554" w:rsidRDefault="00991554" w:rsidP="00466F4A">
      <w:pPr>
        <w:pStyle w:val="SingleTxt"/>
        <w:spacing w:line="380" w:lineRule="exact"/>
        <w:rPr>
          <w:spacing w:val="-3"/>
          <w:rtl/>
        </w:rPr>
      </w:pPr>
      <w:r w:rsidRPr="00991554">
        <w:rPr>
          <w:spacing w:val="-3"/>
          <w:rtl/>
        </w:rPr>
        <w:t>5-</w:t>
      </w:r>
      <w:r w:rsidRPr="00991554">
        <w:rPr>
          <w:spacing w:val="-3"/>
          <w:rtl/>
        </w:rPr>
        <w:tab/>
        <w:t xml:space="preserve">تلاحظ اللجنة أن العهد غير مطبق مباشرة في الدولة الطرف وفي جميع أقاليم ما وراء البحار والأقاليم التابعة للتاج، وتذكر بأن قانون حقوق الإنسان </w:t>
      </w:r>
      <w:r w:rsidR="00FE6707">
        <w:rPr>
          <w:rFonts w:hint="cs"/>
          <w:spacing w:val="-3"/>
          <w:rtl/>
        </w:rPr>
        <w:t xml:space="preserve">الصادر </w:t>
      </w:r>
      <w:r w:rsidRPr="00991554">
        <w:rPr>
          <w:spacing w:val="-3"/>
          <w:rtl/>
        </w:rPr>
        <w:t xml:space="preserve">عام 1998 لا يغطي حقوقاً عديدة منصوص عليها في العهد. ويساور اللجنة القلق أيضاً إزاء التقدم البطيء بالأخذ بشرعة الحقوق لأيرلندا الشمالية وإزاء انعدام آلية شاملة لمراجعة الثغرات القائمة وأوجه عدم الاتساق بين الإطار القانوني لحقوق الإنسان في الداخل والحقوق المنصوص عليها في العهد. وأخيراً، يساور اللجنة القلق إزاء الخطة المبلغ عنها لإلغاء قانون حقوق الإنسان </w:t>
      </w:r>
      <w:r w:rsidR="00FE6707">
        <w:rPr>
          <w:rFonts w:hint="cs"/>
          <w:spacing w:val="-3"/>
          <w:rtl/>
        </w:rPr>
        <w:t xml:space="preserve">الصادر </w:t>
      </w:r>
      <w:r w:rsidRPr="00991554">
        <w:rPr>
          <w:spacing w:val="-3"/>
          <w:rtl/>
        </w:rPr>
        <w:t>عام 1998 واستبداله بشرعة جديدة للحقوق للمملكة المتحدة لبريطانيا العظمى وأيرلندا الشمالية، لأن من شأن ذلك أن يضعف درجة الحماية المقدمة للحقوق المنصوص عليها في العهد، ضمن النظام القانوني المحلي (المادة 2).</w:t>
      </w:r>
    </w:p>
    <w:p w:rsidR="00991554" w:rsidRDefault="00991554" w:rsidP="00466F4A">
      <w:pPr>
        <w:pStyle w:val="SingleTxt"/>
        <w:spacing w:line="380" w:lineRule="exact"/>
        <w:rPr>
          <w:b/>
          <w:bCs/>
          <w:rtl/>
        </w:rPr>
      </w:pPr>
      <w:r>
        <w:rPr>
          <w:rtl/>
        </w:rPr>
        <w:tab/>
      </w:r>
      <w:r>
        <w:rPr>
          <w:b/>
          <w:bCs/>
          <w:rtl/>
        </w:rPr>
        <w:t>ينبغي للدولة الطرف أن:</w:t>
      </w:r>
    </w:p>
    <w:p w:rsidR="00991554" w:rsidRPr="00991554" w:rsidRDefault="00991554" w:rsidP="00466F4A">
      <w:pPr>
        <w:pStyle w:val="SingleTxt"/>
        <w:spacing w:line="380" w:lineRule="exact"/>
        <w:rPr>
          <w:b/>
          <w:bCs/>
          <w:spacing w:val="-4"/>
          <w:rtl/>
        </w:rPr>
      </w:pPr>
      <w:r w:rsidRPr="00991554">
        <w:rPr>
          <w:b/>
          <w:bCs/>
          <w:spacing w:val="-4"/>
          <w:rtl/>
        </w:rPr>
        <w:tab/>
        <w:t>(أ)</w:t>
      </w:r>
      <w:r w:rsidRPr="00991554">
        <w:rPr>
          <w:b/>
          <w:bCs/>
          <w:spacing w:val="-4"/>
          <w:rtl/>
        </w:rPr>
        <w:tab/>
      </w:r>
      <w:r w:rsidR="00FE6707">
        <w:rPr>
          <w:rFonts w:hint="cs"/>
          <w:b/>
          <w:bCs/>
          <w:spacing w:val="-4"/>
          <w:rtl/>
        </w:rPr>
        <w:t>تتشاور</w:t>
      </w:r>
      <w:r w:rsidRPr="00991554">
        <w:rPr>
          <w:b/>
          <w:bCs/>
          <w:spacing w:val="-4"/>
          <w:rtl/>
        </w:rPr>
        <w:t xml:space="preserve"> مع أصحاب المصلحة على جميع المستويات لتحديد السبل </w:t>
      </w:r>
      <w:r w:rsidR="00FE6707">
        <w:rPr>
          <w:rFonts w:hint="cs"/>
          <w:b/>
          <w:bCs/>
          <w:spacing w:val="-4"/>
          <w:rtl/>
        </w:rPr>
        <w:t>الكفيلة بإعمال</w:t>
      </w:r>
      <w:r w:rsidRPr="00991554">
        <w:rPr>
          <w:b/>
          <w:bCs/>
          <w:spacing w:val="-4"/>
          <w:rtl/>
        </w:rPr>
        <w:t xml:space="preserve"> حقوق العهد بصورة أكبر في جميع الولايات القضائية التي تخضع لسلطاتها أو</w:t>
      </w:r>
      <w:r>
        <w:rPr>
          <w:rFonts w:hint="cs"/>
          <w:b/>
          <w:bCs/>
          <w:spacing w:val="-4"/>
          <w:rtl/>
        </w:rPr>
        <w:t> </w:t>
      </w:r>
      <w:r w:rsidRPr="00991554">
        <w:rPr>
          <w:b/>
          <w:bCs/>
          <w:spacing w:val="-4"/>
          <w:rtl/>
        </w:rPr>
        <w:t>لسيطرتها أو تلك التي تعهدت بصورة رسمية بتنفيذ العهد فيها؛</w:t>
      </w:r>
    </w:p>
    <w:p w:rsidR="00991554" w:rsidRDefault="00991554" w:rsidP="00466F4A">
      <w:pPr>
        <w:pStyle w:val="SingleTxt"/>
        <w:spacing w:line="380" w:lineRule="exact"/>
        <w:rPr>
          <w:b/>
          <w:bCs/>
          <w:rtl/>
        </w:rPr>
      </w:pPr>
      <w:r>
        <w:rPr>
          <w:b/>
          <w:bCs/>
          <w:rtl/>
        </w:rPr>
        <w:tab/>
        <w:t>(ب)</w:t>
      </w:r>
      <w:r>
        <w:rPr>
          <w:b/>
          <w:bCs/>
          <w:rtl/>
        </w:rPr>
        <w:tab/>
        <w:t>ضمان أن تشمل شرعة الحقوق لأيرلندا الشمالية جميع الحقوق المنصوص عليها في العهد والتعجيل بعملية اعتمادها؛</w:t>
      </w:r>
    </w:p>
    <w:p w:rsidR="00991554" w:rsidRDefault="00991554" w:rsidP="00466F4A">
      <w:pPr>
        <w:pStyle w:val="SingleTxt"/>
        <w:spacing w:line="390" w:lineRule="exact"/>
        <w:rPr>
          <w:b/>
          <w:bCs/>
          <w:rtl/>
        </w:rPr>
      </w:pPr>
      <w:r>
        <w:rPr>
          <w:b/>
          <w:bCs/>
          <w:rtl/>
        </w:rPr>
        <w:tab/>
        <w:t>(ج)</w:t>
      </w:r>
      <w:r>
        <w:rPr>
          <w:b/>
          <w:bCs/>
          <w:rtl/>
        </w:rPr>
        <w:tab/>
        <w:t xml:space="preserve">ضمان أن يهدف أي تشريع يصدر بدلاً عن قانون حقوق الإنسان </w:t>
      </w:r>
      <w:r w:rsidR="00FE6707">
        <w:rPr>
          <w:rFonts w:hint="cs"/>
          <w:b/>
          <w:bCs/>
          <w:rtl/>
        </w:rPr>
        <w:t xml:space="preserve">الصادر </w:t>
      </w:r>
      <w:r>
        <w:rPr>
          <w:b/>
          <w:bCs/>
          <w:rtl/>
        </w:rPr>
        <w:t>عام</w:t>
      </w:r>
      <w:r>
        <w:rPr>
          <w:rFonts w:hint="cs"/>
          <w:b/>
          <w:bCs/>
          <w:rtl/>
        </w:rPr>
        <w:t> </w:t>
      </w:r>
      <w:r>
        <w:rPr>
          <w:b/>
          <w:bCs/>
          <w:rtl/>
        </w:rPr>
        <w:t>1998</w:t>
      </w:r>
      <w:r>
        <w:rPr>
          <w:rFonts w:hint="cs"/>
          <w:b/>
          <w:bCs/>
          <w:rtl/>
        </w:rPr>
        <w:t xml:space="preserve"> </w:t>
      </w:r>
      <w:r>
        <w:rPr>
          <w:b/>
          <w:bCs/>
          <w:rtl/>
        </w:rPr>
        <w:t xml:space="preserve">- عند اعتماد مثل هذا القانون </w:t>
      </w:r>
      <w:r>
        <w:rPr>
          <w:rFonts w:hint="cs"/>
          <w:b/>
          <w:bCs/>
          <w:rtl/>
        </w:rPr>
        <w:t>-</w:t>
      </w:r>
      <w:r>
        <w:rPr>
          <w:b/>
          <w:bCs/>
          <w:rtl/>
        </w:rPr>
        <w:t xml:space="preserve"> إلى تعزيز مركز حقوق الإنسان الدولية، </w:t>
      </w:r>
      <w:r>
        <w:rPr>
          <w:b/>
          <w:bCs/>
          <w:rtl/>
        </w:rPr>
        <w:lastRenderedPageBreak/>
        <w:t>بما</w:t>
      </w:r>
      <w:r>
        <w:rPr>
          <w:rFonts w:hint="cs"/>
          <w:b/>
          <w:bCs/>
          <w:rtl/>
        </w:rPr>
        <w:t> </w:t>
      </w:r>
      <w:r>
        <w:rPr>
          <w:b/>
          <w:bCs/>
          <w:rtl/>
        </w:rPr>
        <w:t>في ذلك أحكام العهد في النظام القانوني المحلي وتوفير الحماية الفعالة لهذه الحقوق في جميع الولايات القضائية.</w:t>
      </w:r>
    </w:p>
    <w:p w:rsidR="00991554" w:rsidRPr="00991554" w:rsidRDefault="00991554" w:rsidP="00991554">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991554" w:rsidRDefault="00991554" w:rsidP="00991554">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tl/>
        </w:rPr>
        <w:tab/>
      </w:r>
      <w:r>
        <w:rPr>
          <w:rtl/>
        </w:rPr>
        <w:tab/>
        <w:t>التحفظات والبروتوكول الاختياري</w:t>
      </w:r>
    </w:p>
    <w:p w:rsidR="00991554" w:rsidRDefault="00991554" w:rsidP="00466F4A">
      <w:pPr>
        <w:pStyle w:val="SingleTxt"/>
        <w:spacing w:line="390" w:lineRule="exact"/>
        <w:rPr>
          <w:rtl/>
        </w:rPr>
      </w:pPr>
      <w:r>
        <w:rPr>
          <w:rtl/>
        </w:rPr>
        <w:t>6-</w:t>
      </w:r>
      <w:r>
        <w:rPr>
          <w:rtl/>
        </w:rPr>
        <w:tab/>
      </w:r>
      <w:r w:rsidR="00FE6707">
        <w:rPr>
          <w:rFonts w:hint="cs"/>
          <w:rtl/>
        </w:rPr>
        <w:t>لئن رحبت</w:t>
      </w:r>
      <w:r>
        <w:rPr>
          <w:rtl/>
        </w:rPr>
        <w:t xml:space="preserve"> اللجنة بالمعلومات التي قدمتها الدولة الطرف بشأن سحب تحفظها على المادة</w:t>
      </w:r>
      <w:r w:rsidR="00FE6707">
        <w:rPr>
          <w:rFonts w:hint="cs"/>
          <w:rtl/>
        </w:rPr>
        <w:t> </w:t>
      </w:r>
      <w:r>
        <w:rPr>
          <w:rtl/>
        </w:rPr>
        <w:t xml:space="preserve">11 من العهد بالنيابة عن إقليم جيرزي، في 4 شباط/فبراير 2015، </w:t>
      </w:r>
      <w:r w:rsidR="00FE6707">
        <w:rPr>
          <w:rFonts w:hint="cs"/>
          <w:rtl/>
        </w:rPr>
        <w:t xml:space="preserve">فإنها تحيط </w:t>
      </w:r>
      <w:r>
        <w:rPr>
          <w:rtl/>
        </w:rPr>
        <w:t xml:space="preserve">علماً بأن الدولة الطرف </w:t>
      </w:r>
      <w:r w:rsidR="00FE6707">
        <w:rPr>
          <w:rFonts w:hint="cs"/>
          <w:rtl/>
        </w:rPr>
        <w:t xml:space="preserve">ما زالت تبقي </w:t>
      </w:r>
      <w:r>
        <w:rPr>
          <w:rtl/>
        </w:rPr>
        <w:t>على التحفظات على جوانب هامة من المادتين 10 و14 من العهد، وهي تحفظات تستند إلى معايير تتعلق بالميزانية أو بالتنفيذ، و</w:t>
      </w:r>
      <w:r w:rsidR="00FE6707">
        <w:rPr>
          <w:rFonts w:hint="cs"/>
          <w:rtl/>
        </w:rPr>
        <w:t xml:space="preserve">كذلك </w:t>
      </w:r>
      <w:r>
        <w:rPr>
          <w:rtl/>
        </w:rPr>
        <w:t xml:space="preserve">من المادة 24 من العهد؛ وترى اللجنة أن هذه التحفظات غير ضرورية في السياق الحالي. وتأسف اللجنة </w:t>
      </w:r>
      <w:r w:rsidRPr="00991554">
        <w:rPr>
          <w:spacing w:val="-2"/>
          <w:rtl/>
        </w:rPr>
        <w:t>أيضاً لأن الدولة الطرف لا تزال غير مقتنعة بالمزايا المنصوص عليها في البروتوكول الاختياري المتعلقة</w:t>
      </w:r>
      <w:r>
        <w:rPr>
          <w:rtl/>
        </w:rPr>
        <w:t xml:space="preserve"> بالحق في الالتماس الفردي (المادة 2).</w:t>
      </w:r>
    </w:p>
    <w:p w:rsidR="00991554" w:rsidRDefault="00991554" w:rsidP="00466F4A">
      <w:pPr>
        <w:pStyle w:val="SingleTxt"/>
        <w:spacing w:line="390" w:lineRule="exact"/>
        <w:rPr>
          <w:b/>
          <w:bCs/>
          <w:rtl/>
        </w:rPr>
      </w:pPr>
      <w:r>
        <w:rPr>
          <w:b/>
          <w:bCs/>
          <w:rtl/>
        </w:rPr>
        <w:tab/>
        <w:t xml:space="preserve">تكرر اللجنة توصيتها (انظر </w:t>
      </w:r>
      <w:r>
        <w:rPr>
          <w:b/>
          <w:bCs/>
        </w:rPr>
        <w:t>CCPR/C/GBR/CO/6</w:t>
      </w:r>
      <w:r>
        <w:rPr>
          <w:b/>
          <w:bCs/>
          <w:rtl/>
        </w:rPr>
        <w:t>، الفقرة 7) بأن تعيد الدولة الطرف النظر في ما تبقى من تحفظاتها على المواد 10 و14 و24 من العهد بغية سحبها. وتحث اللجنة الدولة الطرف على إعادة النظر في موقفها المتعلق بالانضمام إلى البروتوكول الاختياري الملحق بالعهد، الذي ينص على آلية تقديم الشكاوى الفردية، بهدف تعزيز حماية الحقوق المنصوص عليها في العهد على المستويين الداخلي والدولي.</w:t>
      </w:r>
    </w:p>
    <w:p w:rsidR="00991554" w:rsidRPr="00991554" w:rsidRDefault="00991554" w:rsidP="00991554">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991554" w:rsidRDefault="00991554" w:rsidP="00991554">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tl/>
        </w:rPr>
        <w:tab/>
      </w:r>
      <w:r>
        <w:rPr>
          <w:rtl/>
        </w:rPr>
        <w:tab/>
        <w:t>لجنة حقوق الإنسان لأيرلندا الشمالية</w:t>
      </w:r>
    </w:p>
    <w:p w:rsidR="00991554" w:rsidRDefault="00991554" w:rsidP="00466F4A">
      <w:pPr>
        <w:pStyle w:val="SingleTxt"/>
        <w:spacing w:line="390" w:lineRule="exact"/>
        <w:rPr>
          <w:rtl/>
        </w:rPr>
      </w:pPr>
      <w:r>
        <w:rPr>
          <w:rtl/>
        </w:rPr>
        <w:t>7-</w:t>
      </w:r>
      <w:r>
        <w:rPr>
          <w:rtl/>
        </w:rPr>
        <w:tab/>
        <w:t xml:space="preserve">يساور اللجنة القلق لأن خفض الميزانية المرصودة للجنة حقوق الإنسان لأيرلندا الشمالية قد </w:t>
      </w:r>
      <w:r w:rsidR="00FE6707">
        <w:rPr>
          <w:rFonts w:hint="cs"/>
          <w:rtl/>
        </w:rPr>
        <w:t>يضر ب</w:t>
      </w:r>
      <w:r>
        <w:rPr>
          <w:rtl/>
        </w:rPr>
        <w:t>تنفيذ الأنشطة التي كُلفت بها (المادة 2).</w:t>
      </w:r>
    </w:p>
    <w:p w:rsidR="00991554" w:rsidRPr="00991554" w:rsidRDefault="00991554" w:rsidP="00466F4A">
      <w:pPr>
        <w:pStyle w:val="SingleTxt"/>
        <w:spacing w:line="390" w:lineRule="exact"/>
        <w:rPr>
          <w:b/>
          <w:bCs/>
          <w:spacing w:val="-4"/>
          <w:rtl/>
        </w:rPr>
      </w:pPr>
      <w:r w:rsidRPr="00991554">
        <w:rPr>
          <w:spacing w:val="-4"/>
          <w:rtl/>
        </w:rPr>
        <w:tab/>
      </w:r>
      <w:r w:rsidRPr="00991554">
        <w:rPr>
          <w:b/>
          <w:bCs/>
          <w:spacing w:val="-4"/>
          <w:rtl/>
        </w:rPr>
        <w:t>ينبغي للدولة الطرف أن تقدم إلى لجنة حقوق الإنسان لأيرلندا الشمالية الأموال الكافية لتمكينها من الاضطلاع بالأنشطة التي كُلفت بها بفعالية وبصورة مستقلة ووفقاً لمبادئ باريس (قرار الجمعية العامة 48/134، المرفق).</w:t>
      </w:r>
    </w:p>
    <w:p w:rsidR="00991554" w:rsidRPr="00991554" w:rsidRDefault="00991554" w:rsidP="00991554">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991554" w:rsidRDefault="00991554" w:rsidP="00991554">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tl/>
        </w:rPr>
        <w:tab/>
      </w:r>
      <w:r>
        <w:rPr>
          <w:rtl/>
        </w:rPr>
        <w:tab/>
        <w:t>المساءلة عن الانتهاكات المتعلقة بالنزاع في أيرلندا الشمالية</w:t>
      </w:r>
    </w:p>
    <w:p w:rsidR="00991554" w:rsidRDefault="00991554" w:rsidP="00207FA3">
      <w:pPr>
        <w:pStyle w:val="SingleTxt"/>
        <w:spacing w:line="390" w:lineRule="exact"/>
        <w:rPr>
          <w:rtl/>
        </w:rPr>
      </w:pPr>
      <w:r w:rsidRPr="0072464A">
        <w:rPr>
          <w:rtl/>
        </w:rPr>
        <w:t>8-</w:t>
      </w:r>
      <w:r w:rsidRPr="0072464A">
        <w:rPr>
          <w:rtl/>
        </w:rPr>
        <w:tab/>
        <w:t>ترحب اللجنة باعتماد اتفاق ستورمونت هاوس</w:t>
      </w:r>
      <w:r w:rsidR="00FE6707" w:rsidRPr="0072464A">
        <w:rPr>
          <w:rFonts w:hint="cs"/>
          <w:rtl/>
        </w:rPr>
        <w:t xml:space="preserve"> لكنها</w:t>
      </w:r>
      <w:r w:rsidRPr="0072464A">
        <w:rPr>
          <w:rtl/>
        </w:rPr>
        <w:t xml:space="preserve">، لا تزال تشعر بالقلق (انظر </w:t>
      </w:r>
      <w:r w:rsidRPr="0072464A">
        <w:t>CCPR/C/GBR/CO/6</w:t>
      </w:r>
      <w:r w:rsidRPr="0072464A">
        <w:rPr>
          <w:rtl/>
        </w:rPr>
        <w:t>، الفقرة 9) إزاء نوعية ونمط عملية تعزيز المساءلة فيما يتعلق ب</w:t>
      </w:r>
      <w:r w:rsidR="00207FA3">
        <w:rPr>
          <w:rFonts w:hint="cs"/>
          <w:rtl/>
        </w:rPr>
        <w:t>‍ </w:t>
      </w:r>
      <w:r w:rsidRPr="0072464A">
        <w:rPr>
          <w:rtl/>
        </w:rPr>
        <w:t xml:space="preserve">"القلاقل" </w:t>
      </w:r>
      <w:r w:rsidR="006572C9" w:rsidRPr="0072464A">
        <w:rPr>
          <w:rFonts w:hint="cs"/>
          <w:rtl/>
        </w:rPr>
        <w:t xml:space="preserve">التي حدثت </w:t>
      </w:r>
      <w:r w:rsidRPr="0072464A">
        <w:rPr>
          <w:rtl/>
        </w:rPr>
        <w:t xml:space="preserve">في أيرلندا الشمالية وإزاء </w:t>
      </w:r>
      <w:r w:rsidR="006572C9" w:rsidRPr="0072464A">
        <w:rPr>
          <w:rFonts w:hint="cs"/>
          <w:rtl/>
        </w:rPr>
        <w:t xml:space="preserve">عدم وجود </w:t>
      </w:r>
      <w:r w:rsidRPr="0072464A">
        <w:rPr>
          <w:rtl/>
        </w:rPr>
        <w:t xml:space="preserve">إطار شامل للتصدي للانتهاكات الجسيمة لحقوق الإنسان المتعلقة بالنزاع. وتلاحظ اللجنة أيضاً مع القلق (أ) أوجه القصور المتعددة </w:t>
      </w:r>
      <w:r w:rsidR="006572C9" w:rsidRPr="0072464A">
        <w:rPr>
          <w:rFonts w:hint="cs"/>
          <w:rtl/>
        </w:rPr>
        <w:t xml:space="preserve">التي تشوب </w:t>
      </w:r>
      <w:r w:rsidRPr="0072464A">
        <w:rPr>
          <w:rtl/>
        </w:rPr>
        <w:t xml:space="preserve">الاستقلالية والفعالية المزعومة فيما يتعلق بقدرة أمين المظالم في </w:t>
      </w:r>
      <w:r w:rsidR="006572C9" w:rsidRPr="0072464A">
        <w:rPr>
          <w:rFonts w:hint="cs"/>
          <w:rtl/>
        </w:rPr>
        <w:t xml:space="preserve">جهاز </w:t>
      </w:r>
      <w:r w:rsidRPr="0072464A">
        <w:rPr>
          <w:rtl/>
        </w:rPr>
        <w:t xml:space="preserve">الشرطة على التحقيق في حالات تاريخية لسوء سلوك الشرطة؛ (ب) احتمال افتقار فرع التحقيق في الحالات الموروثة الذي أُنشئ ضمن خدمات الشرطة لأيرلندا الشمالية للاضطلاع بعمل فرقة التحقيقات التاريخية </w:t>
      </w:r>
      <w:r w:rsidR="006572C9" w:rsidRPr="0072464A">
        <w:rPr>
          <w:rFonts w:hint="cs"/>
          <w:rtl/>
        </w:rPr>
        <w:t>السرية</w:t>
      </w:r>
      <w:r w:rsidRPr="0072464A">
        <w:rPr>
          <w:rtl/>
        </w:rPr>
        <w:t>، للاستقلالية والموارد الكافية؛ (ج)</w:t>
      </w:r>
      <w:r w:rsidRPr="0072464A">
        <w:rPr>
          <w:rFonts w:hint="cs"/>
          <w:rtl/>
        </w:rPr>
        <w:t> </w:t>
      </w:r>
      <w:r w:rsidRPr="0072464A">
        <w:rPr>
          <w:rtl/>
        </w:rPr>
        <w:t xml:space="preserve">حالات التأخير في أداء نظام قاضي التحقيق الجنائي </w:t>
      </w:r>
      <w:r w:rsidRPr="0072464A">
        <w:rPr>
          <w:rtl/>
        </w:rPr>
        <w:lastRenderedPageBreak/>
        <w:t>فيما يتعلق بالحالات الموروثة؛ (د)</w:t>
      </w:r>
      <w:r w:rsidR="006572C9" w:rsidRPr="0072464A">
        <w:rPr>
          <w:rFonts w:hint="cs"/>
          <w:rtl/>
        </w:rPr>
        <w:t xml:space="preserve"> الإبقاء في </w:t>
      </w:r>
      <w:r w:rsidRPr="0072464A">
        <w:rPr>
          <w:rtl/>
        </w:rPr>
        <w:t>قانون الاست</w:t>
      </w:r>
      <w:r w:rsidR="006572C9" w:rsidRPr="0072464A">
        <w:rPr>
          <w:rtl/>
        </w:rPr>
        <w:t xml:space="preserve">فسارات لعام 2005 </w:t>
      </w:r>
      <w:r w:rsidR="006572C9" w:rsidRPr="0072464A">
        <w:rPr>
          <w:rFonts w:hint="cs"/>
          <w:rtl/>
        </w:rPr>
        <w:t xml:space="preserve">على </w:t>
      </w:r>
      <w:r w:rsidRPr="0072464A">
        <w:rPr>
          <w:rtl/>
        </w:rPr>
        <w:t xml:space="preserve">ولاية واسعة لوزراء الحكومة لقمع نشر تقارير التحقيق وعدم وجود ضمانات </w:t>
      </w:r>
      <w:r w:rsidR="006572C9" w:rsidRPr="0072464A">
        <w:rPr>
          <w:rFonts w:hint="cs"/>
          <w:rtl/>
        </w:rPr>
        <w:t xml:space="preserve">ضدّ </w:t>
      </w:r>
      <w:r w:rsidRPr="0072464A">
        <w:rPr>
          <w:rtl/>
        </w:rPr>
        <w:t>إساءة استخدام هذه الصلاحيات التنفيذية؛ (ه) لأن المراجعة المتعلقة بقتل باتريك فينوكان ( مراجعة دي س</w:t>
      </w:r>
      <w:r w:rsidR="00207FA3" w:rsidRPr="0072464A">
        <w:rPr>
          <w:rtl/>
        </w:rPr>
        <w:t>ي</w:t>
      </w:r>
      <w:r w:rsidRPr="0072464A">
        <w:rPr>
          <w:rtl/>
        </w:rPr>
        <w:t>لفا)، لا</w:t>
      </w:r>
      <w:r w:rsidR="006572C9" w:rsidRPr="0072464A">
        <w:rPr>
          <w:rFonts w:hint="cs"/>
          <w:rtl/>
        </w:rPr>
        <w:t> </w:t>
      </w:r>
      <w:r w:rsidRPr="0072464A">
        <w:rPr>
          <w:rtl/>
        </w:rPr>
        <w:t>تستج</w:t>
      </w:r>
      <w:r w:rsidR="006572C9" w:rsidRPr="0072464A">
        <w:rPr>
          <w:rFonts w:hint="cs"/>
          <w:rtl/>
        </w:rPr>
        <w:t>ي</w:t>
      </w:r>
      <w:r w:rsidRPr="0072464A">
        <w:rPr>
          <w:rtl/>
        </w:rPr>
        <w:t xml:space="preserve">ب، فيما يبدو، لمعايير التحقيق الفعال </w:t>
      </w:r>
      <w:r w:rsidR="006572C9" w:rsidRPr="0072464A">
        <w:rPr>
          <w:rFonts w:hint="cs"/>
          <w:rtl/>
        </w:rPr>
        <w:t xml:space="preserve">الواردة في </w:t>
      </w:r>
      <w:r w:rsidRPr="0072464A">
        <w:rPr>
          <w:rtl/>
        </w:rPr>
        <w:t xml:space="preserve">العهد. وفيما ترحب اللجنة بالاقتراح المطروح لإنشاء وحدة للتحقيقات التاريخية تتناول الحالات المعلقة المتعلقة بالنزاع في أيرلندا الشمالية، </w:t>
      </w:r>
      <w:r w:rsidR="006572C9" w:rsidRPr="0072464A">
        <w:rPr>
          <w:rFonts w:hint="cs"/>
          <w:rtl/>
        </w:rPr>
        <w:t>فإنها تشعر ب</w:t>
      </w:r>
      <w:r w:rsidRPr="0072464A">
        <w:rPr>
          <w:rtl/>
        </w:rPr>
        <w:t>القلق لأن التحقيقات المزمع إجراؤها قد تتأثر بمرور الوقت، نظراً إلى أن هذه الوحدة لن تعمل بالكامل إلا في عام 2017 (المادتان 2 و6).</w:t>
      </w:r>
    </w:p>
    <w:p w:rsidR="00991554" w:rsidRDefault="00991554" w:rsidP="00991554">
      <w:pPr>
        <w:pStyle w:val="SingleTxt"/>
        <w:rPr>
          <w:b/>
          <w:bCs/>
          <w:rtl/>
        </w:rPr>
      </w:pPr>
      <w:r>
        <w:rPr>
          <w:b/>
          <w:bCs/>
          <w:rtl/>
        </w:rPr>
        <w:tab/>
        <w:t>ينبغي للدولة الطرف أن:</w:t>
      </w:r>
    </w:p>
    <w:p w:rsidR="00991554" w:rsidRDefault="00991554" w:rsidP="00991554">
      <w:pPr>
        <w:pStyle w:val="SingleTxt"/>
        <w:rPr>
          <w:b/>
          <w:bCs/>
          <w:rtl/>
        </w:rPr>
      </w:pPr>
      <w:r>
        <w:rPr>
          <w:b/>
          <w:bCs/>
          <w:rtl/>
        </w:rPr>
        <w:tab/>
        <w:t>(أ)</w:t>
      </w:r>
      <w:r>
        <w:rPr>
          <w:b/>
          <w:bCs/>
          <w:rtl/>
        </w:rPr>
        <w:tab/>
        <w:t>تكفل، كمسألة ملحة بشكل خاص، إجراء تحقيقات مستقلة ونزيهة وعاجلة وفعالة، بما في ذلك تلك المقترحة بموجب اتفاق ستورمونت هاوس، لضمان الشفافية والمصداقية التامتين للظروف المحيطة بالأحداث في أيرلندا الشمالية بهدف تحديد هوية مرتكبي انتهاكات حقوق الإنسان وملاحقتهم قضائياً ومعاقبتهم، ولا سيما الحق في الحياة وتقديم سبل الانتصاف المناسبة إلى الضحايا؛</w:t>
      </w:r>
    </w:p>
    <w:p w:rsidR="00991554" w:rsidRDefault="00991554" w:rsidP="00991554">
      <w:pPr>
        <w:pStyle w:val="SingleTxt"/>
        <w:rPr>
          <w:b/>
          <w:bCs/>
          <w:rtl/>
        </w:rPr>
      </w:pPr>
      <w:r>
        <w:rPr>
          <w:b/>
          <w:bCs/>
          <w:rtl/>
        </w:rPr>
        <w:tab/>
        <w:t>(ب)</w:t>
      </w:r>
      <w:r>
        <w:rPr>
          <w:b/>
          <w:bCs/>
          <w:rtl/>
        </w:rPr>
        <w:tab/>
        <w:t>ضمان إنشاء وحدة التحقيقات التاريخية في أقرب وقت ممكن وتشغيلها بالكامل، نظراً لمرور الوقت؛ وضمان استقلاليتها بموجب القانون؛ وتأمين التمويل الكافي لها لتمكينها من إجراء تحقيق فعال في جميع الحالات المعلقة؛ وضمان تمكنها من الوصول إلى جميع الوثائق والمواد المتعلقة بالتحقيقات التي تجريها؛</w:t>
      </w:r>
    </w:p>
    <w:p w:rsidR="00991554" w:rsidRDefault="00991554" w:rsidP="00991554">
      <w:pPr>
        <w:pStyle w:val="SingleTxt"/>
        <w:rPr>
          <w:b/>
          <w:bCs/>
          <w:rtl/>
        </w:rPr>
      </w:pPr>
      <w:r>
        <w:rPr>
          <w:b/>
          <w:bCs/>
          <w:rtl/>
        </w:rPr>
        <w:tab/>
        <w:t>(ج)</w:t>
      </w:r>
      <w:r>
        <w:rPr>
          <w:b/>
          <w:bCs/>
          <w:rtl/>
        </w:rPr>
        <w:tab/>
        <w:t>ضمان تزويد فرع التحقيق في الحالات الموروثة ومحكمة الوفيات في أيرلندا الشمالية بالموارد الكافية وجعله في وضع جيد يسمح له بمراجعة الحالات الموروثة المعلقة مراجعةً فعالة؛</w:t>
      </w:r>
    </w:p>
    <w:p w:rsidR="00991554" w:rsidRDefault="00991554" w:rsidP="00991554">
      <w:pPr>
        <w:pStyle w:val="SingleTxt"/>
        <w:rPr>
          <w:b/>
          <w:bCs/>
          <w:rtl/>
        </w:rPr>
      </w:pPr>
      <w:r>
        <w:rPr>
          <w:b/>
          <w:bCs/>
          <w:rtl/>
        </w:rPr>
        <w:tab/>
        <w:t>(د)</w:t>
      </w:r>
      <w:r>
        <w:rPr>
          <w:b/>
          <w:bCs/>
          <w:rtl/>
        </w:rPr>
        <w:tab/>
        <w:t>إعادة النظر في موقفها بشأن الصلاحيات الواسعة الممنوحة للهيئة التنفيذية لقمع نشر تقارير التحقيق بموجب قانون التحقيقات لعام 2005؛</w:t>
      </w:r>
    </w:p>
    <w:p w:rsidR="00991554" w:rsidRDefault="00991554" w:rsidP="00991554">
      <w:pPr>
        <w:pStyle w:val="SingleTxt"/>
        <w:rPr>
          <w:b/>
          <w:bCs/>
          <w:rtl/>
        </w:rPr>
      </w:pPr>
      <w:r>
        <w:rPr>
          <w:b/>
          <w:bCs/>
          <w:rtl/>
        </w:rPr>
        <w:tab/>
        <w:t>(ه)</w:t>
      </w:r>
      <w:r>
        <w:rPr>
          <w:b/>
          <w:bCs/>
          <w:rtl/>
        </w:rPr>
        <w:tab/>
        <w:t>النظر في الشروع بتحقيق رسمي في قتل باتريك فينوكان.</w:t>
      </w:r>
    </w:p>
    <w:p w:rsidR="00991554" w:rsidRPr="00991554" w:rsidRDefault="00991554" w:rsidP="00991554">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991554" w:rsidRDefault="00991554" w:rsidP="00991554">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tl/>
        </w:rPr>
        <w:tab/>
      </w:r>
      <w:r>
        <w:rPr>
          <w:rtl/>
        </w:rPr>
        <w:tab/>
        <w:t>المساءلة عن انتهاكات حقوق الإنسان التي ترتكبها القوات البريطانية في الخارج</w:t>
      </w:r>
    </w:p>
    <w:p w:rsidR="00991554" w:rsidRPr="00F914DD" w:rsidRDefault="00991554" w:rsidP="00F914DD">
      <w:pPr>
        <w:pStyle w:val="SingleTxt"/>
        <w:rPr>
          <w:spacing w:val="-2"/>
          <w:rtl/>
        </w:rPr>
      </w:pPr>
      <w:r w:rsidRPr="00F914DD">
        <w:rPr>
          <w:spacing w:val="-2"/>
          <w:rtl/>
        </w:rPr>
        <w:t>9-</w:t>
      </w:r>
      <w:r w:rsidRPr="00F914DD">
        <w:rPr>
          <w:spacing w:val="-2"/>
          <w:rtl/>
        </w:rPr>
        <w:tab/>
        <w:t xml:space="preserve">على الرغم من أن اللجنة ترحب بالآليات القائمة للتحقيق في الادعاءات بارتكاب انتهاكات جسيمة لحقوق الإنسان، بما في ذلك التعذيب، والاحتجاز التعسفي وحالات الاختفاء القسري، التي ارتكبتها القوات البريطانية العاملة في الخارج، </w:t>
      </w:r>
      <w:r w:rsidR="0072464A" w:rsidRPr="00F914DD">
        <w:rPr>
          <w:rFonts w:hint="cs"/>
          <w:spacing w:val="-2"/>
          <w:rtl/>
        </w:rPr>
        <w:t>فإنها تشعر</w:t>
      </w:r>
      <w:r w:rsidRPr="00F914DD">
        <w:rPr>
          <w:spacing w:val="-2"/>
          <w:rtl/>
        </w:rPr>
        <w:t xml:space="preserve"> </w:t>
      </w:r>
      <w:r w:rsidR="0072464A" w:rsidRPr="00F914DD">
        <w:rPr>
          <w:rFonts w:hint="cs"/>
          <w:spacing w:val="-2"/>
          <w:rtl/>
        </w:rPr>
        <w:t>ب</w:t>
      </w:r>
      <w:r w:rsidRPr="00F914DD">
        <w:rPr>
          <w:spacing w:val="-2"/>
          <w:rtl/>
        </w:rPr>
        <w:t xml:space="preserve">القلق إزاء: (أ) </w:t>
      </w:r>
      <w:r w:rsidR="0072464A" w:rsidRPr="00F914DD">
        <w:rPr>
          <w:rFonts w:hint="cs"/>
          <w:spacing w:val="-2"/>
          <w:rtl/>
        </w:rPr>
        <w:t xml:space="preserve">بطء </w:t>
      </w:r>
      <w:r w:rsidRPr="00F914DD">
        <w:rPr>
          <w:spacing w:val="-2"/>
          <w:rtl/>
        </w:rPr>
        <w:t xml:space="preserve">التقدم </w:t>
      </w:r>
      <w:r w:rsidR="0072464A" w:rsidRPr="00F914DD">
        <w:rPr>
          <w:rFonts w:hint="cs"/>
          <w:spacing w:val="-2"/>
          <w:rtl/>
        </w:rPr>
        <w:t xml:space="preserve">المحرز </w:t>
      </w:r>
      <w:r w:rsidRPr="00F914DD">
        <w:rPr>
          <w:spacing w:val="-2"/>
          <w:rtl/>
        </w:rPr>
        <w:t xml:space="preserve">في الإجراءات أمام لجنة الاستخبارات والأمن التابعة للبرلمان فيما يتعلق بالتحقيق بشأن المحتجزين؛ (ب) مدى ملاءمة لجنة التحقيق والأمن التابعة للبرلمان كهيئة للتحقيق، بسبب أمور منها أوجه القلق المعرب عنها بشأن استقلاليتها عن الهيئة التنفيذية وصلاحية الحكومة في حجب </w:t>
      </w:r>
      <w:r w:rsidRPr="00F914DD">
        <w:rPr>
          <w:spacing w:val="-2"/>
          <w:rtl/>
        </w:rPr>
        <w:lastRenderedPageBreak/>
        <w:t>المعلومات الحساسة عنها. ويساور اللجنة القلق أيضاً إزاء التقدم البطيء في عمل فريق الادعاءات التاريخية العراقي وإزاء العدد القليل للغاية للدعاوى الجنائية التي تم النظر فيها حتى الآن. وفضلاً عن</w:t>
      </w:r>
      <w:r w:rsidR="00F914DD">
        <w:rPr>
          <w:rFonts w:hint="cs"/>
          <w:spacing w:val="-2"/>
          <w:rtl/>
        </w:rPr>
        <w:t> </w:t>
      </w:r>
      <w:r w:rsidRPr="00F914DD">
        <w:rPr>
          <w:spacing w:val="-2"/>
          <w:rtl/>
        </w:rPr>
        <w:t xml:space="preserve">ذلك، يساور اللجنة القلق إزاء </w:t>
      </w:r>
      <w:r w:rsidR="0072464A" w:rsidRPr="00F914DD">
        <w:rPr>
          <w:rFonts w:hint="cs"/>
          <w:spacing w:val="-2"/>
          <w:rtl/>
        </w:rPr>
        <w:t xml:space="preserve">قلة </w:t>
      </w:r>
      <w:r w:rsidRPr="00F914DD">
        <w:rPr>
          <w:spacing w:val="-2"/>
          <w:rtl/>
        </w:rPr>
        <w:t xml:space="preserve">المعلومات عن التحقيقات التي أُجريت، </w:t>
      </w:r>
      <w:r w:rsidR="0072464A" w:rsidRPr="00F914DD">
        <w:rPr>
          <w:rFonts w:hint="cs"/>
          <w:spacing w:val="-2"/>
          <w:rtl/>
        </w:rPr>
        <w:t xml:space="preserve">هذا </w:t>
      </w:r>
      <w:r w:rsidRPr="00F914DD">
        <w:rPr>
          <w:spacing w:val="-2"/>
          <w:rtl/>
        </w:rPr>
        <w:t>إن وجدت، في</w:t>
      </w:r>
      <w:r w:rsidR="00F914DD">
        <w:rPr>
          <w:rFonts w:hint="cs"/>
          <w:spacing w:val="-2"/>
          <w:rtl/>
        </w:rPr>
        <w:t> </w:t>
      </w:r>
      <w:r w:rsidRPr="00F914DD">
        <w:rPr>
          <w:spacing w:val="-2"/>
          <w:rtl/>
        </w:rPr>
        <w:t xml:space="preserve">الادعاءات بقيام موظفي القوات الخاصة البريطانية بتسليم محتجزين إلى </w:t>
      </w:r>
      <w:r w:rsidR="0072464A" w:rsidRPr="00F914DD">
        <w:rPr>
          <w:rFonts w:hint="cs"/>
          <w:spacing w:val="-2"/>
          <w:rtl/>
        </w:rPr>
        <w:t xml:space="preserve">المركز الأمريكي للاحتجاز </w:t>
      </w:r>
      <w:r w:rsidRPr="00F914DD">
        <w:rPr>
          <w:spacing w:val="-2"/>
          <w:rtl/>
        </w:rPr>
        <w:t>في معسكر ناما، وهو سجن سري يقع في مطار بغداد الدولي (المواد 2 و6 و7).</w:t>
      </w:r>
    </w:p>
    <w:p w:rsidR="00991554" w:rsidRDefault="00991554" w:rsidP="00F914DD">
      <w:pPr>
        <w:pStyle w:val="SingleTxt"/>
        <w:rPr>
          <w:b/>
          <w:bCs/>
          <w:rtl/>
        </w:rPr>
      </w:pPr>
      <w:r>
        <w:rPr>
          <w:rtl/>
        </w:rPr>
        <w:tab/>
      </w:r>
      <w:r>
        <w:rPr>
          <w:b/>
          <w:bCs/>
          <w:rtl/>
        </w:rPr>
        <w:t>ينبغي للدولة الطرف أن تقوم بما يلي:</w:t>
      </w:r>
    </w:p>
    <w:p w:rsidR="00991554" w:rsidRPr="00FE6707" w:rsidRDefault="00991554" w:rsidP="00F914DD">
      <w:pPr>
        <w:pStyle w:val="SingleTxt"/>
        <w:rPr>
          <w:b/>
          <w:bCs/>
          <w:rtl/>
        </w:rPr>
      </w:pPr>
      <w:r w:rsidRPr="00FE6707">
        <w:rPr>
          <w:b/>
          <w:bCs/>
          <w:rtl/>
        </w:rPr>
        <w:tab/>
        <w:t>(أ)</w:t>
      </w:r>
      <w:r w:rsidRPr="00FE6707">
        <w:rPr>
          <w:b/>
          <w:bCs/>
          <w:rtl/>
        </w:rPr>
        <w:tab/>
        <w:t xml:space="preserve">استيفاء الإجراءات أمام لجنة الاستخبارات والأمن التابعة للبرلمان لمقتضيات العهد، بما في ذلك تحقيق التوازن المناسب بين المصالح الأمنية والحاجة إلى المساءلة </w:t>
      </w:r>
      <w:r w:rsidR="0072464A">
        <w:rPr>
          <w:rFonts w:hint="cs"/>
          <w:b/>
          <w:bCs/>
          <w:rtl/>
        </w:rPr>
        <w:t>فيما يتعلق ب</w:t>
      </w:r>
      <w:r w:rsidRPr="00FE6707">
        <w:rPr>
          <w:b/>
          <w:bCs/>
          <w:rtl/>
        </w:rPr>
        <w:t>انتهاكات حقوق الإنسان، والنظر في البدء في تحقيق قضائي كامل في جميع حالات المحتجزين المعنيين؛</w:t>
      </w:r>
    </w:p>
    <w:p w:rsidR="00991554" w:rsidRDefault="00991554" w:rsidP="00F914DD">
      <w:pPr>
        <w:pStyle w:val="SingleTxt"/>
        <w:rPr>
          <w:b/>
          <w:bCs/>
          <w:rtl/>
        </w:rPr>
      </w:pPr>
      <w:r>
        <w:rPr>
          <w:b/>
          <w:bCs/>
          <w:rtl/>
        </w:rPr>
        <w:tab/>
        <w:t>(ب)</w:t>
      </w:r>
      <w:r>
        <w:rPr>
          <w:b/>
          <w:bCs/>
          <w:rtl/>
        </w:rPr>
        <w:tab/>
        <w:t xml:space="preserve">معالجة </w:t>
      </w:r>
      <w:r w:rsidR="0072464A">
        <w:rPr>
          <w:rFonts w:hint="cs"/>
          <w:b/>
          <w:bCs/>
          <w:rtl/>
        </w:rPr>
        <w:t xml:space="preserve">حالات </w:t>
      </w:r>
      <w:r w:rsidR="0072464A">
        <w:rPr>
          <w:b/>
          <w:bCs/>
          <w:rtl/>
        </w:rPr>
        <w:t>التأخير</w:t>
      </w:r>
      <w:r>
        <w:rPr>
          <w:b/>
          <w:bCs/>
          <w:rtl/>
        </w:rPr>
        <w:t xml:space="preserve"> المفرطة في التحقيق في الحالات التي ينظر فيها فريق الادعاءات التاريخية العراقي والنظر في وضع تدابير أقوى للمساءلة لضمان التحقيق السريع والمستقل والنزيه والفعال؛</w:t>
      </w:r>
    </w:p>
    <w:p w:rsidR="00991554" w:rsidRDefault="00991554" w:rsidP="00F914DD">
      <w:pPr>
        <w:pStyle w:val="SingleTxt"/>
        <w:rPr>
          <w:b/>
          <w:bCs/>
          <w:rtl/>
        </w:rPr>
      </w:pPr>
      <w:r>
        <w:rPr>
          <w:b/>
          <w:bCs/>
          <w:rtl/>
        </w:rPr>
        <w:tab/>
        <w:t>(ج)</w:t>
      </w:r>
      <w:r>
        <w:rPr>
          <w:b/>
          <w:bCs/>
          <w:rtl/>
        </w:rPr>
        <w:tab/>
        <w:t>ضمان التحقيق في الادعاءات المتعلقة بمعسكر ناما تحقيقاً شاملاً ومستقلاً ونزيهاً.</w:t>
      </w:r>
    </w:p>
    <w:p w:rsidR="00207FA3" w:rsidRPr="00207FA3" w:rsidRDefault="00207FA3" w:rsidP="00207FA3">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991554" w:rsidRDefault="00991554" w:rsidP="00466F4A">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line="390" w:lineRule="exact"/>
        <w:ind w:left="1267" w:right="1267" w:hanging="1267"/>
        <w:rPr>
          <w:rtl/>
        </w:rPr>
      </w:pPr>
      <w:r>
        <w:rPr>
          <w:rtl/>
        </w:rPr>
        <w:tab/>
      </w:r>
      <w:r>
        <w:rPr>
          <w:rtl/>
        </w:rPr>
        <w:tab/>
        <w:t>العنصرية وكره الأجانب</w:t>
      </w:r>
    </w:p>
    <w:p w:rsidR="00991554" w:rsidRPr="002E2D27" w:rsidRDefault="00991554" w:rsidP="002E2D27">
      <w:pPr>
        <w:pStyle w:val="SingleTxt"/>
        <w:rPr>
          <w:rtl/>
        </w:rPr>
      </w:pPr>
      <w:r w:rsidRPr="002E2D27">
        <w:rPr>
          <w:rtl/>
        </w:rPr>
        <w:t>10-</w:t>
      </w:r>
      <w:r w:rsidRPr="002E2D27">
        <w:rPr>
          <w:rtl/>
        </w:rPr>
        <w:tab/>
      </w:r>
      <w:r w:rsidR="0072464A" w:rsidRPr="002E2D27">
        <w:rPr>
          <w:rFonts w:hint="cs"/>
          <w:rtl/>
        </w:rPr>
        <w:t xml:space="preserve">لئن اعترفت </w:t>
      </w:r>
      <w:r w:rsidRPr="002E2D27">
        <w:rPr>
          <w:rtl/>
        </w:rPr>
        <w:t xml:space="preserve">اللجنة </w:t>
      </w:r>
      <w:r w:rsidR="0072464A" w:rsidRPr="002E2D27">
        <w:rPr>
          <w:rFonts w:hint="cs"/>
          <w:rtl/>
        </w:rPr>
        <w:t xml:space="preserve">باتخاذ </w:t>
      </w:r>
      <w:r w:rsidRPr="002E2D27">
        <w:rPr>
          <w:rtl/>
        </w:rPr>
        <w:t xml:space="preserve">الدولة الطرف تدابير لمكافحة جرائم الكراهية، </w:t>
      </w:r>
      <w:r w:rsidR="0072464A" w:rsidRPr="002E2D27">
        <w:rPr>
          <w:rFonts w:hint="cs"/>
          <w:rtl/>
        </w:rPr>
        <w:t xml:space="preserve">فإنها </w:t>
      </w:r>
      <w:r w:rsidRPr="002E2D27">
        <w:rPr>
          <w:rtl/>
        </w:rPr>
        <w:t xml:space="preserve">تلاحظ الزيادة </w:t>
      </w:r>
      <w:r w:rsidR="0072464A" w:rsidRPr="002E2D27">
        <w:rPr>
          <w:rFonts w:hint="cs"/>
          <w:rtl/>
        </w:rPr>
        <w:t xml:space="preserve">التي طرأت في الآونة الأخيرة على </w:t>
      </w:r>
      <w:r w:rsidRPr="002E2D27">
        <w:rPr>
          <w:rtl/>
        </w:rPr>
        <w:t>عدد حالات وجرائم الكراهية بالاستنا</w:t>
      </w:r>
      <w:r w:rsidR="0072464A" w:rsidRPr="002E2D27">
        <w:rPr>
          <w:rtl/>
        </w:rPr>
        <w:t>د إلى العرق أو</w:t>
      </w:r>
      <w:r w:rsidR="002E2D27">
        <w:rPr>
          <w:rFonts w:hint="cs"/>
          <w:rtl/>
        </w:rPr>
        <w:t> </w:t>
      </w:r>
      <w:r w:rsidR="0072464A" w:rsidRPr="002E2D27">
        <w:rPr>
          <w:rtl/>
        </w:rPr>
        <w:t>الجنسية أو</w:t>
      </w:r>
      <w:r w:rsidR="00466F4A" w:rsidRPr="002E2D27">
        <w:rPr>
          <w:rFonts w:hint="cs"/>
          <w:rtl/>
        </w:rPr>
        <w:t> </w:t>
      </w:r>
      <w:r w:rsidR="0072464A" w:rsidRPr="002E2D27">
        <w:rPr>
          <w:rtl/>
        </w:rPr>
        <w:t>الدين</w:t>
      </w:r>
      <w:r w:rsidRPr="002E2D27">
        <w:rPr>
          <w:rtl/>
        </w:rPr>
        <w:t xml:space="preserve">. ويساور اللجنة القلق أيضاً إزاء استخدام وسائل الإعلام وشبكات الإنترنت لتعابير تنم عن العنصرية وكره الأجانب قد تصل إلى التحريض على التمييز، والعداء أو العنف. وفي هذا الصدد، تلاحظ اللجنة، مع القلق، نشر مواد تتضمن قوالب </w:t>
      </w:r>
      <w:r w:rsidR="0072464A" w:rsidRPr="002E2D27">
        <w:rPr>
          <w:rFonts w:hint="cs"/>
          <w:rtl/>
        </w:rPr>
        <w:t xml:space="preserve">نمطية </w:t>
      </w:r>
      <w:r w:rsidR="0072464A" w:rsidRPr="002E2D27">
        <w:rPr>
          <w:rtl/>
        </w:rPr>
        <w:t>سلبية للغاية عن المجموع</w:t>
      </w:r>
      <w:r w:rsidR="0072464A" w:rsidRPr="002E2D27">
        <w:rPr>
          <w:rFonts w:hint="cs"/>
          <w:rtl/>
        </w:rPr>
        <w:t>ات</w:t>
      </w:r>
      <w:r w:rsidRPr="002E2D27">
        <w:rPr>
          <w:rtl/>
        </w:rPr>
        <w:t xml:space="preserve"> الأثنية أو</w:t>
      </w:r>
      <w:r w:rsidR="002E2D27" w:rsidRPr="002E2D27">
        <w:rPr>
          <w:rFonts w:hint="cs"/>
          <w:rtl/>
        </w:rPr>
        <w:t> </w:t>
      </w:r>
      <w:r w:rsidRPr="002E2D27">
        <w:rPr>
          <w:rtl/>
        </w:rPr>
        <w:t>الدينية أو غيرها من الأقليات بما في ذلك الأشخاص المنحدرين من أصل أفريقي والمسلمين ولا</w:t>
      </w:r>
      <w:r w:rsidR="002E2D27" w:rsidRPr="002E2D27">
        <w:rPr>
          <w:rFonts w:hint="cs"/>
          <w:rtl/>
        </w:rPr>
        <w:t> </w:t>
      </w:r>
      <w:r w:rsidRPr="002E2D27">
        <w:rPr>
          <w:rtl/>
        </w:rPr>
        <w:t xml:space="preserve">سيما المهاجرين وملتمسي اللجوء، مثل المقال المعنون" قوارب الإنقاذ؟ </w:t>
      </w:r>
      <w:r w:rsidR="0072464A" w:rsidRPr="002E2D27">
        <w:rPr>
          <w:rFonts w:hint="cs"/>
          <w:rtl/>
        </w:rPr>
        <w:t>لو</w:t>
      </w:r>
      <w:r w:rsidR="0072464A" w:rsidRPr="002E2D27">
        <w:rPr>
          <w:rFonts w:hint="eastAsia"/>
          <w:rtl/>
        </w:rPr>
        <w:t> </w:t>
      </w:r>
      <w:r w:rsidR="0072464A" w:rsidRPr="002E2D27">
        <w:rPr>
          <w:rFonts w:hint="cs"/>
          <w:rtl/>
        </w:rPr>
        <w:t>كنت مسؤولاً لاستخدم</w:t>
      </w:r>
      <w:r w:rsidR="00207FA3" w:rsidRPr="002E2D27">
        <w:rPr>
          <w:rFonts w:hint="cs"/>
          <w:rtl/>
        </w:rPr>
        <w:t>ت</w:t>
      </w:r>
      <w:r w:rsidR="0072464A" w:rsidRPr="002E2D27">
        <w:rPr>
          <w:rFonts w:hint="cs"/>
          <w:rtl/>
        </w:rPr>
        <w:t xml:space="preserve"> ال</w:t>
      </w:r>
      <w:r w:rsidRPr="002E2D27">
        <w:rPr>
          <w:rtl/>
        </w:rPr>
        <w:t xml:space="preserve">طائرات </w:t>
      </w:r>
      <w:r w:rsidR="0072464A" w:rsidRPr="002E2D27">
        <w:rPr>
          <w:rFonts w:hint="cs"/>
          <w:rtl/>
        </w:rPr>
        <w:t>ال</w:t>
      </w:r>
      <w:r w:rsidRPr="002E2D27">
        <w:rPr>
          <w:rtl/>
        </w:rPr>
        <w:t>حربية لوقف المهاجرين"، الذي أصدرته صحيفة الصن في 17 نيسان/أبريل 2015 (المادتان 19 و20).</w:t>
      </w:r>
    </w:p>
    <w:p w:rsidR="00991554" w:rsidRPr="00466F4A" w:rsidRDefault="00991554" w:rsidP="00F914DD">
      <w:pPr>
        <w:pStyle w:val="SingleTxt"/>
        <w:rPr>
          <w:b/>
          <w:bCs/>
          <w:spacing w:val="-4"/>
          <w:rtl/>
        </w:rPr>
      </w:pPr>
      <w:r w:rsidRPr="00466F4A">
        <w:rPr>
          <w:spacing w:val="-4"/>
          <w:rtl/>
        </w:rPr>
        <w:tab/>
      </w:r>
      <w:r w:rsidRPr="00466F4A">
        <w:rPr>
          <w:b/>
          <w:bCs/>
          <w:spacing w:val="-4"/>
          <w:rtl/>
        </w:rPr>
        <w:t>ينبغي للدولة الطرف أن تعزز جهودها لمنع جميع أفعال العنصرية وكره الأجانب والقضاء عليها، بما في ذلك في وسائط الإعلام وشبكات الإنترنت، وفقاً للمادتين 19 و20 من العهد وتعليق اللجنة العام رقم</w:t>
      </w:r>
      <w:r w:rsidR="00207FA3">
        <w:rPr>
          <w:rFonts w:hint="cs"/>
          <w:b/>
          <w:bCs/>
          <w:spacing w:val="-4"/>
          <w:rtl/>
        </w:rPr>
        <w:t xml:space="preserve"> 34</w:t>
      </w:r>
      <w:r w:rsidRPr="00466F4A">
        <w:rPr>
          <w:b/>
          <w:bCs/>
          <w:spacing w:val="-4"/>
          <w:rtl/>
        </w:rPr>
        <w:t xml:space="preserve">(2011) بشأن حرية الرأي والتعبير، </w:t>
      </w:r>
      <w:r w:rsidR="0072464A" w:rsidRPr="00466F4A">
        <w:rPr>
          <w:rFonts w:hint="cs"/>
          <w:b/>
          <w:bCs/>
          <w:spacing w:val="-4"/>
          <w:rtl/>
        </w:rPr>
        <w:t xml:space="preserve">بوسائل </w:t>
      </w:r>
      <w:r w:rsidRPr="00466F4A">
        <w:rPr>
          <w:b/>
          <w:bCs/>
          <w:spacing w:val="-4"/>
          <w:rtl/>
        </w:rPr>
        <w:t>منها:</w:t>
      </w:r>
    </w:p>
    <w:p w:rsidR="00991554" w:rsidRDefault="00991554" w:rsidP="0072464A">
      <w:pPr>
        <w:pStyle w:val="SingleTxt"/>
        <w:rPr>
          <w:b/>
          <w:bCs/>
          <w:rtl/>
        </w:rPr>
      </w:pPr>
      <w:r>
        <w:rPr>
          <w:b/>
          <w:bCs/>
          <w:rtl/>
        </w:rPr>
        <w:tab/>
        <w:t>(أ)</w:t>
      </w:r>
      <w:r>
        <w:rPr>
          <w:b/>
          <w:bCs/>
          <w:rtl/>
        </w:rPr>
        <w:tab/>
        <w:t xml:space="preserve">تنفيذ </w:t>
      </w:r>
      <w:r w:rsidR="0072464A">
        <w:rPr>
          <w:rFonts w:hint="cs"/>
          <w:b/>
          <w:bCs/>
          <w:rtl/>
        </w:rPr>
        <w:t>ا</w:t>
      </w:r>
      <w:r>
        <w:rPr>
          <w:b/>
          <w:bCs/>
          <w:rtl/>
        </w:rPr>
        <w:t>لأطر القانونية والسياساتية ذات الصلة المعمول بها في ما يتعلق بمكافحة جرائم الكراهية؛</w:t>
      </w:r>
      <w:r w:rsidR="0072464A">
        <w:rPr>
          <w:rFonts w:hint="cs"/>
          <w:b/>
          <w:bCs/>
          <w:rtl/>
        </w:rPr>
        <w:t xml:space="preserve"> وإعمالها بشكل فعال؛</w:t>
      </w:r>
    </w:p>
    <w:p w:rsidR="00991554" w:rsidRDefault="00991554" w:rsidP="0072464A">
      <w:pPr>
        <w:pStyle w:val="SingleTxt"/>
        <w:rPr>
          <w:b/>
          <w:bCs/>
          <w:rtl/>
        </w:rPr>
      </w:pPr>
      <w:r>
        <w:rPr>
          <w:b/>
          <w:bCs/>
          <w:rtl/>
        </w:rPr>
        <w:lastRenderedPageBreak/>
        <w:tab/>
        <w:t>(ب)</w:t>
      </w:r>
      <w:r>
        <w:rPr>
          <w:b/>
          <w:bCs/>
          <w:rtl/>
        </w:rPr>
        <w:tab/>
        <w:t>تنظيم حملات جديدة لبث الوعي ترمي إلى تعزيز احترام حقوق الإنسان والتسامح من أجل</w:t>
      </w:r>
      <w:r w:rsidR="0072464A">
        <w:rPr>
          <w:rFonts w:hint="cs"/>
          <w:b/>
          <w:bCs/>
          <w:rtl/>
        </w:rPr>
        <w:t xml:space="preserve"> الحفاظ على</w:t>
      </w:r>
      <w:r>
        <w:rPr>
          <w:b/>
          <w:bCs/>
          <w:rtl/>
        </w:rPr>
        <w:t xml:space="preserve"> التنوع؛</w:t>
      </w:r>
    </w:p>
    <w:p w:rsidR="00991554" w:rsidRDefault="00991554" w:rsidP="00991554">
      <w:pPr>
        <w:pStyle w:val="SingleTxt"/>
        <w:rPr>
          <w:b/>
          <w:bCs/>
          <w:rtl/>
        </w:rPr>
      </w:pPr>
      <w:r>
        <w:rPr>
          <w:b/>
          <w:bCs/>
          <w:rtl/>
        </w:rPr>
        <w:tab/>
        <w:t>(ج)</w:t>
      </w:r>
      <w:r>
        <w:rPr>
          <w:b/>
          <w:bCs/>
          <w:rtl/>
        </w:rPr>
        <w:tab/>
        <w:t>تحسين عملية الإبلاغ عن حالات التحريض على التمييز، والعداء أو العنف وحالات جرائم الكراهية؛</w:t>
      </w:r>
    </w:p>
    <w:p w:rsidR="00991554" w:rsidRPr="0072464A" w:rsidRDefault="00991554" w:rsidP="0072464A">
      <w:pPr>
        <w:pStyle w:val="SingleTxt"/>
        <w:rPr>
          <w:b/>
          <w:bCs/>
          <w:spacing w:val="-2"/>
          <w:rtl/>
        </w:rPr>
      </w:pPr>
      <w:r w:rsidRPr="0072464A">
        <w:rPr>
          <w:b/>
          <w:bCs/>
          <w:spacing w:val="-2"/>
          <w:rtl/>
        </w:rPr>
        <w:tab/>
        <w:t>(د)</w:t>
      </w:r>
      <w:r w:rsidRPr="0072464A">
        <w:rPr>
          <w:b/>
          <w:bCs/>
          <w:spacing w:val="-2"/>
          <w:rtl/>
        </w:rPr>
        <w:tab/>
        <w:t xml:space="preserve">التحقيق الشامل </w:t>
      </w:r>
      <w:r w:rsidR="0072464A" w:rsidRPr="0072464A">
        <w:rPr>
          <w:rFonts w:hint="cs"/>
          <w:b/>
          <w:bCs/>
          <w:spacing w:val="-2"/>
          <w:rtl/>
        </w:rPr>
        <w:t>في ا</w:t>
      </w:r>
      <w:r w:rsidRPr="0072464A">
        <w:rPr>
          <w:b/>
          <w:bCs/>
          <w:spacing w:val="-2"/>
          <w:rtl/>
        </w:rPr>
        <w:t xml:space="preserve">لحالات </w:t>
      </w:r>
      <w:r w:rsidR="0072464A" w:rsidRPr="0072464A">
        <w:rPr>
          <w:rFonts w:hint="cs"/>
          <w:b/>
          <w:bCs/>
          <w:spacing w:val="-2"/>
          <w:rtl/>
        </w:rPr>
        <w:t xml:space="preserve">التي يزعم فيها حدوث </w:t>
      </w:r>
      <w:r w:rsidRPr="0072464A">
        <w:rPr>
          <w:b/>
          <w:bCs/>
          <w:spacing w:val="-2"/>
          <w:rtl/>
        </w:rPr>
        <w:t>تحريض على التمييز والعداء أو العنف وجرائم الكراهية المزعومة، وملاحقة الجناة ومعاقبتهم، في حالة إدانتهم، بعقوبات تتناسب وأفعالهم وتزويد الضحايا بسبل الانتصاف المناسبة بما في ذلك التعويض.</w:t>
      </w:r>
    </w:p>
    <w:p w:rsidR="0072464A" w:rsidRPr="0072464A" w:rsidRDefault="0072464A" w:rsidP="0072464A">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991554" w:rsidRDefault="00991554" w:rsidP="0072464A">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tl/>
        </w:rPr>
        <w:tab/>
      </w:r>
      <w:r>
        <w:rPr>
          <w:rtl/>
        </w:rPr>
        <w:tab/>
        <w:t>صلاحية الإيقاف والتفتيش</w:t>
      </w:r>
    </w:p>
    <w:p w:rsidR="00991554" w:rsidRDefault="00991554" w:rsidP="0072464A">
      <w:pPr>
        <w:pStyle w:val="SingleTxt"/>
        <w:rPr>
          <w:rtl/>
        </w:rPr>
      </w:pPr>
      <w:r>
        <w:rPr>
          <w:rtl/>
        </w:rPr>
        <w:t>11-</w:t>
      </w:r>
      <w:r>
        <w:rPr>
          <w:rtl/>
        </w:rPr>
        <w:tab/>
        <w:t xml:space="preserve">يساور اللجنة القلق إزاء اللجوء إلى صلاحيات الإيقاف والتفتيش في اسكتلندا ولا سيما بشأن عمليات </w:t>
      </w:r>
      <w:r w:rsidR="0072464A">
        <w:rPr>
          <w:rFonts w:hint="cs"/>
          <w:rtl/>
        </w:rPr>
        <w:t xml:space="preserve">التفتيش </w:t>
      </w:r>
      <w:r>
        <w:rPr>
          <w:rtl/>
        </w:rPr>
        <w:t xml:space="preserve">غير القانوني التي تقوم بها الشرطة على نطاق واسع في اسكتلندا والتي تتعلق بأمور منها </w:t>
      </w:r>
      <w:r w:rsidR="0072464A">
        <w:rPr>
          <w:rFonts w:hint="cs"/>
          <w:rtl/>
        </w:rPr>
        <w:t xml:space="preserve">الانتقائية في تطبيق </w:t>
      </w:r>
      <w:r>
        <w:rPr>
          <w:rtl/>
        </w:rPr>
        <w:t xml:space="preserve">مثل هذه التدابير بطريقة غير قانونية وغير متناسبة حسب الادعاءات. وفضلاً عن ذلك، وفيما تحيط اللجنة علماً بإجراء الترخيص، الذي دخل حيز النفاذ في عام 2012، باللجوء إلى صلاحيات الإيقاف والتفتيش دون شكوك معقولة، في قانون العدالة والأمن (أيرلندا الشمالية) لعام 2007، تلاحظ اللجنة أنه لم يتم جمع أية بيانات عن المجتمع الذي يأتي منه الأشخاص الذين يتم توقيفهم وتفتيشهم بموجب ذلك القانون، فيما يبدو، لضمان عدم استخدام مثل هذه الصلاحيات بصورة غير متناسبة وتعسفية ضد أفراد </w:t>
      </w:r>
      <w:r w:rsidR="0072464A">
        <w:rPr>
          <w:rFonts w:hint="cs"/>
          <w:rtl/>
        </w:rPr>
        <w:t xml:space="preserve">ينتمون إلى </w:t>
      </w:r>
      <w:r>
        <w:rPr>
          <w:rtl/>
        </w:rPr>
        <w:t>إثنية معينة (المواد 2 و9 و12 و17 و26).</w:t>
      </w:r>
    </w:p>
    <w:p w:rsidR="00991554" w:rsidRDefault="00991554" w:rsidP="00991554">
      <w:pPr>
        <w:pStyle w:val="SingleTxt"/>
        <w:rPr>
          <w:b/>
          <w:bCs/>
          <w:rtl/>
        </w:rPr>
      </w:pPr>
      <w:r>
        <w:rPr>
          <w:rtl/>
        </w:rPr>
        <w:tab/>
      </w:r>
      <w:r>
        <w:rPr>
          <w:b/>
          <w:bCs/>
          <w:rtl/>
        </w:rPr>
        <w:t>ينبغي للدولة الطرف أن:</w:t>
      </w:r>
    </w:p>
    <w:p w:rsidR="00991554" w:rsidRDefault="00991554" w:rsidP="0072464A">
      <w:pPr>
        <w:pStyle w:val="SingleTxt"/>
        <w:rPr>
          <w:b/>
          <w:bCs/>
          <w:rtl/>
        </w:rPr>
      </w:pPr>
      <w:r>
        <w:rPr>
          <w:b/>
          <w:bCs/>
          <w:rtl/>
        </w:rPr>
        <w:tab/>
        <w:t>(أ)</w:t>
      </w:r>
      <w:r>
        <w:rPr>
          <w:b/>
          <w:bCs/>
          <w:rtl/>
        </w:rPr>
        <w:tab/>
        <w:t xml:space="preserve">تلغي صلاحيات التوقيف والتفتيش غير القانونية في اسكتلندا وأن تواصل جهودها الرامية إلى تحسين عملية اختيار </w:t>
      </w:r>
      <w:r w:rsidR="0072464A">
        <w:rPr>
          <w:rFonts w:hint="cs"/>
          <w:b/>
          <w:bCs/>
          <w:rtl/>
        </w:rPr>
        <w:t xml:space="preserve">الأهداف </w:t>
      </w:r>
      <w:r>
        <w:rPr>
          <w:b/>
          <w:bCs/>
          <w:rtl/>
        </w:rPr>
        <w:t xml:space="preserve">بموجب </w:t>
      </w:r>
      <w:r w:rsidR="0072464A">
        <w:rPr>
          <w:rFonts w:hint="cs"/>
          <w:b/>
          <w:bCs/>
          <w:rtl/>
        </w:rPr>
        <w:t>ال</w:t>
      </w:r>
      <w:r>
        <w:rPr>
          <w:b/>
          <w:bCs/>
          <w:rtl/>
        </w:rPr>
        <w:t xml:space="preserve">ولايات </w:t>
      </w:r>
      <w:r w:rsidR="0072464A">
        <w:rPr>
          <w:rFonts w:hint="cs"/>
          <w:b/>
          <w:bCs/>
          <w:rtl/>
        </w:rPr>
        <w:t>ال</w:t>
      </w:r>
      <w:r>
        <w:rPr>
          <w:b/>
          <w:bCs/>
          <w:rtl/>
        </w:rPr>
        <w:t xml:space="preserve">قانونية، لضمان </w:t>
      </w:r>
      <w:r w:rsidR="0072464A">
        <w:rPr>
          <w:b/>
          <w:bCs/>
          <w:rtl/>
        </w:rPr>
        <w:t xml:space="preserve">تطابقها مع العهد، وتنظيم </w:t>
      </w:r>
      <w:r>
        <w:rPr>
          <w:b/>
          <w:bCs/>
          <w:rtl/>
        </w:rPr>
        <w:t xml:space="preserve">تدريب </w:t>
      </w:r>
      <w:r w:rsidR="0072464A">
        <w:rPr>
          <w:rFonts w:hint="cs"/>
          <w:b/>
          <w:bCs/>
          <w:rtl/>
        </w:rPr>
        <w:t xml:space="preserve">المسؤولين عن </w:t>
      </w:r>
      <w:r>
        <w:rPr>
          <w:b/>
          <w:bCs/>
          <w:rtl/>
        </w:rPr>
        <w:t xml:space="preserve">ضباط إنفاذ القوانين </w:t>
      </w:r>
      <w:r w:rsidR="0072464A">
        <w:rPr>
          <w:rFonts w:hint="cs"/>
          <w:b/>
          <w:bCs/>
          <w:rtl/>
        </w:rPr>
        <w:t>و</w:t>
      </w:r>
      <w:r>
        <w:rPr>
          <w:b/>
          <w:bCs/>
          <w:rtl/>
        </w:rPr>
        <w:t>بجمع بيانات شاملة عن تطبيق صلاحيات التوقيف والتفتيش وتحسين شفافية هذه العملية؛</w:t>
      </w:r>
    </w:p>
    <w:p w:rsidR="00991554" w:rsidRDefault="00991554" w:rsidP="00987BA8">
      <w:pPr>
        <w:pStyle w:val="SingleTxt"/>
        <w:rPr>
          <w:b/>
          <w:bCs/>
          <w:rtl/>
        </w:rPr>
      </w:pPr>
      <w:r>
        <w:rPr>
          <w:b/>
          <w:bCs/>
          <w:rtl/>
        </w:rPr>
        <w:tab/>
        <w:t>(ب)</w:t>
      </w:r>
      <w:r>
        <w:rPr>
          <w:b/>
          <w:bCs/>
          <w:rtl/>
        </w:rPr>
        <w:tab/>
      </w:r>
      <w:r w:rsidR="0072464A">
        <w:rPr>
          <w:rFonts w:hint="cs"/>
          <w:b/>
          <w:bCs/>
          <w:rtl/>
        </w:rPr>
        <w:t>تتولى</w:t>
      </w:r>
      <w:r>
        <w:rPr>
          <w:b/>
          <w:bCs/>
          <w:rtl/>
        </w:rPr>
        <w:t xml:space="preserve">، </w:t>
      </w:r>
      <w:r w:rsidR="0072464A">
        <w:rPr>
          <w:rFonts w:hint="cs"/>
          <w:b/>
          <w:bCs/>
          <w:rtl/>
        </w:rPr>
        <w:t xml:space="preserve">على سبيل </w:t>
      </w:r>
      <w:r>
        <w:rPr>
          <w:b/>
          <w:bCs/>
          <w:rtl/>
        </w:rPr>
        <w:t>الأ</w:t>
      </w:r>
      <w:r w:rsidR="0072464A">
        <w:rPr>
          <w:b/>
          <w:bCs/>
          <w:rtl/>
        </w:rPr>
        <w:t xml:space="preserve">ولوية، </w:t>
      </w:r>
      <w:r>
        <w:rPr>
          <w:b/>
          <w:bCs/>
          <w:rtl/>
        </w:rPr>
        <w:t xml:space="preserve">تنفيذ توصية مجلس </w:t>
      </w:r>
      <w:r w:rsidR="00987BA8">
        <w:rPr>
          <w:rFonts w:hint="cs"/>
          <w:b/>
          <w:bCs/>
          <w:rtl/>
        </w:rPr>
        <w:t xml:space="preserve">حفظ النظام </w:t>
      </w:r>
      <w:r>
        <w:rPr>
          <w:b/>
          <w:bCs/>
          <w:rtl/>
        </w:rPr>
        <w:t>المقدمة إلى دائرة الشرطة ف</w:t>
      </w:r>
      <w:r w:rsidR="0072464A">
        <w:rPr>
          <w:b/>
          <w:bCs/>
          <w:rtl/>
        </w:rPr>
        <w:t>ي أيرلندا الشمالية، بأن تدرج في</w:t>
      </w:r>
      <w:r>
        <w:rPr>
          <w:b/>
          <w:bCs/>
          <w:rtl/>
        </w:rPr>
        <w:t xml:space="preserve"> استمارة التسجيل لدى دائرة شرطة أيرلندا الشمالية الخلفية المجتمعية للأشخاص الذين يتم توقيفهم وتفتيشهم بموجب قانون القضاء والأمن (أيرلندا الشمالية)، لعام 2007؛</w:t>
      </w:r>
    </w:p>
    <w:p w:rsidR="00991554" w:rsidRPr="00207FA3" w:rsidRDefault="00207FA3" w:rsidP="00466F4A">
      <w:pPr>
        <w:pStyle w:val="SingleTxt"/>
        <w:spacing w:line="396" w:lineRule="exact"/>
        <w:rPr>
          <w:b/>
          <w:bCs/>
          <w:spacing w:val="-2"/>
        </w:rPr>
      </w:pPr>
      <w:r>
        <w:rPr>
          <w:rFonts w:hint="cs"/>
          <w:b/>
          <w:bCs/>
          <w:rtl/>
        </w:rPr>
        <w:tab/>
      </w:r>
      <w:r w:rsidR="00991554" w:rsidRPr="00207FA3">
        <w:rPr>
          <w:b/>
          <w:bCs/>
          <w:spacing w:val="-2"/>
          <w:rtl/>
        </w:rPr>
        <w:t>(ج)</w:t>
      </w:r>
      <w:r w:rsidR="00991554" w:rsidRPr="00207FA3">
        <w:rPr>
          <w:b/>
          <w:bCs/>
          <w:spacing w:val="-2"/>
          <w:rtl/>
        </w:rPr>
        <w:tab/>
      </w:r>
      <w:r w:rsidR="00987BA8" w:rsidRPr="00207FA3">
        <w:rPr>
          <w:rFonts w:hint="cs"/>
          <w:b/>
          <w:bCs/>
          <w:spacing w:val="-2"/>
          <w:rtl/>
        </w:rPr>
        <w:t xml:space="preserve">تضمن </w:t>
      </w:r>
      <w:r w:rsidR="00991554" w:rsidRPr="00207FA3">
        <w:rPr>
          <w:b/>
          <w:bCs/>
          <w:spacing w:val="-2"/>
          <w:rtl/>
        </w:rPr>
        <w:t>إخضاع أية صلاحية للإيقاف والتفتيش في ال</w:t>
      </w:r>
      <w:r w:rsidR="00466F4A" w:rsidRPr="00207FA3">
        <w:rPr>
          <w:b/>
          <w:bCs/>
          <w:spacing w:val="-2"/>
          <w:rtl/>
        </w:rPr>
        <w:t>مملكة المتحدة للتدقيق والمراقبة</w:t>
      </w:r>
      <w:r w:rsidR="00991554" w:rsidRPr="00207FA3">
        <w:rPr>
          <w:b/>
          <w:bCs/>
          <w:spacing w:val="-2"/>
          <w:rtl/>
        </w:rPr>
        <w:t xml:space="preserve"> الشديدين والمستقلين بهدف ضمان عدم ممارسة مثل هذه الصلاحيات بصورة تعسفية أو تمييزية، وامتثالها بالكامل لالتزامات الدولة الطرف بموجب المواد 2 و9 و12 و17 و26 من العهد.</w:t>
      </w:r>
    </w:p>
    <w:p w:rsidR="00987BA8" w:rsidRPr="00987BA8" w:rsidRDefault="00987BA8" w:rsidP="00987BA8">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991554" w:rsidRDefault="00991554" w:rsidP="00987BA8">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tl/>
        </w:rPr>
        <w:tab/>
      </w:r>
      <w:r>
        <w:rPr>
          <w:rtl/>
        </w:rPr>
        <w:tab/>
        <w:t>عدم التمييز والمساواة بين الجنسين</w:t>
      </w:r>
    </w:p>
    <w:p w:rsidR="00991554" w:rsidRPr="00207FA3" w:rsidRDefault="00991554" w:rsidP="00466F4A">
      <w:pPr>
        <w:pStyle w:val="SingleTxt"/>
        <w:rPr>
          <w:spacing w:val="-4"/>
          <w:w w:val="100"/>
          <w:kern w:val="0"/>
          <w:rtl/>
        </w:rPr>
      </w:pPr>
      <w:r w:rsidRPr="00207FA3">
        <w:rPr>
          <w:spacing w:val="-4"/>
          <w:w w:val="100"/>
          <w:kern w:val="0"/>
          <w:rtl/>
        </w:rPr>
        <w:t>12-</w:t>
      </w:r>
      <w:r w:rsidRPr="00207FA3">
        <w:rPr>
          <w:spacing w:val="-4"/>
          <w:w w:val="100"/>
          <w:kern w:val="0"/>
          <w:rtl/>
        </w:rPr>
        <w:tab/>
        <w:t>فيما تحيط اللجنة علماً بالخطوات التي اتخذتها الدولة الطرف لزيادة تمثيل المرأة في الخدمة المدنية وفي الجهاز القضائي، يساورها القلق إزاء انخفاض نسبة النساء في الخدمة المدنية، ولا سيما في أيرلندا الشمالية، وفي الجهاز القضائي، ح</w:t>
      </w:r>
      <w:r w:rsidR="00987BA8" w:rsidRPr="00207FA3">
        <w:rPr>
          <w:spacing w:val="-4"/>
          <w:w w:val="100"/>
          <w:kern w:val="0"/>
          <w:rtl/>
        </w:rPr>
        <w:t>يث تتركز النساء في المحاكم الأ</w:t>
      </w:r>
      <w:r w:rsidR="00987BA8" w:rsidRPr="00207FA3">
        <w:rPr>
          <w:rFonts w:hint="cs"/>
          <w:spacing w:val="-4"/>
          <w:w w:val="100"/>
          <w:kern w:val="0"/>
          <w:rtl/>
        </w:rPr>
        <w:t>دنى</w:t>
      </w:r>
      <w:r w:rsidRPr="00207FA3">
        <w:rPr>
          <w:spacing w:val="-4"/>
          <w:w w:val="100"/>
          <w:kern w:val="0"/>
          <w:rtl/>
        </w:rPr>
        <w:t xml:space="preserve"> درجة (المواد 2 و3 و26).</w:t>
      </w:r>
    </w:p>
    <w:p w:rsidR="00991554" w:rsidRPr="00207FA3" w:rsidRDefault="00991554" w:rsidP="00466F4A">
      <w:pPr>
        <w:pStyle w:val="SingleTxt"/>
        <w:rPr>
          <w:b/>
          <w:bCs/>
          <w:spacing w:val="-2"/>
          <w:rtl/>
        </w:rPr>
      </w:pPr>
      <w:r>
        <w:rPr>
          <w:b/>
          <w:bCs/>
          <w:rtl/>
        </w:rPr>
        <w:tab/>
        <w:t>ينبغي للدولة الطرف أن تضاعف جهودها لتحقيق التمثيل العادل للنساء في الخدمة المدنية وفي الجهاز القضائي ضمن أطر زمنية محددة، بما في ذلك من خلال النظر في تدابير خاصة مؤقتة، لتنفيذ أحكام العهد. وينبغي لها</w:t>
      </w:r>
      <w:r w:rsidR="00987BA8">
        <w:rPr>
          <w:b/>
          <w:bCs/>
          <w:rtl/>
        </w:rPr>
        <w:t xml:space="preserve">، أن تنظر في جملة أمور </w:t>
      </w:r>
      <w:r w:rsidR="00987BA8">
        <w:rPr>
          <w:rFonts w:hint="cs"/>
          <w:b/>
          <w:bCs/>
          <w:rtl/>
        </w:rPr>
        <w:t>منها التعجيل ب</w:t>
      </w:r>
      <w:r>
        <w:rPr>
          <w:b/>
          <w:bCs/>
          <w:rtl/>
        </w:rPr>
        <w:t xml:space="preserve">تنفيذ جميع التوصيات </w:t>
      </w:r>
      <w:r w:rsidR="00987BA8">
        <w:rPr>
          <w:rFonts w:hint="cs"/>
          <w:b/>
          <w:bCs/>
          <w:rtl/>
        </w:rPr>
        <w:t xml:space="preserve">التي قدمها </w:t>
      </w:r>
      <w:r>
        <w:rPr>
          <w:b/>
          <w:bCs/>
          <w:rtl/>
        </w:rPr>
        <w:t xml:space="preserve">الفريق الاستشاري بشأن التنوع القضائي، فيما يتعلق </w:t>
      </w:r>
      <w:r w:rsidR="00207FA3" w:rsidRPr="00207FA3">
        <w:rPr>
          <w:rFonts w:hint="cs"/>
          <w:b/>
          <w:bCs/>
          <w:spacing w:val="-2"/>
          <w:rtl/>
        </w:rPr>
        <w:t>ب</w:t>
      </w:r>
      <w:r w:rsidRPr="00207FA3">
        <w:rPr>
          <w:b/>
          <w:bCs/>
          <w:spacing w:val="-2"/>
          <w:rtl/>
        </w:rPr>
        <w:t xml:space="preserve">إنكلترا وويلز، وأن تكفل </w:t>
      </w:r>
      <w:r w:rsidR="00987BA8" w:rsidRPr="00207FA3">
        <w:rPr>
          <w:rFonts w:hint="cs"/>
          <w:b/>
          <w:bCs/>
          <w:spacing w:val="-2"/>
          <w:rtl/>
        </w:rPr>
        <w:t xml:space="preserve">تحديد </w:t>
      </w:r>
      <w:r w:rsidRPr="00207FA3">
        <w:rPr>
          <w:b/>
          <w:bCs/>
          <w:spacing w:val="-2"/>
          <w:rtl/>
        </w:rPr>
        <w:t>جميع الاستراتيجيات والسياسات القائمة والمقبلة المتعلقة بالمساواة بين الجنسين، بما في ذلك استراتيجية المساواة</w:t>
      </w:r>
      <w:r w:rsidR="00987BA8" w:rsidRPr="00207FA3">
        <w:rPr>
          <w:b/>
          <w:bCs/>
          <w:spacing w:val="-2"/>
          <w:rtl/>
        </w:rPr>
        <w:t xml:space="preserve"> بين الجنسين لأيرلندا الشمالية، </w:t>
      </w:r>
      <w:r w:rsidR="00987BA8" w:rsidRPr="00207FA3">
        <w:rPr>
          <w:rFonts w:hint="cs"/>
          <w:b/>
          <w:bCs/>
          <w:spacing w:val="-2"/>
          <w:rtl/>
        </w:rPr>
        <w:t>ل</w:t>
      </w:r>
      <w:r w:rsidRPr="00207FA3">
        <w:rPr>
          <w:b/>
          <w:bCs/>
          <w:spacing w:val="-2"/>
          <w:rtl/>
        </w:rPr>
        <w:t>لعقبات التي تحول دون وصول المرأة إلى المناصب العليا في الخدمة المدنية وفي الجهاز القضائي، وأن تتصدي لها بفعالية.</w:t>
      </w:r>
    </w:p>
    <w:p w:rsidR="00987BA8" w:rsidRPr="00987BA8" w:rsidRDefault="00987BA8" w:rsidP="00987BA8">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991554" w:rsidRDefault="00991554" w:rsidP="00987BA8">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tl/>
        </w:rPr>
        <w:tab/>
      </w:r>
      <w:r>
        <w:rPr>
          <w:rtl/>
        </w:rPr>
        <w:tab/>
        <w:t>العنف ضد المرأة</w:t>
      </w:r>
    </w:p>
    <w:p w:rsidR="00991554" w:rsidRDefault="00991554" w:rsidP="00466F4A">
      <w:pPr>
        <w:pStyle w:val="SingleTxt"/>
        <w:rPr>
          <w:rtl/>
        </w:rPr>
      </w:pPr>
      <w:r>
        <w:rPr>
          <w:rtl/>
        </w:rPr>
        <w:t>13-</w:t>
      </w:r>
      <w:r>
        <w:rPr>
          <w:rtl/>
        </w:rPr>
        <w:tab/>
        <w:t xml:space="preserve">فيما ترحب اللجنة بمجموعة التدابير المتخذة للتصدي للعنف </w:t>
      </w:r>
      <w:r w:rsidR="00987BA8">
        <w:rPr>
          <w:rFonts w:hint="cs"/>
          <w:rtl/>
        </w:rPr>
        <w:t xml:space="preserve">المسلَّط على </w:t>
      </w:r>
      <w:r>
        <w:rPr>
          <w:rtl/>
        </w:rPr>
        <w:t>المرأة، يساورها القلق إزاء استمرار ورود تقارير عن العنف ضد المرأة، بما في ذلك العنف المنزلي والاغتصاب، ولا</w:t>
      </w:r>
      <w:r w:rsidR="00987BA8">
        <w:rPr>
          <w:rFonts w:hint="cs"/>
          <w:rtl/>
        </w:rPr>
        <w:t> </w:t>
      </w:r>
      <w:r>
        <w:rPr>
          <w:rtl/>
        </w:rPr>
        <w:t xml:space="preserve">سيما في المملكة المتحدة وبرمودا، التي تؤثر بصفة خاصة على النساء السود والنساء </w:t>
      </w:r>
      <w:r w:rsidR="00987BA8">
        <w:rPr>
          <w:rFonts w:hint="cs"/>
          <w:rtl/>
        </w:rPr>
        <w:t xml:space="preserve">اللائي ينتمين إلى </w:t>
      </w:r>
      <w:r w:rsidR="00987BA8">
        <w:rPr>
          <w:rtl/>
        </w:rPr>
        <w:t xml:space="preserve">أقليات </w:t>
      </w:r>
      <w:r>
        <w:rPr>
          <w:rtl/>
        </w:rPr>
        <w:t>إثنية (المواد 2 و3 و7 و26).</w:t>
      </w:r>
    </w:p>
    <w:p w:rsidR="00991554" w:rsidRDefault="00991554" w:rsidP="00466F4A">
      <w:pPr>
        <w:pStyle w:val="SingleTxt"/>
        <w:rPr>
          <w:b/>
          <w:bCs/>
          <w:rtl/>
        </w:rPr>
      </w:pPr>
      <w:r>
        <w:rPr>
          <w:b/>
          <w:bCs/>
          <w:rtl/>
        </w:rPr>
        <w:tab/>
        <w:t xml:space="preserve">ينبغي للدولة الطرف أن تعزز جهودها الرامية إلى منع ومكافحة العنف ضد المرأة، بما في ذلك العنف المنزلي والاعتداء الجنسي، </w:t>
      </w:r>
      <w:r w:rsidR="00987BA8">
        <w:rPr>
          <w:rFonts w:hint="cs"/>
          <w:b/>
          <w:bCs/>
          <w:rtl/>
        </w:rPr>
        <w:t xml:space="preserve">بوسائل </w:t>
      </w:r>
      <w:r>
        <w:rPr>
          <w:b/>
          <w:bCs/>
          <w:rtl/>
        </w:rPr>
        <w:t>منها:</w:t>
      </w:r>
    </w:p>
    <w:p w:rsidR="00991554" w:rsidRDefault="00991554" w:rsidP="00466F4A">
      <w:pPr>
        <w:pStyle w:val="SingleTxt"/>
        <w:rPr>
          <w:b/>
          <w:bCs/>
          <w:rtl/>
        </w:rPr>
      </w:pPr>
      <w:r>
        <w:rPr>
          <w:b/>
          <w:bCs/>
          <w:rtl/>
        </w:rPr>
        <w:tab/>
        <w:t>(أ)</w:t>
      </w:r>
      <w:r>
        <w:rPr>
          <w:b/>
          <w:bCs/>
          <w:rtl/>
        </w:rPr>
        <w:tab/>
        <w:t>الأخذ، من باب الأولوية، بأوامر للحماية من العنف المنزلي في أيرلندا الشمالية، على النحو المتوخى في مشروع قانون العدل الجديد؛</w:t>
      </w:r>
    </w:p>
    <w:p w:rsidR="00991554" w:rsidRDefault="00991554" w:rsidP="00466F4A">
      <w:pPr>
        <w:pStyle w:val="SingleTxt"/>
        <w:rPr>
          <w:b/>
          <w:bCs/>
          <w:rtl/>
        </w:rPr>
      </w:pPr>
      <w:r>
        <w:rPr>
          <w:b/>
          <w:bCs/>
          <w:rtl/>
        </w:rPr>
        <w:tab/>
        <w:t>(ب)</w:t>
      </w:r>
      <w:r>
        <w:rPr>
          <w:b/>
          <w:bCs/>
          <w:rtl/>
        </w:rPr>
        <w:tab/>
        <w:t xml:space="preserve">التشجيع على الإبلاغ عن حالات العنف المنزلي، </w:t>
      </w:r>
      <w:r w:rsidR="00987BA8">
        <w:rPr>
          <w:rFonts w:hint="cs"/>
          <w:b/>
          <w:bCs/>
          <w:rtl/>
        </w:rPr>
        <w:t xml:space="preserve">بوسائل </w:t>
      </w:r>
      <w:r>
        <w:rPr>
          <w:b/>
          <w:bCs/>
          <w:rtl/>
        </w:rPr>
        <w:t>منها، تعريف المرأة بحقوقها وبالوسائل القانونية القائمة التي تمكنها من تلقى الحماية؛</w:t>
      </w:r>
    </w:p>
    <w:p w:rsidR="00991554" w:rsidRDefault="00991554" w:rsidP="00466F4A">
      <w:pPr>
        <w:pStyle w:val="SingleTxt"/>
        <w:rPr>
          <w:b/>
          <w:bCs/>
          <w:rtl/>
        </w:rPr>
      </w:pPr>
      <w:r>
        <w:rPr>
          <w:b/>
          <w:bCs/>
          <w:rtl/>
        </w:rPr>
        <w:tab/>
        <w:t>(ج)</w:t>
      </w:r>
      <w:r>
        <w:rPr>
          <w:b/>
          <w:bCs/>
          <w:rtl/>
        </w:rPr>
        <w:tab/>
        <w:t>ضمان التحقيق الشامل في جميع حالات العنف المنزلي، في جميع أنحاء المملكة المتحدة والأقاليم التابعة لها، ومحاكمة الجناة ومعاقبتهم، في حال إدانتهم، بعقوبات مناسبة؛</w:t>
      </w:r>
    </w:p>
    <w:p w:rsidR="00991554" w:rsidRDefault="00991554" w:rsidP="00987BA8">
      <w:pPr>
        <w:pStyle w:val="SingleTxt"/>
        <w:rPr>
          <w:b/>
          <w:bCs/>
          <w:rtl/>
        </w:rPr>
      </w:pPr>
      <w:r>
        <w:rPr>
          <w:b/>
          <w:bCs/>
          <w:rtl/>
        </w:rPr>
        <w:tab/>
        <w:t>(د)</w:t>
      </w:r>
      <w:r>
        <w:rPr>
          <w:b/>
          <w:bCs/>
          <w:rtl/>
        </w:rPr>
        <w:tab/>
        <w:t xml:space="preserve">ضمان وصول الضحايا إلى سبل الانتصاف الفعالة ووسائل الحماية، بما في ذلك الحماية القوية </w:t>
      </w:r>
      <w:r w:rsidR="00987BA8">
        <w:rPr>
          <w:rFonts w:hint="cs"/>
          <w:b/>
          <w:bCs/>
          <w:rtl/>
        </w:rPr>
        <w:t xml:space="preserve">التي تمنحها </w:t>
      </w:r>
      <w:r>
        <w:rPr>
          <w:b/>
          <w:bCs/>
          <w:rtl/>
        </w:rPr>
        <w:t xml:space="preserve">الشرطة، وتوفير الملاجئ </w:t>
      </w:r>
      <w:r w:rsidR="00987BA8">
        <w:rPr>
          <w:b/>
          <w:bCs/>
          <w:rtl/>
        </w:rPr>
        <w:t>المناسبة</w:t>
      </w:r>
      <w:r w:rsidR="00987BA8">
        <w:rPr>
          <w:rFonts w:hint="cs"/>
          <w:b/>
          <w:bCs/>
          <w:rtl/>
        </w:rPr>
        <w:t xml:space="preserve"> في الحالات الطارئة</w:t>
      </w:r>
      <w:r w:rsidR="00207FA3">
        <w:rPr>
          <w:rFonts w:hint="cs"/>
          <w:b/>
          <w:bCs/>
          <w:rtl/>
        </w:rPr>
        <w:t>،</w:t>
      </w:r>
      <w:r w:rsidR="00987BA8">
        <w:rPr>
          <w:b/>
          <w:bCs/>
          <w:rtl/>
        </w:rPr>
        <w:t xml:space="preserve"> وتقديم خدمات </w:t>
      </w:r>
      <w:r>
        <w:rPr>
          <w:b/>
          <w:bCs/>
          <w:rtl/>
        </w:rPr>
        <w:t>إعادة التأهيل، والمساعدة القانونية وغيرها من خدمات الدعم.</w:t>
      </w:r>
    </w:p>
    <w:p w:rsidR="00987BA8" w:rsidRPr="00987BA8" w:rsidRDefault="00987BA8" w:rsidP="00987BA8">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991554" w:rsidRDefault="00991554" w:rsidP="00987BA8">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tl/>
        </w:rPr>
        <w:tab/>
      </w:r>
      <w:r>
        <w:rPr>
          <w:rtl/>
        </w:rPr>
        <w:tab/>
        <w:t>مكافحة الإرهاب</w:t>
      </w:r>
    </w:p>
    <w:p w:rsidR="00991554" w:rsidRPr="002E2D27" w:rsidRDefault="00991554" w:rsidP="002E2D27">
      <w:pPr>
        <w:pStyle w:val="SingleTxt"/>
        <w:rPr>
          <w:spacing w:val="-2"/>
          <w:rtl/>
        </w:rPr>
      </w:pPr>
      <w:r w:rsidRPr="002E2D27">
        <w:rPr>
          <w:spacing w:val="-2"/>
          <w:rtl/>
        </w:rPr>
        <w:t>14-</w:t>
      </w:r>
      <w:r w:rsidRPr="002E2D27">
        <w:rPr>
          <w:spacing w:val="-2"/>
          <w:rtl/>
        </w:rPr>
        <w:tab/>
        <w:t>يساور اللجنة القلق ل</w:t>
      </w:r>
      <w:r w:rsidR="00987BA8" w:rsidRPr="002E2D27">
        <w:rPr>
          <w:rFonts w:hint="cs"/>
          <w:spacing w:val="-2"/>
          <w:rtl/>
        </w:rPr>
        <w:t xml:space="preserve">إبقاء </w:t>
      </w:r>
      <w:r w:rsidRPr="002E2D27">
        <w:rPr>
          <w:spacing w:val="-2"/>
          <w:rtl/>
        </w:rPr>
        <w:t xml:space="preserve">الدولة الطرف على تعريف الإرهاب </w:t>
      </w:r>
      <w:r w:rsidR="00987BA8" w:rsidRPr="002E2D27">
        <w:rPr>
          <w:rFonts w:hint="cs"/>
          <w:spacing w:val="-2"/>
          <w:rtl/>
        </w:rPr>
        <w:t xml:space="preserve">الفضفاض </w:t>
      </w:r>
      <w:r w:rsidRPr="002E2D27">
        <w:rPr>
          <w:spacing w:val="-2"/>
          <w:rtl/>
        </w:rPr>
        <w:t>الوارد في المادة</w:t>
      </w:r>
      <w:r w:rsidR="00987BA8" w:rsidRPr="002E2D27">
        <w:rPr>
          <w:rFonts w:hint="cs"/>
          <w:spacing w:val="-2"/>
          <w:rtl/>
        </w:rPr>
        <w:t> </w:t>
      </w:r>
      <w:r w:rsidR="00987BA8" w:rsidRPr="002E2D27">
        <w:rPr>
          <w:spacing w:val="-2"/>
          <w:rtl/>
        </w:rPr>
        <w:t xml:space="preserve">1 من قانون الإرهاب </w:t>
      </w:r>
      <w:r w:rsidR="00987BA8" w:rsidRPr="002E2D27">
        <w:rPr>
          <w:rFonts w:hint="cs"/>
          <w:spacing w:val="-2"/>
          <w:rtl/>
        </w:rPr>
        <w:t xml:space="preserve">الصادر </w:t>
      </w:r>
      <w:r w:rsidRPr="002E2D27">
        <w:rPr>
          <w:spacing w:val="-2"/>
          <w:rtl/>
        </w:rPr>
        <w:t>عام 2000 والذي يمكن أن يشمل الأفعال التي تُرتكب بدافع سياسي والتي ترمي إلى التأثير على حكومة ما أو منظمة دولية ما، على الرغم من الشواغل التي أعرب عنها</w:t>
      </w:r>
      <w:r w:rsidR="002E2D27">
        <w:rPr>
          <w:rFonts w:hint="cs"/>
          <w:spacing w:val="-2"/>
          <w:rtl/>
        </w:rPr>
        <w:t> </w:t>
      </w:r>
      <w:r w:rsidR="00987BA8" w:rsidRPr="002E2D27">
        <w:rPr>
          <w:spacing w:val="-2"/>
          <w:rtl/>
        </w:rPr>
        <w:t>المراجع</w:t>
      </w:r>
      <w:r w:rsidR="00987BA8" w:rsidRPr="002E2D27">
        <w:rPr>
          <w:rFonts w:hint="cs"/>
          <w:spacing w:val="-2"/>
          <w:rtl/>
        </w:rPr>
        <w:t>و</w:t>
      </w:r>
      <w:r w:rsidR="00987BA8" w:rsidRPr="002E2D27">
        <w:rPr>
          <w:spacing w:val="-2"/>
          <w:rtl/>
        </w:rPr>
        <w:t>ن المستقل</w:t>
      </w:r>
      <w:r w:rsidR="00987BA8" w:rsidRPr="002E2D27">
        <w:rPr>
          <w:rFonts w:hint="cs"/>
          <w:spacing w:val="-2"/>
          <w:rtl/>
        </w:rPr>
        <w:t>و</w:t>
      </w:r>
      <w:r w:rsidRPr="002E2D27">
        <w:rPr>
          <w:spacing w:val="-2"/>
          <w:rtl/>
        </w:rPr>
        <w:t xml:space="preserve">ن لتشريع مكافحة الإرهاب </w:t>
      </w:r>
      <w:r w:rsidR="00987BA8" w:rsidRPr="002E2D27">
        <w:rPr>
          <w:rFonts w:hint="cs"/>
          <w:spacing w:val="-2"/>
          <w:rtl/>
        </w:rPr>
        <w:t>و</w:t>
      </w:r>
      <w:r w:rsidRPr="002E2D27">
        <w:rPr>
          <w:spacing w:val="-2"/>
          <w:rtl/>
        </w:rPr>
        <w:t xml:space="preserve">التي أيدتها بالإجماع المحكمة العليا في قضية </w:t>
      </w:r>
      <w:r w:rsidRPr="002E2D27">
        <w:rPr>
          <w:i/>
          <w:iCs/>
          <w:spacing w:val="-2"/>
          <w:rtl/>
        </w:rPr>
        <w:t>ر.</w:t>
      </w:r>
      <w:r w:rsidR="002E2D27">
        <w:rPr>
          <w:rFonts w:hint="cs"/>
          <w:i/>
          <w:iCs/>
          <w:spacing w:val="-2"/>
          <w:rtl/>
        </w:rPr>
        <w:t> </w:t>
      </w:r>
      <w:r w:rsidRPr="002E2D27">
        <w:rPr>
          <w:i/>
          <w:iCs/>
          <w:spacing w:val="-2"/>
          <w:rtl/>
        </w:rPr>
        <w:t>ضد غول</w:t>
      </w:r>
      <w:r w:rsidRPr="002E2D27">
        <w:rPr>
          <w:spacing w:val="-2"/>
          <w:rtl/>
        </w:rPr>
        <w:t xml:space="preserve"> (2013) والتي تفيد بأن التعريف هو تعريف</w:t>
      </w:r>
      <w:r w:rsidR="00E70F11" w:rsidRPr="002E2D27">
        <w:rPr>
          <w:spacing w:val="-2"/>
          <w:rtl/>
        </w:rPr>
        <w:t xml:space="preserve"> </w:t>
      </w:r>
      <w:r w:rsidRPr="002E2D27">
        <w:rPr>
          <w:spacing w:val="-2"/>
          <w:rtl/>
        </w:rPr>
        <w:t xml:space="preserve">"يقيد دون مبرر التعبير السياسي". وعلى الرغم من أن اللجنة </w:t>
      </w:r>
      <w:r w:rsidR="00987BA8" w:rsidRPr="002E2D27">
        <w:rPr>
          <w:rFonts w:hint="cs"/>
          <w:spacing w:val="-2"/>
          <w:rtl/>
        </w:rPr>
        <w:t xml:space="preserve">تحيط </w:t>
      </w:r>
      <w:r w:rsidRPr="002E2D27">
        <w:rPr>
          <w:spacing w:val="-2"/>
          <w:rtl/>
        </w:rPr>
        <w:t xml:space="preserve">علماً بحاجة الدولة الطرف </w:t>
      </w:r>
      <w:r w:rsidR="00987BA8" w:rsidRPr="002E2D27">
        <w:rPr>
          <w:rFonts w:hint="cs"/>
          <w:spacing w:val="-2"/>
          <w:rtl/>
        </w:rPr>
        <w:t xml:space="preserve">إلى </w:t>
      </w:r>
      <w:r w:rsidRPr="002E2D27">
        <w:rPr>
          <w:spacing w:val="-2"/>
          <w:rtl/>
        </w:rPr>
        <w:t xml:space="preserve">اعتماد تدابير لمكافحة أفعال الإرهاب، بما في ذلك صياغة تشريع مناسب يمنع مثل هذه الأفعال، </w:t>
      </w:r>
      <w:r w:rsidR="00987BA8" w:rsidRPr="002E2D27">
        <w:rPr>
          <w:rFonts w:hint="cs"/>
          <w:spacing w:val="-2"/>
          <w:rtl/>
        </w:rPr>
        <w:t>فإنها تشعر ب</w:t>
      </w:r>
      <w:r w:rsidRPr="002E2D27">
        <w:rPr>
          <w:spacing w:val="-2"/>
          <w:rtl/>
        </w:rPr>
        <w:t>القلق ل</w:t>
      </w:r>
      <w:r w:rsidR="00987BA8" w:rsidRPr="002E2D27">
        <w:rPr>
          <w:spacing w:val="-2"/>
          <w:rtl/>
        </w:rPr>
        <w:t xml:space="preserve">أن قانون مكافحة الإرهاب والأمن </w:t>
      </w:r>
      <w:r w:rsidR="00987BA8" w:rsidRPr="002E2D27">
        <w:rPr>
          <w:rFonts w:hint="cs"/>
          <w:spacing w:val="-2"/>
          <w:rtl/>
        </w:rPr>
        <w:t xml:space="preserve">الصادر </w:t>
      </w:r>
      <w:r w:rsidRPr="002E2D27">
        <w:rPr>
          <w:spacing w:val="-2"/>
          <w:rtl/>
        </w:rPr>
        <w:t xml:space="preserve">عام 2015(أ) ينص على صلاحيات واسعة النطاق ترمي إلى تعزيز الأمن العام دون النص على ضمانات كافية حسب المزاعم؛ (ب) يوسع بصورة أكبر صلاحيات ضباط الشرطة لمصادرة وثائق السفر في حال وجود </w:t>
      </w:r>
      <w:r w:rsidR="00987BA8" w:rsidRPr="002E2D27">
        <w:rPr>
          <w:rFonts w:hint="cs"/>
          <w:spacing w:val="-2"/>
          <w:rtl/>
        </w:rPr>
        <w:t xml:space="preserve">أسباب </w:t>
      </w:r>
      <w:r w:rsidR="00987BA8" w:rsidRPr="002E2D27">
        <w:rPr>
          <w:spacing w:val="-2"/>
          <w:rtl/>
        </w:rPr>
        <w:t xml:space="preserve">معقولة للاشتباه </w:t>
      </w:r>
      <w:r w:rsidR="00987BA8" w:rsidRPr="002E2D27">
        <w:rPr>
          <w:rFonts w:hint="cs"/>
          <w:spacing w:val="-2"/>
          <w:rtl/>
        </w:rPr>
        <w:t xml:space="preserve">في </w:t>
      </w:r>
      <w:r w:rsidRPr="002E2D27">
        <w:rPr>
          <w:spacing w:val="-2"/>
          <w:rtl/>
        </w:rPr>
        <w:t>أن الشخص ينوي السفر إلى الخارج للمشاركة في أنشطة إرهابية</w:t>
      </w:r>
      <w:r w:rsidR="00987BA8" w:rsidRPr="002E2D27">
        <w:rPr>
          <w:rFonts w:hint="cs"/>
          <w:spacing w:val="-2"/>
          <w:rtl/>
        </w:rPr>
        <w:t xml:space="preserve"> والاحتفاظ بتلك الوثائق</w:t>
      </w:r>
      <w:r w:rsidRPr="002E2D27">
        <w:rPr>
          <w:spacing w:val="-2"/>
          <w:rtl/>
        </w:rPr>
        <w:t>؛ (ج)</w:t>
      </w:r>
      <w:r w:rsidR="00987BA8" w:rsidRPr="002E2D27">
        <w:rPr>
          <w:rFonts w:hint="cs"/>
          <w:spacing w:val="-2"/>
          <w:rtl/>
        </w:rPr>
        <w:t> </w:t>
      </w:r>
      <w:r w:rsidRPr="002E2D27">
        <w:rPr>
          <w:spacing w:val="-2"/>
          <w:rtl/>
        </w:rPr>
        <w:t xml:space="preserve">يوسع نطاق الإجراءات التي يمكن اتخاذها بموجب تدابير منع الإرهاب والتحقيق، بما في ذلك الإيداع القسري للمشتبه </w:t>
      </w:r>
      <w:r w:rsidR="00987BA8" w:rsidRPr="002E2D27">
        <w:rPr>
          <w:rFonts w:hint="cs"/>
          <w:spacing w:val="-2"/>
          <w:rtl/>
        </w:rPr>
        <w:t xml:space="preserve">في كونهم إرهابيين </w:t>
      </w:r>
      <w:r w:rsidRPr="002E2D27">
        <w:rPr>
          <w:spacing w:val="-2"/>
          <w:rtl/>
        </w:rPr>
        <w:t>في أماكن تبعد مسافة</w:t>
      </w:r>
      <w:r w:rsidR="00E70F11" w:rsidRPr="002E2D27">
        <w:rPr>
          <w:spacing w:val="-2"/>
          <w:rtl/>
        </w:rPr>
        <w:t xml:space="preserve"> </w:t>
      </w:r>
      <w:r w:rsidRPr="002E2D27">
        <w:rPr>
          <w:spacing w:val="-2"/>
          <w:rtl/>
        </w:rPr>
        <w:t xml:space="preserve">لا تتجاوز 200 ميل عن محل إقامتهم. ويساور اللجنة القلق أيضاً لأن قانون حماية الحريات لعام 2012 </w:t>
      </w:r>
      <w:r w:rsidR="00987BA8" w:rsidRPr="002E2D27">
        <w:rPr>
          <w:rFonts w:hint="cs"/>
          <w:spacing w:val="-2"/>
          <w:rtl/>
        </w:rPr>
        <w:t xml:space="preserve">يبقي على المادة </w:t>
      </w:r>
      <w:r w:rsidRPr="002E2D27">
        <w:rPr>
          <w:spacing w:val="-2"/>
          <w:rtl/>
        </w:rPr>
        <w:t xml:space="preserve">التي تنص على الاحتجاز </w:t>
      </w:r>
      <w:r w:rsidR="00987BA8" w:rsidRPr="002E2D27">
        <w:rPr>
          <w:rFonts w:hint="cs"/>
          <w:spacing w:val="-2"/>
          <w:rtl/>
        </w:rPr>
        <w:t xml:space="preserve">في الفترة السابقة لتوجيه الاتهام </w:t>
      </w:r>
      <w:r w:rsidRPr="002E2D27">
        <w:rPr>
          <w:spacing w:val="-2"/>
          <w:rtl/>
        </w:rPr>
        <w:t>لمدة لا تتجاوز 14 يوماً في حالات الإرهاب وتسمح أيضا</w:t>
      </w:r>
      <w:r w:rsidR="00987BA8" w:rsidRPr="002E2D27">
        <w:rPr>
          <w:spacing w:val="-2"/>
          <w:rtl/>
        </w:rPr>
        <w:t>ً بتمديدها حتى 28 يوماً</w:t>
      </w:r>
      <w:r w:rsidR="002E2D27">
        <w:rPr>
          <w:rFonts w:hint="cs"/>
          <w:spacing w:val="-2"/>
          <w:rtl/>
        </w:rPr>
        <w:t> </w:t>
      </w:r>
      <w:r w:rsidR="00987BA8" w:rsidRPr="002E2D27">
        <w:rPr>
          <w:spacing w:val="-2"/>
          <w:rtl/>
        </w:rPr>
        <w:t>استجابة</w:t>
      </w:r>
      <w:r w:rsidR="00987BA8" w:rsidRPr="002E2D27">
        <w:rPr>
          <w:rFonts w:hint="cs"/>
          <w:spacing w:val="-2"/>
          <w:rtl/>
        </w:rPr>
        <w:t xml:space="preserve"> "لحالات الطوارئ"</w:t>
      </w:r>
      <w:r w:rsidRPr="002E2D27">
        <w:rPr>
          <w:spacing w:val="-2"/>
          <w:rtl/>
        </w:rPr>
        <w:t xml:space="preserve">. وفضلاً عن ذلك، يساور اللجنة القلق لاحتمال سوء استخدام </w:t>
      </w:r>
      <w:r w:rsidR="00987BA8" w:rsidRPr="002E2D27">
        <w:rPr>
          <w:rFonts w:hint="cs"/>
          <w:spacing w:val="-2"/>
          <w:rtl/>
        </w:rPr>
        <w:t>ال</w:t>
      </w:r>
      <w:r w:rsidRPr="002E2D27">
        <w:rPr>
          <w:spacing w:val="-2"/>
          <w:rtl/>
        </w:rPr>
        <w:t xml:space="preserve">صلاحيات </w:t>
      </w:r>
      <w:r w:rsidR="00987BA8" w:rsidRPr="002E2D27">
        <w:rPr>
          <w:rFonts w:hint="cs"/>
          <w:spacing w:val="-2"/>
          <w:rtl/>
        </w:rPr>
        <w:t xml:space="preserve">المتعلقة بإلقاء القبض </w:t>
      </w:r>
      <w:r w:rsidRPr="002E2D27">
        <w:rPr>
          <w:spacing w:val="-2"/>
          <w:rtl/>
        </w:rPr>
        <w:t xml:space="preserve">بموجب المادة 41 من قانون الإرهاب لعام 2000 (إلقاء القبض دون أمر على شخص يشتبه فيه إلى حدٍ معقول بكونه </w:t>
      </w:r>
      <w:r w:rsidR="00987BA8" w:rsidRPr="002E2D27">
        <w:rPr>
          <w:rFonts w:hint="cs"/>
          <w:spacing w:val="-2"/>
          <w:rtl/>
        </w:rPr>
        <w:t>إرهابياً</w:t>
      </w:r>
      <w:r w:rsidRPr="002E2D27">
        <w:rPr>
          <w:spacing w:val="-2"/>
          <w:rtl/>
        </w:rPr>
        <w:t>)، في ضوء المعدل المنخفض لتوجيه إدانات إلى الأشخاص المحتجزين بموجب المادة 41. ويساور اللجنة القلق أيضاً إزاء الحرمان التام من الإفراج بكفالة للأشخاص الذين يتم احتجازهم بموجب المادة 41 من قانون الإرهاب لعام 2000 (المواد 2 و9 و10 و12 و17 و19 و26).</w:t>
      </w:r>
    </w:p>
    <w:p w:rsidR="00991554" w:rsidRDefault="00991554" w:rsidP="00207FA3">
      <w:pPr>
        <w:pStyle w:val="SingleTxt"/>
        <w:rPr>
          <w:b/>
          <w:bCs/>
          <w:rtl/>
        </w:rPr>
      </w:pPr>
      <w:r>
        <w:rPr>
          <w:b/>
          <w:bCs/>
          <w:rtl/>
        </w:rPr>
        <w:tab/>
        <w:t xml:space="preserve">ينبغي للدولة الطرف أن تراجع </w:t>
      </w:r>
      <w:r w:rsidR="00466F4A">
        <w:rPr>
          <w:rFonts w:hint="cs"/>
          <w:b/>
          <w:bCs/>
          <w:rtl/>
        </w:rPr>
        <w:t xml:space="preserve">قانونها </w:t>
      </w:r>
      <w:r>
        <w:rPr>
          <w:b/>
          <w:bCs/>
          <w:rtl/>
        </w:rPr>
        <w:t xml:space="preserve">الحالي المتعلق بمكافحة الإرهاب </w:t>
      </w:r>
      <w:r w:rsidR="00207FA3">
        <w:rPr>
          <w:rFonts w:hint="cs"/>
          <w:b/>
          <w:bCs/>
          <w:rtl/>
        </w:rPr>
        <w:t>حتى</w:t>
      </w:r>
      <w:r>
        <w:rPr>
          <w:b/>
          <w:bCs/>
          <w:rtl/>
        </w:rPr>
        <w:t xml:space="preserve"> يتمشى مع التزاماتها بموجب العهد. وينبغي لها أن تقوم بأمور منها:</w:t>
      </w:r>
    </w:p>
    <w:p w:rsidR="00991554" w:rsidRPr="00EC1CBF" w:rsidRDefault="00991554" w:rsidP="00466F4A">
      <w:pPr>
        <w:pStyle w:val="SingleTxt"/>
        <w:rPr>
          <w:b/>
          <w:bCs/>
          <w:spacing w:val="-2"/>
          <w:rtl/>
        </w:rPr>
      </w:pPr>
      <w:r w:rsidRPr="00EC1CBF">
        <w:rPr>
          <w:b/>
          <w:bCs/>
          <w:spacing w:val="-2"/>
          <w:rtl/>
        </w:rPr>
        <w:tab/>
        <w:t>(أ)</w:t>
      </w:r>
      <w:r w:rsidRPr="00EC1CBF">
        <w:rPr>
          <w:b/>
          <w:bCs/>
          <w:spacing w:val="-2"/>
          <w:rtl/>
        </w:rPr>
        <w:tab/>
        <w:t xml:space="preserve">النظر في تعديل تعريف الإرهاب </w:t>
      </w:r>
      <w:r w:rsidR="00466F4A" w:rsidRPr="00EC1CBF">
        <w:rPr>
          <w:rFonts w:hint="cs"/>
          <w:b/>
          <w:bCs/>
          <w:spacing w:val="-2"/>
          <w:rtl/>
        </w:rPr>
        <w:t xml:space="preserve">الفضفاض </w:t>
      </w:r>
      <w:r w:rsidRPr="00EC1CBF">
        <w:rPr>
          <w:b/>
          <w:bCs/>
          <w:spacing w:val="-2"/>
          <w:rtl/>
        </w:rPr>
        <w:t>لينص على شرط وجود نية لإكراه أو إجبار أو تخويف حكومة ما أو دائرة حكومية، وتنفيذ توصيات المراجعين المستقلين للتشريع</w:t>
      </w:r>
      <w:r w:rsidR="00466F4A" w:rsidRPr="00EC1CBF">
        <w:rPr>
          <w:rFonts w:hint="cs"/>
          <w:b/>
          <w:bCs/>
          <w:spacing w:val="-2"/>
          <w:rtl/>
        </w:rPr>
        <w:t>ات</w:t>
      </w:r>
      <w:r w:rsidRPr="00EC1CBF">
        <w:rPr>
          <w:b/>
          <w:bCs/>
          <w:spacing w:val="-2"/>
          <w:rtl/>
        </w:rPr>
        <w:t xml:space="preserve"> المتعلق</w:t>
      </w:r>
      <w:r w:rsidR="00466F4A" w:rsidRPr="00EC1CBF">
        <w:rPr>
          <w:rFonts w:hint="cs"/>
          <w:b/>
          <w:bCs/>
          <w:spacing w:val="-2"/>
          <w:rtl/>
        </w:rPr>
        <w:t>ة</w:t>
      </w:r>
      <w:r w:rsidRPr="00EC1CBF">
        <w:rPr>
          <w:b/>
          <w:bCs/>
          <w:spacing w:val="-2"/>
          <w:rtl/>
        </w:rPr>
        <w:t xml:space="preserve"> بالإرهاب؛</w:t>
      </w:r>
    </w:p>
    <w:p w:rsidR="00991554" w:rsidRDefault="00991554" w:rsidP="00991554">
      <w:pPr>
        <w:pStyle w:val="SingleTxt"/>
        <w:rPr>
          <w:b/>
          <w:bCs/>
          <w:rtl/>
        </w:rPr>
      </w:pPr>
      <w:r>
        <w:rPr>
          <w:b/>
          <w:bCs/>
          <w:rtl/>
        </w:rPr>
        <w:tab/>
        <w:t>(ب)</w:t>
      </w:r>
      <w:r>
        <w:rPr>
          <w:b/>
          <w:bCs/>
          <w:rtl/>
        </w:rPr>
        <w:tab/>
        <w:t>مواصلة إنشاء مجلس الخصوصية والحريات المدنية، كآلية للمراقبة؛</w:t>
      </w:r>
    </w:p>
    <w:p w:rsidR="00991554" w:rsidRDefault="00991554" w:rsidP="00EC1CBF">
      <w:pPr>
        <w:pStyle w:val="SingleTxt"/>
        <w:spacing w:line="394" w:lineRule="exact"/>
        <w:rPr>
          <w:b/>
          <w:bCs/>
          <w:rtl/>
        </w:rPr>
      </w:pPr>
      <w:r>
        <w:rPr>
          <w:b/>
          <w:bCs/>
          <w:rtl/>
        </w:rPr>
        <w:tab/>
        <w:t>(ج)</w:t>
      </w:r>
      <w:r>
        <w:rPr>
          <w:b/>
          <w:bCs/>
          <w:rtl/>
        </w:rPr>
        <w:tab/>
        <w:t xml:space="preserve">النظر في </w:t>
      </w:r>
      <w:r w:rsidR="00466F4A">
        <w:rPr>
          <w:rFonts w:hint="cs"/>
          <w:b/>
          <w:bCs/>
          <w:rtl/>
        </w:rPr>
        <w:t xml:space="preserve">تقليص </w:t>
      </w:r>
      <w:r>
        <w:rPr>
          <w:b/>
          <w:bCs/>
          <w:rtl/>
        </w:rPr>
        <w:t>الحد الأقصى لفترة الاحتجاز قبل توجيه التهمة في حالات الإرهاب؛</w:t>
      </w:r>
    </w:p>
    <w:p w:rsidR="00EC1CBF" w:rsidRPr="00940A24" w:rsidRDefault="00991554" w:rsidP="00EC1CBF">
      <w:pPr>
        <w:pStyle w:val="SingleTxt"/>
        <w:spacing w:line="394" w:lineRule="exact"/>
        <w:rPr>
          <w:b/>
          <w:bCs/>
          <w:rtl/>
        </w:rPr>
      </w:pPr>
      <w:r>
        <w:rPr>
          <w:b/>
          <w:bCs/>
          <w:rtl/>
        </w:rPr>
        <w:lastRenderedPageBreak/>
        <w:tab/>
        <w:t>(د)</w:t>
      </w:r>
      <w:r>
        <w:rPr>
          <w:b/>
          <w:bCs/>
          <w:rtl/>
        </w:rPr>
        <w:tab/>
        <w:t xml:space="preserve">مراجعة ممارسة صلاحيات التوقيف بموجب المادة 41 من قانون الإرهاب لعام 2000 لضمان </w:t>
      </w:r>
      <w:r w:rsidR="00466F4A">
        <w:rPr>
          <w:rFonts w:hint="cs"/>
          <w:b/>
          <w:bCs/>
          <w:rtl/>
        </w:rPr>
        <w:t xml:space="preserve">احترام </w:t>
      </w:r>
      <w:r>
        <w:rPr>
          <w:b/>
          <w:bCs/>
          <w:rtl/>
        </w:rPr>
        <w:t>مبادئ الضرورة والتناسب بصورة دقيقة عند</w:t>
      </w:r>
      <w:r w:rsidR="00466F4A">
        <w:rPr>
          <w:rFonts w:hint="cs"/>
          <w:b/>
          <w:bCs/>
          <w:rtl/>
        </w:rPr>
        <w:t xml:space="preserve"> </w:t>
      </w:r>
      <w:r w:rsidR="00EC1CBF" w:rsidRPr="00940A24">
        <w:rPr>
          <w:b/>
          <w:bCs/>
          <w:rtl/>
        </w:rPr>
        <w:t xml:space="preserve">استخدام </w:t>
      </w:r>
      <w:r w:rsidR="00EC1CBF" w:rsidRPr="00940A24">
        <w:rPr>
          <w:rFonts w:hint="cs"/>
          <w:b/>
          <w:bCs/>
          <w:rtl/>
        </w:rPr>
        <w:t xml:space="preserve">مثل </w:t>
      </w:r>
      <w:r w:rsidR="00EC1CBF" w:rsidRPr="00940A24">
        <w:rPr>
          <w:b/>
          <w:bCs/>
          <w:rtl/>
        </w:rPr>
        <w:t>هذه الصلاحيات</w:t>
      </w:r>
      <w:r w:rsidR="00EC1CBF" w:rsidRPr="00940A24">
        <w:rPr>
          <w:rFonts w:hint="cs"/>
          <w:b/>
          <w:bCs/>
          <w:rtl/>
        </w:rPr>
        <w:t>؛</w:t>
      </w:r>
      <w:r w:rsidR="00EC1CBF" w:rsidRPr="00940A24">
        <w:rPr>
          <w:b/>
          <w:bCs/>
          <w:rtl/>
        </w:rPr>
        <w:t xml:space="preserve"> </w:t>
      </w:r>
      <w:r w:rsidR="00EC1CBF" w:rsidRPr="00940A24">
        <w:rPr>
          <w:rFonts w:hint="cs"/>
          <w:b/>
          <w:bCs/>
          <w:rtl/>
        </w:rPr>
        <w:t xml:space="preserve">وضمان </w:t>
      </w:r>
      <w:r w:rsidR="00EC1CBF">
        <w:rPr>
          <w:rFonts w:hint="cs"/>
          <w:b/>
          <w:bCs/>
          <w:rtl/>
        </w:rPr>
        <w:t xml:space="preserve">استناد </w:t>
      </w:r>
      <w:r w:rsidR="00EC1CBF" w:rsidRPr="00940A24">
        <w:rPr>
          <w:rFonts w:hint="cs"/>
          <w:b/>
          <w:bCs/>
          <w:rtl/>
        </w:rPr>
        <w:t xml:space="preserve">أي </w:t>
      </w:r>
      <w:r w:rsidR="00EC1CBF" w:rsidRPr="00940A24">
        <w:rPr>
          <w:b/>
          <w:bCs/>
          <w:rtl/>
        </w:rPr>
        <w:t xml:space="preserve">احتجاز </w:t>
      </w:r>
      <w:r w:rsidR="00EC1CBF" w:rsidRPr="00940A24">
        <w:rPr>
          <w:rFonts w:hint="cs"/>
          <w:b/>
          <w:bCs/>
          <w:rtl/>
        </w:rPr>
        <w:t xml:space="preserve">لأشخاص </w:t>
      </w:r>
      <w:r w:rsidR="00EC1CBF" w:rsidRPr="00940A24">
        <w:rPr>
          <w:b/>
          <w:bCs/>
          <w:rtl/>
        </w:rPr>
        <w:t xml:space="preserve">مشتبه </w:t>
      </w:r>
      <w:r w:rsidR="00EC1CBF">
        <w:rPr>
          <w:rFonts w:hint="cs"/>
          <w:b/>
          <w:bCs/>
          <w:rtl/>
        </w:rPr>
        <w:t xml:space="preserve">فيهم </w:t>
      </w:r>
      <w:r w:rsidR="00EC1CBF" w:rsidRPr="00940A24">
        <w:rPr>
          <w:b/>
          <w:bCs/>
          <w:rtl/>
        </w:rPr>
        <w:t>بموجب قانون الإرهاب لعام 2000</w:t>
      </w:r>
      <w:r w:rsidR="00EC1CBF" w:rsidRPr="00940A24">
        <w:rPr>
          <w:rFonts w:hint="cs"/>
          <w:b/>
          <w:bCs/>
          <w:rtl/>
        </w:rPr>
        <w:t xml:space="preserve">، </w:t>
      </w:r>
      <w:r w:rsidR="00EC1CBF">
        <w:rPr>
          <w:rFonts w:hint="cs"/>
          <w:b/>
          <w:bCs/>
          <w:rtl/>
        </w:rPr>
        <w:t>إ</w:t>
      </w:r>
      <w:r w:rsidR="00EC1CBF" w:rsidRPr="00940A24">
        <w:rPr>
          <w:rFonts w:hint="cs"/>
          <w:b/>
          <w:bCs/>
          <w:rtl/>
        </w:rPr>
        <w:t>لى أساس فردي التحديد ويكون معقولاً وضرورياً ويراعي جميع الظروف، بدلاً من الاستناد إلى طبيعة الجر</w:t>
      </w:r>
      <w:r w:rsidR="00EC1CBF">
        <w:rPr>
          <w:rFonts w:hint="cs"/>
          <w:b/>
          <w:bCs/>
          <w:rtl/>
        </w:rPr>
        <w:t>م</w:t>
      </w:r>
      <w:r w:rsidR="00EC1CBF" w:rsidRPr="00940A24">
        <w:rPr>
          <w:rFonts w:hint="cs"/>
          <w:b/>
          <w:bCs/>
          <w:rtl/>
        </w:rPr>
        <w:t xml:space="preserve">؛ وإتاحة </w:t>
      </w:r>
      <w:r w:rsidR="00EC1CBF">
        <w:rPr>
          <w:rFonts w:hint="cs"/>
          <w:b/>
          <w:bCs/>
          <w:rtl/>
        </w:rPr>
        <w:t xml:space="preserve">فرصة الاستفادة من الكفالة </w:t>
      </w:r>
      <w:r w:rsidR="00EC1CBF" w:rsidRPr="00940A24">
        <w:rPr>
          <w:rFonts w:hint="cs"/>
          <w:b/>
          <w:bCs/>
          <w:rtl/>
        </w:rPr>
        <w:t xml:space="preserve">لأولئك الأشخاص، وفي الوقت نفسه ضمان أمن الجمهور، وفقاً للتوصية التي قدمتها اللجنة </w:t>
      </w:r>
      <w:r w:rsidR="00EC1CBF" w:rsidRPr="00940A24">
        <w:rPr>
          <w:b/>
          <w:bCs/>
          <w:rtl/>
        </w:rPr>
        <w:t>المشتركة لحقوق الإنسان والمراجع</w:t>
      </w:r>
      <w:r w:rsidR="00EC1CBF" w:rsidRPr="00940A24">
        <w:rPr>
          <w:rFonts w:hint="cs"/>
          <w:b/>
          <w:bCs/>
          <w:rtl/>
        </w:rPr>
        <w:t>ين</w:t>
      </w:r>
      <w:r w:rsidR="00EC1CBF" w:rsidRPr="00940A24">
        <w:rPr>
          <w:b/>
          <w:bCs/>
          <w:rtl/>
        </w:rPr>
        <w:t xml:space="preserve"> المستقل</w:t>
      </w:r>
      <w:r w:rsidR="00EC1CBF" w:rsidRPr="00940A24">
        <w:rPr>
          <w:rFonts w:hint="cs"/>
          <w:b/>
          <w:bCs/>
          <w:rtl/>
        </w:rPr>
        <w:t>ين</w:t>
      </w:r>
      <w:r w:rsidR="00EC1CBF" w:rsidRPr="00940A24">
        <w:rPr>
          <w:b/>
          <w:bCs/>
          <w:rtl/>
        </w:rPr>
        <w:t xml:space="preserve"> </w:t>
      </w:r>
      <w:r w:rsidR="00EC1CBF" w:rsidRPr="00940A24">
        <w:rPr>
          <w:rFonts w:hint="cs"/>
          <w:b/>
          <w:bCs/>
          <w:rtl/>
        </w:rPr>
        <w:t>للتشريعات المتعلقة بالإرهاب</w:t>
      </w:r>
      <w:r w:rsidR="00EC1CBF" w:rsidRPr="00940A24">
        <w:rPr>
          <w:b/>
          <w:bCs/>
          <w:rtl/>
        </w:rPr>
        <w:t>.</w:t>
      </w:r>
    </w:p>
    <w:p w:rsidR="00EC1CBF" w:rsidRPr="00EF146B" w:rsidRDefault="00EC1CBF" w:rsidP="00EC1CBF">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EC1CBF" w:rsidRPr="00940A24" w:rsidRDefault="00EC1CBF" w:rsidP="00EC1CBF">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sidRPr="00940A24">
        <w:rPr>
          <w:rFonts w:hint="cs"/>
          <w:rtl/>
        </w:rPr>
        <w:tab/>
      </w:r>
      <w:r w:rsidRPr="00940A24">
        <w:rPr>
          <w:rFonts w:hint="cs"/>
          <w:rtl/>
        </w:rPr>
        <w:tab/>
        <w:t xml:space="preserve">الحق في </w:t>
      </w:r>
      <w:r w:rsidRPr="00940A24">
        <w:rPr>
          <w:rtl/>
        </w:rPr>
        <w:t>الدخول والحرمان من المواطنة</w:t>
      </w:r>
    </w:p>
    <w:p w:rsidR="00EC1CBF" w:rsidRPr="00940A24" w:rsidRDefault="00EC1CBF" w:rsidP="00EC1CBF">
      <w:pPr>
        <w:pStyle w:val="SingleTxt"/>
        <w:spacing w:line="394" w:lineRule="exact"/>
        <w:rPr>
          <w:b/>
          <w:bCs/>
          <w:rtl/>
        </w:rPr>
      </w:pPr>
      <w:r>
        <w:rPr>
          <w:rFonts w:hint="cs"/>
          <w:rtl/>
        </w:rPr>
        <w:t>15-</w:t>
      </w:r>
      <w:r w:rsidRPr="00E6790A">
        <w:rPr>
          <w:rFonts w:hint="cs"/>
          <w:rtl/>
        </w:rPr>
        <w:tab/>
      </w:r>
      <w:r>
        <w:rPr>
          <w:rFonts w:hint="cs"/>
          <w:rtl/>
        </w:rPr>
        <w:t xml:space="preserve">في حين تحيط </w:t>
      </w:r>
      <w:r w:rsidRPr="00E6790A">
        <w:rPr>
          <w:rtl/>
        </w:rPr>
        <w:t xml:space="preserve">اللجنة </w:t>
      </w:r>
      <w:r w:rsidRPr="00E6790A">
        <w:rPr>
          <w:rFonts w:hint="cs"/>
          <w:rtl/>
        </w:rPr>
        <w:t xml:space="preserve">علماً بصلاحيات </w:t>
      </w:r>
      <w:r w:rsidRPr="00E6790A">
        <w:rPr>
          <w:rtl/>
        </w:rPr>
        <w:t xml:space="preserve">الدول </w:t>
      </w:r>
      <w:r w:rsidRPr="00E6790A">
        <w:rPr>
          <w:rFonts w:hint="cs"/>
          <w:rtl/>
        </w:rPr>
        <w:t xml:space="preserve">بوضع </w:t>
      </w:r>
      <w:r w:rsidRPr="00E6790A">
        <w:rPr>
          <w:rtl/>
        </w:rPr>
        <w:t xml:space="preserve">قوانين </w:t>
      </w:r>
      <w:r w:rsidRPr="00E6790A">
        <w:rPr>
          <w:rFonts w:hint="cs"/>
          <w:rtl/>
        </w:rPr>
        <w:t>تتعلق باكتساب الجنسية</w:t>
      </w:r>
      <w:r>
        <w:rPr>
          <w:rFonts w:hint="cs"/>
          <w:rtl/>
        </w:rPr>
        <w:t xml:space="preserve"> </w:t>
      </w:r>
      <w:r w:rsidRPr="00E6790A">
        <w:rPr>
          <w:rFonts w:hint="cs"/>
          <w:rtl/>
        </w:rPr>
        <w:t xml:space="preserve">أو التنازل عنها أو فقدانها، </w:t>
      </w:r>
      <w:r>
        <w:rPr>
          <w:rFonts w:hint="cs"/>
          <w:rtl/>
        </w:rPr>
        <w:t xml:space="preserve">فإنها تشعر بالقلق إزاء العمل </w:t>
      </w:r>
      <w:r w:rsidRPr="00E6790A">
        <w:rPr>
          <w:rFonts w:hint="cs"/>
          <w:rtl/>
        </w:rPr>
        <w:t>ب</w:t>
      </w:r>
      <w:r w:rsidRPr="00E6790A">
        <w:rPr>
          <w:rtl/>
        </w:rPr>
        <w:t>أوامر الإبعاد المؤقت و</w:t>
      </w:r>
      <w:r w:rsidRPr="00E6790A">
        <w:rPr>
          <w:rFonts w:hint="cs"/>
          <w:rtl/>
        </w:rPr>
        <w:t xml:space="preserve">أوامر </w:t>
      </w:r>
      <w:r w:rsidRPr="00E6790A">
        <w:rPr>
          <w:rtl/>
        </w:rPr>
        <w:t xml:space="preserve">الحرمان من </w:t>
      </w:r>
      <w:r w:rsidRPr="00E6790A">
        <w:rPr>
          <w:rFonts w:hint="cs"/>
          <w:rtl/>
        </w:rPr>
        <w:t>الجنسية</w:t>
      </w:r>
      <w:r w:rsidRPr="00E6790A">
        <w:rPr>
          <w:rtl/>
        </w:rPr>
        <w:t xml:space="preserve"> في سياق الإرهاب. </w:t>
      </w:r>
      <w:r w:rsidRPr="00E6790A">
        <w:rPr>
          <w:rFonts w:hint="cs"/>
          <w:rtl/>
        </w:rPr>
        <w:t xml:space="preserve">ويساور </w:t>
      </w:r>
      <w:r w:rsidRPr="00E6790A">
        <w:rPr>
          <w:rtl/>
        </w:rPr>
        <w:t xml:space="preserve">اللجنة القلق إزاء </w:t>
      </w:r>
      <w:r>
        <w:rPr>
          <w:rFonts w:hint="cs"/>
          <w:rtl/>
        </w:rPr>
        <w:t xml:space="preserve">احتمال تحول البعض إلى أشخاص </w:t>
      </w:r>
      <w:r w:rsidRPr="00E6790A">
        <w:rPr>
          <w:rtl/>
        </w:rPr>
        <w:t>عديمي الجنسية نتيجة هذه التدابير (</w:t>
      </w:r>
      <w:r w:rsidRPr="00E6790A">
        <w:rPr>
          <w:rFonts w:hint="cs"/>
          <w:rtl/>
        </w:rPr>
        <w:t>المادة</w:t>
      </w:r>
      <w:r w:rsidRPr="00E6790A">
        <w:rPr>
          <w:rtl/>
        </w:rPr>
        <w:t>12(4) و24(3)).</w:t>
      </w:r>
    </w:p>
    <w:p w:rsidR="00EC1CBF" w:rsidRPr="00940A24" w:rsidRDefault="00EC1CBF" w:rsidP="00EC1CBF">
      <w:pPr>
        <w:pStyle w:val="SingleTxt"/>
        <w:spacing w:line="394" w:lineRule="exact"/>
        <w:rPr>
          <w:b/>
          <w:bCs/>
          <w:rtl/>
        </w:rPr>
      </w:pPr>
      <w:r w:rsidRPr="00940A24">
        <w:rPr>
          <w:rFonts w:hint="cs"/>
          <w:b/>
          <w:bCs/>
          <w:rtl/>
        </w:rPr>
        <w:tab/>
      </w:r>
      <w:r w:rsidRPr="00940A24">
        <w:rPr>
          <w:b/>
          <w:bCs/>
          <w:rtl/>
        </w:rPr>
        <w:t xml:space="preserve">ينبغي للدولة الطرف </w:t>
      </w:r>
      <w:r w:rsidRPr="00940A24">
        <w:rPr>
          <w:rFonts w:hint="cs"/>
          <w:b/>
          <w:bCs/>
          <w:rtl/>
        </w:rPr>
        <w:t xml:space="preserve">أن تراجع </w:t>
      </w:r>
      <w:r w:rsidRPr="00940A24">
        <w:rPr>
          <w:b/>
          <w:bCs/>
          <w:rtl/>
        </w:rPr>
        <w:t xml:space="preserve">قوانينها لضمان </w:t>
      </w:r>
      <w:r>
        <w:rPr>
          <w:rFonts w:hint="cs"/>
          <w:b/>
          <w:bCs/>
          <w:rtl/>
        </w:rPr>
        <w:t xml:space="preserve">اشتمال </w:t>
      </w:r>
      <w:r w:rsidRPr="00940A24">
        <w:rPr>
          <w:b/>
          <w:bCs/>
          <w:rtl/>
        </w:rPr>
        <w:t xml:space="preserve">القيود المفروضة على إعادة الدخول، والحرمان من </w:t>
      </w:r>
      <w:r>
        <w:rPr>
          <w:rFonts w:hint="cs"/>
          <w:b/>
          <w:bCs/>
          <w:rtl/>
        </w:rPr>
        <w:t>الجنسية</w:t>
      </w:r>
      <w:r w:rsidRPr="00940A24">
        <w:rPr>
          <w:b/>
          <w:bCs/>
          <w:rtl/>
        </w:rPr>
        <w:t xml:space="preserve">، </w:t>
      </w:r>
      <w:r>
        <w:rPr>
          <w:rFonts w:hint="cs"/>
          <w:b/>
          <w:bCs/>
          <w:rtl/>
        </w:rPr>
        <w:t xml:space="preserve">لأسباب تتعلق بالإرهاب على </w:t>
      </w:r>
      <w:r w:rsidRPr="00940A24">
        <w:rPr>
          <w:rFonts w:hint="cs"/>
          <w:b/>
          <w:bCs/>
          <w:rtl/>
        </w:rPr>
        <w:t xml:space="preserve">إجراءات حمائية </w:t>
      </w:r>
      <w:r w:rsidRPr="00940A24">
        <w:rPr>
          <w:b/>
          <w:bCs/>
          <w:rtl/>
        </w:rPr>
        <w:t xml:space="preserve">مناسبة </w:t>
      </w:r>
      <w:r>
        <w:rPr>
          <w:rFonts w:hint="cs"/>
          <w:b/>
          <w:bCs/>
          <w:rtl/>
        </w:rPr>
        <w:t xml:space="preserve">وضمان تطابقها مع </w:t>
      </w:r>
      <w:r w:rsidRPr="00940A24">
        <w:rPr>
          <w:rFonts w:hint="cs"/>
          <w:b/>
          <w:bCs/>
          <w:rtl/>
        </w:rPr>
        <w:t>ال</w:t>
      </w:r>
      <w:r w:rsidRPr="00940A24">
        <w:rPr>
          <w:b/>
          <w:bCs/>
          <w:rtl/>
        </w:rPr>
        <w:t xml:space="preserve">مبادئ </w:t>
      </w:r>
      <w:r w:rsidRPr="00940A24">
        <w:rPr>
          <w:rFonts w:hint="cs"/>
          <w:b/>
          <w:bCs/>
          <w:rtl/>
        </w:rPr>
        <w:t xml:space="preserve">القانونية </w:t>
      </w:r>
      <w:r w:rsidRPr="00940A24">
        <w:rPr>
          <w:b/>
          <w:bCs/>
          <w:rtl/>
        </w:rPr>
        <w:t xml:space="preserve">والضرورة والتناسب. </w:t>
      </w:r>
      <w:r w:rsidRPr="00940A24">
        <w:rPr>
          <w:rFonts w:hint="cs"/>
          <w:b/>
          <w:bCs/>
          <w:rtl/>
        </w:rPr>
        <w:t>و</w:t>
      </w:r>
      <w:r w:rsidRPr="00940A24">
        <w:rPr>
          <w:b/>
          <w:bCs/>
          <w:rtl/>
        </w:rPr>
        <w:t xml:space="preserve">ينبغي للدولة الطرف </w:t>
      </w:r>
      <w:r w:rsidRPr="00940A24">
        <w:rPr>
          <w:rFonts w:hint="cs"/>
          <w:b/>
          <w:bCs/>
          <w:rtl/>
        </w:rPr>
        <w:t xml:space="preserve">أيضاً </w:t>
      </w:r>
      <w:r w:rsidRPr="00940A24">
        <w:rPr>
          <w:b/>
          <w:bCs/>
          <w:rtl/>
        </w:rPr>
        <w:t xml:space="preserve">أن تكفل </w:t>
      </w:r>
      <w:r w:rsidRPr="00940A24">
        <w:rPr>
          <w:rFonts w:hint="cs"/>
          <w:b/>
          <w:bCs/>
          <w:rtl/>
        </w:rPr>
        <w:t xml:space="preserve">وضع </w:t>
      </w:r>
      <w:r w:rsidRPr="00940A24">
        <w:rPr>
          <w:b/>
          <w:bCs/>
          <w:rtl/>
        </w:rPr>
        <w:t xml:space="preserve">معايير وإجراءات مناسبة </w:t>
      </w:r>
      <w:r w:rsidRPr="00940A24">
        <w:rPr>
          <w:rFonts w:hint="cs"/>
          <w:b/>
          <w:bCs/>
          <w:rtl/>
        </w:rPr>
        <w:t xml:space="preserve">لتجنب </w:t>
      </w:r>
      <w:r>
        <w:rPr>
          <w:rFonts w:hint="cs"/>
          <w:b/>
          <w:bCs/>
          <w:rtl/>
        </w:rPr>
        <w:t>تحوّل البعض إلى أشخاص عديمي الجنسية.</w:t>
      </w:r>
    </w:p>
    <w:p w:rsidR="00EC1CBF" w:rsidRPr="00EF146B" w:rsidRDefault="00EC1CBF" w:rsidP="00EC1CBF">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EC1CBF" w:rsidRPr="00940A24" w:rsidRDefault="00EC1CBF" w:rsidP="00EC1CBF">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sidRPr="00940A24">
        <w:rPr>
          <w:rFonts w:hint="cs"/>
          <w:rtl/>
        </w:rPr>
        <w:tab/>
      </w:r>
      <w:r w:rsidRPr="00940A24">
        <w:rPr>
          <w:rFonts w:hint="cs"/>
          <w:rtl/>
        </w:rPr>
        <w:tab/>
        <w:t xml:space="preserve">حالات الانتحار، بما في ذلك في الحبس </w:t>
      </w:r>
      <w:r>
        <w:rPr>
          <w:rFonts w:hint="cs"/>
          <w:rtl/>
        </w:rPr>
        <w:t>وإيذاء</w:t>
      </w:r>
      <w:r w:rsidRPr="00940A24">
        <w:rPr>
          <w:rFonts w:hint="cs"/>
          <w:rtl/>
        </w:rPr>
        <w:t xml:space="preserve"> النفس في الحبس</w:t>
      </w:r>
    </w:p>
    <w:p w:rsidR="00EC1CBF" w:rsidRPr="00F7136E" w:rsidRDefault="00EC1CBF" w:rsidP="00EC1CBF">
      <w:pPr>
        <w:pStyle w:val="SingleTxt"/>
        <w:spacing w:line="394" w:lineRule="exact"/>
        <w:rPr>
          <w:spacing w:val="-4"/>
          <w:rtl/>
        </w:rPr>
      </w:pPr>
      <w:r w:rsidRPr="00E6790A">
        <w:rPr>
          <w:rtl/>
        </w:rPr>
        <w:t>1</w:t>
      </w:r>
      <w:r>
        <w:rPr>
          <w:rFonts w:hint="cs"/>
          <w:rtl/>
        </w:rPr>
        <w:t>6</w:t>
      </w:r>
      <w:r w:rsidRPr="00E6790A">
        <w:rPr>
          <w:rFonts w:hint="cs"/>
          <w:rtl/>
        </w:rPr>
        <w:t>-</w:t>
      </w:r>
      <w:r w:rsidRPr="00E6790A">
        <w:rPr>
          <w:rFonts w:hint="cs"/>
          <w:rtl/>
        </w:rPr>
        <w:tab/>
        <w:t>ف</w:t>
      </w:r>
      <w:r>
        <w:rPr>
          <w:rFonts w:hint="cs"/>
          <w:rtl/>
        </w:rPr>
        <w:t xml:space="preserve">ي حين تحيط </w:t>
      </w:r>
      <w:r w:rsidRPr="00E6790A">
        <w:rPr>
          <w:rFonts w:hint="cs"/>
          <w:rtl/>
        </w:rPr>
        <w:t>اللجنة علماً ب</w:t>
      </w:r>
      <w:r>
        <w:rPr>
          <w:rFonts w:hint="cs"/>
          <w:rtl/>
        </w:rPr>
        <w:t xml:space="preserve">مختلف </w:t>
      </w:r>
      <w:r w:rsidRPr="00E6790A">
        <w:rPr>
          <w:rtl/>
        </w:rPr>
        <w:t xml:space="preserve">التدابير </w:t>
      </w:r>
      <w:r w:rsidRPr="00E6790A">
        <w:rPr>
          <w:rFonts w:hint="cs"/>
          <w:rtl/>
        </w:rPr>
        <w:t xml:space="preserve">المتخذة </w:t>
      </w:r>
      <w:r w:rsidRPr="00E6790A">
        <w:rPr>
          <w:rtl/>
        </w:rPr>
        <w:t>لمنع و</w:t>
      </w:r>
      <w:r w:rsidRPr="00E6790A">
        <w:rPr>
          <w:rFonts w:hint="cs"/>
          <w:rtl/>
        </w:rPr>
        <w:t xml:space="preserve">خفض </w:t>
      </w:r>
      <w:r w:rsidRPr="00E6790A">
        <w:rPr>
          <w:rtl/>
        </w:rPr>
        <w:t xml:space="preserve">عدد الوفيات </w:t>
      </w:r>
      <w:r w:rsidRPr="00E6790A">
        <w:rPr>
          <w:rFonts w:hint="cs"/>
          <w:rtl/>
        </w:rPr>
        <w:t>بسبب ا</w:t>
      </w:r>
      <w:r w:rsidRPr="00E6790A">
        <w:rPr>
          <w:rtl/>
        </w:rPr>
        <w:t>لانتحار،</w:t>
      </w:r>
      <w:r>
        <w:rPr>
          <w:rFonts w:hint="cs"/>
          <w:rtl/>
        </w:rPr>
        <w:t xml:space="preserve"> فإنها</w:t>
      </w:r>
      <w:r w:rsidRPr="00E6790A">
        <w:rPr>
          <w:rtl/>
        </w:rPr>
        <w:t xml:space="preserve"> لا تزال تشعر بالقلق إزاء </w:t>
      </w:r>
      <w:r w:rsidRPr="00E6790A">
        <w:rPr>
          <w:rFonts w:hint="cs"/>
          <w:rtl/>
        </w:rPr>
        <w:t xml:space="preserve">استمرار </w:t>
      </w:r>
      <w:r w:rsidRPr="00E6790A">
        <w:rPr>
          <w:rtl/>
        </w:rPr>
        <w:t xml:space="preserve">ارتفاع عدد حالات الانتحار في اسكتلندا، </w:t>
      </w:r>
      <w:r w:rsidRPr="00E6790A">
        <w:rPr>
          <w:rFonts w:hint="cs"/>
          <w:rtl/>
        </w:rPr>
        <w:t xml:space="preserve">وإزاء </w:t>
      </w:r>
      <w:r w:rsidRPr="00E6790A">
        <w:rPr>
          <w:rtl/>
        </w:rPr>
        <w:t xml:space="preserve">زيادة عدد حالات الانتحار في </w:t>
      </w:r>
      <w:r w:rsidRPr="00E6790A">
        <w:rPr>
          <w:rFonts w:hint="cs"/>
          <w:rtl/>
        </w:rPr>
        <w:t>الحبس</w:t>
      </w:r>
      <w:r w:rsidRPr="00E6790A">
        <w:rPr>
          <w:rtl/>
        </w:rPr>
        <w:t xml:space="preserve">، ولا سيما في </w:t>
      </w:r>
      <w:r w:rsidRPr="00E6790A">
        <w:rPr>
          <w:rFonts w:hint="cs"/>
          <w:rtl/>
        </w:rPr>
        <w:t>إ</w:t>
      </w:r>
      <w:r w:rsidRPr="00E6790A">
        <w:rPr>
          <w:rtl/>
        </w:rPr>
        <w:t xml:space="preserve">نكلترا </w:t>
      </w:r>
      <w:r w:rsidRPr="00E6790A">
        <w:rPr>
          <w:rFonts w:hint="cs"/>
          <w:rtl/>
        </w:rPr>
        <w:t>و</w:t>
      </w:r>
      <w:r w:rsidRPr="00E6790A">
        <w:rPr>
          <w:rtl/>
        </w:rPr>
        <w:t xml:space="preserve">ويلز، </w:t>
      </w:r>
      <w:r w:rsidRPr="00E6790A">
        <w:rPr>
          <w:rFonts w:hint="cs"/>
          <w:rtl/>
        </w:rPr>
        <w:t xml:space="preserve">وإزاء </w:t>
      </w:r>
      <w:r w:rsidRPr="00E6790A">
        <w:rPr>
          <w:rtl/>
        </w:rPr>
        <w:t xml:space="preserve">حالات </w:t>
      </w:r>
      <w:r w:rsidRPr="00E6790A">
        <w:rPr>
          <w:rFonts w:hint="cs"/>
          <w:rtl/>
        </w:rPr>
        <w:t xml:space="preserve">إيقاع الأذى بالذات </w:t>
      </w:r>
      <w:r w:rsidRPr="00E6790A">
        <w:rPr>
          <w:rtl/>
        </w:rPr>
        <w:t>في الح</w:t>
      </w:r>
      <w:r w:rsidRPr="00E6790A">
        <w:rPr>
          <w:rFonts w:hint="cs"/>
          <w:rtl/>
        </w:rPr>
        <w:t>بس</w:t>
      </w:r>
      <w:r w:rsidRPr="00E6790A">
        <w:rPr>
          <w:rtl/>
        </w:rPr>
        <w:t xml:space="preserve">. </w:t>
      </w:r>
      <w:r w:rsidRPr="00E6790A">
        <w:rPr>
          <w:rFonts w:hint="cs"/>
          <w:rtl/>
        </w:rPr>
        <w:t>و</w:t>
      </w:r>
      <w:r>
        <w:rPr>
          <w:rFonts w:hint="cs"/>
          <w:rtl/>
        </w:rPr>
        <w:t xml:space="preserve">تحيط </w:t>
      </w:r>
      <w:r w:rsidRPr="00E6790A">
        <w:rPr>
          <w:rtl/>
        </w:rPr>
        <w:t xml:space="preserve">اللجنة </w:t>
      </w:r>
      <w:r w:rsidRPr="00E6790A">
        <w:rPr>
          <w:rFonts w:hint="cs"/>
          <w:rtl/>
        </w:rPr>
        <w:t>علماً ب</w:t>
      </w:r>
      <w:r w:rsidRPr="00E6790A">
        <w:rPr>
          <w:rtl/>
        </w:rPr>
        <w:t xml:space="preserve">أن </w:t>
      </w:r>
      <w:r w:rsidRPr="00E6790A">
        <w:rPr>
          <w:rFonts w:hint="cs"/>
          <w:rtl/>
        </w:rPr>
        <w:t xml:space="preserve">البالغين </w:t>
      </w:r>
      <w:r w:rsidRPr="00E6790A">
        <w:rPr>
          <w:rtl/>
        </w:rPr>
        <w:t xml:space="preserve">الشباب هم </w:t>
      </w:r>
      <w:r>
        <w:rPr>
          <w:rFonts w:hint="cs"/>
          <w:rtl/>
        </w:rPr>
        <w:t xml:space="preserve">أضعف الفئات </w:t>
      </w:r>
      <w:r w:rsidRPr="00E6790A">
        <w:rPr>
          <w:rtl/>
        </w:rPr>
        <w:t xml:space="preserve">في هذا الصدد، </w:t>
      </w:r>
      <w:r w:rsidRPr="00F7136E">
        <w:rPr>
          <w:rFonts w:hint="cs"/>
          <w:spacing w:val="-4"/>
          <w:rtl/>
        </w:rPr>
        <w:t xml:space="preserve">وأن عملية المراجعة المستقلة لحالات المنتحرين في الحبس الذين تتراوح أعمارهم بين </w:t>
      </w:r>
      <w:r w:rsidRPr="00F7136E">
        <w:rPr>
          <w:spacing w:val="-4"/>
          <w:rtl/>
        </w:rPr>
        <w:t>18</w:t>
      </w:r>
      <w:r w:rsidRPr="00F7136E">
        <w:rPr>
          <w:rFonts w:hint="cs"/>
          <w:spacing w:val="-4"/>
          <w:rtl/>
        </w:rPr>
        <w:t xml:space="preserve"> و</w:t>
      </w:r>
      <w:r w:rsidRPr="00F7136E">
        <w:rPr>
          <w:spacing w:val="-4"/>
          <w:rtl/>
        </w:rPr>
        <w:t xml:space="preserve">24 </w:t>
      </w:r>
      <w:r w:rsidRPr="00F7136E">
        <w:rPr>
          <w:rFonts w:hint="cs"/>
          <w:spacing w:val="-4"/>
          <w:rtl/>
        </w:rPr>
        <w:t xml:space="preserve">عاماً </w:t>
      </w:r>
      <w:r w:rsidRPr="00F7136E">
        <w:rPr>
          <w:spacing w:val="-4"/>
          <w:rtl/>
        </w:rPr>
        <w:t>(</w:t>
      </w:r>
      <w:r w:rsidRPr="00F7136E">
        <w:rPr>
          <w:rFonts w:hint="cs"/>
          <w:spacing w:val="-4"/>
          <w:rtl/>
        </w:rPr>
        <w:t xml:space="preserve">مراجعة </w:t>
      </w:r>
      <w:r w:rsidRPr="00F7136E">
        <w:rPr>
          <w:spacing w:val="-4"/>
          <w:rtl/>
        </w:rPr>
        <w:t>هاريس) قدم</w:t>
      </w:r>
      <w:r w:rsidRPr="00F7136E">
        <w:rPr>
          <w:rFonts w:hint="cs"/>
          <w:spacing w:val="-4"/>
          <w:rtl/>
        </w:rPr>
        <w:t>ت</w:t>
      </w:r>
      <w:r w:rsidRPr="00F7136E">
        <w:rPr>
          <w:spacing w:val="-4"/>
          <w:rtl/>
        </w:rPr>
        <w:t xml:space="preserve"> </w:t>
      </w:r>
      <w:r w:rsidRPr="00F7136E">
        <w:rPr>
          <w:rFonts w:hint="cs"/>
          <w:spacing w:val="-4"/>
          <w:rtl/>
        </w:rPr>
        <w:t xml:space="preserve">استنتاجاتها </w:t>
      </w:r>
      <w:r w:rsidRPr="00F7136E">
        <w:rPr>
          <w:spacing w:val="-4"/>
          <w:rtl/>
        </w:rPr>
        <w:t xml:space="preserve">في </w:t>
      </w:r>
      <w:r w:rsidRPr="00F7136E">
        <w:rPr>
          <w:rFonts w:hint="cs"/>
          <w:spacing w:val="-4"/>
          <w:rtl/>
        </w:rPr>
        <w:t>تموز/</w:t>
      </w:r>
      <w:r w:rsidRPr="00F7136E">
        <w:rPr>
          <w:spacing w:val="-4"/>
          <w:rtl/>
        </w:rPr>
        <w:t>يولي</w:t>
      </w:r>
      <w:r w:rsidRPr="00F7136E">
        <w:rPr>
          <w:rFonts w:hint="cs"/>
          <w:spacing w:val="-4"/>
          <w:rtl/>
        </w:rPr>
        <w:t>ه</w:t>
      </w:r>
      <w:r w:rsidRPr="00F7136E">
        <w:rPr>
          <w:spacing w:val="-4"/>
          <w:rtl/>
        </w:rPr>
        <w:t xml:space="preserve"> 2015 (</w:t>
      </w:r>
      <w:r w:rsidRPr="00F7136E">
        <w:rPr>
          <w:rFonts w:hint="cs"/>
          <w:spacing w:val="-4"/>
          <w:rtl/>
        </w:rPr>
        <w:t xml:space="preserve">المواد </w:t>
      </w:r>
      <w:r w:rsidRPr="00F7136E">
        <w:rPr>
          <w:spacing w:val="-4"/>
          <w:rtl/>
        </w:rPr>
        <w:t>2 و6 و7 و9 و10 و24).</w:t>
      </w:r>
    </w:p>
    <w:p w:rsidR="00EC1CBF" w:rsidRPr="00940A24" w:rsidRDefault="00EC1CBF" w:rsidP="00EC1CBF">
      <w:pPr>
        <w:pStyle w:val="SingleTxt"/>
        <w:spacing w:line="394" w:lineRule="exact"/>
        <w:rPr>
          <w:b/>
          <w:bCs/>
          <w:rtl/>
        </w:rPr>
      </w:pPr>
      <w:r w:rsidRPr="00940A24">
        <w:rPr>
          <w:rFonts w:hint="cs"/>
          <w:b/>
          <w:bCs/>
          <w:rtl/>
        </w:rPr>
        <w:tab/>
      </w:r>
      <w:r w:rsidRPr="00940A24">
        <w:rPr>
          <w:b/>
          <w:bCs/>
          <w:rtl/>
        </w:rPr>
        <w:t xml:space="preserve">ينبغي للدولة الطرف أن تتخذ تدابير </w:t>
      </w:r>
      <w:r>
        <w:rPr>
          <w:rFonts w:hint="cs"/>
          <w:b/>
          <w:bCs/>
          <w:rtl/>
        </w:rPr>
        <w:t xml:space="preserve">قوية </w:t>
      </w:r>
      <w:r w:rsidRPr="00940A24">
        <w:rPr>
          <w:b/>
          <w:bCs/>
          <w:rtl/>
        </w:rPr>
        <w:t xml:space="preserve">لمنع </w:t>
      </w:r>
      <w:r w:rsidRPr="00940A24">
        <w:rPr>
          <w:rFonts w:hint="cs"/>
          <w:b/>
          <w:bCs/>
          <w:rtl/>
        </w:rPr>
        <w:t xml:space="preserve">حالات </w:t>
      </w:r>
      <w:r w:rsidRPr="00940A24">
        <w:rPr>
          <w:b/>
          <w:bCs/>
          <w:rtl/>
        </w:rPr>
        <w:t xml:space="preserve">الانتحار، بما في ذلك الانتحار </w:t>
      </w:r>
      <w:r w:rsidRPr="00940A24">
        <w:rPr>
          <w:rFonts w:hint="cs"/>
          <w:b/>
          <w:bCs/>
          <w:rtl/>
        </w:rPr>
        <w:t>وإلحاق الأذى بالذات في الحبس، من خلال القيام بأمور منها:</w:t>
      </w:r>
    </w:p>
    <w:p w:rsidR="00EC1CBF" w:rsidRPr="00940A24" w:rsidRDefault="00EC1CBF" w:rsidP="00EC1CBF">
      <w:pPr>
        <w:pStyle w:val="SingleTxt"/>
        <w:spacing w:line="394" w:lineRule="exact"/>
        <w:rPr>
          <w:b/>
          <w:bCs/>
          <w:rtl/>
        </w:rPr>
      </w:pPr>
      <w:r w:rsidRPr="00940A24">
        <w:rPr>
          <w:rFonts w:hint="cs"/>
          <w:b/>
          <w:bCs/>
          <w:rtl/>
        </w:rPr>
        <w:tab/>
      </w:r>
      <w:r w:rsidRPr="00940A24">
        <w:rPr>
          <w:b/>
          <w:bCs/>
          <w:rtl/>
        </w:rPr>
        <w:t>(أ)</w:t>
      </w:r>
      <w:r w:rsidRPr="00940A24">
        <w:rPr>
          <w:rFonts w:hint="cs"/>
          <w:b/>
          <w:bCs/>
          <w:rtl/>
        </w:rPr>
        <w:tab/>
      </w:r>
      <w:r w:rsidRPr="00940A24">
        <w:rPr>
          <w:b/>
          <w:bCs/>
          <w:rtl/>
        </w:rPr>
        <w:t xml:space="preserve">دراسة ومعالجة الأسباب الجذرية </w:t>
      </w:r>
      <w:r w:rsidRPr="00940A24">
        <w:rPr>
          <w:rFonts w:hint="cs"/>
          <w:b/>
          <w:bCs/>
          <w:rtl/>
        </w:rPr>
        <w:t>لهذه المسألة</w:t>
      </w:r>
      <w:r w:rsidRPr="00940A24">
        <w:rPr>
          <w:b/>
          <w:bCs/>
          <w:rtl/>
        </w:rPr>
        <w:t xml:space="preserve">، </w:t>
      </w:r>
      <w:r w:rsidRPr="00940A24">
        <w:rPr>
          <w:rFonts w:hint="cs"/>
          <w:b/>
          <w:bCs/>
          <w:rtl/>
        </w:rPr>
        <w:t xml:space="preserve">ومواصلة </w:t>
      </w:r>
      <w:r w:rsidRPr="00940A24">
        <w:rPr>
          <w:b/>
          <w:bCs/>
          <w:rtl/>
        </w:rPr>
        <w:t xml:space="preserve">تحسين تحديد </w:t>
      </w:r>
      <w:r w:rsidRPr="00940A24">
        <w:rPr>
          <w:rFonts w:hint="cs"/>
          <w:b/>
          <w:bCs/>
          <w:rtl/>
        </w:rPr>
        <w:t xml:space="preserve">هوية </w:t>
      </w:r>
      <w:r w:rsidRPr="00940A24">
        <w:rPr>
          <w:b/>
          <w:bCs/>
          <w:rtl/>
        </w:rPr>
        <w:t xml:space="preserve">الأشخاص المعرضين لخطر الانتحار </w:t>
      </w:r>
      <w:r w:rsidRPr="00940A24">
        <w:rPr>
          <w:rFonts w:hint="cs"/>
          <w:b/>
          <w:bCs/>
          <w:rtl/>
        </w:rPr>
        <w:t>وإلحاق الأذى بالذات</w:t>
      </w:r>
      <w:r w:rsidRPr="00940A24">
        <w:rPr>
          <w:b/>
          <w:bCs/>
          <w:rtl/>
        </w:rPr>
        <w:t xml:space="preserve">، </w:t>
      </w:r>
      <w:r w:rsidRPr="00940A24">
        <w:rPr>
          <w:rFonts w:hint="cs"/>
          <w:b/>
          <w:bCs/>
          <w:rtl/>
        </w:rPr>
        <w:t xml:space="preserve">وتطبيق </w:t>
      </w:r>
      <w:r w:rsidRPr="00940A24">
        <w:rPr>
          <w:b/>
          <w:bCs/>
          <w:rtl/>
        </w:rPr>
        <w:t>استراتيجيات وبرامج فعالة للوقاية المبكر</w:t>
      </w:r>
      <w:r w:rsidRPr="00940A24">
        <w:rPr>
          <w:rFonts w:hint="cs"/>
          <w:b/>
          <w:bCs/>
          <w:rtl/>
        </w:rPr>
        <w:t>ة</w:t>
      </w:r>
      <w:r w:rsidRPr="00940A24">
        <w:rPr>
          <w:b/>
          <w:bCs/>
          <w:rtl/>
        </w:rPr>
        <w:t>؛</w:t>
      </w:r>
    </w:p>
    <w:p w:rsidR="00EC1CBF" w:rsidRPr="00940A24" w:rsidRDefault="00EC1CBF" w:rsidP="007876C2">
      <w:pPr>
        <w:pStyle w:val="SingleTxt"/>
        <w:spacing w:line="390" w:lineRule="exact"/>
        <w:rPr>
          <w:b/>
          <w:bCs/>
          <w:rtl/>
        </w:rPr>
      </w:pPr>
      <w:r w:rsidRPr="00940A24">
        <w:rPr>
          <w:rFonts w:hint="cs"/>
          <w:b/>
          <w:bCs/>
          <w:rtl/>
        </w:rPr>
        <w:tab/>
      </w:r>
      <w:r w:rsidRPr="00940A24">
        <w:rPr>
          <w:b/>
          <w:bCs/>
          <w:rtl/>
        </w:rPr>
        <w:t>(ب)</w:t>
      </w:r>
      <w:r w:rsidRPr="00940A24">
        <w:rPr>
          <w:rFonts w:hint="cs"/>
          <w:b/>
          <w:bCs/>
          <w:rtl/>
        </w:rPr>
        <w:tab/>
      </w:r>
      <w:r>
        <w:rPr>
          <w:rFonts w:hint="cs"/>
          <w:b/>
          <w:bCs/>
          <w:rtl/>
        </w:rPr>
        <w:t>تدريب موظفي السجون بالشكل المناسب على منع</w:t>
      </w:r>
      <w:r w:rsidRPr="00940A24">
        <w:rPr>
          <w:b/>
          <w:bCs/>
          <w:rtl/>
        </w:rPr>
        <w:t xml:space="preserve"> الانتحار و</w:t>
      </w:r>
      <w:r w:rsidRPr="00940A24">
        <w:rPr>
          <w:rFonts w:hint="cs"/>
          <w:b/>
          <w:bCs/>
          <w:rtl/>
        </w:rPr>
        <w:t>إلحاق الأذى بالذات؛</w:t>
      </w:r>
    </w:p>
    <w:p w:rsidR="00EC1CBF" w:rsidRPr="00940A24" w:rsidRDefault="00EC1CBF" w:rsidP="007876C2">
      <w:pPr>
        <w:pStyle w:val="SingleTxt"/>
        <w:spacing w:line="390" w:lineRule="exact"/>
        <w:rPr>
          <w:b/>
          <w:bCs/>
          <w:rtl/>
        </w:rPr>
      </w:pPr>
      <w:r w:rsidRPr="00940A24">
        <w:rPr>
          <w:rFonts w:hint="cs"/>
          <w:b/>
          <w:bCs/>
          <w:rtl/>
        </w:rPr>
        <w:lastRenderedPageBreak/>
        <w:tab/>
      </w:r>
      <w:r w:rsidRPr="00940A24">
        <w:rPr>
          <w:b/>
          <w:bCs/>
          <w:rtl/>
        </w:rPr>
        <w:t>(ج)</w:t>
      </w:r>
      <w:r w:rsidRPr="00940A24">
        <w:rPr>
          <w:rFonts w:hint="cs"/>
          <w:b/>
          <w:bCs/>
          <w:rtl/>
        </w:rPr>
        <w:tab/>
        <w:t xml:space="preserve">تأمين </w:t>
      </w:r>
      <w:r w:rsidRPr="00940A24">
        <w:rPr>
          <w:b/>
          <w:bCs/>
          <w:rtl/>
        </w:rPr>
        <w:t xml:space="preserve">الحماية </w:t>
      </w:r>
      <w:r w:rsidRPr="00940A24">
        <w:rPr>
          <w:rFonts w:hint="cs"/>
          <w:b/>
          <w:bCs/>
          <w:rtl/>
        </w:rPr>
        <w:t xml:space="preserve">المناسبة </w:t>
      </w:r>
      <w:r w:rsidRPr="00940A24">
        <w:rPr>
          <w:b/>
          <w:bCs/>
          <w:rtl/>
        </w:rPr>
        <w:t>للسجناء و</w:t>
      </w:r>
      <w:r w:rsidRPr="00940A24">
        <w:rPr>
          <w:rFonts w:hint="cs"/>
          <w:b/>
          <w:bCs/>
          <w:rtl/>
        </w:rPr>
        <w:t>تزويدهم بال</w:t>
      </w:r>
      <w:r w:rsidRPr="00940A24">
        <w:rPr>
          <w:b/>
          <w:bCs/>
          <w:rtl/>
        </w:rPr>
        <w:t xml:space="preserve">خدمات </w:t>
      </w:r>
      <w:r w:rsidRPr="00940A24">
        <w:rPr>
          <w:rFonts w:hint="cs"/>
          <w:b/>
          <w:bCs/>
          <w:rtl/>
        </w:rPr>
        <w:t xml:space="preserve">المناسبة </w:t>
      </w:r>
      <w:r>
        <w:rPr>
          <w:rFonts w:hint="cs"/>
          <w:b/>
          <w:bCs/>
          <w:rtl/>
        </w:rPr>
        <w:t xml:space="preserve">فيما يتعلق بالصحة العقلية وغيرها من خدمات </w:t>
      </w:r>
      <w:r w:rsidRPr="00940A24">
        <w:rPr>
          <w:b/>
          <w:bCs/>
          <w:rtl/>
        </w:rPr>
        <w:t>الدعم</w:t>
      </w:r>
      <w:r w:rsidRPr="00940A24">
        <w:rPr>
          <w:rFonts w:hint="cs"/>
          <w:b/>
          <w:bCs/>
          <w:rtl/>
        </w:rPr>
        <w:t>؛</w:t>
      </w:r>
    </w:p>
    <w:p w:rsidR="00EC1CBF" w:rsidRPr="00940A24" w:rsidRDefault="00EC1CBF" w:rsidP="007876C2">
      <w:pPr>
        <w:pStyle w:val="SingleTxt"/>
        <w:spacing w:line="390" w:lineRule="exact"/>
        <w:rPr>
          <w:b/>
          <w:bCs/>
          <w:rtl/>
        </w:rPr>
      </w:pPr>
      <w:r w:rsidRPr="00940A24">
        <w:rPr>
          <w:rFonts w:hint="cs"/>
          <w:b/>
          <w:bCs/>
          <w:rtl/>
        </w:rPr>
        <w:tab/>
      </w:r>
      <w:r w:rsidRPr="00940A24">
        <w:rPr>
          <w:b/>
          <w:bCs/>
          <w:rtl/>
        </w:rPr>
        <w:t>(د)</w:t>
      </w:r>
      <w:r w:rsidRPr="00940A24">
        <w:rPr>
          <w:rFonts w:hint="cs"/>
          <w:b/>
          <w:bCs/>
          <w:rtl/>
        </w:rPr>
        <w:tab/>
      </w:r>
      <w:r w:rsidRPr="00940A24">
        <w:rPr>
          <w:b/>
          <w:bCs/>
          <w:rtl/>
        </w:rPr>
        <w:t xml:space="preserve">مكافحة </w:t>
      </w:r>
      <w:r w:rsidRPr="00940A24">
        <w:rPr>
          <w:rFonts w:hint="cs"/>
          <w:b/>
          <w:bCs/>
          <w:rtl/>
        </w:rPr>
        <w:t xml:space="preserve">تسلط </w:t>
      </w:r>
      <w:r>
        <w:rPr>
          <w:rFonts w:hint="cs"/>
          <w:b/>
          <w:bCs/>
          <w:rtl/>
        </w:rPr>
        <w:t xml:space="preserve">النزلاء على بعضهم البعض في </w:t>
      </w:r>
      <w:r w:rsidRPr="00940A24">
        <w:rPr>
          <w:rFonts w:hint="cs"/>
          <w:b/>
          <w:bCs/>
          <w:rtl/>
        </w:rPr>
        <w:t>الحبس مكافحةً فعالة</w:t>
      </w:r>
      <w:r w:rsidRPr="00940A24">
        <w:rPr>
          <w:b/>
          <w:bCs/>
          <w:rtl/>
        </w:rPr>
        <w:t>؛</w:t>
      </w:r>
    </w:p>
    <w:p w:rsidR="00EC1CBF" w:rsidRPr="007876C2" w:rsidRDefault="00EC1CBF" w:rsidP="007876C2">
      <w:pPr>
        <w:pStyle w:val="SingleTxt"/>
        <w:spacing w:line="390" w:lineRule="exact"/>
        <w:rPr>
          <w:b/>
          <w:bCs/>
          <w:spacing w:val="-2"/>
          <w:rtl/>
        </w:rPr>
      </w:pPr>
      <w:r w:rsidRPr="007876C2">
        <w:rPr>
          <w:rFonts w:hint="cs"/>
          <w:b/>
          <w:bCs/>
          <w:spacing w:val="-2"/>
          <w:rtl/>
        </w:rPr>
        <w:tab/>
      </w:r>
      <w:r w:rsidRPr="007876C2">
        <w:rPr>
          <w:b/>
          <w:bCs/>
          <w:spacing w:val="-2"/>
          <w:rtl/>
        </w:rPr>
        <w:t>(ه)</w:t>
      </w:r>
      <w:r w:rsidRPr="007876C2">
        <w:rPr>
          <w:rFonts w:hint="cs"/>
          <w:b/>
          <w:bCs/>
          <w:spacing w:val="-2"/>
          <w:rtl/>
        </w:rPr>
        <w:tab/>
      </w:r>
      <w:r w:rsidRPr="007876C2">
        <w:rPr>
          <w:b/>
          <w:bCs/>
          <w:spacing w:val="-2"/>
          <w:rtl/>
        </w:rPr>
        <w:t xml:space="preserve">ضمان </w:t>
      </w:r>
      <w:r w:rsidRPr="007876C2">
        <w:rPr>
          <w:rFonts w:hint="cs"/>
          <w:b/>
          <w:bCs/>
          <w:spacing w:val="-2"/>
          <w:rtl/>
        </w:rPr>
        <w:t xml:space="preserve">إجراء التحقيق المستقل والشامل في </w:t>
      </w:r>
      <w:r w:rsidRPr="007876C2">
        <w:rPr>
          <w:b/>
          <w:bCs/>
          <w:spacing w:val="-2"/>
          <w:rtl/>
        </w:rPr>
        <w:t>حالات الانتحار و</w:t>
      </w:r>
      <w:r w:rsidRPr="007876C2">
        <w:rPr>
          <w:rFonts w:hint="cs"/>
          <w:b/>
          <w:bCs/>
          <w:spacing w:val="-2"/>
          <w:rtl/>
        </w:rPr>
        <w:t xml:space="preserve">إلحاق الأذى بالذات والاستفادة من </w:t>
      </w:r>
      <w:r w:rsidRPr="007876C2">
        <w:rPr>
          <w:b/>
          <w:bCs/>
          <w:spacing w:val="-2"/>
          <w:rtl/>
        </w:rPr>
        <w:t xml:space="preserve">الدروس </w:t>
      </w:r>
      <w:r w:rsidRPr="007876C2">
        <w:rPr>
          <w:rFonts w:hint="cs"/>
          <w:b/>
          <w:bCs/>
          <w:spacing w:val="-2"/>
          <w:rtl/>
        </w:rPr>
        <w:t>المستخلصة من ذلك؛</w:t>
      </w:r>
    </w:p>
    <w:p w:rsidR="00EC1CBF" w:rsidRPr="00940A24" w:rsidRDefault="00EC1CBF" w:rsidP="007876C2">
      <w:pPr>
        <w:pStyle w:val="SingleTxt"/>
        <w:spacing w:line="390" w:lineRule="exact"/>
        <w:rPr>
          <w:b/>
          <w:bCs/>
          <w:rtl/>
        </w:rPr>
      </w:pPr>
      <w:r w:rsidRPr="00940A24">
        <w:rPr>
          <w:rFonts w:hint="cs"/>
          <w:b/>
          <w:bCs/>
          <w:rtl/>
        </w:rPr>
        <w:tab/>
      </w:r>
      <w:r w:rsidRPr="00940A24">
        <w:rPr>
          <w:b/>
          <w:bCs/>
          <w:rtl/>
        </w:rPr>
        <w:t>(و)</w:t>
      </w:r>
      <w:r w:rsidRPr="00940A24">
        <w:rPr>
          <w:rFonts w:hint="cs"/>
          <w:b/>
          <w:bCs/>
          <w:rtl/>
        </w:rPr>
        <w:tab/>
      </w:r>
      <w:r w:rsidRPr="00940A24">
        <w:rPr>
          <w:b/>
          <w:bCs/>
          <w:rtl/>
        </w:rPr>
        <w:t xml:space="preserve">إيلاء الاعتبار </w:t>
      </w:r>
      <w:r>
        <w:rPr>
          <w:rFonts w:hint="cs"/>
          <w:b/>
          <w:bCs/>
          <w:rtl/>
        </w:rPr>
        <w:t xml:space="preserve">الواجب </w:t>
      </w:r>
      <w:r w:rsidRPr="00940A24">
        <w:rPr>
          <w:b/>
          <w:bCs/>
          <w:rtl/>
        </w:rPr>
        <w:t xml:space="preserve">لتقرير </w:t>
      </w:r>
      <w:r>
        <w:rPr>
          <w:rFonts w:hint="cs"/>
          <w:b/>
          <w:bCs/>
          <w:rtl/>
        </w:rPr>
        <w:t xml:space="preserve">استعراض هاريسا </w:t>
      </w:r>
      <w:r w:rsidRPr="00940A24">
        <w:rPr>
          <w:b/>
          <w:bCs/>
          <w:rtl/>
        </w:rPr>
        <w:t>وتنفيذ توصياته.</w:t>
      </w:r>
    </w:p>
    <w:p w:rsidR="00EC1CBF" w:rsidRPr="00EF146B" w:rsidRDefault="00EC1CBF" w:rsidP="00EC1CBF">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EC1CBF" w:rsidRPr="00940A24" w:rsidRDefault="00EC1CBF" w:rsidP="00EC1CBF">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sidRPr="00940A24">
        <w:rPr>
          <w:rFonts w:hint="cs"/>
          <w:rtl/>
        </w:rPr>
        <w:tab/>
      </w:r>
      <w:r w:rsidRPr="00940A24">
        <w:rPr>
          <w:rFonts w:hint="cs"/>
          <w:rtl/>
        </w:rPr>
        <w:tab/>
        <w:t xml:space="preserve">إنهاء الحمل في </w:t>
      </w:r>
      <w:r>
        <w:rPr>
          <w:rFonts w:hint="cs"/>
          <w:rtl/>
        </w:rPr>
        <w:t>أيرلندا</w:t>
      </w:r>
      <w:r w:rsidRPr="00940A24">
        <w:rPr>
          <w:rFonts w:hint="cs"/>
          <w:rtl/>
        </w:rPr>
        <w:t xml:space="preserve"> الشمالية</w:t>
      </w:r>
    </w:p>
    <w:p w:rsidR="00EC1CBF" w:rsidRPr="00940A24" w:rsidRDefault="00EC1CBF" w:rsidP="007876C2">
      <w:pPr>
        <w:pStyle w:val="SingleTxt"/>
        <w:spacing w:line="390" w:lineRule="exact"/>
        <w:rPr>
          <w:b/>
          <w:bCs/>
          <w:rtl/>
        </w:rPr>
      </w:pPr>
      <w:r w:rsidRPr="006C1CF5">
        <w:rPr>
          <w:rFonts w:hint="cs"/>
          <w:rtl/>
        </w:rPr>
        <w:t>1</w:t>
      </w:r>
      <w:r>
        <w:rPr>
          <w:rFonts w:hint="cs"/>
          <w:rtl/>
        </w:rPr>
        <w:t>7</w:t>
      </w:r>
      <w:r w:rsidRPr="006C1CF5">
        <w:rPr>
          <w:rFonts w:hint="cs"/>
          <w:rtl/>
        </w:rPr>
        <w:t>-</w:t>
      </w:r>
      <w:r w:rsidRPr="006C1CF5">
        <w:rPr>
          <w:rFonts w:hint="cs"/>
          <w:rtl/>
        </w:rPr>
        <w:tab/>
        <w:t>يساور اللجنة القلق إزاء الظروف التقييدية للغاية التي يُسمح في إطارها</w:t>
      </w:r>
      <w:r>
        <w:rPr>
          <w:rFonts w:hint="cs"/>
          <w:rtl/>
        </w:rPr>
        <w:t xml:space="preserve"> </w:t>
      </w:r>
      <w:r w:rsidRPr="006C1CF5">
        <w:rPr>
          <w:rFonts w:hint="cs"/>
          <w:rtl/>
        </w:rPr>
        <w:t xml:space="preserve">بإنهاء الحمل بموجب قانون </w:t>
      </w:r>
      <w:r>
        <w:rPr>
          <w:rFonts w:hint="cs"/>
          <w:rtl/>
        </w:rPr>
        <w:t>أيرلندا</w:t>
      </w:r>
      <w:r w:rsidRPr="006C1CF5">
        <w:rPr>
          <w:rFonts w:hint="cs"/>
          <w:rtl/>
        </w:rPr>
        <w:t xml:space="preserve"> الشمالية وإزاء العقوبات الجنائية الشديدة المفروضة على حالات الإجهاض غير القانوني، مما يُعرض حياة المرأة </w:t>
      </w:r>
      <w:r>
        <w:rPr>
          <w:rFonts w:hint="cs"/>
          <w:rtl/>
        </w:rPr>
        <w:t>وصحتها للخطر ويضطرها إلى السفر ل</w:t>
      </w:r>
      <w:r w:rsidRPr="006C1CF5">
        <w:rPr>
          <w:rFonts w:hint="cs"/>
          <w:rtl/>
        </w:rPr>
        <w:t xml:space="preserve">لتمكن من الإجهاض. وتلاحظ اللجنة مع القلق أن وزارة العدل في </w:t>
      </w:r>
      <w:r>
        <w:rPr>
          <w:rFonts w:hint="cs"/>
          <w:rtl/>
        </w:rPr>
        <w:t>أيرلندا</w:t>
      </w:r>
      <w:r w:rsidRPr="006C1CF5">
        <w:rPr>
          <w:rFonts w:hint="cs"/>
          <w:rtl/>
        </w:rPr>
        <w:t xml:space="preserve"> الشمالية أشارت</w:t>
      </w:r>
      <w:r>
        <w:rPr>
          <w:rFonts w:hint="cs"/>
          <w:rtl/>
        </w:rPr>
        <w:t>،</w:t>
      </w:r>
      <w:r w:rsidRPr="006C1CF5">
        <w:rPr>
          <w:rFonts w:hint="cs"/>
          <w:rtl/>
        </w:rPr>
        <w:t xml:space="preserve"> في نيسان/أبريل 2015 بعد أن أجرت مشاورات بشأن إمكانية عدم تجريم الإجهاض في حالات إصابة الجنين بتشوهات مميتة وحالات الحمل بسبب الاغتصاب أو سفاح المحارم، وجعله قانونياً، إلى أنها تقترح قانوناً يُجيز الإجهاض </w:t>
      </w:r>
      <w:r>
        <w:rPr>
          <w:rFonts w:hint="cs"/>
          <w:rtl/>
        </w:rPr>
        <w:t xml:space="preserve">عندما </w:t>
      </w:r>
      <w:r w:rsidRPr="006C1CF5">
        <w:rPr>
          <w:rFonts w:hint="cs"/>
          <w:rtl/>
        </w:rPr>
        <w:t>يكون الجنين مصاب</w:t>
      </w:r>
      <w:r>
        <w:rPr>
          <w:rFonts w:hint="cs"/>
          <w:rtl/>
        </w:rPr>
        <w:t>اً</w:t>
      </w:r>
      <w:r w:rsidRPr="006C1CF5">
        <w:rPr>
          <w:rFonts w:hint="cs"/>
          <w:rtl/>
        </w:rPr>
        <w:t xml:space="preserve"> بتشوهات مميتة، بسبب "المسائل المعقدة" التي يُثيرها الحمل الناتج عن جرائم جنسية (المواد 3 و6 و</w:t>
      </w:r>
      <w:r>
        <w:rPr>
          <w:rFonts w:hint="cs"/>
          <w:rtl/>
        </w:rPr>
        <w:t>7 و</w:t>
      </w:r>
      <w:r w:rsidRPr="006C1CF5">
        <w:rPr>
          <w:rFonts w:hint="cs"/>
          <w:rtl/>
        </w:rPr>
        <w:t>17).</w:t>
      </w:r>
    </w:p>
    <w:p w:rsidR="00EC1CBF" w:rsidRDefault="00EC1CBF" w:rsidP="007876C2">
      <w:pPr>
        <w:pStyle w:val="SingleTxt"/>
        <w:spacing w:line="390" w:lineRule="exact"/>
        <w:rPr>
          <w:b/>
          <w:bCs/>
          <w:rtl/>
        </w:rPr>
      </w:pPr>
      <w:r w:rsidRPr="00940A24">
        <w:rPr>
          <w:rFonts w:hint="cs"/>
          <w:b/>
          <w:bCs/>
          <w:rtl/>
        </w:rPr>
        <w:tab/>
        <w:t xml:space="preserve">ينبغي للدولة الطرف، </w:t>
      </w:r>
      <w:r>
        <w:rPr>
          <w:rFonts w:hint="cs"/>
          <w:b/>
          <w:bCs/>
          <w:rtl/>
        </w:rPr>
        <w:t xml:space="preserve">أن تعدل من باب </w:t>
      </w:r>
      <w:r w:rsidRPr="00940A24">
        <w:rPr>
          <w:rFonts w:hint="cs"/>
          <w:b/>
          <w:bCs/>
          <w:rtl/>
        </w:rPr>
        <w:t xml:space="preserve">الأولوية، </w:t>
      </w:r>
      <w:r>
        <w:rPr>
          <w:rFonts w:hint="cs"/>
          <w:b/>
          <w:bCs/>
          <w:rtl/>
        </w:rPr>
        <w:t xml:space="preserve">قانونها </w:t>
      </w:r>
      <w:r w:rsidRPr="00940A24">
        <w:rPr>
          <w:rFonts w:hint="cs"/>
          <w:b/>
          <w:bCs/>
          <w:rtl/>
        </w:rPr>
        <w:t xml:space="preserve">بشأن الإجهاض في </w:t>
      </w:r>
      <w:r>
        <w:rPr>
          <w:rFonts w:hint="cs"/>
          <w:b/>
          <w:bCs/>
          <w:rtl/>
        </w:rPr>
        <w:t>أيرلندا</w:t>
      </w:r>
      <w:r w:rsidRPr="00940A24">
        <w:rPr>
          <w:rFonts w:hint="cs"/>
          <w:b/>
          <w:bCs/>
          <w:rtl/>
        </w:rPr>
        <w:t xml:space="preserve"> الشمالية </w:t>
      </w:r>
      <w:r>
        <w:rPr>
          <w:rFonts w:hint="cs"/>
          <w:b/>
          <w:bCs/>
          <w:rtl/>
        </w:rPr>
        <w:t xml:space="preserve">حتى ينصّ </w:t>
      </w:r>
      <w:r w:rsidRPr="00940A24">
        <w:rPr>
          <w:rFonts w:hint="cs"/>
          <w:b/>
          <w:bCs/>
          <w:rtl/>
        </w:rPr>
        <w:t>على استثناءات إضافية للحظر القانوني المفروض على الإجهاض بما في ذلك في حالات الاغتصاب وسفاح المحارم وإصابة الج</w:t>
      </w:r>
      <w:r>
        <w:rPr>
          <w:rFonts w:hint="cs"/>
          <w:b/>
          <w:bCs/>
          <w:rtl/>
        </w:rPr>
        <w:t>نين بتشو</w:t>
      </w:r>
      <w:r w:rsidRPr="00940A24">
        <w:rPr>
          <w:rFonts w:hint="cs"/>
          <w:b/>
          <w:bCs/>
          <w:rtl/>
        </w:rPr>
        <w:t>هات مميتة. وينبغي للدولة الطرف أيضاً أن تكفل الوصول إلى المعلومات بشأن الإجهاض ووسائل منع الحمل والخيارات المتعلقة بالصحة الجنسية والإنجابية.</w:t>
      </w:r>
    </w:p>
    <w:p w:rsidR="00EC1CBF" w:rsidRPr="00EF146B" w:rsidRDefault="00EC1CBF" w:rsidP="00EC1CBF">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EC1CBF" w:rsidRDefault="00EC1CBF" w:rsidP="00EC1CBF">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r>
        <w:rPr>
          <w:rFonts w:hint="cs"/>
          <w:rtl/>
        </w:rPr>
        <w:tab/>
        <w:t>التعذيب</w:t>
      </w:r>
    </w:p>
    <w:p w:rsidR="00EC1CBF" w:rsidRPr="00940A24" w:rsidRDefault="00EC1CBF" w:rsidP="007876C2">
      <w:pPr>
        <w:pStyle w:val="SingleTxt"/>
        <w:spacing w:before="240" w:line="390" w:lineRule="exact"/>
        <w:rPr>
          <w:b/>
          <w:bCs/>
          <w:rtl/>
        </w:rPr>
      </w:pPr>
      <w:r w:rsidRPr="00B062E7">
        <w:rPr>
          <w:rFonts w:hint="cs"/>
          <w:rtl/>
        </w:rPr>
        <w:t>1</w:t>
      </w:r>
      <w:r>
        <w:rPr>
          <w:rFonts w:hint="cs"/>
          <w:rtl/>
        </w:rPr>
        <w:t>8-</w:t>
      </w:r>
      <w:r>
        <w:rPr>
          <w:rFonts w:hint="cs"/>
          <w:rtl/>
        </w:rPr>
        <w:tab/>
        <w:t xml:space="preserve">في حين </w:t>
      </w:r>
      <w:r w:rsidRPr="00B062E7">
        <w:rPr>
          <w:rFonts w:hint="cs"/>
          <w:rtl/>
        </w:rPr>
        <w:t>تلاحظ اللجنة الحجة التي قدمتها الدولة الطرف</w:t>
      </w:r>
      <w:r>
        <w:rPr>
          <w:rFonts w:hint="cs"/>
          <w:rtl/>
        </w:rPr>
        <w:t xml:space="preserve"> بأن تعريف التعذيب المنصوص عليه في قانون القضاء الجنائي لعام </w:t>
      </w:r>
      <w:r w:rsidRPr="00B062E7">
        <w:rPr>
          <w:rFonts w:hint="cs"/>
          <w:rtl/>
        </w:rPr>
        <w:t>1988</w:t>
      </w:r>
      <w:r>
        <w:rPr>
          <w:rFonts w:hint="cs"/>
          <w:rtl/>
        </w:rPr>
        <w:t xml:space="preserve"> أوسع من التعريف المنصوص عليه في اتفاقية مناهضة التعذيب وغيره من المعاملة أو العقوبة القاسية أو اللاإنسانية أو المهينة، فإنها تشعر بالقلق لأن عبارة "الدفع بالسلطة القانونية أو بوجود مبرر أو عذر" </w:t>
      </w:r>
      <w:r w:rsidRPr="00BC24F6">
        <w:rPr>
          <w:rFonts w:hint="cs"/>
          <w:rtl/>
          <w:lang w:bidi="ar"/>
        </w:rPr>
        <w:t xml:space="preserve">إزاء تهمة إلحاق الألم أو العذاب الشديد عمداً، </w:t>
      </w:r>
      <w:r>
        <w:rPr>
          <w:rFonts w:hint="cs"/>
          <w:rtl/>
          <w:lang w:bidi="ar"/>
        </w:rPr>
        <w:t>على النحو المنصوص عليه في الفقرتين (4) و(5) من المادة 134 من قانون عام 1988، هي عبارة صيغت بشكل فضفاض بما يسمح بتطبيقها بشكل واسع، بما في ذلك الحظر المطلق للتعذيب (المادة 7).</w:t>
      </w:r>
    </w:p>
    <w:p w:rsidR="00EC1CBF" w:rsidRPr="00116B5E" w:rsidRDefault="00EC1CBF" w:rsidP="00EC1CBF">
      <w:pPr>
        <w:pStyle w:val="SingleTxt"/>
        <w:rPr>
          <w:b/>
          <w:bCs/>
          <w:rtl/>
        </w:rPr>
      </w:pPr>
      <w:r>
        <w:rPr>
          <w:rFonts w:hint="cs"/>
          <w:b/>
          <w:bCs/>
          <w:rtl/>
        </w:rPr>
        <w:tab/>
      </w:r>
      <w:r w:rsidRPr="00116B5E">
        <w:rPr>
          <w:rFonts w:hint="cs"/>
          <w:b/>
          <w:bCs/>
          <w:rtl/>
        </w:rPr>
        <w:t xml:space="preserve">ينبغي للدولة الطرف أن تراجع </w:t>
      </w:r>
      <w:r>
        <w:rPr>
          <w:rFonts w:hint="cs"/>
          <w:b/>
          <w:bCs/>
          <w:rtl/>
        </w:rPr>
        <w:t xml:space="preserve">قوانينها </w:t>
      </w:r>
      <w:r w:rsidRPr="00116B5E">
        <w:rPr>
          <w:rFonts w:hint="cs"/>
          <w:b/>
          <w:bCs/>
          <w:rtl/>
        </w:rPr>
        <w:t xml:space="preserve">بغية ضمان حذف </w:t>
      </w:r>
      <w:r>
        <w:rPr>
          <w:rFonts w:hint="cs"/>
          <w:b/>
          <w:bCs/>
          <w:rtl/>
        </w:rPr>
        <w:t xml:space="preserve">كل التبريرات </w:t>
      </w:r>
      <w:r w:rsidRPr="00116B5E">
        <w:rPr>
          <w:rFonts w:hint="cs"/>
          <w:b/>
          <w:bCs/>
          <w:rtl/>
        </w:rPr>
        <w:t>الممكنة للتعذيب، وفقاً للمادة 7 من العهد وغيره من المعايير المقبولة دولياً.</w:t>
      </w:r>
    </w:p>
    <w:p w:rsidR="00EC1CBF" w:rsidRPr="00E52BE1" w:rsidRDefault="00EC1CBF" w:rsidP="00EC1CBF">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EC1CBF" w:rsidRPr="00116B5E" w:rsidRDefault="00EC1CBF" w:rsidP="00EC1CBF">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sidRPr="00116B5E">
        <w:rPr>
          <w:rFonts w:hint="cs"/>
          <w:rtl/>
        </w:rPr>
        <w:tab/>
      </w:r>
      <w:r w:rsidRPr="00116B5E">
        <w:rPr>
          <w:rFonts w:hint="cs"/>
          <w:rtl/>
        </w:rPr>
        <w:tab/>
        <w:t>الضمانات الدبلوماسية وعدم الإعادة القسرية</w:t>
      </w:r>
    </w:p>
    <w:p w:rsidR="00EC1CBF" w:rsidRPr="00116B5E" w:rsidRDefault="00EC1CBF" w:rsidP="007876C2">
      <w:pPr>
        <w:pStyle w:val="SingleTxt"/>
        <w:spacing w:line="390" w:lineRule="exact"/>
        <w:rPr>
          <w:b/>
          <w:bCs/>
          <w:rtl/>
        </w:rPr>
      </w:pPr>
      <w:r w:rsidRPr="00BF6CBF">
        <w:rPr>
          <w:rFonts w:hint="cs"/>
          <w:rtl/>
        </w:rPr>
        <w:t>19-</w:t>
      </w:r>
      <w:r w:rsidRPr="00BC24F6">
        <w:rPr>
          <w:rFonts w:hint="cs"/>
          <w:rtl/>
        </w:rPr>
        <w:tab/>
        <w:t xml:space="preserve">يساور اللجنة القلق </w:t>
      </w:r>
      <w:r>
        <w:rPr>
          <w:rFonts w:hint="cs"/>
          <w:rtl/>
        </w:rPr>
        <w:t>لاستمرار ا</w:t>
      </w:r>
      <w:r w:rsidRPr="00BC24F6">
        <w:rPr>
          <w:rFonts w:hint="cs"/>
          <w:rtl/>
        </w:rPr>
        <w:t xml:space="preserve">لدولة الطرف في الاعتماد على سياستها المتعلقة ب‍ "الترحيل مع </w:t>
      </w:r>
      <w:r>
        <w:rPr>
          <w:rFonts w:hint="cs"/>
          <w:rtl/>
        </w:rPr>
        <w:t>توفير ال</w:t>
      </w:r>
      <w:r w:rsidRPr="00BC24F6">
        <w:rPr>
          <w:rFonts w:hint="cs"/>
          <w:rtl/>
        </w:rPr>
        <w:t xml:space="preserve">ضمانات" لتبرير ترحيل الأجانب المشتبه في ارتكابهم جرائم إرهابية إلى بلدان تفيد التقارير بأنهم قد يواجهون فيها خطراً حقيقياً بالتعذيب أو غيره من ضروب سوء المعاملة وتلاحظ أنه وإن لم تكن هناك أي خطط </w:t>
      </w:r>
      <w:r>
        <w:rPr>
          <w:rFonts w:hint="cs"/>
          <w:rtl/>
        </w:rPr>
        <w:t xml:space="preserve">بالعدول </w:t>
      </w:r>
      <w:r w:rsidRPr="00BC24F6">
        <w:rPr>
          <w:rFonts w:hint="cs"/>
          <w:rtl/>
        </w:rPr>
        <w:t xml:space="preserve">عن هذه السياسة، فإن </w:t>
      </w:r>
      <w:r>
        <w:rPr>
          <w:rFonts w:hint="cs"/>
          <w:rtl/>
        </w:rPr>
        <w:t>المراجع المستقل للتشريع المتعلق بالإرهاب بصدد</w:t>
      </w:r>
      <w:r w:rsidRPr="00BC24F6">
        <w:rPr>
          <w:rFonts w:hint="cs"/>
          <w:rtl/>
        </w:rPr>
        <w:t xml:space="preserve"> مراجعة إطارها. وعلى الرغم من مذكرات التفاهم بشأن الترحيل مع </w:t>
      </w:r>
      <w:r>
        <w:rPr>
          <w:rFonts w:hint="cs"/>
          <w:rtl/>
        </w:rPr>
        <w:t>توفير ال</w:t>
      </w:r>
      <w:r w:rsidRPr="00BC24F6">
        <w:rPr>
          <w:rFonts w:hint="cs"/>
          <w:rtl/>
        </w:rPr>
        <w:t>ضمانات التي أبرمت مع عدد من البلدان وترتيبات ال</w:t>
      </w:r>
      <w:r>
        <w:rPr>
          <w:rFonts w:hint="cs"/>
          <w:rtl/>
        </w:rPr>
        <w:t xml:space="preserve">مراقبة </w:t>
      </w:r>
      <w:r w:rsidRPr="00BC24F6">
        <w:rPr>
          <w:rFonts w:hint="cs"/>
          <w:rtl/>
        </w:rPr>
        <w:t>بعد ال</w:t>
      </w:r>
      <w:r>
        <w:rPr>
          <w:rFonts w:hint="cs"/>
          <w:rtl/>
        </w:rPr>
        <w:t xml:space="preserve">ترحيل، فإن </w:t>
      </w:r>
      <w:r w:rsidRPr="00BC24F6">
        <w:rPr>
          <w:rFonts w:hint="cs"/>
          <w:rtl/>
        </w:rPr>
        <w:t xml:space="preserve">اللجنة </w:t>
      </w:r>
      <w:r>
        <w:rPr>
          <w:rFonts w:hint="cs"/>
          <w:rtl/>
        </w:rPr>
        <w:t xml:space="preserve">لا تزال </w:t>
      </w:r>
      <w:r w:rsidRPr="00BC24F6">
        <w:rPr>
          <w:rFonts w:hint="cs"/>
          <w:rtl/>
        </w:rPr>
        <w:t>تشعر بالقلق لأن هذه التدابير قد لا تكفل للأفراد المتأثرين عدم إخضاعهم لمعاملة</w:t>
      </w:r>
      <w:r>
        <w:rPr>
          <w:rFonts w:hint="cs"/>
          <w:rtl/>
        </w:rPr>
        <w:t xml:space="preserve"> ت</w:t>
      </w:r>
      <w:r w:rsidRPr="00BC24F6">
        <w:rPr>
          <w:rFonts w:hint="cs"/>
          <w:rtl/>
        </w:rPr>
        <w:t>خالف المادتين 6 و7 من العهد (المواد 2 و6 و7).</w:t>
      </w:r>
    </w:p>
    <w:p w:rsidR="00EC1CBF" w:rsidRPr="007876C2" w:rsidRDefault="00EC1CBF" w:rsidP="007876C2">
      <w:pPr>
        <w:pStyle w:val="SingleTxt"/>
        <w:spacing w:line="390" w:lineRule="exact"/>
        <w:rPr>
          <w:b/>
          <w:bCs/>
          <w:spacing w:val="-2"/>
          <w:rtl/>
        </w:rPr>
      </w:pPr>
      <w:r w:rsidRPr="007876C2">
        <w:rPr>
          <w:rFonts w:hint="cs"/>
          <w:b/>
          <w:bCs/>
          <w:spacing w:val="-2"/>
          <w:rtl/>
        </w:rPr>
        <w:tab/>
        <w:t xml:space="preserve">تذكّر اللجنة بتوصيتها السابقة (انظر </w:t>
      </w:r>
      <w:r w:rsidRPr="007876C2">
        <w:rPr>
          <w:b/>
          <w:bCs/>
          <w:spacing w:val="-2"/>
        </w:rPr>
        <w:t>CCPR/C/GBR/CO/6</w:t>
      </w:r>
      <w:r w:rsidRPr="007876C2">
        <w:rPr>
          <w:rFonts w:hint="cs"/>
          <w:b/>
          <w:bCs/>
          <w:spacing w:val="-2"/>
          <w:rtl/>
        </w:rPr>
        <w:t>، الفقرة 12) وتوصي الدولة الطرف بأن تطبق بدقّة الحظر المطلق على الترحيل، بموجب المادتين 6 و7 من العهد؛ وأن تواصل ممارسة أكبر قدر ممكن من الحيطة في تقييم الضمانات الدبلوماسية؛ وتكفل الرصد المناسب والفعال والمستقل بعد ترحيل الأفراد وفقاً لضمانات دبلوماسية؛ وأن تمسك عن الاعتماد على الضمانات عندما تكون الدولة الطرف في وضع لا تكون قادرة فيه على رصد معاملة أولئك الأشخاص رصداً فعالاً بعد ترحيلهم أو طردهم أو نقلهم أو إعادتهم إلى بلدان أخرى؛ وأن تتخذ الإجراءات التصحيحية المناسبة عندما لا تُحترم الضمانات.</w:t>
      </w:r>
    </w:p>
    <w:p w:rsidR="00EC1CBF" w:rsidRPr="00E52BE1" w:rsidRDefault="00EC1CBF" w:rsidP="00EC1CBF">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EC1CBF" w:rsidRPr="00116B5E" w:rsidRDefault="00EC1CBF" w:rsidP="00EC1CBF">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sidRPr="00116B5E">
        <w:rPr>
          <w:rFonts w:hint="cs"/>
          <w:rtl/>
        </w:rPr>
        <w:tab/>
      </w:r>
      <w:r w:rsidRPr="00116B5E">
        <w:rPr>
          <w:rFonts w:hint="cs"/>
          <w:rtl/>
        </w:rPr>
        <w:tab/>
        <w:t>العقاب البدني</w:t>
      </w:r>
    </w:p>
    <w:p w:rsidR="00EC1CBF" w:rsidRPr="00BF6CBF" w:rsidRDefault="00EC1CBF" w:rsidP="007876C2">
      <w:pPr>
        <w:pStyle w:val="SingleTxt"/>
        <w:spacing w:line="390" w:lineRule="exact"/>
        <w:rPr>
          <w:rtl/>
        </w:rPr>
      </w:pPr>
      <w:r w:rsidRPr="00BF6CBF">
        <w:rPr>
          <w:rFonts w:hint="cs"/>
          <w:rtl/>
        </w:rPr>
        <w:t>20-</w:t>
      </w:r>
      <w:r w:rsidRPr="00BF6CBF">
        <w:rPr>
          <w:rFonts w:hint="cs"/>
          <w:rtl/>
        </w:rPr>
        <w:tab/>
        <w:t xml:space="preserve">لا تزال اللجنة تشعر بالقلق لأن القانون لا يحظر بالكامل العقوبة البدنية في المنزل وفي بعض مرافق التعليم والرعاية البديلة في المملكة المتحدة وفي جميع الأقاليم التابعة للتاج البريطاني وأقاليم ما وراء البحار </w:t>
      </w:r>
      <w:r>
        <w:rPr>
          <w:rFonts w:hint="cs"/>
          <w:rtl/>
        </w:rPr>
        <w:t>تقريباً</w:t>
      </w:r>
      <w:r w:rsidRPr="00BF6CBF">
        <w:rPr>
          <w:rFonts w:hint="cs"/>
          <w:rtl/>
        </w:rPr>
        <w:t>. ويساور اللجنة القلق أيضاً إزاء عدم وجود حظر صريح على العقوبة البدنية في المنزل وإزاء ال</w:t>
      </w:r>
      <w:r>
        <w:rPr>
          <w:rFonts w:hint="cs"/>
          <w:rtl/>
        </w:rPr>
        <w:t xml:space="preserve">تبريرات </w:t>
      </w:r>
      <w:r w:rsidRPr="00BF6CBF">
        <w:rPr>
          <w:rFonts w:hint="cs"/>
          <w:rtl/>
        </w:rPr>
        <w:t xml:space="preserve">القانونية القائمة </w:t>
      </w:r>
      <w:r>
        <w:rPr>
          <w:rFonts w:hint="cs"/>
          <w:rtl/>
        </w:rPr>
        <w:t>بتوقيع "العقوبة المعقولة</w:t>
      </w:r>
      <w:r w:rsidRPr="00BF6CBF">
        <w:rPr>
          <w:rFonts w:hint="cs"/>
          <w:rtl/>
        </w:rPr>
        <w:t>" في إنكلترا وويلز و</w:t>
      </w:r>
      <w:r>
        <w:rPr>
          <w:rFonts w:hint="cs"/>
          <w:rtl/>
        </w:rPr>
        <w:t>أيرلندا</w:t>
      </w:r>
      <w:r w:rsidRPr="00BF6CBF">
        <w:rPr>
          <w:rFonts w:hint="cs"/>
          <w:rtl/>
        </w:rPr>
        <w:t xml:space="preserve"> الشمالية و"الاعتداء الذي يمكن تبريره" في اسكتلندا (المادتان 7 و24).</w:t>
      </w:r>
    </w:p>
    <w:p w:rsidR="00EC1CBF" w:rsidRPr="00116B5E" w:rsidRDefault="00EC1CBF" w:rsidP="007876C2">
      <w:pPr>
        <w:pStyle w:val="SingleTxt"/>
        <w:spacing w:line="390" w:lineRule="exact"/>
        <w:rPr>
          <w:b/>
          <w:bCs/>
          <w:rtl/>
        </w:rPr>
      </w:pPr>
      <w:r w:rsidRPr="00116B5E">
        <w:rPr>
          <w:rFonts w:hint="cs"/>
          <w:b/>
          <w:bCs/>
          <w:rtl/>
        </w:rPr>
        <w:tab/>
        <w:t>ينبغي للدولة الطرف أن تتخذ تدابير خاصة</w:t>
      </w:r>
      <w:r>
        <w:rPr>
          <w:rFonts w:hint="cs"/>
          <w:b/>
          <w:bCs/>
          <w:rtl/>
        </w:rPr>
        <w:t>،</w:t>
      </w:r>
      <w:r w:rsidRPr="00116B5E">
        <w:rPr>
          <w:rFonts w:hint="cs"/>
          <w:b/>
          <w:bCs/>
          <w:rtl/>
        </w:rPr>
        <w:t xml:space="preserve"> بما في ذلك التدابير التشريعية</w:t>
      </w:r>
      <w:r>
        <w:rPr>
          <w:rFonts w:hint="cs"/>
          <w:b/>
          <w:bCs/>
          <w:rtl/>
        </w:rPr>
        <w:t>،</w:t>
      </w:r>
      <w:r w:rsidRPr="00116B5E">
        <w:rPr>
          <w:rFonts w:hint="cs"/>
          <w:b/>
          <w:bCs/>
          <w:rtl/>
        </w:rPr>
        <w:t xml:space="preserve"> عند الضرورة</w:t>
      </w:r>
      <w:r>
        <w:rPr>
          <w:rFonts w:hint="cs"/>
          <w:b/>
          <w:bCs/>
          <w:rtl/>
        </w:rPr>
        <w:t>،</w:t>
      </w:r>
      <w:r w:rsidRPr="00116B5E">
        <w:rPr>
          <w:rFonts w:hint="cs"/>
          <w:b/>
          <w:bCs/>
          <w:rtl/>
        </w:rPr>
        <w:t xml:space="preserve"> لوضع حد للعقوبة البدنية في جميع الأوساط في بما في ذلك في المنزل في جميع أنحاء المملكة المتحدة وجميع الأقاليم التابعة للتاج البريطاني وأقاليم ما وراء البحار، وينبغي لها أن تلغي جميع </w:t>
      </w:r>
      <w:r>
        <w:rPr>
          <w:rFonts w:hint="cs"/>
          <w:b/>
          <w:bCs/>
          <w:rtl/>
        </w:rPr>
        <w:t>التبريرات ا</w:t>
      </w:r>
      <w:r w:rsidRPr="00116B5E">
        <w:rPr>
          <w:rFonts w:hint="cs"/>
          <w:b/>
          <w:bCs/>
          <w:rtl/>
        </w:rPr>
        <w:t xml:space="preserve">لقانونية </w:t>
      </w:r>
      <w:r>
        <w:rPr>
          <w:rFonts w:hint="cs"/>
          <w:b/>
          <w:bCs/>
          <w:rtl/>
        </w:rPr>
        <w:t xml:space="preserve">في الوقت الحالي في جميع أراضي الدولة </w:t>
      </w:r>
      <w:r w:rsidRPr="00116B5E">
        <w:rPr>
          <w:rFonts w:hint="cs"/>
          <w:b/>
          <w:bCs/>
          <w:rtl/>
        </w:rPr>
        <w:t xml:space="preserve">الطرف. وينبغي للدولة الطرف أن تشجع على </w:t>
      </w:r>
      <w:r>
        <w:rPr>
          <w:rFonts w:hint="cs"/>
          <w:b/>
          <w:bCs/>
          <w:rtl/>
        </w:rPr>
        <w:t>الأخذ ب</w:t>
      </w:r>
      <w:r w:rsidRPr="00116B5E">
        <w:rPr>
          <w:rFonts w:hint="cs"/>
          <w:b/>
          <w:bCs/>
          <w:rtl/>
        </w:rPr>
        <w:t xml:space="preserve">أشكال التأديب التي لا تقوم على العنف كبدائل للعقاب البدني، وينبغي أن تُنظم حملات لإعلام الجمهور </w:t>
      </w:r>
      <w:r>
        <w:rPr>
          <w:rFonts w:hint="cs"/>
          <w:b/>
          <w:bCs/>
          <w:rtl/>
        </w:rPr>
        <w:t>و</w:t>
      </w:r>
      <w:r w:rsidRPr="00116B5E">
        <w:rPr>
          <w:rFonts w:hint="cs"/>
          <w:b/>
          <w:bCs/>
          <w:rtl/>
        </w:rPr>
        <w:t xml:space="preserve">بث الوعي بشأن الآثار الضارة </w:t>
      </w:r>
      <w:r>
        <w:rPr>
          <w:rFonts w:hint="cs"/>
          <w:b/>
          <w:bCs/>
          <w:rtl/>
        </w:rPr>
        <w:t xml:space="preserve">المترتبة </w:t>
      </w:r>
      <w:r w:rsidRPr="00116B5E">
        <w:rPr>
          <w:rFonts w:hint="cs"/>
          <w:b/>
          <w:bCs/>
          <w:rtl/>
        </w:rPr>
        <w:t>على العقاب البدني.</w:t>
      </w:r>
    </w:p>
    <w:p w:rsidR="00EC1CBF" w:rsidRPr="00116B5E" w:rsidRDefault="00EC1CBF" w:rsidP="00EC1CBF">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sidRPr="00116B5E">
        <w:rPr>
          <w:rFonts w:hint="cs"/>
          <w:rtl/>
        </w:rPr>
        <w:lastRenderedPageBreak/>
        <w:tab/>
      </w:r>
      <w:r w:rsidRPr="00116B5E">
        <w:rPr>
          <w:rFonts w:hint="cs"/>
          <w:rtl/>
        </w:rPr>
        <w:tab/>
        <w:t>احتجاز المهاجرين</w:t>
      </w:r>
    </w:p>
    <w:p w:rsidR="00EC1CBF" w:rsidRPr="00BF6CBF" w:rsidRDefault="00EC1CBF" w:rsidP="007876C2">
      <w:pPr>
        <w:pStyle w:val="SingleTxt"/>
        <w:spacing w:line="380" w:lineRule="exact"/>
        <w:rPr>
          <w:rtl/>
        </w:rPr>
      </w:pPr>
      <w:r w:rsidRPr="00BF6CBF">
        <w:rPr>
          <w:rFonts w:hint="cs"/>
          <w:rtl/>
        </w:rPr>
        <w:t>21-</w:t>
      </w:r>
      <w:r w:rsidRPr="00BF6CBF">
        <w:rPr>
          <w:rFonts w:hint="cs"/>
          <w:rtl/>
        </w:rPr>
        <w:tab/>
        <w:t xml:space="preserve">يساور اللجنة </w:t>
      </w:r>
      <w:r>
        <w:rPr>
          <w:rFonts w:hint="cs"/>
          <w:rtl/>
        </w:rPr>
        <w:t>ال</w:t>
      </w:r>
      <w:r w:rsidRPr="00BF6CBF">
        <w:rPr>
          <w:rFonts w:hint="cs"/>
          <w:rtl/>
        </w:rPr>
        <w:t xml:space="preserve">قلق لعدم ربط الاحتجاز في مراكز </w:t>
      </w:r>
      <w:r>
        <w:rPr>
          <w:rFonts w:hint="cs"/>
          <w:rtl/>
        </w:rPr>
        <w:t xml:space="preserve">ترحيل </w:t>
      </w:r>
      <w:r w:rsidRPr="00BF6CBF">
        <w:rPr>
          <w:rFonts w:hint="cs"/>
          <w:rtl/>
        </w:rPr>
        <w:t xml:space="preserve">المهاجرين بمدة محددة </w:t>
      </w:r>
      <w:r>
        <w:rPr>
          <w:rFonts w:hint="cs"/>
          <w:rtl/>
        </w:rPr>
        <w:t xml:space="preserve">ولإمكانية </w:t>
      </w:r>
      <w:r w:rsidRPr="00BF6CBF">
        <w:rPr>
          <w:rFonts w:hint="cs"/>
          <w:rtl/>
        </w:rPr>
        <w:t xml:space="preserve">احتجاز الأشخاص لفترات مطولة. وتلاحظ </w:t>
      </w:r>
      <w:r>
        <w:rPr>
          <w:rFonts w:hint="cs"/>
          <w:rtl/>
        </w:rPr>
        <w:t xml:space="preserve">اللجنة </w:t>
      </w:r>
      <w:r w:rsidRPr="00BF6CBF">
        <w:rPr>
          <w:rFonts w:hint="cs"/>
          <w:rtl/>
        </w:rPr>
        <w:t xml:space="preserve">أيضاً أن نظام المسار السريع </w:t>
      </w:r>
      <w:r>
        <w:rPr>
          <w:rFonts w:hint="cs"/>
          <w:rtl/>
        </w:rPr>
        <w:t>المتعلق ب</w:t>
      </w:r>
      <w:r w:rsidRPr="00BF6CBF">
        <w:rPr>
          <w:rFonts w:hint="cs"/>
          <w:rtl/>
        </w:rPr>
        <w:t xml:space="preserve">الاحتجاز </w:t>
      </w:r>
      <w:r>
        <w:rPr>
          <w:rFonts w:hint="cs"/>
          <w:rtl/>
        </w:rPr>
        <w:t xml:space="preserve">والمستخدم </w:t>
      </w:r>
      <w:r w:rsidRPr="00BF6CBF">
        <w:rPr>
          <w:rFonts w:hint="cs"/>
          <w:rtl/>
        </w:rPr>
        <w:t xml:space="preserve">في عملية اللجوء يعاني من عدد من أوجه النقص الواضحة، بما في ذلك منع الناجين من أفعال التعذيب من الدخول في نظام المسار السريع </w:t>
      </w:r>
      <w:r>
        <w:rPr>
          <w:rFonts w:hint="cs"/>
          <w:rtl/>
        </w:rPr>
        <w:t>المتعلق با</w:t>
      </w:r>
      <w:r w:rsidRPr="00BF6CBF">
        <w:rPr>
          <w:rFonts w:hint="cs"/>
          <w:rtl/>
        </w:rPr>
        <w:t>لاحتجاز</w:t>
      </w:r>
      <w:r>
        <w:rPr>
          <w:rFonts w:hint="cs"/>
          <w:rtl/>
        </w:rPr>
        <w:t>،</w:t>
      </w:r>
      <w:r w:rsidRPr="00BF6CBF">
        <w:rPr>
          <w:rFonts w:hint="cs"/>
          <w:rtl/>
        </w:rPr>
        <w:t xml:space="preserve"> وعدم توفير </w:t>
      </w:r>
      <w:r>
        <w:rPr>
          <w:rFonts w:hint="cs"/>
          <w:rtl/>
        </w:rPr>
        <w:t>فرص الاحتكام ا</w:t>
      </w:r>
      <w:r w:rsidRPr="00BF6CBF">
        <w:rPr>
          <w:rFonts w:hint="cs"/>
          <w:rtl/>
        </w:rPr>
        <w:t>لفعال إلى القضاء، و</w:t>
      </w:r>
      <w:r>
        <w:rPr>
          <w:rFonts w:hint="cs"/>
          <w:rtl/>
        </w:rPr>
        <w:t xml:space="preserve">تشير إلى </w:t>
      </w:r>
      <w:r w:rsidRPr="00BF6CBF">
        <w:rPr>
          <w:rFonts w:hint="cs"/>
          <w:rtl/>
        </w:rPr>
        <w:t>أن المحاكم المحلية انتقدت ذلك و</w:t>
      </w:r>
      <w:r>
        <w:rPr>
          <w:rFonts w:hint="cs"/>
          <w:rtl/>
        </w:rPr>
        <w:t xml:space="preserve">أن </w:t>
      </w:r>
      <w:r w:rsidRPr="00BF6CBF">
        <w:rPr>
          <w:rFonts w:hint="cs"/>
          <w:rtl/>
        </w:rPr>
        <w:t xml:space="preserve">وزير الهجرة </w:t>
      </w:r>
      <w:r>
        <w:rPr>
          <w:rFonts w:hint="cs"/>
          <w:rtl/>
        </w:rPr>
        <w:t>أ</w:t>
      </w:r>
      <w:r w:rsidRPr="00BF6CBF">
        <w:rPr>
          <w:rFonts w:hint="cs"/>
          <w:rtl/>
        </w:rPr>
        <w:t xml:space="preserve">وقف </w:t>
      </w:r>
      <w:r>
        <w:rPr>
          <w:rFonts w:hint="cs"/>
          <w:rtl/>
        </w:rPr>
        <w:t>تطبيق ذلك النظام</w:t>
      </w:r>
      <w:r w:rsidRPr="00BF6CBF">
        <w:rPr>
          <w:rFonts w:hint="cs"/>
          <w:rtl/>
        </w:rPr>
        <w:t xml:space="preserve"> في 2 تموز/يوليه 2015 </w:t>
      </w:r>
      <w:r>
        <w:rPr>
          <w:rFonts w:hint="cs"/>
          <w:rtl/>
        </w:rPr>
        <w:t xml:space="preserve">في </w:t>
      </w:r>
      <w:r w:rsidRPr="00BF6CBF">
        <w:rPr>
          <w:rFonts w:hint="cs"/>
          <w:rtl/>
        </w:rPr>
        <w:t>انتظار نتائج المراجعة الشاملة الجارية (المواد 7 و9 و10 و13).</w:t>
      </w:r>
    </w:p>
    <w:p w:rsidR="00EC1CBF" w:rsidRPr="00116B5E" w:rsidRDefault="00EC1CBF" w:rsidP="007876C2">
      <w:pPr>
        <w:pStyle w:val="SingleTxt"/>
        <w:spacing w:line="380" w:lineRule="exact"/>
        <w:rPr>
          <w:b/>
          <w:bCs/>
          <w:rtl/>
        </w:rPr>
      </w:pPr>
      <w:r w:rsidRPr="00116B5E">
        <w:rPr>
          <w:rFonts w:hint="cs"/>
          <w:b/>
          <w:bCs/>
          <w:rtl/>
        </w:rPr>
        <w:tab/>
        <w:t>ينبغي للدولة الطرف أن تقوم بما يلي:</w:t>
      </w:r>
    </w:p>
    <w:p w:rsidR="00EC1CBF" w:rsidRPr="00116B5E" w:rsidRDefault="00EC1CBF" w:rsidP="007876C2">
      <w:pPr>
        <w:pStyle w:val="SingleTxt"/>
        <w:spacing w:line="380" w:lineRule="exact"/>
        <w:rPr>
          <w:b/>
          <w:bCs/>
          <w:rtl/>
        </w:rPr>
      </w:pPr>
      <w:r w:rsidRPr="00116B5E">
        <w:rPr>
          <w:rFonts w:hint="cs"/>
          <w:b/>
          <w:bCs/>
          <w:rtl/>
        </w:rPr>
        <w:tab/>
        <w:t>(أ)</w:t>
      </w:r>
      <w:r w:rsidRPr="00116B5E">
        <w:rPr>
          <w:rFonts w:hint="cs"/>
          <w:b/>
          <w:bCs/>
          <w:rtl/>
        </w:rPr>
        <w:tab/>
        <w:t>النص على مهلة زمنية لتحديد فترة احتجاز المهاجرين و</w:t>
      </w:r>
      <w:r>
        <w:rPr>
          <w:rFonts w:hint="cs"/>
          <w:b/>
          <w:bCs/>
          <w:rtl/>
        </w:rPr>
        <w:t xml:space="preserve">العمل على </w:t>
      </w:r>
      <w:r w:rsidRPr="00116B5E">
        <w:rPr>
          <w:rFonts w:hint="cs"/>
          <w:b/>
          <w:bCs/>
          <w:rtl/>
        </w:rPr>
        <w:t>أن يكون الاحتجاز تدبير</w:t>
      </w:r>
      <w:r>
        <w:rPr>
          <w:rFonts w:hint="cs"/>
          <w:b/>
          <w:bCs/>
          <w:rtl/>
        </w:rPr>
        <w:t>اً</w:t>
      </w:r>
      <w:r w:rsidRPr="00116B5E">
        <w:rPr>
          <w:rFonts w:hint="cs"/>
          <w:b/>
          <w:bCs/>
          <w:rtl/>
        </w:rPr>
        <w:t xml:space="preserve"> يُتخذ كملاذ أخير ويمكن تبريره كإجراء معقول وضروري ومتناسب في ضوء الظروف ذات الصلة؛</w:t>
      </w:r>
    </w:p>
    <w:p w:rsidR="00EC1CBF" w:rsidRPr="00C033DB" w:rsidRDefault="00EC1CBF" w:rsidP="007876C2">
      <w:pPr>
        <w:pStyle w:val="SingleTxt"/>
        <w:spacing w:line="380" w:lineRule="exact"/>
        <w:rPr>
          <w:b/>
          <w:bCs/>
          <w:spacing w:val="-2"/>
          <w:rtl/>
        </w:rPr>
      </w:pPr>
      <w:r w:rsidRPr="00C033DB">
        <w:rPr>
          <w:rFonts w:hint="cs"/>
          <w:b/>
          <w:bCs/>
          <w:spacing w:val="-2"/>
          <w:rtl/>
        </w:rPr>
        <w:tab/>
      </w:r>
      <w:r w:rsidRPr="00C033DB">
        <w:rPr>
          <w:rFonts w:hint="cs"/>
          <w:b/>
          <w:bCs/>
          <w:spacing w:val="-4"/>
          <w:rtl/>
        </w:rPr>
        <w:t>(ب)</w:t>
      </w:r>
      <w:r w:rsidRPr="00C033DB">
        <w:rPr>
          <w:rFonts w:hint="cs"/>
          <w:b/>
          <w:bCs/>
          <w:spacing w:val="-4"/>
          <w:rtl/>
        </w:rPr>
        <w:tab/>
        <w:t>ضمان تطابق التعديلات المدخلة على نظام المسار السريع المتعلق بالاحتجاز</w:t>
      </w:r>
      <w:r w:rsidRPr="00C033DB">
        <w:rPr>
          <w:rFonts w:hint="cs"/>
          <w:b/>
          <w:bCs/>
          <w:spacing w:val="-2"/>
          <w:rtl/>
        </w:rPr>
        <w:t xml:space="preserve"> بالكامل مع التزامات الدولة الطرف بموجب العهد. وينبغي للدولة الطرف أن تكفل حماية هذا النظام للأشخاص المستضعفين وتوفيره ضمانات فعالة من الإجراءات التعسفية والنصّ على الاحتكام الفعال إلى القضاء بما في ذلك الحصول على المساعدة القانونية.</w:t>
      </w:r>
    </w:p>
    <w:p w:rsidR="00EC1CBF" w:rsidRPr="00E52BE1" w:rsidRDefault="00EC1CBF" w:rsidP="00EC1CBF">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EC1CBF" w:rsidRPr="00116B5E" w:rsidRDefault="00EC1CBF" w:rsidP="00EC1CBF">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sidRPr="00116B5E">
        <w:rPr>
          <w:rFonts w:hint="cs"/>
          <w:rtl/>
        </w:rPr>
        <w:tab/>
      </w:r>
      <w:r w:rsidRPr="00116B5E">
        <w:rPr>
          <w:rFonts w:hint="cs"/>
          <w:rtl/>
        </w:rPr>
        <w:tab/>
        <w:t>المحاكمة العادلة وإقامة العدل</w:t>
      </w:r>
    </w:p>
    <w:p w:rsidR="00EC1CBF" w:rsidRPr="00B635B6" w:rsidRDefault="00EC1CBF" w:rsidP="007876C2">
      <w:pPr>
        <w:pStyle w:val="SingleTxt"/>
        <w:spacing w:line="380" w:lineRule="exact"/>
        <w:rPr>
          <w:rtl/>
        </w:rPr>
      </w:pPr>
      <w:r w:rsidRPr="00B635B6">
        <w:rPr>
          <w:rFonts w:hint="cs"/>
          <w:rtl/>
        </w:rPr>
        <w:t>22-</w:t>
      </w:r>
      <w:r w:rsidRPr="00B635B6">
        <w:rPr>
          <w:rFonts w:hint="cs"/>
          <w:rtl/>
        </w:rPr>
        <w:tab/>
        <w:t xml:space="preserve">يساور اللجنة القلق لأن قانون القضاء والأمن </w:t>
      </w:r>
      <w:r>
        <w:rPr>
          <w:rFonts w:hint="cs"/>
          <w:rtl/>
        </w:rPr>
        <w:t xml:space="preserve">الصادر عام </w:t>
      </w:r>
      <w:r w:rsidRPr="00B635B6">
        <w:rPr>
          <w:rFonts w:hint="cs"/>
          <w:rtl/>
        </w:rPr>
        <w:t>2013 وسع من نطاق است</w:t>
      </w:r>
      <w:r>
        <w:rPr>
          <w:rFonts w:hint="cs"/>
          <w:rtl/>
        </w:rPr>
        <w:t>خ</w:t>
      </w:r>
      <w:r w:rsidRPr="00B635B6">
        <w:rPr>
          <w:rFonts w:hint="cs"/>
          <w:rtl/>
        </w:rPr>
        <w:t xml:space="preserve">دام إجراءات </w:t>
      </w:r>
      <w:r>
        <w:rPr>
          <w:rFonts w:hint="cs"/>
          <w:rtl/>
        </w:rPr>
        <w:t>الأدلة السرية</w:t>
      </w:r>
      <w:r w:rsidRPr="00B635B6">
        <w:rPr>
          <w:rFonts w:hint="cs"/>
          <w:rtl/>
        </w:rPr>
        <w:t xml:space="preserve"> </w:t>
      </w:r>
      <w:r>
        <w:rPr>
          <w:rFonts w:hint="cs"/>
          <w:rtl/>
        </w:rPr>
        <w:t>لتشمل ا</w:t>
      </w:r>
      <w:r w:rsidRPr="00B635B6">
        <w:rPr>
          <w:rFonts w:hint="cs"/>
          <w:rtl/>
        </w:rPr>
        <w:t xml:space="preserve">لدعاوى المدنية المتعلقة </w:t>
      </w:r>
      <w:r>
        <w:rPr>
          <w:rFonts w:hint="cs"/>
          <w:rtl/>
        </w:rPr>
        <w:t>بأمور</w:t>
      </w:r>
      <w:r w:rsidRPr="00B635B6">
        <w:rPr>
          <w:rFonts w:hint="cs"/>
          <w:rtl/>
        </w:rPr>
        <w:t xml:space="preserve"> حساسة، التي يمكن أن يؤدي الكشف عنها إلى </w:t>
      </w:r>
      <w:r>
        <w:rPr>
          <w:rFonts w:hint="cs"/>
          <w:rtl/>
        </w:rPr>
        <w:t xml:space="preserve">الإضرار </w:t>
      </w:r>
      <w:r w:rsidRPr="00B635B6">
        <w:rPr>
          <w:rFonts w:hint="cs"/>
          <w:rtl/>
        </w:rPr>
        <w:t>بالأمن القومي</w:t>
      </w:r>
      <w:r>
        <w:rPr>
          <w:rFonts w:hint="cs"/>
          <w:rtl/>
        </w:rPr>
        <w:t>،</w:t>
      </w:r>
      <w:r w:rsidRPr="00B635B6">
        <w:rPr>
          <w:rFonts w:hint="cs"/>
          <w:rtl/>
        </w:rPr>
        <w:t xml:space="preserve"> بما في ذلك الدعاوى المدنية للحصول على التعويض وحالات النزاع التاريخية في </w:t>
      </w:r>
      <w:r>
        <w:rPr>
          <w:rFonts w:hint="cs"/>
          <w:rtl/>
        </w:rPr>
        <w:t>أيرلندا</w:t>
      </w:r>
      <w:r w:rsidRPr="00B635B6">
        <w:rPr>
          <w:rFonts w:hint="cs"/>
          <w:rtl/>
        </w:rPr>
        <w:t xml:space="preserve"> الشمالية. وتلاحظ اللجنة أوجه القلق البالغة فيما يتعلق بملاءمة الضمانات القائمة</w:t>
      </w:r>
      <w:r>
        <w:rPr>
          <w:rFonts w:hint="cs"/>
          <w:rtl/>
        </w:rPr>
        <w:t>،</w:t>
      </w:r>
      <w:r w:rsidRPr="00B635B6">
        <w:rPr>
          <w:rFonts w:hint="cs"/>
          <w:rtl/>
        </w:rPr>
        <w:t xml:space="preserve"> ولا سيما نظام </w:t>
      </w:r>
      <w:r>
        <w:rPr>
          <w:rFonts w:hint="cs"/>
          <w:rtl/>
        </w:rPr>
        <w:t>المحامي</w:t>
      </w:r>
      <w:r w:rsidRPr="00B635B6">
        <w:rPr>
          <w:rFonts w:hint="cs"/>
          <w:rtl/>
        </w:rPr>
        <w:t xml:space="preserve"> الخاص، الذي واجه انتقادات واسعة النطاق، بما في ذلك </w:t>
      </w:r>
      <w:r>
        <w:rPr>
          <w:rFonts w:hint="cs"/>
          <w:rtl/>
        </w:rPr>
        <w:t xml:space="preserve">الانتقادات التي وجهتها </w:t>
      </w:r>
      <w:r w:rsidRPr="00B635B6">
        <w:rPr>
          <w:rFonts w:hint="cs"/>
          <w:rtl/>
        </w:rPr>
        <w:t xml:space="preserve">اللجنة المشتركة لحقوق الإنسان، لأنه </w:t>
      </w:r>
      <w:r>
        <w:rPr>
          <w:rFonts w:hint="cs"/>
          <w:rtl/>
        </w:rPr>
        <w:t xml:space="preserve">لا </w:t>
      </w:r>
      <w:r w:rsidRPr="00B635B6">
        <w:rPr>
          <w:rFonts w:hint="cs"/>
          <w:rtl/>
        </w:rPr>
        <w:t xml:space="preserve">يضمن بما فيه الكفاية حقوق الأطراف المتأثرة، بما في ذلك تكافؤ وسائل الدفاع. ويساور اللجنة القلق أيضاً لأن الاختبار الجديد </w:t>
      </w:r>
      <w:r>
        <w:rPr>
          <w:rFonts w:hint="cs"/>
          <w:rtl/>
        </w:rPr>
        <w:t xml:space="preserve">المتعلق بالأخطاء القضائية، </w:t>
      </w:r>
      <w:r w:rsidRPr="00B635B6">
        <w:rPr>
          <w:rFonts w:hint="cs"/>
          <w:rtl/>
        </w:rPr>
        <w:t>الذي بدأ العمل فيه في عام 2014، قد لا</w:t>
      </w:r>
      <w:r w:rsidR="007876C2">
        <w:rPr>
          <w:rFonts w:hint="eastAsia"/>
          <w:rtl/>
        </w:rPr>
        <w:t> </w:t>
      </w:r>
      <w:r w:rsidRPr="00B635B6">
        <w:rPr>
          <w:rFonts w:hint="cs"/>
          <w:rtl/>
        </w:rPr>
        <w:t xml:space="preserve">يتطابق مع أحكام المادة 14(6) من العهد. ويساور اللجنة القلق أيضاً إزاء أثر </w:t>
      </w:r>
      <w:r>
        <w:rPr>
          <w:rFonts w:hint="cs"/>
          <w:rtl/>
        </w:rPr>
        <w:t>ال</w:t>
      </w:r>
      <w:r w:rsidRPr="00B635B6">
        <w:rPr>
          <w:rFonts w:hint="cs"/>
          <w:rtl/>
        </w:rPr>
        <w:t xml:space="preserve">تعديلات </w:t>
      </w:r>
      <w:r>
        <w:rPr>
          <w:rFonts w:hint="cs"/>
          <w:rtl/>
        </w:rPr>
        <w:t>في</w:t>
      </w:r>
      <w:r w:rsidRPr="00B635B6">
        <w:rPr>
          <w:rFonts w:hint="cs"/>
          <w:rtl/>
        </w:rPr>
        <w:t xml:space="preserve"> نظام المساعدة القانونية </w:t>
      </w:r>
      <w:r>
        <w:rPr>
          <w:rFonts w:hint="cs"/>
          <w:rtl/>
        </w:rPr>
        <w:t xml:space="preserve">على الاحتكام </w:t>
      </w:r>
      <w:r w:rsidRPr="00B635B6">
        <w:rPr>
          <w:rFonts w:hint="cs"/>
          <w:rtl/>
        </w:rPr>
        <w:t xml:space="preserve">إلى القضاء، بما في ذلك التخفيضات التي أُجريت </w:t>
      </w:r>
      <w:r>
        <w:rPr>
          <w:rFonts w:hint="cs"/>
          <w:rtl/>
        </w:rPr>
        <w:t xml:space="preserve">من </w:t>
      </w:r>
      <w:r w:rsidRPr="00B635B6">
        <w:rPr>
          <w:rFonts w:hint="cs"/>
          <w:rtl/>
        </w:rPr>
        <w:t xml:space="preserve">المساعدة القانونية في اسكتلندا، وأوجه النقص </w:t>
      </w:r>
      <w:r>
        <w:rPr>
          <w:rFonts w:hint="cs"/>
          <w:rtl/>
        </w:rPr>
        <w:t xml:space="preserve">التي تشوب نظام </w:t>
      </w:r>
      <w:r w:rsidRPr="00B635B6">
        <w:rPr>
          <w:rFonts w:hint="cs"/>
          <w:rtl/>
        </w:rPr>
        <w:t>التمويل الاستثنائي المطبق بموجب</w:t>
      </w:r>
      <w:r w:rsidRPr="007876C2">
        <w:rPr>
          <w:rFonts w:hint="cs"/>
          <w:rtl/>
        </w:rPr>
        <w:t xml:space="preserve"> </w:t>
      </w:r>
      <w:r w:rsidRPr="00494F6F">
        <w:rPr>
          <w:rFonts w:hint="cs"/>
          <w:rtl/>
        </w:rPr>
        <w:t>قانون</w:t>
      </w:r>
      <w:r>
        <w:rPr>
          <w:rFonts w:hint="cs"/>
          <w:b/>
          <w:bCs/>
          <w:rtl/>
        </w:rPr>
        <w:t xml:space="preserve"> </w:t>
      </w:r>
      <w:r w:rsidRPr="00B635B6">
        <w:rPr>
          <w:rFonts w:hint="cs"/>
          <w:rtl/>
        </w:rPr>
        <w:t>المساعدة القانونية</w:t>
      </w:r>
      <w:r>
        <w:rPr>
          <w:rFonts w:hint="cs"/>
          <w:rtl/>
        </w:rPr>
        <w:t xml:space="preserve"> وإدانة ومعاقبة</w:t>
      </w:r>
      <w:r w:rsidRPr="00B635B6">
        <w:rPr>
          <w:rFonts w:hint="cs"/>
          <w:rtl/>
        </w:rPr>
        <w:t xml:space="preserve"> المجرمين</w:t>
      </w:r>
      <w:r>
        <w:rPr>
          <w:rFonts w:hint="cs"/>
          <w:rtl/>
        </w:rPr>
        <w:t xml:space="preserve">، الصادر </w:t>
      </w:r>
      <w:r w:rsidRPr="00B635B6">
        <w:rPr>
          <w:rFonts w:hint="cs"/>
          <w:rtl/>
        </w:rPr>
        <w:t>عام 2012، و</w:t>
      </w:r>
      <w:r>
        <w:rPr>
          <w:rFonts w:hint="cs"/>
          <w:rtl/>
        </w:rPr>
        <w:t>ال</w:t>
      </w:r>
      <w:r w:rsidRPr="00B635B6">
        <w:rPr>
          <w:rFonts w:hint="cs"/>
          <w:rtl/>
        </w:rPr>
        <w:t xml:space="preserve">خطط </w:t>
      </w:r>
      <w:r>
        <w:rPr>
          <w:rFonts w:hint="cs"/>
          <w:rtl/>
        </w:rPr>
        <w:t xml:space="preserve">الرامية إلى </w:t>
      </w:r>
      <w:r w:rsidRPr="00B635B6">
        <w:rPr>
          <w:rFonts w:hint="cs"/>
          <w:rtl/>
        </w:rPr>
        <w:t xml:space="preserve">اختبار </w:t>
      </w:r>
      <w:r>
        <w:rPr>
          <w:rFonts w:hint="cs"/>
          <w:rtl/>
        </w:rPr>
        <w:t>الإ</w:t>
      </w:r>
      <w:r w:rsidRPr="00B635B6">
        <w:rPr>
          <w:rFonts w:hint="cs"/>
          <w:rtl/>
        </w:rPr>
        <w:t>قامة لل</w:t>
      </w:r>
      <w:r>
        <w:rPr>
          <w:rFonts w:hint="cs"/>
          <w:rtl/>
        </w:rPr>
        <w:t>حصول على ال</w:t>
      </w:r>
      <w:r w:rsidRPr="00B635B6">
        <w:rPr>
          <w:rFonts w:hint="cs"/>
          <w:rtl/>
        </w:rPr>
        <w:t xml:space="preserve">مساعدة القانونية </w:t>
      </w:r>
      <w:r>
        <w:rPr>
          <w:rFonts w:hint="cs"/>
          <w:rtl/>
        </w:rPr>
        <w:t xml:space="preserve">في الدعاوى </w:t>
      </w:r>
      <w:r w:rsidRPr="00B635B6">
        <w:rPr>
          <w:rFonts w:hint="cs"/>
          <w:rtl/>
        </w:rPr>
        <w:t>المدنية</w:t>
      </w:r>
      <w:r>
        <w:rPr>
          <w:rFonts w:hint="cs"/>
          <w:rtl/>
        </w:rPr>
        <w:t>،</w:t>
      </w:r>
      <w:r w:rsidRPr="00B635B6">
        <w:rPr>
          <w:rFonts w:hint="cs"/>
          <w:rtl/>
        </w:rPr>
        <w:t xml:space="preserve"> والربط بين المساعدة القانونية لطلبات المراجعة القضائ</w:t>
      </w:r>
      <w:r>
        <w:rPr>
          <w:rFonts w:hint="cs"/>
          <w:rtl/>
        </w:rPr>
        <w:t>ية</w:t>
      </w:r>
      <w:r w:rsidRPr="00B635B6">
        <w:rPr>
          <w:rFonts w:hint="cs"/>
          <w:rtl/>
        </w:rPr>
        <w:t xml:space="preserve"> وما إذا كانت المحكمة قد أجازت النظر في القضية. ويساور اللجنة القلق إزاء حالات التأخير في نظام القضاء الجنائي في </w:t>
      </w:r>
      <w:r>
        <w:rPr>
          <w:rFonts w:hint="cs"/>
          <w:rtl/>
        </w:rPr>
        <w:t>أيرلندا</w:t>
      </w:r>
      <w:r w:rsidRPr="00B635B6">
        <w:rPr>
          <w:rFonts w:hint="cs"/>
          <w:rtl/>
        </w:rPr>
        <w:t xml:space="preserve"> الشمالية (المادتان 2 و14).</w:t>
      </w:r>
    </w:p>
    <w:p w:rsidR="00EC1CBF" w:rsidRPr="00116B5E" w:rsidRDefault="00EC1CBF" w:rsidP="00EC1CBF">
      <w:pPr>
        <w:pStyle w:val="SingleTxt"/>
        <w:rPr>
          <w:b/>
          <w:bCs/>
          <w:rtl/>
        </w:rPr>
      </w:pPr>
      <w:r w:rsidRPr="00116B5E">
        <w:rPr>
          <w:rFonts w:hint="cs"/>
          <w:b/>
          <w:bCs/>
          <w:rtl/>
        </w:rPr>
        <w:lastRenderedPageBreak/>
        <w:tab/>
        <w:t>ينبغي للدولة الطرف أن تقوم بما يلي:</w:t>
      </w:r>
    </w:p>
    <w:p w:rsidR="00EC1CBF" w:rsidRPr="00116B5E" w:rsidRDefault="00EC1CBF" w:rsidP="00EC1CBF">
      <w:pPr>
        <w:pStyle w:val="SingleTxt"/>
        <w:rPr>
          <w:b/>
          <w:bCs/>
          <w:rtl/>
        </w:rPr>
      </w:pPr>
      <w:r w:rsidRPr="00116B5E">
        <w:rPr>
          <w:rFonts w:hint="cs"/>
          <w:b/>
          <w:bCs/>
          <w:rtl/>
        </w:rPr>
        <w:tab/>
        <w:t>(أ)</w:t>
      </w:r>
      <w:r w:rsidRPr="00116B5E">
        <w:rPr>
          <w:rFonts w:hint="cs"/>
          <w:b/>
          <w:bCs/>
          <w:rtl/>
        </w:rPr>
        <w:tab/>
        <w:t xml:space="preserve">ضمان </w:t>
      </w:r>
      <w:r>
        <w:rPr>
          <w:rFonts w:hint="cs"/>
          <w:b/>
          <w:bCs/>
          <w:rtl/>
        </w:rPr>
        <w:t xml:space="preserve">تطابق </w:t>
      </w:r>
      <w:r w:rsidRPr="00116B5E">
        <w:rPr>
          <w:rFonts w:hint="cs"/>
          <w:b/>
          <w:bCs/>
          <w:rtl/>
        </w:rPr>
        <w:t xml:space="preserve">أية قيود أو حدود تُفرض على ضمانات المحاكمة العادلة بالاستناد إلى </w:t>
      </w:r>
      <w:r>
        <w:rPr>
          <w:rFonts w:hint="cs"/>
          <w:b/>
          <w:bCs/>
          <w:rtl/>
        </w:rPr>
        <w:t>دواعي الحفاظ على ا</w:t>
      </w:r>
      <w:r w:rsidRPr="00116B5E">
        <w:rPr>
          <w:rFonts w:hint="cs"/>
          <w:b/>
          <w:bCs/>
          <w:rtl/>
        </w:rPr>
        <w:t>لأمن القومي</w:t>
      </w:r>
      <w:r>
        <w:rPr>
          <w:rFonts w:hint="cs"/>
          <w:b/>
          <w:bCs/>
          <w:rtl/>
        </w:rPr>
        <w:t>،</w:t>
      </w:r>
      <w:r w:rsidRPr="00116B5E">
        <w:rPr>
          <w:rFonts w:hint="cs"/>
          <w:b/>
          <w:bCs/>
          <w:rtl/>
        </w:rPr>
        <w:t xml:space="preserve"> بما في ذلك استخدام الأدلة السرية، </w:t>
      </w:r>
      <w:r>
        <w:rPr>
          <w:rFonts w:hint="cs"/>
          <w:b/>
          <w:bCs/>
          <w:rtl/>
        </w:rPr>
        <w:t xml:space="preserve">تطابقاً تاماً </w:t>
      </w:r>
      <w:r w:rsidRPr="00116B5E">
        <w:rPr>
          <w:rFonts w:hint="cs"/>
          <w:b/>
          <w:bCs/>
          <w:rtl/>
        </w:rPr>
        <w:t xml:space="preserve">مع التزامات الدولة الطرف بموجب العهد، ولا سيما </w:t>
      </w:r>
      <w:r>
        <w:rPr>
          <w:rFonts w:hint="cs"/>
          <w:b/>
          <w:bCs/>
          <w:rtl/>
        </w:rPr>
        <w:t>العمل على أن لا</w:t>
      </w:r>
      <w:r w:rsidRPr="00116B5E">
        <w:rPr>
          <w:rFonts w:hint="cs"/>
          <w:b/>
          <w:bCs/>
          <w:rtl/>
        </w:rPr>
        <w:t xml:space="preserve"> يؤدي اللجوء إلى إجراءات الأدلة السرية</w:t>
      </w:r>
      <w:r>
        <w:rPr>
          <w:rFonts w:hint="cs"/>
          <w:b/>
          <w:bCs/>
          <w:rtl/>
        </w:rPr>
        <w:t>،</w:t>
      </w:r>
      <w:r w:rsidRPr="00116B5E">
        <w:rPr>
          <w:rFonts w:hint="cs"/>
          <w:b/>
          <w:bCs/>
          <w:rtl/>
        </w:rPr>
        <w:t xml:space="preserve"> في </w:t>
      </w:r>
      <w:r>
        <w:rPr>
          <w:rFonts w:hint="cs"/>
          <w:b/>
          <w:bCs/>
          <w:rtl/>
        </w:rPr>
        <w:t>ال</w:t>
      </w:r>
      <w:r w:rsidRPr="00116B5E">
        <w:rPr>
          <w:rFonts w:hint="cs"/>
          <w:b/>
          <w:bCs/>
          <w:rtl/>
        </w:rPr>
        <w:t xml:space="preserve">حالات </w:t>
      </w:r>
      <w:r>
        <w:rPr>
          <w:rFonts w:hint="cs"/>
          <w:b/>
          <w:bCs/>
          <w:rtl/>
        </w:rPr>
        <w:t xml:space="preserve">التي تنطوي على </w:t>
      </w:r>
      <w:r w:rsidRPr="00116B5E">
        <w:rPr>
          <w:rFonts w:hint="cs"/>
          <w:b/>
          <w:bCs/>
          <w:rtl/>
        </w:rPr>
        <w:t>انتهاكات صارخة لحقوق الإنسان</w:t>
      </w:r>
      <w:r>
        <w:rPr>
          <w:rFonts w:hint="cs"/>
          <w:b/>
          <w:bCs/>
          <w:rtl/>
        </w:rPr>
        <w:t xml:space="preserve">، إلى وضع </w:t>
      </w:r>
      <w:r w:rsidRPr="00116B5E">
        <w:rPr>
          <w:rFonts w:hint="cs"/>
          <w:b/>
          <w:bCs/>
          <w:rtl/>
        </w:rPr>
        <w:t xml:space="preserve">عقبات </w:t>
      </w:r>
      <w:r>
        <w:rPr>
          <w:rFonts w:hint="cs"/>
          <w:b/>
          <w:bCs/>
          <w:rtl/>
        </w:rPr>
        <w:t xml:space="preserve">تحول دون </w:t>
      </w:r>
      <w:r w:rsidRPr="00116B5E">
        <w:rPr>
          <w:rFonts w:hint="cs"/>
          <w:b/>
          <w:bCs/>
          <w:rtl/>
        </w:rPr>
        <w:t>تحديد مسؤولية الدولة و</w:t>
      </w:r>
      <w:r>
        <w:rPr>
          <w:rFonts w:hint="cs"/>
          <w:b/>
          <w:bCs/>
          <w:rtl/>
        </w:rPr>
        <w:t>مساءلتها و</w:t>
      </w:r>
      <w:r w:rsidRPr="00116B5E">
        <w:rPr>
          <w:rFonts w:hint="cs"/>
          <w:b/>
          <w:bCs/>
          <w:rtl/>
        </w:rPr>
        <w:t>الإضرار بحق الضحايا في محاكمة عادلة وتعويض فعال؛</w:t>
      </w:r>
    </w:p>
    <w:p w:rsidR="00EC1CBF" w:rsidRPr="00116B5E" w:rsidRDefault="00EC1CBF" w:rsidP="00EC1CBF">
      <w:pPr>
        <w:pStyle w:val="SingleTxt"/>
        <w:rPr>
          <w:b/>
          <w:bCs/>
          <w:rtl/>
        </w:rPr>
      </w:pPr>
      <w:r w:rsidRPr="00116B5E">
        <w:rPr>
          <w:rFonts w:hint="cs"/>
          <w:b/>
          <w:bCs/>
          <w:rtl/>
        </w:rPr>
        <w:tab/>
        <w:t>(ب)</w:t>
      </w:r>
      <w:r w:rsidRPr="00116B5E">
        <w:rPr>
          <w:rFonts w:hint="cs"/>
          <w:b/>
          <w:bCs/>
          <w:rtl/>
        </w:rPr>
        <w:tab/>
        <w:t xml:space="preserve">مراجعة الاختبار الجديد </w:t>
      </w:r>
      <w:r>
        <w:rPr>
          <w:rFonts w:hint="cs"/>
          <w:b/>
          <w:bCs/>
          <w:rtl/>
        </w:rPr>
        <w:t>المتعلق بالأخطاء</w:t>
      </w:r>
      <w:r w:rsidRPr="00116B5E">
        <w:rPr>
          <w:rFonts w:hint="cs"/>
          <w:b/>
          <w:bCs/>
          <w:rtl/>
        </w:rPr>
        <w:t xml:space="preserve"> القضا</w:t>
      </w:r>
      <w:r>
        <w:rPr>
          <w:rFonts w:hint="cs"/>
          <w:b/>
          <w:bCs/>
          <w:rtl/>
        </w:rPr>
        <w:t>ئية</w:t>
      </w:r>
      <w:r w:rsidRPr="00116B5E">
        <w:rPr>
          <w:rFonts w:hint="cs"/>
          <w:b/>
          <w:bCs/>
          <w:rtl/>
        </w:rPr>
        <w:t xml:space="preserve"> بهدف ضمان تطابقه مع أحكام المادة 14(6) من العهد؛</w:t>
      </w:r>
    </w:p>
    <w:p w:rsidR="00EC1CBF" w:rsidRPr="00116B5E" w:rsidRDefault="00EC1CBF" w:rsidP="00EC1CBF">
      <w:pPr>
        <w:pStyle w:val="SingleTxt"/>
        <w:rPr>
          <w:b/>
          <w:bCs/>
          <w:rtl/>
        </w:rPr>
      </w:pPr>
      <w:r w:rsidRPr="00116B5E">
        <w:rPr>
          <w:rFonts w:hint="cs"/>
          <w:b/>
          <w:bCs/>
          <w:rtl/>
        </w:rPr>
        <w:tab/>
        <w:t>(ج)</w:t>
      </w:r>
      <w:r w:rsidRPr="00116B5E">
        <w:rPr>
          <w:rFonts w:hint="cs"/>
          <w:b/>
          <w:bCs/>
          <w:rtl/>
        </w:rPr>
        <w:tab/>
        <w:t xml:space="preserve">ضمان ألاّ تؤدي التعديلات في نظام المساعدة القانونية إلى </w:t>
      </w:r>
      <w:r>
        <w:rPr>
          <w:rFonts w:hint="cs"/>
          <w:b/>
          <w:bCs/>
          <w:rtl/>
        </w:rPr>
        <w:t>المسّ ب</w:t>
      </w:r>
      <w:r w:rsidRPr="00116B5E">
        <w:rPr>
          <w:rFonts w:hint="cs"/>
          <w:b/>
          <w:bCs/>
          <w:rtl/>
        </w:rPr>
        <w:t xml:space="preserve">الحق في الوصول إلى المحاكم </w:t>
      </w:r>
      <w:r>
        <w:rPr>
          <w:rFonts w:hint="cs"/>
          <w:b/>
          <w:bCs/>
          <w:rtl/>
        </w:rPr>
        <w:t>والتعويض الفعال، وذلك من خلال</w:t>
      </w:r>
      <w:r w:rsidRPr="00116B5E">
        <w:rPr>
          <w:rFonts w:hint="cs"/>
          <w:b/>
          <w:bCs/>
          <w:rtl/>
        </w:rPr>
        <w:t xml:space="preserve"> أمور منها معالجة مواطن الضعف في نظام التمويل الاستثنائي للمساعدة القانونية، من خلال استعراض الحاجة إلى اختبار الإقامة والقيود المفروضة على </w:t>
      </w:r>
      <w:r>
        <w:rPr>
          <w:rFonts w:hint="cs"/>
          <w:b/>
          <w:bCs/>
          <w:rtl/>
        </w:rPr>
        <w:t xml:space="preserve">الحصول على </w:t>
      </w:r>
      <w:r w:rsidRPr="00116B5E">
        <w:rPr>
          <w:rFonts w:hint="cs"/>
          <w:b/>
          <w:bCs/>
          <w:rtl/>
        </w:rPr>
        <w:t>المساعدة القانونية؛</w:t>
      </w:r>
    </w:p>
    <w:p w:rsidR="00EC1CBF" w:rsidRPr="00116B5E" w:rsidRDefault="00EC1CBF" w:rsidP="00EC1CBF">
      <w:pPr>
        <w:pStyle w:val="SingleTxt"/>
        <w:rPr>
          <w:b/>
          <w:bCs/>
          <w:rtl/>
        </w:rPr>
      </w:pPr>
      <w:r w:rsidRPr="00116B5E">
        <w:rPr>
          <w:rFonts w:hint="cs"/>
          <w:b/>
          <w:bCs/>
          <w:rtl/>
        </w:rPr>
        <w:tab/>
        <w:t>(د)</w:t>
      </w:r>
      <w:r w:rsidRPr="00116B5E">
        <w:rPr>
          <w:rFonts w:hint="cs"/>
          <w:b/>
          <w:bCs/>
          <w:rtl/>
        </w:rPr>
        <w:tab/>
        <w:t xml:space="preserve">اتخاذ تدابير ملموسة للحد من </w:t>
      </w:r>
      <w:r>
        <w:rPr>
          <w:rFonts w:hint="cs"/>
          <w:b/>
          <w:bCs/>
          <w:rtl/>
        </w:rPr>
        <w:t xml:space="preserve">حالات التأخير التي </w:t>
      </w:r>
      <w:r w:rsidRPr="00116B5E">
        <w:rPr>
          <w:rFonts w:hint="cs"/>
          <w:b/>
          <w:bCs/>
          <w:rtl/>
        </w:rPr>
        <w:t xml:space="preserve">يمكن تجنبها في نظام القضاء الجنائي في </w:t>
      </w:r>
      <w:r>
        <w:rPr>
          <w:rFonts w:hint="cs"/>
          <w:b/>
          <w:bCs/>
          <w:rtl/>
        </w:rPr>
        <w:t>أيرلندا</w:t>
      </w:r>
      <w:r w:rsidRPr="00116B5E">
        <w:rPr>
          <w:rFonts w:hint="cs"/>
          <w:b/>
          <w:bCs/>
          <w:rtl/>
        </w:rPr>
        <w:t xml:space="preserve"> الشمالية، </w:t>
      </w:r>
      <w:r>
        <w:rPr>
          <w:rFonts w:hint="cs"/>
          <w:b/>
          <w:bCs/>
          <w:rtl/>
        </w:rPr>
        <w:t xml:space="preserve">بوسائل منها </w:t>
      </w:r>
      <w:r w:rsidRPr="00116B5E">
        <w:rPr>
          <w:rFonts w:hint="cs"/>
          <w:b/>
          <w:bCs/>
          <w:rtl/>
        </w:rPr>
        <w:t>تطبيق حدود زمنية على</w:t>
      </w:r>
      <w:r>
        <w:rPr>
          <w:rFonts w:hint="cs"/>
          <w:b/>
          <w:bCs/>
          <w:rtl/>
        </w:rPr>
        <w:t xml:space="preserve"> فترة</w:t>
      </w:r>
      <w:r w:rsidRPr="00116B5E">
        <w:rPr>
          <w:rFonts w:hint="cs"/>
          <w:b/>
          <w:bCs/>
          <w:rtl/>
        </w:rPr>
        <w:t xml:space="preserve"> الاحتجاز.</w:t>
      </w:r>
    </w:p>
    <w:p w:rsidR="00EC1CBF" w:rsidRPr="00E52BE1" w:rsidRDefault="00EC1CBF" w:rsidP="00EC1CBF">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EC1CBF" w:rsidRPr="00116B5E" w:rsidRDefault="00EC1CBF" w:rsidP="00EC1CBF">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sidRPr="00116B5E">
        <w:rPr>
          <w:rFonts w:hint="cs"/>
          <w:rtl/>
        </w:rPr>
        <w:tab/>
      </w:r>
      <w:r w:rsidRPr="00116B5E">
        <w:rPr>
          <w:rFonts w:hint="cs"/>
          <w:rtl/>
        </w:rPr>
        <w:tab/>
        <w:t>إدارة شؤون قضاء الأحداث</w:t>
      </w:r>
    </w:p>
    <w:p w:rsidR="00EC1CBF" w:rsidRPr="00D57116" w:rsidRDefault="00EC1CBF" w:rsidP="00EC1CBF">
      <w:pPr>
        <w:pStyle w:val="SingleTxt"/>
        <w:rPr>
          <w:rtl/>
        </w:rPr>
      </w:pPr>
      <w:r w:rsidRPr="00D57116">
        <w:rPr>
          <w:rFonts w:hint="cs"/>
          <w:rtl/>
        </w:rPr>
        <w:t>23-</w:t>
      </w:r>
      <w:r w:rsidRPr="00D57116">
        <w:rPr>
          <w:rFonts w:hint="cs"/>
          <w:rtl/>
        </w:rPr>
        <w:tab/>
        <w:t>يساور اللجنة القلق لأن سن المسؤولية الجنائية محدد</w:t>
      </w:r>
      <w:r>
        <w:rPr>
          <w:rFonts w:hint="cs"/>
          <w:rtl/>
        </w:rPr>
        <w:t>ة</w:t>
      </w:r>
      <w:r w:rsidRPr="00D57116">
        <w:rPr>
          <w:rFonts w:hint="cs"/>
          <w:rtl/>
        </w:rPr>
        <w:t xml:space="preserve"> عند 8 سنوات في اسكتلندا </w:t>
      </w:r>
      <w:r>
        <w:rPr>
          <w:rFonts w:hint="cs"/>
          <w:rtl/>
        </w:rPr>
        <w:t>(</w:t>
      </w:r>
      <w:r w:rsidRPr="00D57116">
        <w:rPr>
          <w:rFonts w:hint="cs"/>
          <w:rtl/>
        </w:rPr>
        <w:t>و12</w:t>
      </w:r>
      <w:r>
        <w:rPr>
          <w:rFonts w:hint="eastAsia"/>
          <w:rtl/>
        </w:rPr>
        <w:t> </w:t>
      </w:r>
      <w:r w:rsidRPr="00D57116">
        <w:rPr>
          <w:rFonts w:hint="cs"/>
          <w:rtl/>
        </w:rPr>
        <w:t xml:space="preserve">سنة في المحاكمة </w:t>
      </w:r>
      <w:r>
        <w:rPr>
          <w:rFonts w:hint="cs"/>
          <w:rtl/>
        </w:rPr>
        <w:t xml:space="preserve">على القضايا </w:t>
      </w:r>
      <w:r w:rsidRPr="00D57116">
        <w:rPr>
          <w:rFonts w:hint="cs"/>
          <w:rtl/>
        </w:rPr>
        <w:t>الجنائية</w:t>
      </w:r>
      <w:r>
        <w:rPr>
          <w:rFonts w:hint="cs"/>
          <w:rtl/>
        </w:rPr>
        <w:t>)</w:t>
      </w:r>
      <w:r w:rsidRPr="00D57116">
        <w:rPr>
          <w:rFonts w:hint="cs"/>
          <w:rtl/>
        </w:rPr>
        <w:t xml:space="preserve"> و10 سنوات في إنكلترا وويلز و</w:t>
      </w:r>
      <w:r>
        <w:rPr>
          <w:rFonts w:hint="cs"/>
          <w:rtl/>
        </w:rPr>
        <w:t>أيرلندا</w:t>
      </w:r>
      <w:r w:rsidRPr="00D57116">
        <w:rPr>
          <w:rFonts w:hint="cs"/>
          <w:rtl/>
        </w:rPr>
        <w:t xml:space="preserve"> الشمالية، وذلك لا</w:t>
      </w:r>
      <w:r>
        <w:rPr>
          <w:rFonts w:hint="eastAsia"/>
          <w:rtl/>
        </w:rPr>
        <w:t> </w:t>
      </w:r>
      <w:r w:rsidRPr="00D57116">
        <w:rPr>
          <w:rFonts w:hint="cs"/>
          <w:rtl/>
        </w:rPr>
        <w:t xml:space="preserve">يتفق مع المعايير الدولية. ويساور اللجنة القلق أيضاً إزاء التقارير التي تفيد بارتفاع عدد الأطفال المتهمين المحتجزين الذين </w:t>
      </w:r>
      <w:r>
        <w:rPr>
          <w:rFonts w:hint="cs"/>
          <w:rtl/>
        </w:rPr>
        <w:t xml:space="preserve">تصدر بحقهم أحكام </w:t>
      </w:r>
      <w:r w:rsidRPr="00D57116">
        <w:rPr>
          <w:rFonts w:hint="cs"/>
          <w:rtl/>
        </w:rPr>
        <w:t>بالسجن، مما قد يشير إلى أن احتجازهم لم يكن ضرورياً على الإطلاق (المواد 9 و14 و24).</w:t>
      </w:r>
    </w:p>
    <w:p w:rsidR="00EC1CBF" w:rsidRPr="00116B5E" w:rsidRDefault="00EC1CBF" w:rsidP="00EC1CBF">
      <w:pPr>
        <w:pStyle w:val="SingleTxt"/>
        <w:rPr>
          <w:b/>
          <w:bCs/>
          <w:rtl/>
        </w:rPr>
      </w:pPr>
      <w:r w:rsidRPr="00116B5E">
        <w:rPr>
          <w:rFonts w:hint="cs"/>
          <w:b/>
          <w:bCs/>
          <w:rtl/>
        </w:rPr>
        <w:tab/>
        <w:t>ينبغي للدولة الطرف أن تقوم بما يلي:</w:t>
      </w:r>
    </w:p>
    <w:p w:rsidR="00EC1CBF" w:rsidRPr="00116B5E" w:rsidRDefault="00EC1CBF" w:rsidP="00EC1CBF">
      <w:pPr>
        <w:pStyle w:val="SingleTxt"/>
        <w:rPr>
          <w:b/>
          <w:bCs/>
          <w:rtl/>
        </w:rPr>
      </w:pPr>
      <w:r w:rsidRPr="00116B5E">
        <w:rPr>
          <w:rFonts w:hint="cs"/>
          <w:b/>
          <w:bCs/>
          <w:rtl/>
        </w:rPr>
        <w:tab/>
        <w:t>(أ)</w:t>
      </w:r>
      <w:r w:rsidRPr="00116B5E">
        <w:rPr>
          <w:rFonts w:hint="cs"/>
          <w:b/>
          <w:bCs/>
          <w:rtl/>
        </w:rPr>
        <w:tab/>
        <w:t>رفع السن</w:t>
      </w:r>
      <w:r>
        <w:rPr>
          <w:rFonts w:hint="cs"/>
          <w:b/>
          <w:bCs/>
          <w:rtl/>
        </w:rPr>
        <w:t>ّ</w:t>
      </w:r>
      <w:r w:rsidRPr="00116B5E">
        <w:rPr>
          <w:rFonts w:hint="cs"/>
          <w:b/>
          <w:bCs/>
          <w:rtl/>
        </w:rPr>
        <w:t xml:space="preserve"> ال</w:t>
      </w:r>
      <w:r>
        <w:rPr>
          <w:rFonts w:hint="cs"/>
          <w:b/>
          <w:bCs/>
          <w:rtl/>
        </w:rPr>
        <w:t xml:space="preserve">دنيا </w:t>
      </w:r>
      <w:r w:rsidRPr="00116B5E">
        <w:rPr>
          <w:rFonts w:hint="cs"/>
          <w:b/>
          <w:bCs/>
          <w:rtl/>
        </w:rPr>
        <w:t xml:space="preserve">للمسؤولية الجنائية وفقاً للمعايير الدولية وضمان التنفيذ الكامل للمعايير الدولية </w:t>
      </w:r>
      <w:r>
        <w:rPr>
          <w:rFonts w:hint="cs"/>
          <w:b/>
          <w:bCs/>
          <w:rtl/>
        </w:rPr>
        <w:t>المتعلقة ب</w:t>
      </w:r>
      <w:r w:rsidRPr="00116B5E">
        <w:rPr>
          <w:rFonts w:hint="cs"/>
          <w:b/>
          <w:bCs/>
          <w:rtl/>
        </w:rPr>
        <w:t>قضاء الأحداث؛</w:t>
      </w:r>
    </w:p>
    <w:p w:rsidR="00EC1CBF" w:rsidRPr="007876C2" w:rsidRDefault="00EC1CBF" w:rsidP="00EC1CBF">
      <w:pPr>
        <w:pStyle w:val="SingleTxt"/>
        <w:rPr>
          <w:b/>
          <w:bCs/>
          <w:spacing w:val="-4"/>
          <w:rtl/>
        </w:rPr>
      </w:pPr>
      <w:r w:rsidRPr="007876C2">
        <w:rPr>
          <w:rFonts w:hint="cs"/>
          <w:b/>
          <w:bCs/>
          <w:spacing w:val="-4"/>
          <w:rtl/>
        </w:rPr>
        <w:tab/>
        <w:t>(ب)</w:t>
      </w:r>
      <w:r w:rsidRPr="007876C2">
        <w:rPr>
          <w:rFonts w:hint="cs"/>
          <w:b/>
          <w:bCs/>
          <w:spacing w:val="-4"/>
          <w:rtl/>
        </w:rPr>
        <w:tab/>
        <w:t>تكثيف جهودها بهدف زيادة تقليص عدد الأطفال في نظام قضاء الأحداث؛</w:t>
      </w:r>
    </w:p>
    <w:p w:rsidR="00EC1CBF" w:rsidRPr="00116B5E" w:rsidRDefault="00EC1CBF" w:rsidP="007876C2">
      <w:pPr>
        <w:pStyle w:val="SingleTxt"/>
        <w:rPr>
          <w:b/>
          <w:bCs/>
          <w:rtl/>
        </w:rPr>
      </w:pPr>
      <w:r w:rsidRPr="00116B5E">
        <w:rPr>
          <w:rFonts w:hint="cs"/>
          <w:b/>
          <w:bCs/>
          <w:rtl/>
        </w:rPr>
        <w:tab/>
        <w:t>(ج)</w:t>
      </w:r>
      <w:r w:rsidRPr="00116B5E">
        <w:rPr>
          <w:rFonts w:hint="cs"/>
          <w:b/>
          <w:bCs/>
          <w:rtl/>
        </w:rPr>
        <w:tab/>
        <w:t xml:space="preserve">ضمان عدم اللجوء إلى </w:t>
      </w:r>
      <w:r>
        <w:rPr>
          <w:rFonts w:hint="cs"/>
          <w:b/>
          <w:bCs/>
          <w:rtl/>
        </w:rPr>
        <w:t>احتجاز ا</w:t>
      </w:r>
      <w:r w:rsidRPr="00116B5E">
        <w:rPr>
          <w:rFonts w:hint="cs"/>
          <w:b/>
          <w:bCs/>
          <w:rtl/>
        </w:rPr>
        <w:t xml:space="preserve">لأطفال </w:t>
      </w:r>
      <w:r>
        <w:rPr>
          <w:rFonts w:hint="cs"/>
          <w:b/>
          <w:bCs/>
          <w:rtl/>
        </w:rPr>
        <w:t xml:space="preserve">المتهمين </w:t>
      </w:r>
      <w:r w:rsidRPr="006A6960">
        <w:rPr>
          <w:rFonts w:hint="cs"/>
          <w:b/>
          <w:bCs/>
          <w:rtl/>
        </w:rPr>
        <w:t>رهن المحاكمة</w:t>
      </w:r>
      <w:r>
        <w:rPr>
          <w:rFonts w:hint="cs"/>
          <w:b/>
          <w:bCs/>
          <w:rtl/>
        </w:rPr>
        <w:t xml:space="preserve"> </w:t>
      </w:r>
      <w:r w:rsidRPr="00116B5E">
        <w:rPr>
          <w:rFonts w:hint="cs"/>
          <w:b/>
          <w:bCs/>
          <w:rtl/>
        </w:rPr>
        <w:t>إلا</w:t>
      </w:r>
      <w:r>
        <w:rPr>
          <w:rFonts w:hint="eastAsia"/>
          <w:b/>
          <w:bCs/>
          <w:rtl/>
        </w:rPr>
        <w:t> </w:t>
      </w:r>
      <w:r w:rsidRPr="00116B5E">
        <w:rPr>
          <w:rFonts w:hint="cs"/>
          <w:b/>
          <w:bCs/>
          <w:rtl/>
        </w:rPr>
        <w:t xml:space="preserve">كتدبير </w:t>
      </w:r>
      <w:r>
        <w:rPr>
          <w:rFonts w:hint="cs"/>
          <w:b/>
          <w:bCs/>
          <w:rtl/>
        </w:rPr>
        <w:t xml:space="preserve">يُتخذ كملاذ أخير </w:t>
      </w:r>
      <w:r w:rsidRPr="00116B5E">
        <w:rPr>
          <w:rFonts w:hint="cs"/>
          <w:b/>
          <w:bCs/>
          <w:rtl/>
        </w:rPr>
        <w:t xml:space="preserve">ولأقصر فترة زمنية ممكنة </w:t>
      </w:r>
      <w:r>
        <w:rPr>
          <w:rFonts w:hint="cs"/>
          <w:b/>
          <w:bCs/>
          <w:rtl/>
        </w:rPr>
        <w:t>وضمان</w:t>
      </w:r>
      <w:r w:rsidRPr="00116B5E">
        <w:rPr>
          <w:rFonts w:hint="cs"/>
          <w:b/>
          <w:bCs/>
          <w:rtl/>
        </w:rPr>
        <w:t xml:space="preserve"> ملاءمة </w:t>
      </w:r>
      <w:r>
        <w:rPr>
          <w:rFonts w:hint="cs"/>
          <w:b/>
          <w:bCs/>
          <w:rtl/>
        </w:rPr>
        <w:t>إجراءات الكفالة</w:t>
      </w:r>
      <w:r w:rsidR="007876C2">
        <w:rPr>
          <w:rFonts w:hint="eastAsia"/>
          <w:b/>
          <w:bCs/>
          <w:rtl/>
        </w:rPr>
        <w:t> </w:t>
      </w:r>
      <w:r w:rsidRPr="00116B5E">
        <w:rPr>
          <w:rFonts w:hint="cs"/>
          <w:b/>
          <w:bCs/>
          <w:rtl/>
        </w:rPr>
        <w:t xml:space="preserve">المتاحة للأطفال المتهمين في </w:t>
      </w:r>
      <w:r>
        <w:rPr>
          <w:rFonts w:hint="cs"/>
          <w:b/>
          <w:bCs/>
          <w:rtl/>
        </w:rPr>
        <w:t>أيرلندا</w:t>
      </w:r>
      <w:r w:rsidRPr="00116B5E">
        <w:rPr>
          <w:rFonts w:hint="cs"/>
          <w:b/>
          <w:bCs/>
          <w:rtl/>
        </w:rPr>
        <w:t xml:space="preserve"> الشمالية.</w:t>
      </w:r>
    </w:p>
    <w:p w:rsidR="00EC1CBF" w:rsidRPr="00116B5E" w:rsidRDefault="00EC1CBF" w:rsidP="00EC1CBF">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sidRPr="00116B5E">
        <w:rPr>
          <w:rFonts w:hint="cs"/>
          <w:rtl/>
        </w:rPr>
        <w:lastRenderedPageBreak/>
        <w:tab/>
      </w:r>
      <w:r w:rsidRPr="00116B5E">
        <w:rPr>
          <w:rFonts w:hint="cs"/>
          <w:rtl/>
        </w:rPr>
        <w:tab/>
      </w:r>
      <w:r>
        <w:rPr>
          <w:rFonts w:hint="cs"/>
          <w:rtl/>
        </w:rPr>
        <w:t xml:space="preserve">المراقبة الحكومية واعتراض الاتصالات </w:t>
      </w:r>
    </w:p>
    <w:p w:rsidR="00EC1CBF" w:rsidRPr="007876C2" w:rsidRDefault="00EC1CBF" w:rsidP="007876C2">
      <w:pPr>
        <w:pStyle w:val="SingleTxt"/>
        <w:spacing w:line="386" w:lineRule="exact"/>
        <w:rPr>
          <w:spacing w:val="-2"/>
          <w:rtl/>
        </w:rPr>
      </w:pPr>
      <w:r w:rsidRPr="007876C2">
        <w:rPr>
          <w:rFonts w:hint="cs"/>
          <w:spacing w:val="-2"/>
          <w:rtl/>
        </w:rPr>
        <w:t>24-</w:t>
      </w:r>
      <w:r w:rsidRPr="007876C2">
        <w:rPr>
          <w:rFonts w:hint="cs"/>
          <w:spacing w:val="-2"/>
          <w:rtl/>
        </w:rPr>
        <w:tab/>
        <w:t>يساور اللجنة القلق إزاء النظام القانوني الحالي في الدولة الطرف الذي ينظم اعتراض الاتصالات وبيانات الاتصالات ويسمح باعتراض الاتصالات بشكل كبير ويفتقر للضمانات الكافية فيما يتعلق بالتدخل التعسفي في الحق في الخصوصية. وتلاحظ أموراً منها أن مراسلات منظمة العفو الدولية عن طريق البريد الإلكتروني قد اعترضتها الحكومة بموجب أمر عام. ويساور اللجنة القلق (أ) لأن لوائح قانون صلاحيات التحقيق الصادر عام 2000، الذي يميز بين الرسائل "الداخلية" و"الخارجية"، ينص على أوامر غير مستهدفة لاعتراض الاتصالات الخاصة الخارجية وبيانات الاتصالات المرسلة أو التي يتم تلقيها خارج المملكة المتحدة دون أن يقدم الضمانات نفسها التي يمكن تطبيقها على اعتراض الاتصالات الداخلية؛ (ب) إزاء الافتقار لضمانات كافية فيما يتعلق بالحصول على اتصالات خاصة من وكالات أمن خارجية وتقاسم بيانات الاتصالات الشخصية مع مثل هذه الوكالات. ويساور اللجنة القلق أيضاً لأن قانون الاحتفاظ بالبيانات وصلاحيات التحقيق الصادر عام 2014 ينص على صلاحيات أوسع للاحتفاظ ببيانات الاتصالات ولأن الوصول إلى مثل هذه البيانات لا يقتصر، فيما يبدو، على الجرائم الأكثر خطورة (المواد 2 و17 و19 و26).</w:t>
      </w:r>
    </w:p>
    <w:p w:rsidR="00EC1CBF" w:rsidRPr="00116B5E" w:rsidRDefault="00EC1CBF" w:rsidP="00EC1CBF">
      <w:pPr>
        <w:pStyle w:val="SingleTxt"/>
        <w:rPr>
          <w:b/>
          <w:bCs/>
          <w:rtl/>
        </w:rPr>
      </w:pPr>
      <w:r w:rsidRPr="00116B5E">
        <w:rPr>
          <w:rFonts w:hint="cs"/>
          <w:b/>
          <w:bCs/>
          <w:rtl/>
        </w:rPr>
        <w:tab/>
        <w:t>ينبغي للدولة الطرف أن تقوم بما يلي:</w:t>
      </w:r>
    </w:p>
    <w:p w:rsidR="00EC1CBF" w:rsidRPr="007876C2" w:rsidRDefault="00EC1CBF" w:rsidP="007876C2">
      <w:pPr>
        <w:pStyle w:val="SingleTxt"/>
        <w:spacing w:line="386" w:lineRule="exact"/>
        <w:rPr>
          <w:b/>
          <w:bCs/>
          <w:spacing w:val="-4"/>
          <w:rtl/>
        </w:rPr>
      </w:pPr>
      <w:r w:rsidRPr="007876C2">
        <w:rPr>
          <w:rFonts w:hint="cs"/>
          <w:b/>
          <w:bCs/>
          <w:spacing w:val="-4"/>
          <w:rtl/>
        </w:rPr>
        <w:tab/>
        <w:t>(أ)</w:t>
      </w:r>
      <w:r w:rsidRPr="007876C2">
        <w:rPr>
          <w:rFonts w:hint="cs"/>
          <w:b/>
          <w:bCs/>
          <w:spacing w:val="-4"/>
          <w:rtl/>
        </w:rPr>
        <w:tab/>
        <w:t>مراجعة نظام اعتراض الاتصالات الشخصية والاحتفاظ ببيانات الاتصالات، مع مراعاة التوصيات المقدمة من لجنة الاستخبارات والأمن التابعة للبرلمان والمراجع المستقل لقانون الإرهاب، أيضاً، بهدف ضمان تطابق مثل هذه الأنشطة، سواء داخل الدولة الطرف أو</w:t>
      </w:r>
      <w:r w:rsidR="007876C2">
        <w:rPr>
          <w:rFonts w:hint="eastAsia"/>
          <w:b/>
          <w:bCs/>
          <w:spacing w:val="-4"/>
          <w:rtl/>
        </w:rPr>
        <w:t> </w:t>
      </w:r>
      <w:r w:rsidRPr="007876C2">
        <w:rPr>
          <w:rFonts w:hint="cs"/>
          <w:b/>
          <w:bCs/>
          <w:spacing w:val="-4"/>
          <w:rtl/>
        </w:rPr>
        <w:t xml:space="preserve">خارجها، مع التزاماتها بموجب العهد، بما في ذلك المادة 17. وينبغي بصفة خاصة اتخاذ تدابير لضمان تطابق أي تدخل في حق الخصوصية مع مبادئ الشرعية والتناسب والضرورة، بصرف النظر عن جنسية أو موقع الأفراد الذين تخضع اتصالاتهم لمراقبة مباشرة؛ </w:t>
      </w:r>
    </w:p>
    <w:p w:rsidR="00EC1CBF" w:rsidRPr="007876C2" w:rsidRDefault="00EC1CBF" w:rsidP="007876C2">
      <w:pPr>
        <w:pStyle w:val="SingleTxt"/>
        <w:spacing w:line="386" w:lineRule="exact"/>
        <w:rPr>
          <w:b/>
          <w:bCs/>
          <w:spacing w:val="-4"/>
          <w:rtl/>
        </w:rPr>
      </w:pPr>
      <w:r w:rsidRPr="007876C2">
        <w:rPr>
          <w:rFonts w:hint="cs"/>
          <w:b/>
          <w:bCs/>
          <w:spacing w:val="-4"/>
          <w:rtl/>
        </w:rPr>
        <w:tab/>
        <w:t>(ب)</w:t>
      </w:r>
      <w:r w:rsidRPr="007876C2">
        <w:rPr>
          <w:rFonts w:hint="cs"/>
          <w:b/>
          <w:bCs/>
          <w:spacing w:val="-4"/>
          <w:rtl/>
        </w:rPr>
        <w:tab/>
        <w:t>ضمان أن يتم أي تدخل في حق الخصوصية، أو تكوين أسرة أو بيت أو حق خصوصية المراسلات، مما تسمح به القوانين: ‘1‘ التي يمكن لعامة الناس الاطلاع عليها؛ و‘2‘ التي تتضمن أحكاماً تكفل أن يكون جمع بيانات الاتصالات والوصول إليها واستخدامها مصمماً لخدمة أهداف مشروعة محددة؛ و‘3‘ التي تكون دقيقة بما يكفي وتبين بالتفصيل الظروف المحددة التي يسمح فيها بأي تدخل، وإجراءات الحصول على الإذن، وفئات الأشخاص الذين يمكن وضعهم تحت المراقبة، وحدود سلطة المراقبة، وإجراءات استخدام البيانات المجمعة وتخزينها؛ و‘4‘ التي تنص على ضمانات فعالة تحمي من التجاوزات؛</w:t>
      </w:r>
    </w:p>
    <w:p w:rsidR="00EC1CBF" w:rsidRPr="007876C2" w:rsidRDefault="00EC1CBF" w:rsidP="007876C2">
      <w:pPr>
        <w:pStyle w:val="SingleTxt"/>
        <w:spacing w:line="386" w:lineRule="exact"/>
        <w:rPr>
          <w:b/>
          <w:bCs/>
          <w:spacing w:val="-4"/>
          <w:rtl/>
        </w:rPr>
      </w:pPr>
      <w:r w:rsidRPr="007876C2">
        <w:rPr>
          <w:rFonts w:hint="cs"/>
          <w:b/>
          <w:bCs/>
          <w:spacing w:val="-4"/>
          <w:rtl/>
        </w:rPr>
        <w:tab/>
        <w:t>(ج)</w:t>
      </w:r>
      <w:r w:rsidRPr="007876C2">
        <w:rPr>
          <w:rFonts w:hint="cs"/>
          <w:b/>
          <w:bCs/>
          <w:spacing w:val="-4"/>
          <w:rtl/>
        </w:rPr>
        <w:tab/>
        <w:t>ضمان وجود نظم صارمة للإشراف على مسائل المراقبة واعتراض الاتصالات وتقاسم المعلومات الاستخباراتية عن أنشطة الاتصالات الشخصية، بطرق منها النص على مشاركة قضائية لترخيص مثل هذه التدابير في جميع الحالات، ومن خلال النظر في إنشاء ولايات للرقابة القوية والمستقلة بهدف منع التجاوزات؛</w:t>
      </w:r>
    </w:p>
    <w:p w:rsidR="00EC1CBF" w:rsidRPr="00116B5E" w:rsidRDefault="00EC1CBF" w:rsidP="00B13B3A">
      <w:pPr>
        <w:pStyle w:val="SingleTxt"/>
        <w:rPr>
          <w:b/>
          <w:bCs/>
          <w:rtl/>
        </w:rPr>
      </w:pPr>
      <w:r w:rsidRPr="00116B5E">
        <w:rPr>
          <w:rFonts w:hint="cs"/>
          <w:b/>
          <w:bCs/>
          <w:rtl/>
        </w:rPr>
        <w:lastRenderedPageBreak/>
        <w:tab/>
        <w:t>(د)</w:t>
      </w:r>
      <w:r w:rsidRPr="00116B5E">
        <w:rPr>
          <w:rFonts w:hint="cs"/>
          <w:b/>
          <w:bCs/>
          <w:rtl/>
        </w:rPr>
        <w:tab/>
        <w:t xml:space="preserve">مراجعة قانون صلاحيات الاحتفاظ بالبيانات والتحقيق </w:t>
      </w:r>
      <w:r>
        <w:rPr>
          <w:rFonts w:hint="cs"/>
          <w:b/>
          <w:bCs/>
          <w:rtl/>
        </w:rPr>
        <w:t xml:space="preserve">الصادر </w:t>
      </w:r>
      <w:r w:rsidRPr="00116B5E">
        <w:rPr>
          <w:rFonts w:hint="cs"/>
          <w:b/>
          <w:bCs/>
          <w:rtl/>
        </w:rPr>
        <w:t xml:space="preserve">عام 2014 بهدف ضمان عدم </w:t>
      </w:r>
      <w:r>
        <w:rPr>
          <w:rFonts w:hint="cs"/>
          <w:b/>
          <w:bCs/>
          <w:rtl/>
        </w:rPr>
        <w:t xml:space="preserve">الاطلاع على محتوى </w:t>
      </w:r>
      <w:r w:rsidRPr="00116B5E">
        <w:rPr>
          <w:rFonts w:hint="cs"/>
          <w:b/>
          <w:bCs/>
          <w:rtl/>
        </w:rPr>
        <w:t xml:space="preserve">الاتصالات إلا بالقدر الضروري للمحاكمة </w:t>
      </w:r>
      <w:r>
        <w:rPr>
          <w:rFonts w:hint="cs"/>
          <w:b/>
          <w:bCs/>
          <w:rtl/>
        </w:rPr>
        <w:t>فيما</w:t>
      </w:r>
      <w:r w:rsidR="00B13B3A">
        <w:rPr>
          <w:rFonts w:hint="eastAsia"/>
          <w:b/>
          <w:bCs/>
          <w:rtl/>
        </w:rPr>
        <w:t> </w:t>
      </w:r>
      <w:r>
        <w:rPr>
          <w:rFonts w:hint="cs"/>
          <w:b/>
          <w:bCs/>
          <w:rtl/>
        </w:rPr>
        <w:t xml:space="preserve">يخص </w:t>
      </w:r>
      <w:r w:rsidRPr="00116B5E">
        <w:rPr>
          <w:rFonts w:hint="cs"/>
          <w:b/>
          <w:bCs/>
          <w:rtl/>
        </w:rPr>
        <w:t xml:space="preserve">أخطر الجرائم وأن يتوقف ذلك </w:t>
      </w:r>
      <w:r>
        <w:rPr>
          <w:rFonts w:hint="cs"/>
          <w:b/>
          <w:bCs/>
          <w:rtl/>
        </w:rPr>
        <w:t xml:space="preserve">بناءً </w:t>
      </w:r>
      <w:r w:rsidRPr="00116B5E">
        <w:rPr>
          <w:rFonts w:hint="cs"/>
          <w:b/>
          <w:bCs/>
          <w:rtl/>
        </w:rPr>
        <w:t>على إذن قضائي مسبق؛</w:t>
      </w:r>
    </w:p>
    <w:p w:rsidR="00EC1CBF" w:rsidRPr="00116B5E" w:rsidRDefault="00EC1CBF" w:rsidP="007876C2">
      <w:pPr>
        <w:pStyle w:val="SingleTxt"/>
        <w:rPr>
          <w:b/>
          <w:bCs/>
          <w:rtl/>
        </w:rPr>
      </w:pPr>
      <w:r w:rsidRPr="00116B5E">
        <w:rPr>
          <w:rFonts w:hint="cs"/>
          <w:b/>
          <w:bCs/>
          <w:rtl/>
        </w:rPr>
        <w:tab/>
        <w:t>(ه)</w:t>
      </w:r>
      <w:r w:rsidRPr="00116B5E">
        <w:rPr>
          <w:rFonts w:hint="cs"/>
          <w:b/>
          <w:bCs/>
          <w:rtl/>
        </w:rPr>
        <w:tab/>
        <w:t xml:space="preserve">ضمان تمكين الأشخاص المتأثرين من الوصول إلى سبل انتصاف فعالة في </w:t>
      </w:r>
      <w:r>
        <w:rPr>
          <w:rFonts w:hint="cs"/>
          <w:b/>
          <w:bCs/>
          <w:rtl/>
        </w:rPr>
        <w:t>ال</w:t>
      </w:r>
      <w:r w:rsidRPr="00116B5E">
        <w:rPr>
          <w:rFonts w:hint="cs"/>
          <w:b/>
          <w:bCs/>
          <w:rtl/>
        </w:rPr>
        <w:t>حالات ا</w:t>
      </w:r>
      <w:r w:rsidR="007876C2">
        <w:rPr>
          <w:rFonts w:hint="cs"/>
          <w:b/>
          <w:bCs/>
          <w:rtl/>
        </w:rPr>
        <w:t>لتي تحدث فيما تجاوزات.</w:t>
      </w:r>
    </w:p>
    <w:p w:rsidR="00EC1CBF" w:rsidRPr="00C55ED8" w:rsidRDefault="00EC1CBF" w:rsidP="00EC1CBF">
      <w:pPr>
        <w:pStyle w:val="Sponsors"/>
        <w:spacing w:after="0" w:line="120" w:lineRule="exact"/>
        <w:rPr>
          <w:sz w:val="10"/>
          <w:rtl/>
        </w:rPr>
      </w:pPr>
    </w:p>
    <w:p w:rsidR="00EC1CBF" w:rsidRPr="00116B5E" w:rsidRDefault="00EC1CBF" w:rsidP="00EC1CBF">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sidRPr="00116B5E">
        <w:rPr>
          <w:rFonts w:hint="cs"/>
          <w:rtl/>
        </w:rPr>
        <w:tab/>
      </w:r>
      <w:r w:rsidRPr="00116B5E">
        <w:rPr>
          <w:rFonts w:hint="cs"/>
          <w:rtl/>
        </w:rPr>
        <w:tab/>
        <w:t>حق السجناء في التصويت</w:t>
      </w:r>
    </w:p>
    <w:p w:rsidR="00EC1CBF" w:rsidRPr="00116B5E" w:rsidRDefault="00EC1CBF" w:rsidP="007876C2">
      <w:pPr>
        <w:pStyle w:val="SingleTxt"/>
        <w:rPr>
          <w:b/>
          <w:bCs/>
          <w:rtl/>
        </w:rPr>
      </w:pPr>
      <w:r w:rsidRPr="00103D91">
        <w:rPr>
          <w:rFonts w:hint="cs"/>
          <w:rtl/>
        </w:rPr>
        <w:t>25-</w:t>
      </w:r>
      <w:r w:rsidRPr="00103D91">
        <w:rPr>
          <w:rFonts w:hint="cs"/>
          <w:rtl/>
        </w:rPr>
        <w:tab/>
        <w:t xml:space="preserve">إن اللجنة إذ تذكر </w:t>
      </w:r>
      <w:r>
        <w:rPr>
          <w:rFonts w:hint="cs"/>
          <w:rtl/>
        </w:rPr>
        <w:t>بالشاغل الذي أعربت عنه</w:t>
      </w:r>
      <w:r w:rsidRPr="00103D91">
        <w:rPr>
          <w:rFonts w:hint="cs"/>
          <w:rtl/>
        </w:rPr>
        <w:t xml:space="preserve"> سابق</w:t>
      </w:r>
      <w:r>
        <w:rPr>
          <w:rFonts w:hint="cs"/>
          <w:rtl/>
        </w:rPr>
        <w:t>اً</w:t>
      </w:r>
      <w:r w:rsidRPr="00103D91">
        <w:rPr>
          <w:rFonts w:hint="cs"/>
          <w:rtl/>
        </w:rPr>
        <w:t xml:space="preserve"> (انظر </w:t>
      </w:r>
      <w:r w:rsidRPr="00103D91">
        <w:t>CCPR/C/GBR/CO/6</w:t>
      </w:r>
      <w:r w:rsidRPr="00103D91">
        <w:rPr>
          <w:rFonts w:hint="cs"/>
          <w:rtl/>
        </w:rPr>
        <w:t>، الفقرة 28)، تأسف لعدم حدوث تقدم في مراجعة تشريع الدولة الطرف الذي يحرم أي سجين يقضي عقوبة السجن من الحق في التصويت (المادة 25).</w:t>
      </w:r>
    </w:p>
    <w:p w:rsidR="00EC1CBF" w:rsidRDefault="00EC1CBF" w:rsidP="007876C2">
      <w:pPr>
        <w:pStyle w:val="SingleTxt"/>
        <w:rPr>
          <w:b/>
          <w:bCs/>
          <w:rtl/>
        </w:rPr>
      </w:pPr>
      <w:r w:rsidRPr="00116B5E">
        <w:rPr>
          <w:rFonts w:hint="cs"/>
          <w:b/>
          <w:bCs/>
          <w:rtl/>
        </w:rPr>
        <w:tab/>
        <w:t>تكرر اللجنة توصيتها السابقة (</w:t>
      </w:r>
      <w:r w:rsidRPr="00116B5E">
        <w:rPr>
          <w:b/>
          <w:bCs/>
        </w:rPr>
        <w:t>CCPR/C/GBR/CO/6</w:t>
      </w:r>
      <w:r w:rsidRPr="00116B5E">
        <w:rPr>
          <w:rFonts w:hint="cs"/>
          <w:b/>
          <w:bCs/>
          <w:rtl/>
        </w:rPr>
        <w:t xml:space="preserve">، الفقرة 28) </w:t>
      </w:r>
      <w:r>
        <w:rPr>
          <w:rFonts w:hint="cs"/>
          <w:b/>
          <w:bCs/>
          <w:rtl/>
        </w:rPr>
        <w:t xml:space="preserve">والقاضية بأن تعدل الدولة الطرف قانونها </w:t>
      </w:r>
      <w:r w:rsidRPr="00116B5E">
        <w:rPr>
          <w:rFonts w:hint="cs"/>
          <w:b/>
          <w:bCs/>
          <w:rtl/>
        </w:rPr>
        <w:t xml:space="preserve">الذي يحرم أي سجين مدان من الحق في التصويت، </w:t>
      </w:r>
      <w:r>
        <w:rPr>
          <w:rFonts w:hint="cs"/>
          <w:b/>
          <w:bCs/>
          <w:rtl/>
        </w:rPr>
        <w:t>ل</w:t>
      </w:r>
      <w:r w:rsidRPr="00116B5E">
        <w:rPr>
          <w:rFonts w:hint="cs"/>
          <w:b/>
          <w:bCs/>
          <w:rtl/>
        </w:rPr>
        <w:t>ضمان تطابقه الكامل مع أحكام المادة 10(3) مقروءة بالاقتران مع المادة 25 من العهد.</w:t>
      </w:r>
    </w:p>
    <w:p w:rsidR="00EC1CBF" w:rsidRPr="00FB75E3" w:rsidRDefault="00EC1CBF" w:rsidP="00EC1CBF">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EC1CBF" w:rsidRPr="00116B5E" w:rsidRDefault="00EC1CBF" w:rsidP="00EC1CBF">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r>
        <w:rPr>
          <w:rFonts w:hint="cs"/>
          <w:rtl/>
        </w:rPr>
        <w:tab/>
        <w:t>نشر المعلومات المتعلقة بالعهد</w:t>
      </w:r>
    </w:p>
    <w:p w:rsidR="00EC1CBF" w:rsidRPr="00103D91" w:rsidRDefault="00EC1CBF" w:rsidP="007876C2">
      <w:pPr>
        <w:pStyle w:val="SingleTxt"/>
        <w:rPr>
          <w:rtl/>
        </w:rPr>
      </w:pPr>
      <w:r w:rsidRPr="00103D91">
        <w:rPr>
          <w:rFonts w:hint="cs"/>
          <w:rtl/>
        </w:rPr>
        <w:t>26-</w:t>
      </w:r>
      <w:r w:rsidRPr="00103D91">
        <w:rPr>
          <w:rFonts w:hint="cs"/>
          <w:rtl/>
        </w:rPr>
        <w:tab/>
        <w:t>ينبغي للدولة الطرف أن تنشر</w:t>
      </w:r>
      <w:r>
        <w:rPr>
          <w:rFonts w:hint="cs"/>
          <w:rtl/>
        </w:rPr>
        <w:t>،</w:t>
      </w:r>
      <w:r w:rsidRPr="00103D91">
        <w:rPr>
          <w:rFonts w:hint="cs"/>
          <w:rtl/>
        </w:rPr>
        <w:t xml:space="preserve"> على نطاق واسع</w:t>
      </w:r>
      <w:r>
        <w:rPr>
          <w:rFonts w:hint="cs"/>
          <w:rtl/>
        </w:rPr>
        <w:t>،</w:t>
      </w:r>
      <w:r w:rsidRPr="00103D91">
        <w:rPr>
          <w:rFonts w:hint="cs"/>
          <w:rtl/>
        </w:rPr>
        <w:t xml:space="preserve"> نص تقريرها الدوري السابع وهذه الملاحظات الختامية في أوساط السلطات القضائية والتشريعية والإدارية والمجتمع المدني والمنظمات غير الحكومية العاملة في البلد، وعامة الناس أيضاً.</w:t>
      </w:r>
    </w:p>
    <w:p w:rsidR="00EC1CBF" w:rsidRPr="00116B5E" w:rsidRDefault="00EC1CBF" w:rsidP="007876C2">
      <w:pPr>
        <w:pStyle w:val="SingleTxt"/>
        <w:rPr>
          <w:b/>
          <w:bCs/>
          <w:rtl/>
        </w:rPr>
      </w:pPr>
      <w:r w:rsidRPr="00103D91">
        <w:rPr>
          <w:rFonts w:hint="cs"/>
          <w:rtl/>
        </w:rPr>
        <w:t>27-</w:t>
      </w:r>
      <w:r w:rsidRPr="00103D91">
        <w:rPr>
          <w:rFonts w:hint="cs"/>
          <w:rtl/>
        </w:rPr>
        <w:tab/>
        <w:t>ووفقاً للفقرة 5 من المادة 71 من النظام الداخلي للجنة، ينبغي أن تقدم الدولة الطرف، في غضون عام واحد، المعلومات ذات الصلة عن تنفيذ توصيات اللجنة المقدمة في الفقرة 8 أعلاه</w:t>
      </w:r>
      <w:r>
        <w:rPr>
          <w:rFonts w:hint="cs"/>
          <w:rtl/>
        </w:rPr>
        <w:t xml:space="preserve"> </w:t>
      </w:r>
      <w:r w:rsidRPr="00103D91">
        <w:rPr>
          <w:rFonts w:hint="cs"/>
          <w:rtl/>
        </w:rPr>
        <w:t xml:space="preserve">(المساءلة عن انتهاكات تتعلق بالنزاع في </w:t>
      </w:r>
      <w:r>
        <w:rPr>
          <w:rFonts w:hint="cs"/>
          <w:rtl/>
        </w:rPr>
        <w:t>أيرلندا</w:t>
      </w:r>
      <w:r w:rsidRPr="00103D91">
        <w:rPr>
          <w:rFonts w:hint="cs"/>
          <w:rtl/>
        </w:rPr>
        <w:t xml:space="preserve"> الشمالية) والتوصية 9 (المساءلة عن انتهاكات حقوق الإنسان التي ارتكبتها القوات البريطانية في الخارج) .</w:t>
      </w:r>
    </w:p>
    <w:p w:rsidR="00EC1CBF" w:rsidRPr="00103D91" w:rsidRDefault="00EC1CBF" w:rsidP="007876C2">
      <w:pPr>
        <w:pStyle w:val="SingleTxt"/>
        <w:rPr>
          <w:rtl/>
        </w:rPr>
      </w:pPr>
      <w:r w:rsidRPr="00103D91">
        <w:rPr>
          <w:rFonts w:hint="cs"/>
          <w:rtl/>
        </w:rPr>
        <w:t>28</w:t>
      </w:r>
      <w:r>
        <w:rPr>
          <w:rFonts w:hint="cs"/>
          <w:rtl/>
        </w:rPr>
        <w:t>-</w:t>
      </w:r>
      <w:r>
        <w:rPr>
          <w:rFonts w:hint="cs"/>
          <w:rtl/>
        </w:rPr>
        <w:tab/>
        <w:t xml:space="preserve">وتطلب </w:t>
      </w:r>
      <w:r w:rsidRPr="00103D91">
        <w:rPr>
          <w:rFonts w:hint="cs"/>
          <w:rtl/>
        </w:rPr>
        <w:t xml:space="preserve">اللجنة </w:t>
      </w:r>
      <w:r>
        <w:rPr>
          <w:rFonts w:hint="cs"/>
          <w:rtl/>
        </w:rPr>
        <w:t xml:space="preserve">إلى </w:t>
      </w:r>
      <w:r w:rsidRPr="00103D91">
        <w:rPr>
          <w:rFonts w:hint="cs"/>
          <w:rtl/>
        </w:rPr>
        <w:t>الدولة الطرف أن تقدم تقريرها الدوري المقبل في موعد أقصاه 24 تموز/يوليه 2020 وأن تضمنه معلومات محددة ومحدثة عن تنفيذ جميع توصيات</w:t>
      </w:r>
      <w:r w:rsidRPr="00116B5E">
        <w:rPr>
          <w:rFonts w:hint="cs"/>
          <w:b/>
          <w:bCs/>
          <w:rtl/>
        </w:rPr>
        <w:t xml:space="preserve"> </w:t>
      </w:r>
      <w:r w:rsidRPr="00103D91">
        <w:rPr>
          <w:rFonts w:hint="cs"/>
          <w:rtl/>
        </w:rPr>
        <w:t>اللجنة وعن</w:t>
      </w:r>
      <w:r w:rsidRPr="00116B5E">
        <w:rPr>
          <w:rFonts w:hint="cs"/>
          <w:b/>
          <w:bCs/>
          <w:rtl/>
        </w:rPr>
        <w:t xml:space="preserve"> </w:t>
      </w:r>
      <w:r w:rsidRPr="00103D91">
        <w:rPr>
          <w:rFonts w:hint="cs"/>
          <w:rtl/>
        </w:rPr>
        <w:t>العهد ككل. وتطلب اللجنة إلى الدولة الطرف، لدى إعداد تقريرها، أن تعقد مشاورات واسعة النطاق مع منظمات المجتمع المدني والمنظمات غير الحكومية العاملة في البلد. ووفقاً لقرار الجمعية العامة 68/268، يبلغ الحد الأقصى لعدد كلمات التقرير 200 21 كلمة.</w:t>
      </w:r>
    </w:p>
    <w:p w:rsidR="00EC1CBF" w:rsidRPr="00FB75E3" w:rsidRDefault="00EC1CBF" w:rsidP="00EC1CBF">
      <w:pPr>
        <w:pStyle w:val="SingleTxt"/>
        <w:spacing w:after="0" w:line="240" w:lineRule="auto"/>
        <w:rPr>
          <w:rtl/>
        </w:rPr>
      </w:pPr>
      <w:r>
        <w:rPr>
          <w:noProof/>
          <w:w w:val="100"/>
          <w:rtl/>
        </w:rPr>
        <mc:AlternateContent>
          <mc:Choice Requires="wps">
            <w:drawing>
              <wp:anchor distT="0" distB="0" distL="114300" distR="114300" simplePos="0" relativeHeight="251661312" behindDoc="0" locked="0" layoutInCell="1" allowOverlap="1" wp14:anchorId="3D9A19E2" wp14:editId="5BDFBF01">
                <wp:simplePos x="0" y="0"/>
                <wp:positionH relativeFrom="column">
                  <wp:posOffset>2623820</wp:posOffset>
                </wp:positionH>
                <wp:positionV relativeFrom="paragraph">
                  <wp:posOffset>304800</wp:posOffset>
                </wp:positionV>
                <wp:extent cx="9144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206.6pt,24pt" to="278.6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" strokecolor="#010000" strokeweight=".25pt"/>
            </w:pict>
          </mc:Fallback>
        </mc:AlternateContent>
      </w:r>
    </w:p>
    <w:sectPr w:rsidR="00EC1CBF" w:rsidRPr="00FB75E3" w:rsidSect="007B6F28">
      <w:endnotePr>
        <w:numFmt w:val="decimal"/>
      </w:endnotePr>
      <w:type w:val="continuous"/>
      <w:pgSz w:w="11909" w:h="16834" w:code="1"/>
      <w:pgMar w:top="1742" w:right="936" w:bottom="1898" w:left="936" w:header="576" w:footer="1030" w:gutter="0"/>
      <w:cols w:space="720"/>
      <w:noEndnote/>
      <w:bidi/>
      <w:rtlGutter/>
      <w:docGrid w:linePitch="278"/>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5-10-30T09:36:00Z" w:initials="Start">
    <w:p w:rsidR="007B6F28" w:rsidRDefault="007B6F28">
      <w:pPr>
        <w:pStyle w:val="CommentText"/>
      </w:pPr>
      <w:r>
        <w:rPr>
          <w:rtl/>
        </w:rPr>
        <w:fldChar w:fldCharType="begin"/>
      </w:r>
      <w:r>
        <w:rPr>
          <w:rStyle w:val="CommentReference"/>
        </w:rPr>
        <w:instrText xml:space="preserve"> </w:instrText>
      </w:r>
      <w:r>
        <w:instrText>PAGE \# "'Page: '#'</w:instrText>
      </w:r>
      <w:r>
        <w:br/>
        <w:instrText>'"</w:instrText>
      </w:r>
      <w:r>
        <w:rPr>
          <w:rStyle w:val="CommentReference"/>
        </w:rPr>
        <w:instrText xml:space="preserve"> </w:instrText>
      </w:r>
      <w:r>
        <w:rPr>
          <w:rtl/>
        </w:rPr>
        <w:fldChar w:fldCharType="end"/>
      </w:r>
      <w:r>
        <w:rPr>
          <w:rStyle w:val="CommentReference"/>
        </w:rPr>
        <w:annotationRef/>
      </w:r>
      <w:r>
        <w:t>&lt;&lt;ODS JOB NO&gt;&gt;N1518227A&lt;&lt;ODS JOB NO&gt;&gt;</w:t>
      </w:r>
    </w:p>
    <w:p w:rsidR="007B6F28" w:rsidRDefault="007B6F28">
      <w:pPr>
        <w:pStyle w:val="CommentText"/>
      </w:pPr>
      <w:r>
        <w:t>&lt;&lt;ODS DOC SYMBOL1&gt;&gt;CCPR/C/GBR/CO/7&lt;&lt;ODS DOC SYMBOL1&gt;&gt;</w:t>
      </w:r>
    </w:p>
    <w:p w:rsidR="007B6F28" w:rsidRDefault="007B6F28">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4DB2" w:rsidRDefault="00AB4DB2" w:rsidP="00693CF9">
      <w:pPr>
        <w:spacing w:line="240" w:lineRule="auto"/>
      </w:pPr>
      <w:r>
        <w:separator/>
      </w:r>
    </w:p>
  </w:endnote>
  <w:endnote w:type="continuationSeparator" w:id="0">
    <w:p w:rsidR="00AB4DB2" w:rsidRDefault="00AB4DB2" w:rsidP="00693CF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7B6F28" w:rsidTr="007B6F28">
      <w:trPr>
        <w:jc w:val="center"/>
      </w:trPr>
      <w:tc>
        <w:tcPr>
          <w:tcW w:w="5126" w:type="dxa"/>
          <w:shd w:val="clear" w:color="auto" w:fill="auto"/>
        </w:tcPr>
        <w:p w:rsidR="007B6F28" w:rsidRPr="007B6F28" w:rsidRDefault="007B6F28" w:rsidP="007B6F28">
          <w:pPr>
            <w:pStyle w:val="Footer"/>
            <w:rPr>
              <w:w w:val="103"/>
            </w:rPr>
          </w:pPr>
          <w:r>
            <w:rPr>
              <w:w w:val="103"/>
            </w:rPr>
            <w:fldChar w:fldCharType="begin"/>
          </w:r>
          <w:r>
            <w:rPr>
              <w:w w:val="103"/>
            </w:rPr>
            <w:instrText xml:space="preserve"> PAGE  \* Arabic  \* MERGEFORMAT </w:instrText>
          </w:r>
          <w:r>
            <w:rPr>
              <w:w w:val="103"/>
            </w:rPr>
            <w:fldChar w:fldCharType="separate"/>
          </w:r>
          <w:r w:rsidR="004C1510">
            <w:rPr>
              <w:noProof/>
              <w:w w:val="103"/>
            </w:rPr>
            <w:t>14</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4C1510">
            <w:rPr>
              <w:noProof/>
              <w:w w:val="103"/>
            </w:rPr>
            <w:t>15</w:t>
          </w:r>
          <w:r>
            <w:rPr>
              <w:w w:val="103"/>
            </w:rPr>
            <w:fldChar w:fldCharType="end"/>
          </w:r>
        </w:p>
      </w:tc>
      <w:tc>
        <w:tcPr>
          <w:tcW w:w="5127" w:type="dxa"/>
          <w:shd w:val="clear" w:color="auto" w:fill="auto"/>
        </w:tcPr>
        <w:p w:rsidR="007B6F28" w:rsidRPr="007B6F28" w:rsidRDefault="007B6F28" w:rsidP="007B6F28">
          <w:pPr>
            <w:pStyle w:val="Footer"/>
            <w:jc w:val="left"/>
            <w:rPr>
              <w:b w:val="0"/>
              <w:w w:val="103"/>
            </w:rPr>
          </w:pPr>
          <w:r>
            <w:rPr>
              <w:b w:val="0"/>
              <w:w w:val="103"/>
            </w:rPr>
            <w:fldChar w:fldCharType="begin"/>
          </w:r>
          <w:r>
            <w:rPr>
              <w:b w:val="0"/>
              <w:w w:val="103"/>
            </w:rPr>
            <w:instrText xml:space="preserve"> DOCVARIABLE "FooterJN" \* MERGEFORMAT </w:instrText>
          </w:r>
          <w:r>
            <w:rPr>
              <w:b w:val="0"/>
              <w:w w:val="103"/>
            </w:rPr>
            <w:fldChar w:fldCharType="separate"/>
          </w:r>
          <w:r w:rsidR="004C1510">
            <w:rPr>
              <w:b w:val="0"/>
              <w:w w:val="103"/>
            </w:rPr>
            <w:t>GE.15-13453</w:t>
          </w:r>
          <w:r>
            <w:rPr>
              <w:b w:val="0"/>
              <w:w w:val="103"/>
            </w:rPr>
            <w:fldChar w:fldCharType="end"/>
          </w:r>
        </w:p>
      </w:tc>
    </w:tr>
  </w:tbl>
  <w:p w:rsidR="007B6F28" w:rsidRPr="007B6F28" w:rsidRDefault="007B6F28" w:rsidP="007B6F2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7B6F28" w:rsidTr="007B6F28">
      <w:trPr>
        <w:jc w:val="center"/>
      </w:trPr>
      <w:tc>
        <w:tcPr>
          <w:tcW w:w="5126" w:type="dxa"/>
          <w:shd w:val="clear" w:color="auto" w:fill="auto"/>
        </w:tcPr>
        <w:p w:rsidR="007B6F28" w:rsidRPr="007B6F28" w:rsidRDefault="007B6F28" w:rsidP="007B6F28">
          <w:pPr>
            <w:pStyle w:val="Footer"/>
            <w:rPr>
              <w:b w:val="0"/>
              <w:w w:val="103"/>
            </w:rPr>
          </w:pPr>
          <w:r>
            <w:rPr>
              <w:b w:val="0"/>
              <w:w w:val="103"/>
            </w:rPr>
            <w:fldChar w:fldCharType="begin"/>
          </w:r>
          <w:r>
            <w:rPr>
              <w:b w:val="0"/>
              <w:w w:val="103"/>
            </w:rPr>
            <w:instrText xml:space="preserve"> DOCVARIABLE "FooterJN" \* MERGEFORMAT </w:instrText>
          </w:r>
          <w:r>
            <w:rPr>
              <w:b w:val="0"/>
              <w:w w:val="103"/>
            </w:rPr>
            <w:fldChar w:fldCharType="separate"/>
          </w:r>
          <w:r w:rsidR="004C1510">
            <w:rPr>
              <w:b w:val="0"/>
              <w:w w:val="103"/>
            </w:rPr>
            <w:t>GE.15-13453</w:t>
          </w:r>
          <w:r>
            <w:rPr>
              <w:b w:val="0"/>
              <w:w w:val="103"/>
            </w:rPr>
            <w:fldChar w:fldCharType="end"/>
          </w:r>
        </w:p>
      </w:tc>
      <w:tc>
        <w:tcPr>
          <w:tcW w:w="5127" w:type="dxa"/>
          <w:shd w:val="clear" w:color="auto" w:fill="auto"/>
        </w:tcPr>
        <w:p w:rsidR="007B6F28" w:rsidRPr="007B6F28" w:rsidRDefault="007B6F28" w:rsidP="007B6F28">
          <w:pPr>
            <w:pStyle w:val="Footer"/>
            <w:jc w:val="left"/>
            <w:rPr>
              <w:w w:val="103"/>
            </w:rPr>
          </w:pPr>
          <w:r>
            <w:rPr>
              <w:w w:val="103"/>
            </w:rPr>
            <w:fldChar w:fldCharType="begin"/>
          </w:r>
          <w:r>
            <w:rPr>
              <w:w w:val="103"/>
            </w:rPr>
            <w:instrText xml:space="preserve"> PAGE  \* Arabic  \* MERGEFORMAT </w:instrText>
          </w:r>
          <w:r>
            <w:rPr>
              <w:w w:val="103"/>
            </w:rPr>
            <w:fldChar w:fldCharType="separate"/>
          </w:r>
          <w:r w:rsidR="004C1510">
            <w:rPr>
              <w:noProof/>
              <w:w w:val="103"/>
            </w:rPr>
            <w:t>15</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4C1510">
            <w:rPr>
              <w:noProof/>
              <w:w w:val="103"/>
            </w:rPr>
            <w:t>15</w:t>
          </w:r>
          <w:r>
            <w:rPr>
              <w:w w:val="103"/>
            </w:rPr>
            <w:fldChar w:fldCharType="end"/>
          </w:r>
        </w:p>
      </w:tc>
    </w:tr>
  </w:tbl>
  <w:p w:rsidR="007B6F28" w:rsidRPr="007B6F28" w:rsidRDefault="007B6F28" w:rsidP="007B6F2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Layout w:type="fixed"/>
      <w:tblLook w:val="0000" w:firstRow="0" w:lastRow="0" w:firstColumn="0" w:lastColumn="0" w:noHBand="0" w:noVBand="0"/>
    </w:tblPr>
    <w:tblGrid>
      <w:gridCol w:w="4046"/>
      <w:gridCol w:w="5127"/>
    </w:tblGrid>
    <w:tr w:rsidR="007B6F28" w:rsidTr="007B6F28">
      <w:trPr>
        <w:jc w:val="right"/>
      </w:trPr>
      <w:tc>
        <w:tcPr>
          <w:tcW w:w="4046" w:type="dxa"/>
        </w:tcPr>
        <w:p w:rsidR="007B6F28" w:rsidRDefault="007B6F28" w:rsidP="007B6F28">
          <w:pPr>
            <w:pStyle w:val="Footer"/>
            <w:spacing w:line="240" w:lineRule="atLeast"/>
            <w:jc w:val="left"/>
            <w:rPr>
              <w:rFonts w:cs="Times New Roman"/>
              <w:b w:val="0"/>
              <w:w w:val="103"/>
              <w:sz w:val="20"/>
            </w:rPr>
          </w:pPr>
          <w:r>
            <w:rPr>
              <w:rFonts w:cs="Times New Roman"/>
              <w:b w:val="0"/>
              <w:noProof/>
              <w:w w:val="103"/>
              <w:sz w:val="20"/>
            </w:rPr>
            <w:drawing>
              <wp:anchor distT="0" distB="0" distL="114300" distR="114300" simplePos="0" relativeHeight="251658240" behindDoc="0" locked="0" layoutInCell="1" allowOverlap="1" wp14:anchorId="1692D390" wp14:editId="19CAFA8E">
                <wp:simplePos x="0" y="0"/>
                <wp:positionH relativeFrom="page">
                  <wp:posOffset>-648970</wp:posOffset>
                </wp:positionH>
                <wp:positionV relativeFrom="page">
                  <wp:posOffset>-356235</wp:posOffset>
                </wp:positionV>
                <wp:extent cx="694690" cy="694690"/>
                <wp:effectExtent l="0" t="0" r="0" b="0"/>
                <wp:wrapNone/>
                <wp:docPr id="3" name="Picture 3" descr="http://undocs.org/m2/QRCode2.ashx?DS=CCPR/C/GBR/CO/7&amp;Size =1&amp;Lang =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CCPR/C/GBR/CO/7&amp;Size =1&amp;Lang = 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Pr>
              <w:rFonts w:cs="Times New Roman"/>
              <w:b w:val="0"/>
              <w:noProof/>
              <w:w w:val="103"/>
              <w:sz w:val="20"/>
            </w:rPr>
            <w:drawing>
              <wp:inline distT="0" distB="0" distL="0" distR="0" wp14:anchorId="1AFAD8C1" wp14:editId="245A1C50">
                <wp:extent cx="1554615" cy="320068"/>
                <wp:effectExtent l="0" t="0" r="7620" b="381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554615" cy="320068"/>
                        </a:xfrm>
                        <a:prstGeom prst="rect">
                          <a:avLst/>
                        </a:prstGeom>
                      </pic:spPr>
                    </pic:pic>
                  </a:graphicData>
                </a:graphic>
              </wp:inline>
            </w:drawing>
          </w:r>
        </w:p>
      </w:tc>
      <w:tc>
        <w:tcPr>
          <w:tcW w:w="5127" w:type="dxa"/>
        </w:tcPr>
        <w:p w:rsidR="007B6F28" w:rsidRDefault="00991554" w:rsidP="00207FA3">
          <w:pPr>
            <w:pStyle w:val="ReleaseDate"/>
          </w:pPr>
          <w:r>
            <w:t>28</w:t>
          </w:r>
          <w:r w:rsidR="007B6F28">
            <w:t xml:space="preserve">1015    </w:t>
          </w:r>
          <w:r w:rsidR="00207FA3">
            <w:t>0211</w:t>
          </w:r>
          <w:r w:rsidR="007B6F28">
            <w:t xml:space="preserve">15    </w:t>
          </w:r>
          <w:fldSimple w:instr=" DOCVARIABLE &quot;jobn&quot; \* MERGEFORMAT ">
            <w:r w:rsidR="004C1510">
              <w:t>GE.15-13453 (A)</w:t>
            </w:r>
          </w:fldSimple>
        </w:p>
        <w:p w:rsidR="007B6F28" w:rsidRPr="007B6F28" w:rsidRDefault="007B6F28" w:rsidP="007B6F28">
          <w:pPr>
            <w:pStyle w:val="Footer"/>
            <w:spacing w:before="80"/>
            <w:rPr>
              <w:rFonts w:ascii="Barcode 3 of 9 by request" w:hAnsi="Barcode 3 of 9 by request"/>
              <w:sz w:val="24"/>
            </w:rPr>
          </w:pPr>
          <w:r>
            <w:rPr>
              <w:rFonts w:ascii="Barcode 3 of 9 by request" w:hAnsi="Barcode 3 of 9 by request"/>
              <w:sz w:val="24"/>
            </w:rPr>
            <w:fldChar w:fldCharType="begin"/>
          </w:r>
          <w:r>
            <w:rPr>
              <w:rFonts w:ascii="Barcode 3 of 9 by request" w:hAnsi="Barcode 3 of 9 by request"/>
              <w:sz w:val="24"/>
            </w:rPr>
            <w:instrText xml:space="preserve"> DOCVARIABLE "Barcode" \* MERGEFORMAT </w:instrText>
          </w:r>
          <w:r>
            <w:rPr>
              <w:rFonts w:ascii="Barcode 3 of 9 by request" w:hAnsi="Barcode 3 of 9 by request"/>
              <w:sz w:val="24"/>
            </w:rPr>
            <w:fldChar w:fldCharType="separate"/>
          </w:r>
          <w:r w:rsidR="004C1510">
            <w:rPr>
              <w:rFonts w:ascii="Barcode 3 of 9 by request" w:hAnsi="Barcode 3 of 9 by request"/>
              <w:sz w:val="24"/>
            </w:rPr>
            <w:t>*1513453*</w:t>
          </w:r>
          <w:r>
            <w:rPr>
              <w:rFonts w:ascii="Barcode 3 of 9 by request" w:hAnsi="Barcode 3 of 9 by request"/>
              <w:sz w:val="24"/>
            </w:rPr>
            <w:fldChar w:fldCharType="end"/>
          </w:r>
        </w:p>
      </w:tc>
    </w:tr>
  </w:tbl>
  <w:p w:rsidR="007B6F28" w:rsidRPr="007B6F28" w:rsidRDefault="007B6F28" w:rsidP="007B6F28">
    <w:pPr>
      <w:pStyle w:val="Footer"/>
      <w:spacing w:line="14" w:lineRule="exact"/>
      <w:rPr>
        <w:rFonts w:cs="Times New Roman"/>
        <w:b w:val="0"/>
        <w:w w:val="103"/>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4DB2" w:rsidRDefault="00AB4DB2" w:rsidP="00693CF9">
      <w:pPr>
        <w:spacing w:line="240" w:lineRule="auto"/>
      </w:pPr>
      <w:r>
        <w:separator/>
      </w:r>
    </w:p>
  </w:footnote>
  <w:footnote w:type="continuationSeparator" w:id="0">
    <w:p w:rsidR="00AB4DB2" w:rsidRDefault="00AB4DB2" w:rsidP="00693CF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882"/>
      <w:gridCol w:w="5127"/>
    </w:tblGrid>
    <w:tr w:rsidR="007B6F28" w:rsidTr="007B6F28">
      <w:trPr>
        <w:trHeight w:hRule="exact" w:val="864"/>
        <w:jc w:val="center"/>
      </w:trPr>
      <w:tc>
        <w:tcPr>
          <w:tcW w:w="4882" w:type="dxa"/>
          <w:shd w:val="clear" w:color="auto" w:fill="auto"/>
          <w:vAlign w:val="bottom"/>
        </w:tcPr>
        <w:p w:rsidR="007B6F28" w:rsidRDefault="007B6F28" w:rsidP="007B6F28">
          <w:pPr>
            <w:pStyle w:val="Header"/>
            <w:bidi/>
          </w:pPr>
        </w:p>
      </w:tc>
      <w:tc>
        <w:tcPr>
          <w:tcW w:w="5127" w:type="dxa"/>
          <w:shd w:val="clear" w:color="auto" w:fill="auto"/>
          <w:vAlign w:val="bottom"/>
        </w:tcPr>
        <w:p w:rsidR="007B6F28" w:rsidRPr="007B6F28" w:rsidRDefault="007B6F28" w:rsidP="007B6F28">
          <w:pPr>
            <w:pStyle w:val="Header"/>
            <w:spacing w:after="80"/>
            <w:rPr>
              <w:w w:val="103"/>
            </w:rPr>
          </w:pPr>
          <w:r>
            <w:rPr>
              <w:w w:val="103"/>
            </w:rPr>
            <w:fldChar w:fldCharType="begin"/>
          </w:r>
          <w:r>
            <w:rPr>
              <w:w w:val="103"/>
            </w:rPr>
            <w:instrText xml:space="preserve"> DOCVARIABLE sss1  \* MERGEFORMAT </w:instrText>
          </w:r>
          <w:r>
            <w:rPr>
              <w:w w:val="103"/>
            </w:rPr>
            <w:fldChar w:fldCharType="separate"/>
          </w:r>
          <w:r w:rsidR="004C1510">
            <w:rPr>
              <w:w w:val="103"/>
            </w:rPr>
            <w:t>CCPR/C/GBR/CO/7</w:t>
          </w:r>
          <w:r>
            <w:rPr>
              <w:w w:val="103"/>
            </w:rPr>
            <w:fldChar w:fldCharType="end"/>
          </w:r>
        </w:p>
      </w:tc>
    </w:tr>
  </w:tbl>
  <w:p w:rsidR="007B6F28" w:rsidRPr="007B6F28" w:rsidRDefault="007B6F28" w:rsidP="007B6F2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882"/>
      <w:gridCol w:w="5127"/>
    </w:tblGrid>
    <w:tr w:rsidR="007B6F28" w:rsidTr="007B6F28">
      <w:trPr>
        <w:trHeight w:hRule="exact" w:val="864"/>
        <w:jc w:val="center"/>
      </w:trPr>
      <w:tc>
        <w:tcPr>
          <w:tcW w:w="4882" w:type="dxa"/>
          <w:shd w:val="clear" w:color="auto" w:fill="auto"/>
          <w:vAlign w:val="bottom"/>
        </w:tcPr>
        <w:p w:rsidR="007B6F28" w:rsidRPr="007B6F28" w:rsidRDefault="007B6F28" w:rsidP="007B6F28">
          <w:pPr>
            <w:pStyle w:val="Header"/>
            <w:spacing w:after="80"/>
            <w:jc w:val="left"/>
            <w:rPr>
              <w:w w:val="103"/>
            </w:rPr>
          </w:pPr>
          <w:r>
            <w:rPr>
              <w:w w:val="103"/>
            </w:rPr>
            <w:fldChar w:fldCharType="begin"/>
          </w:r>
          <w:r>
            <w:rPr>
              <w:w w:val="103"/>
            </w:rPr>
            <w:instrText xml:space="preserve"> DOCVARIABLE sss1  \* MERGEFORMAT </w:instrText>
          </w:r>
          <w:r>
            <w:rPr>
              <w:w w:val="103"/>
            </w:rPr>
            <w:fldChar w:fldCharType="separate"/>
          </w:r>
          <w:r w:rsidR="004C1510">
            <w:rPr>
              <w:w w:val="103"/>
            </w:rPr>
            <w:t>CCPR/C/GBR/CO/7</w:t>
          </w:r>
          <w:r>
            <w:rPr>
              <w:w w:val="103"/>
            </w:rPr>
            <w:fldChar w:fldCharType="end"/>
          </w:r>
        </w:p>
      </w:tc>
      <w:tc>
        <w:tcPr>
          <w:tcW w:w="5127" w:type="dxa"/>
          <w:shd w:val="clear" w:color="auto" w:fill="auto"/>
          <w:vAlign w:val="bottom"/>
        </w:tcPr>
        <w:p w:rsidR="007B6F28" w:rsidRDefault="007B6F28" w:rsidP="007B6F28">
          <w:pPr>
            <w:pStyle w:val="Header"/>
          </w:pPr>
        </w:p>
      </w:tc>
    </w:tr>
  </w:tbl>
  <w:p w:rsidR="007B6F28" w:rsidRPr="007B6F28" w:rsidRDefault="007B6F28" w:rsidP="007B6F2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10034" w:type="dxa"/>
      <w:tblLayout w:type="fixed"/>
      <w:tblCellMar>
        <w:left w:w="0" w:type="dxa"/>
        <w:right w:w="0" w:type="dxa"/>
      </w:tblCellMar>
      <w:tblLook w:val="0000" w:firstRow="0" w:lastRow="0" w:firstColumn="0" w:lastColumn="0" w:noHBand="0" w:noVBand="0"/>
    </w:tblPr>
    <w:tblGrid>
      <w:gridCol w:w="1282"/>
      <w:gridCol w:w="1786"/>
      <w:gridCol w:w="245"/>
      <w:gridCol w:w="3196"/>
      <w:gridCol w:w="245"/>
      <w:gridCol w:w="3255"/>
      <w:gridCol w:w="25"/>
    </w:tblGrid>
    <w:tr w:rsidR="007B6F28" w:rsidTr="007B6F28">
      <w:trPr>
        <w:gridAfter w:val="1"/>
        <w:wAfter w:w="25" w:type="dxa"/>
        <w:trHeight w:hRule="exact" w:val="864"/>
      </w:trPr>
      <w:tc>
        <w:tcPr>
          <w:tcW w:w="1282" w:type="dxa"/>
          <w:tcBorders>
            <w:bottom w:val="single" w:sz="4" w:space="0" w:color="auto"/>
          </w:tcBorders>
          <w:shd w:val="clear" w:color="auto" w:fill="auto"/>
          <w:vAlign w:val="bottom"/>
        </w:tcPr>
        <w:p w:rsidR="007B6F28" w:rsidRDefault="007B6F28" w:rsidP="007B6F28">
          <w:pPr>
            <w:pStyle w:val="Header"/>
            <w:spacing w:after="120"/>
          </w:pPr>
        </w:p>
      </w:tc>
      <w:tc>
        <w:tcPr>
          <w:tcW w:w="1786" w:type="dxa"/>
          <w:tcBorders>
            <w:bottom w:val="single" w:sz="4" w:space="0" w:color="auto"/>
          </w:tcBorders>
          <w:shd w:val="clear" w:color="auto" w:fill="auto"/>
          <w:vAlign w:val="bottom"/>
        </w:tcPr>
        <w:p w:rsidR="007B6F28" w:rsidRPr="007B6F28" w:rsidRDefault="007B6F28" w:rsidP="007B6F28">
          <w:pPr>
            <w:pStyle w:val="HCh"/>
            <w:spacing w:after="80"/>
            <w:ind w:left="14"/>
            <w:jc w:val="left"/>
            <w:rPr>
              <w:bCs w:val="0"/>
              <w:spacing w:val="2"/>
              <w:w w:val="96"/>
            </w:rPr>
          </w:pPr>
          <w:r>
            <w:rPr>
              <w:bCs w:val="0"/>
              <w:spacing w:val="2"/>
              <w:w w:val="96"/>
              <w:rtl/>
            </w:rPr>
            <w:t>الأمــم المتحـدة</w:t>
          </w:r>
        </w:p>
      </w:tc>
      <w:tc>
        <w:tcPr>
          <w:tcW w:w="245" w:type="dxa"/>
          <w:tcBorders>
            <w:bottom w:val="single" w:sz="4" w:space="0" w:color="auto"/>
          </w:tcBorders>
          <w:shd w:val="clear" w:color="auto" w:fill="auto"/>
          <w:vAlign w:val="bottom"/>
        </w:tcPr>
        <w:p w:rsidR="007B6F28" w:rsidRDefault="007B6F28" w:rsidP="007B6F28">
          <w:pPr>
            <w:pStyle w:val="Header"/>
            <w:spacing w:after="120"/>
          </w:pPr>
        </w:p>
      </w:tc>
      <w:tc>
        <w:tcPr>
          <w:tcW w:w="6696" w:type="dxa"/>
          <w:gridSpan w:val="3"/>
          <w:tcBorders>
            <w:bottom w:val="single" w:sz="4" w:space="0" w:color="auto"/>
          </w:tcBorders>
          <w:shd w:val="clear" w:color="auto" w:fill="auto"/>
          <w:vAlign w:val="bottom"/>
        </w:tcPr>
        <w:p w:rsidR="007B6F28" w:rsidRPr="007B6F28" w:rsidRDefault="007B6F28" w:rsidP="007B6F28">
          <w:pPr>
            <w:spacing w:line="380" w:lineRule="exact"/>
            <w:jc w:val="right"/>
          </w:pPr>
          <w:r>
            <w:rPr>
              <w:sz w:val="40"/>
            </w:rPr>
            <w:t>CCPR</w:t>
          </w:r>
          <w:r>
            <w:t>/C/GBR/CO/7</w:t>
          </w:r>
        </w:p>
      </w:tc>
    </w:tr>
    <w:tr w:rsidR="007B6F28" w:rsidRPr="007B6F28" w:rsidTr="007B6F28">
      <w:trPr>
        <w:trHeight w:hRule="exact" w:val="2880"/>
      </w:trPr>
      <w:tc>
        <w:tcPr>
          <w:tcW w:w="1282" w:type="dxa"/>
          <w:tcBorders>
            <w:top w:val="single" w:sz="4" w:space="0" w:color="auto"/>
            <w:bottom w:val="single" w:sz="12" w:space="0" w:color="auto"/>
          </w:tcBorders>
          <w:shd w:val="clear" w:color="auto" w:fill="auto"/>
        </w:tcPr>
        <w:p w:rsidR="007B6F28" w:rsidRDefault="007B6F28" w:rsidP="007B6F28">
          <w:pPr>
            <w:pStyle w:val="Header"/>
            <w:spacing w:before="120"/>
            <w:jc w:val="center"/>
          </w:pPr>
          <w:r>
            <w:t xml:space="preserve"> </w:t>
          </w:r>
          <w:r>
            <w:rPr>
              <w:noProof/>
            </w:rPr>
            <w:drawing>
              <wp:inline distT="0" distB="0" distL="0" distR="0" wp14:anchorId="733324D0" wp14:editId="0C182D69">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p w:rsidR="007B6F28" w:rsidRPr="007B6F28" w:rsidRDefault="007B6F28" w:rsidP="007B6F28">
          <w:pPr>
            <w:pStyle w:val="Header"/>
            <w:spacing w:before="120"/>
            <w:jc w:val="center"/>
          </w:pPr>
        </w:p>
      </w:tc>
      <w:tc>
        <w:tcPr>
          <w:tcW w:w="5227" w:type="dxa"/>
          <w:gridSpan w:val="3"/>
          <w:tcBorders>
            <w:top w:val="single" w:sz="4" w:space="0" w:color="auto"/>
            <w:bottom w:val="single" w:sz="12" w:space="0" w:color="auto"/>
          </w:tcBorders>
          <w:shd w:val="clear" w:color="auto" w:fill="auto"/>
        </w:tcPr>
        <w:p w:rsidR="007B6F28" w:rsidRPr="007B6F28" w:rsidRDefault="007B6F28" w:rsidP="007B6F28">
          <w:pPr>
            <w:pStyle w:val="XLarge"/>
            <w:spacing w:before="109" w:line="590" w:lineRule="exact"/>
            <w:ind w:left="14" w:right="14"/>
            <w:jc w:val="left"/>
          </w:pPr>
          <w:r>
            <w:rPr>
              <w:rtl/>
            </w:rPr>
            <w:t>العهد الدولي الخاص بالحقوق</w:t>
          </w:r>
          <w:r>
            <w:rPr>
              <w:rtl/>
            </w:rPr>
            <w:br/>
            <w:t>المدنية والسياسية</w:t>
          </w:r>
        </w:p>
      </w:tc>
      <w:tc>
        <w:tcPr>
          <w:tcW w:w="245" w:type="dxa"/>
          <w:tcBorders>
            <w:top w:val="single" w:sz="4" w:space="0" w:color="auto"/>
            <w:bottom w:val="single" w:sz="12" w:space="0" w:color="auto"/>
          </w:tcBorders>
          <w:shd w:val="clear" w:color="auto" w:fill="auto"/>
        </w:tcPr>
        <w:p w:rsidR="007B6F28" w:rsidRPr="007B6F28" w:rsidRDefault="007B6F28" w:rsidP="007B6F28">
          <w:pPr>
            <w:pStyle w:val="Header"/>
            <w:spacing w:before="109"/>
          </w:pPr>
        </w:p>
      </w:tc>
      <w:tc>
        <w:tcPr>
          <w:tcW w:w="3280" w:type="dxa"/>
          <w:gridSpan w:val="2"/>
          <w:tcBorders>
            <w:top w:val="single" w:sz="4" w:space="0" w:color="auto"/>
            <w:bottom w:val="single" w:sz="12" w:space="0" w:color="auto"/>
          </w:tcBorders>
          <w:shd w:val="clear" w:color="auto" w:fill="auto"/>
        </w:tcPr>
        <w:p w:rsidR="007B6F28" w:rsidRDefault="007B6F28" w:rsidP="007B6F28">
          <w:pPr>
            <w:pStyle w:val="Distribution"/>
            <w:bidi w:val="0"/>
            <w:spacing w:before="240"/>
          </w:pPr>
          <w:r>
            <w:t>Distr.: General</w:t>
          </w:r>
        </w:p>
        <w:p w:rsidR="007B6F28" w:rsidRDefault="007B6F28" w:rsidP="007B6F28">
          <w:pPr>
            <w:pStyle w:val="Publication"/>
            <w:bidi w:val="0"/>
          </w:pPr>
          <w:r>
            <w:t>17 August 2015</w:t>
          </w:r>
        </w:p>
        <w:p w:rsidR="007B6F28" w:rsidRDefault="007B6F28" w:rsidP="007B6F28">
          <w:pPr>
            <w:bidi w:val="0"/>
            <w:spacing w:line="240" w:lineRule="exact"/>
            <w:jc w:val="left"/>
          </w:pPr>
          <w:r>
            <w:t>Arabic</w:t>
          </w:r>
        </w:p>
        <w:p w:rsidR="007B6F28" w:rsidRDefault="007B6F28" w:rsidP="007B6F28">
          <w:pPr>
            <w:pStyle w:val="Original"/>
            <w:bidi w:val="0"/>
          </w:pPr>
          <w:r>
            <w:t>Original: English</w:t>
          </w:r>
        </w:p>
        <w:p w:rsidR="007B6F28" w:rsidRPr="007B6F28" w:rsidRDefault="007B6F28" w:rsidP="007B6F28">
          <w:pPr>
            <w:bidi w:val="0"/>
            <w:spacing w:line="240" w:lineRule="exact"/>
            <w:jc w:val="left"/>
          </w:pPr>
        </w:p>
      </w:tc>
    </w:tr>
  </w:tbl>
  <w:p w:rsidR="007B6F28" w:rsidRPr="007B6F28" w:rsidRDefault="007B6F28" w:rsidP="007B6F28">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07804"/>
    <w:multiLevelType w:val="hybridMultilevel"/>
    <w:tmpl w:val="EAAE9AA0"/>
    <w:lvl w:ilvl="0" w:tplc="D602C7FE">
      <w:start w:val="1"/>
      <w:numFmt w:val="bullet"/>
      <w:pStyle w:val="Bullet1"/>
      <w:lvlText w:val=""/>
      <w:lvlJc w:val="left"/>
      <w:pPr>
        <w:ind w:left="1976"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DFB3625"/>
    <w:multiLevelType w:val="hybridMultilevel"/>
    <w:tmpl w:val="C4BCDC5E"/>
    <w:lvl w:ilvl="0" w:tplc="702CE228">
      <w:start w:val="1"/>
      <w:numFmt w:val="bullet"/>
      <w:pStyle w:val="Bullet3"/>
      <w:lvlText w:val=""/>
      <w:lvlJc w:val="left"/>
      <w:pPr>
        <w:ind w:left="3283" w:hanging="360"/>
      </w:pPr>
      <w:rPr>
        <w:rFonts w:ascii="Symbol" w:hAnsi="Symbol" w:cs="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2">
    <w:nsid w:val="702101EC"/>
    <w:multiLevelType w:val="hybridMultilevel"/>
    <w:tmpl w:val="D64CD08C"/>
    <w:lvl w:ilvl="0" w:tplc="CE7E406C">
      <w:start w:val="1"/>
      <w:numFmt w:val="bullet"/>
      <w:pStyle w:val="Bullet2"/>
      <w:lvlText w:val=""/>
      <w:lvlJc w:val="left"/>
      <w:pPr>
        <w:ind w:left="720"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662"/>
  <w:autoHyphenation/>
  <w:evenAndOddHeaders/>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513453*"/>
    <w:docVar w:name="CreationDt" w:val="10/30/2015 9:36: AM"/>
    <w:docVar w:name="DocCategory" w:val="Doc"/>
    <w:docVar w:name="DocType" w:val="Final"/>
    <w:docVar w:name="DutyStation" w:val="Geneva"/>
    <w:docVar w:name="FooterJN" w:val="GE.15-13453"/>
    <w:docVar w:name="jobn" w:val="GE.15-13453 (A)"/>
    <w:docVar w:name="jobnDT" w:val="GE.15-13453 (A)   301015"/>
    <w:docVar w:name="jobnDTDT" w:val="GE.15-13453 (A)   301015   301015"/>
    <w:docVar w:name="JobNo" w:val="GE.1513453A"/>
    <w:docVar w:name="LocalDrive" w:val="0"/>
    <w:docVar w:name="OandT" w:val=" "/>
    <w:docVar w:name="PaperSize" w:val="A4"/>
    <w:docVar w:name="sss1" w:val="CCPR/C/GBR/CO/7"/>
    <w:docVar w:name="sss2" w:val="-"/>
    <w:docVar w:name="Symbol1" w:val="CCPR/C/GBR/CO/7"/>
    <w:docVar w:name="Symbol2" w:val="-"/>
  </w:docVars>
  <w:rsids>
    <w:rsidRoot w:val="00AB4DB2"/>
    <w:rsid w:val="000020C4"/>
    <w:rsid w:val="0000693B"/>
    <w:rsid w:val="000170D3"/>
    <w:rsid w:val="0002744A"/>
    <w:rsid w:val="000311C9"/>
    <w:rsid w:val="00042425"/>
    <w:rsid w:val="00047F6A"/>
    <w:rsid w:val="0005137B"/>
    <w:rsid w:val="00056AA7"/>
    <w:rsid w:val="0006648F"/>
    <w:rsid w:val="00070E09"/>
    <w:rsid w:val="00087310"/>
    <w:rsid w:val="00092439"/>
    <w:rsid w:val="000927B5"/>
    <w:rsid w:val="0009732C"/>
    <w:rsid w:val="000974BE"/>
    <w:rsid w:val="000B4637"/>
    <w:rsid w:val="000B640C"/>
    <w:rsid w:val="000C4EED"/>
    <w:rsid w:val="000D2CEC"/>
    <w:rsid w:val="000F3F48"/>
    <w:rsid w:val="00100A90"/>
    <w:rsid w:val="00101EE8"/>
    <w:rsid w:val="00102521"/>
    <w:rsid w:val="0010461F"/>
    <w:rsid w:val="00113349"/>
    <w:rsid w:val="0012522B"/>
    <w:rsid w:val="00132672"/>
    <w:rsid w:val="00143096"/>
    <w:rsid w:val="001519A9"/>
    <w:rsid w:val="001568A8"/>
    <w:rsid w:val="00165F18"/>
    <w:rsid w:val="00170A5E"/>
    <w:rsid w:val="001737F8"/>
    <w:rsid w:val="001775EA"/>
    <w:rsid w:val="0018030C"/>
    <w:rsid w:val="00182D99"/>
    <w:rsid w:val="00187870"/>
    <w:rsid w:val="00194C85"/>
    <w:rsid w:val="001A0D70"/>
    <w:rsid w:val="001A5B00"/>
    <w:rsid w:val="001B59EE"/>
    <w:rsid w:val="001C6531"/>
    <w:rsid w:val="001D1606"/>
    <w:rsid w:val="001E2BD4"/>
    <w:rsid w:val="001E5A5A"/>
    <w:rsid w:val="001E5A7A"/>
    <w:rsid w:val="001F6786"/>
    <w:rsid w:val="00207FA3"/>
    <w:rsid w:val="00212285"/>
    <w:rsid w:val="002141DD"/>
    <w:rsid w:val="00233E2A"/>
    <w:rsid w:val="00236A29"/>
    <w:rsid w:val="00237A82"/>
    <w:rsid w:val="002416C5"/>
    <w:rsid w:val="0025002E"/>
    <w:rsid w:val="0025075C"/>
    <w:rsid w:val="0025236C"/>
    <w:rsid w:val="00252B9B"/>
    <w:rsid w:val="00252D19"/>
    <w:rsid w:val="0025486A"/>
    <w:rsid w:val="002606E6"/>
    <w:rsid w:val="00262A33"/>
    <w:rsid w:val="00266F59"/>
    <w:rsid w:val="00267D73"/>
    <w:rsid w:val="00272B6C"/>
    <w:rsid w:val="00275EB3"/>
    <w:rsid w:val="0027623A"/>
    <w:rsid w:val="0028685E"/>
    <w:rsid w:val="00290F2F"/>
    <w:rsid w:val="002937DA"/>
    <w:rsid w:val="002971E7"/>
    <w:rsid w:val="002A09C6"/>
    <w:rsid w:val="002A6916"/>
    <w:rsid w:val="002B0A3E"/>
    <w:rsid w:val="002B120A"/>
    <w:rsid w:val="002B4F37"/>
    <w:rsid w:val="002C2AF2"/>
    <w:rsid w:val="002C3561"/>
    <w:rsid w:val="002C4866"/>
    <w:rsid w:val="002C4E1B"/>
    <w:rsid w:val="002D58BC"/>
    <w:rsid w:val="002E1490"/>
    <w:rsid w:val="002E2D27"/>
    <w:rsid w:val="002E750A"/>
    <w:rsid w:val="002F0398"/>
    <w:rsid w:val="002F0573"/>
    <w:rsid w:val="002F0ADA"/>
    <w:rsid w:val="002F1211"/>
    <w:rsid w:val="002F7737"/>
    <w:rsid w:val="00307CFF"/>
    <w:rsid w:val="00310FA5"/>
    <w:rsid w:val="00312162"/>
    <w:rsid w:val="00312525"/>
    <w:rsid w:val="00345B6F"/>
    <w:rsid w:val="003501D5"/>
    <w:rsid w:val="00351324"/>
    <w:rsid w:val="0036512C"/>
    <w:rsid w:val="00366E5B"/>
    <w:rsid w:val="003676A8"/>
    <w:rsid w:val="00371AC4"/>
    <w:rsid w:val="003769FD"/>
    <w:rsid w:val="00376CFA"/>
    <w:rsid w:val="003772FC"/>
    <w:rsid w:val="00383A67"/>
    <w:rsid w:val="00383CA8"/>
    <w:rsid w:val="00383EF3"/>
    <w:rsid w:val="00385F27"/>
    <w:rsid w:val="003A65ED"/>
    <w:rsid w:val="003C4B86"/>
    <w:rsid w:val="003D4612"/>
    <w:rsid w:val="003E1BB9"/>
    <w:rsid w:val="003E26D7"/>
    <w:rsid w:val="003E4110"/>
    <w:rsid w:val="003E4647"/>
    <w:rsid w:val="003E6DF8"/>
    <w:rsid w:val="003E7BBB"/>
    <w:rsid w:val="003F4B8C"/>
    <w:rsid w:val="00401BDF"/>
    <w:rsid w:val="004053F7"/>
    <w:rsid w:val="00411BBD"/>
    <w:rsid w:val="00415922"/>
    <w:rsid w:val="00421658"/>
    <w:rsid w:val="00423BD7"/>
    <w:rsid w:val="0042757D"/>
    <w:rsid w:val="00437C14"/>
    <w:rsid w:val="00445C58"/>
    <w:rsid w:val="004527C9"/>
    <w:rsid w:val="00453069"/>
    <w:rsid w:val="00465B26"/>
    <w:rsid w:val="00466F4A"/>
    <w:rsid w:val="00467905"/>
    <w:rsid w:val="00471C89"/>
    <w:rsid w:val="00475FF6"/>
    <w:rsid w:val="0048330E"/>
    <w:rsid w:val="00483F5B"/>
    <w:rsid w:val="00490874"/>
    <w:rsid w:val="0049408F"/>
    <w:rsid w:val="00494EE2"/>
    <w:rsid w:val="00496E83"/>
    <w:rsid w:val="00497193"/>
    <w:rsid w:val="004A2329"/>
    <w:rsid w:val="004A2886"/>
    <w:rsid w:val="004A694F"/>
    <w:rsid w:val="004B14A0"/>
    <w:rsid w:val="004B1CBB"/>
    <w:rsid w:val="004B2CC5"/>
    <w:rsid w:val="004B440C"/>
    <w:rsid w:val="004C1510"/>
    <w:rsid w:val="004C219B"/>
    <w:rsid w:val="004D1B0C"/>
    <w:rsid w:val="004D3ACE"/>
    <w:rsid w:val="004D4EA9"/>
    <w:rsid w:val="004F0D2B"/>
    <w:rsid w:val="004F1402"/>
    <w:rsid w:val="004F33CC"/>
    <w:rsid w:val="004F59EC"/>
    <w:rsid w:val="004F75CD"/>
    <w:rsid w:val="0050659B"/>
    <w:rsid w:val="00520086"/>
    <w:rsid w:val="00521CAC"/>
    <w:rsid w:val="0052427E"/>
    <w:rsid w:val="005243A0"/>
    <w:rsid w:val="00524A2E"/>
    <w:rsid w:val="005279DE"/>
    <w:rsid w:val="00534772"/>
    <w:rsid w:val="00537FCD"/>
    <w:rsid w:val="00542632"/>
    <w:rsid w:val="00545F76"/>
    <w:rsid w:val="00551E87"/>
    <w:rsid w:val="005545BB"/>
    <w:rsid w:val="00556882"/>
    <w:rsid w:val="00561E43"/>
    <w:rsid w:val="0057078E"/>
    <w:rsid w:val="00571C2C"/>
    <w:rsid w:val="00582B0A"/>
    <w:rsid w:val="0058378D"/>
    <w:rsid w:val="005838F5"/>
    <w:rsid w:val="00590CD4"/>
    <w:rsid w:val="00591B45"/>
    <w:rsid w:val="005943EA"/>
    <w:rsid w:val="005956D2"/>
    <w:rsid w:val="00596606"/>
    <w:rsid w:val="005A0F27"/>
    <w:rsid w:val="005A0F73"/>
    <w:rsid w:val="005A2EA3"/>
    <w:rsid w:val="005A45EC"/>
    <w:rsid w:val="005A6DC0"/>
    <w:rsid w:val="005B2267"/>
    <w:rsid w:val="005B4C28"/>
    <w:rsid w:val="005C07BD"/>
    <w:rsid w:val="005C2ECE"/>
    <w:rsid w:val="005C46A7"/>
    <w:rsid w:val="005C7ED8"/>
    <w:rsid w:val="005D5B76"/>
    <w:rsid w:val="005E46BF"/>
    <w:rsid w:val="006007BD"/>
    <w:rsid w:val="006046A6"/>
    <w:rsid w:val="00616E82"/>
    <w:rsid w:val="006218A3"/>
    <w:rsid w:val="00631D41"/>
    <w:rsid w:val="006564CE"/>
    <w:rsid w:val="006572C9"/>
    <w:rsid w:val="00663F64"/>
    <w:rsid w:val="0068436E"/>
    <w:rsid w:val="00685439"/>
    <w:rsid w:val="006905A9"/>
    <w:rsid w:val="00692B46"/>
    <w:rsid w:val="00692C45"/>
    <w:rsid w:val="00692FDB"/>
    <w:rsid w:val="00693CF9"/>
    <w:rsid w:val="00696B7A"/>
    <w:rsid w:val="006A1E4E"/>
    <w:rsid w:val="006A3A3B"/>
    <w:rsid w:val="006B7BD3"/>
    <w:rsid w:val="006C1E40"/>
    <w:rsid w:val="006C38EE"/>
    <w:rsid w:val="006D1A46"/>
    <w:rsid w:val="006D3170"/>
    <w:rsid w:val="006E7E51"/>
    <w:rsid w:val="007006FC"/>
    <w:rsid w:val="00700F06"/>
    <w:rsid w:val="007020AD"/>
    <w:rsid w:val="00714319"/>
    <w:rsid w:val="0071531E"/>
    <w:rsid w:val="0071645B"/>
    <w:rsid w:val="00716E9D"/>
    <w:rsid w:val="0072464A"/>
    <w:rsid w:val="00740D62"/>
    <w:rsid w:val="00747B9E"/>
    <w:rsid w:val="007524BE"/>
    <w:rsid w:val="007525FA"/>
    <w:rsid w:val="007668E3"/>
    <w:rsid w:val="00766B3B"/>
    <w:rsid w:val="00767151"/>
    <w:rsid w:val="00770CF8"/>
    <w:rsid w:val="00774FF0"/>
    <w:rsid w:val="0078262F"/>
    <w:rsid w:val="00784325"/>
    <w:rsid w:val="00784F2B"/>
    <w:rsid w:val="00786F0C"/>
    <w:rsid w:val="007876C2"/>
    <w:rsid w:val="0079046D"/>
    <w:rsid w:val="007925B2"/>
    <w:rsid w:val="0079753A"/>
    <w:rsid w:val="007A296C"/>
    <w:rsid w:val="007A3AD0"/>
    <w:rsid w:val="007A6DD9"/>
    <w:rsid w:val="007B3DC8"/>
    <w:rsid w:val="007B5729"/>
    <w:rsid w:val="007B6F28"/>
    <w:rsid w:val="007C7274"/>
    <w:rsid w:val="007D489C"/>
    <w:rsid w:val="007D60E0"/>
    <w:rsid w:val="007D6B8D"/>
    <w:rsid w:val="007E32B9"/>
    <w:rsid w:val="0081284F"/>
    <w:rsid w:val="00814843"/>
    <w:rsid w:val="008170DE"/>
    <w:rsid w:val="00820B87"/>
    <w:rsid w:val="00830E32"/>
    <w:rsid w:val="00845A14"/>
    <w:rsid w:val="0085331D"/>
    <w:rsid w:val="00853F0F"/>
    <w:rsid w:val="008569BB"/>
    <w:rsid w:val="00861BB3"/>
    <w:rsid w:val="008624AF"/>
    <w:rsid w:val="00873A11"/>
    <w:rsid w:val="00873AF9"/>
    <w:rsid w:val="00881022"/>
    <w:rsid w:val="0088317F"/>
    <w:rsid w:val="00887330"/>
    <w:rsid w:val="008913BC"/>
    <w:rsid w:val="008A3FCA"/>
    <w:rsid w:val="008D1C04"/>
    <w:rsid w:val="008E739A"/>
    <w:rsid w:val="008F04A0"/>
    <w:rsid w:val="008F3D2C"/>
    <w:rsid w:val="008F419C"/>
    <w:rsid w:val="008F5850"/>
    <w:rsid w:val="008F64A7"/>
    <w:rsid w:val="0090012B"/>
    <w:rsid w:val="0090351F"/>
    <w:rsid w:val="009124C9"/>
    <w:rsid w:val="00914215"/>
    <w:rsid w:val="009532EE"/>
    <w:rsid w:val="00956E02"/>
    <w:rsid w:val="009570F4"/>
    <w:rsid w:val="00964FA8"/>
    <w:rsid w:val="00970BAD"/>
    <w:rsid w:val="009768D1"/>
    <w:rsid w:val="009807FF"/>
    <w:rsid w:val="00981E99"/>
    <w:rsid w:val="009829B7"/>
    <w:rsid w:val="00987BA8"/>
    <w:rsid w:val="00991554"/>
    <w:rsid w:val="009927C0"/>
    <w:rsid w:val="00996063"/>
    <w:rsid w:val="009961E6"/>
    <w:rsid w:val="009975A9"/>
    <w:rsid w:val="009B4A58"/>
    <w:rsid w:val="009B6C08"/>
    <w:rsid w:val="009B6C65"/>
    <w:rsid w:val="009B752D"/>
    <w:rsid w:val="009C0017"/>
    <w:rsid w:val="009C15F4"/>
    <w:rsid w:val="009C29DF"/>
    <w:rsid w:val="009C785C"/>
    <w:rsid w:val="009D25F3"/>
    <w:rsid w:val="009D62A3"/>
    <w:rsid w:val="009E23AC"/>
    <w:rsid w:val="009E2A1F"/>
    <w:rsid w:val="009E5241"/>
    <w:rsid w:val="009F231F"/>
    <w:rsid w:val="009F5698"/>
    <w:rsid w:val="009F60C8"/>
    <w:rsid w:val="00A140D9"/>
    <w:rsid w:val="00A14A6C"/>
    <w:rsid w:val="00A25CE3"/>
    <w:rsid w:val="00A37C4B"/>
    <w:rsid w:val="00A47282"/>
    <w:rsid w:val="00A50991"/>
    <w:rsid w:val="00A51F13"/>
    <w:rsid w:val="00A56F63"/>
    <w:rsid w:val="00A6077A"/>
    <w:rsid w:val="00A66F66"/>
    <w:rsid w:val="00A71AE5"/>
    <w:rsid w:val="00A7670F"/>
    <w:rsid w:val="00A777E2"/>
    <w:rsid w:val="00A77F16"/>
    <w:rsid w:val="00A84144"/>
    <w:rsid w:val="00A90909"/>
    <w:rsid w:val="00A93FB9"/>
    <w:rsid w:val="00AA0963"/>
    <w:rsid w:val="00AA1E16"/>
    <w:rsid w:val="00AB4DB2"/>
    <w:rsid w:val="00AC002C"/>
    <w:rsid w:val="00AC0E42"/>
    <w:rsid w:val="00AC2EE0"/>
    <w:rsid w:val="00AC6CDD"/>
    <w:rsid w:val="00AD1A68"/>
    <w:rsid w:val="00AD38D0"/>
    <w:rsid w:val="00AE108C"/>
    <w:rsid w:val="00AE3AF5"/>
    <w:rsid w:val="00AE5AE2"/>
    <w:rsid w:val="00AF1A53"/>
    <w:rsid w:val="00AF43A0"/>
    <w:rsid w:val="00AF7AC7"/>
    <w:rsid w:val="00B05ADC"/>
    <w:rsid w:val="00B13B3A"/>
    <w:rsid w:val="00B17D31"/>
    <w:rsid w:val="00B214DC"/>
    <w:rsid w:val="00B272BE"/>
    <w:rsid w:val="00B3471A"/>
    <w:rsid w:val="00B36AFF"/>
    <w:rsid w:val="00B37A36"/>
    <w:rsid w:val="00B424BC"/>
    <w:rsid w:val="00B5784C"/>
    <w:rsid w:val="00B60553"/>
    <w:rsid w:val="00B66B1A"/>
    <w:rsid w:val="00B9542C"/>
    <w:rsid w:val="00B95560"/>
    <w:rsid w:val="00B9745D"/>
    <w:rsid w:val="00BA7FAB"/>
    <w:rsid w:val="00BB6B6E"/>
    <w:rsid w:val="00BC2F4C"/>
    <w:rsid w:val="00BC43AD"/>
    <w:rsid w:val="00BC4A05"/>
    <w:rsid w:val="00BC567D"/>
    <w:rsid w:val="00BC6BA6"/>
    <w:rsid w:val="00BE15C1"/>
    <w:rsid w:val="00BF0B15"/>
    <w:rsid w:val="00C12CBB"/>
    <w:rsid w:val="00C16F77"/>
    <w:rsid w:val="00C17412"/>
    <w:rsid w:val="00C25A2D"/>
    <w:rsid w:val="00C260F8"/>
    <w:rsid w:val="00C3050C"/>
    <w:rsid w:val="00C32889"/>
    <w:rsid w:val="00C34B99"/>
    <w:rsid w:val="00C40CC8"/>
    <w:rsid w:val="00C43FBE"/>
    <w:rsid w:val="00C449C6"/>
    <w:rsid w:val="00C44AA1"/>
    <w:rsid w:val="00C52142"/>
    <w:rsid w:val="00C564B0"/>
    <w:rsid w:val="00C61F0B"/>
    <w:rsid w:val="00C6283F"/>
    <w:rsid w:val="00C6582C"/>
    <w:rsid w:val="00C71487"/>
    <w:rsid w:val="00C7606D"/>
    <w:rsid w:val="00C814A5"/>
    <w:rsid w:val="00C82932"/>
    <w:rsid w:val="00C84B2B"/>
    <w:rsid w:val="00C855F6"/>
    <w:rsid w:val="00C96573"/>
    <w:rsid w:val="00CA286A"/>
    <w:rsid w:val="00CA4791"/>
    <w:rsid w:val="00CA7205"/>
    <w:rsid w:val="00CB060F"/>
    <w:rsid w:val="00CC04B5"/>
    <w:rsid w:val="00CD03C6"/>
    <w:rsid w:val="00CD0BB8"/>
    <w:rsid w:val="00CD3849"/>
    <w:rsid w:val="00CE0509"/>
    <w:rsid w:val="00CE2D9C"/>
    <w:rsid w:val="00CF4D77"/>
    <w:rsid w:val="00CF7384"/>
    <w:rsid w:val="00D00717"/>
    <w:rsid w:val="00D0526B"/>
    <w:rsid w:val="00D221F3"/>
    <w:rsid w:val="00D2343D"/>
    <w:rsid w:val="00D30EAE"/>
    <w:rsid w:val="00D318F1"/>
    <w:rsid w:val="00D40B0E"/>
    <w:rsid w:val="00D416C2"/>
    <w:rsid w:val="00D44FE0"/>
    <w:rsid w:val="00D4694F"/>
    <w:rsid w:val="00D5423E"/>
    <w:rsid w:val="00D66413"/>
    <w:rsid w:val="00DA46A0"/>
    <w:rsid w:val="00DA66B7"/>
    <w:rsid w:val="00DB0865"/>
    <w:rsid w:val="00DB0C91"/>
    <w:rsid w:val="00DB7206"/>
    <w:rsid w:val="00DC36C8"/>
    <w:rsid w:val="00DC5C1E"/>
    <w:rsid w:val="00DE5433"/>
    <w:rsid w:val="00DE68A7"/>
    <w:rsid w:val="00DF2A65"/>
    <w:rsid w:val="00DF2AE6"/>
    <w:rsid w:val="00DF5A43"/>
    <w:rsid w:val="00DF5F38"/>
    <w:rsid w:val="00DF6AA9"/>
    <w:rsid w:val="00E04526"/>
    <w:rsid w:val="00E07BAA"/>
    <w:rsid w:val="00E1179E"/>
    <w:rsid w:val="00E14180"/>
    <w:rsid w:val="00E21491"/>
    <w:rsid w:val="00E21D3D"/>
    <w:rsid w:val="00E23336"/>
    <w:rsid w:val="00E31661"/>
    <w:rsid w:val="00E32B52"/>
    <w:rsid w:val="00E34040"/>
    <w:rsid w:val="00E35D91"/>
    <w:rsid w:val="00E3652F"/>
    <w:rsid w:val="00E46D06"/>
    <w:rsid w:val="00E47EB8"/>
    <w:rsid w:val="00E52F1E"/>
    <w:rsid w:val="00E704FD"/>
    <w:rsid w:val="00E70F11"/>
    <w:rsid w:val="00E71F5F"/>
    <w:rsid w:val="00E750E1"/>
    <w:rsid w:val="00E7795A"/>
    <w:rsid w:val="00E829A3"/>
    <w:rsid w:val="00E9114A"/>
    <w:rsid w:val="00EA0D5B"/>
    <w:rsid w:val="00EA2436"/>
    <w:rsid w:val="00EA3948"/>
    <w:rsid w:val="00EA489C"/>
    <w:rsid w:val="00EA7B59"/>
    <w:rsid w:val="00EB0CA7"/>
    <w:rsid w:val="00EB344D"/>
    <w:rsid w:val="00EB4992"/>
    <w:rsid w:val="00EC1CBF"/>
    <w:rsid w:val="00EC2B29"/>
    <w:rsid w:val="00EC43DC"/>
    <w:rsid w:val="00ED251D"/>
    <w:rsid w:val="00ED3C2E"/>
    <w:rsid w:val="00EF0947"/>
    <w:rsid w:val="00EF2E52"/>
    <w:rsid w:val="00EF4F85"/>
    <w:rsid w:val="00F031FB"/>
    <w:rsid w:val="00F247BA"/>
    <w:rsid w:val="00F32228"/>
    <w:rsid w:val="00F32E4A"/>
    <w:rsid w:val="00F36D8C"/>
    <w:rsid w:val="00F4710F"/>
    <w:rsid w:val="00F53DA5"/>
    <w:rsid w:val="00F57DED"/>
    <w:rsid w:val="00F90A71"/>
    <w:rsid w:val="00F914DD"/>
    <w:rsid w:val="00F923A5"/>
    <w:rsid w:val="00F93545"/>
    <w:rsid w:val="00F96337"/>
    <w:rsid w:val="00F96FBA"/>
    <w:rsid w:val="00FB0C1B"/>
    <w:rsid w:val="00FB2B5B"/>
    <w:rsid w:val="00FB4E06"/>
    <w:rsid w:val="00FC3483"/>
    <w:rsid w:val="00FC4D68"/>
    <w:rsid w:val="00FC56D7"/>
    <w:rsid w:val="00FD2ADA"/>
    <w:rsid w:val="00FD5AB0"/>
    <w:rsid w:val="00FD675B"/>
    <w:rsid w:val="00FE4594"/>
    <w:rsid w:val="00FE5D1E"/>
    <w:rsid w:val="00FE6707"/>
    <w:rsid w:val="00FF706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raditional Arabic"/>
        <w:lang w:val="en-US" w:eastAsia="en-US" w:bidi="ar-SA"/>
      </w:rPr>
    </w:rPrDefault>
    <w:pPrDefault/>
  </w:docDefaults>
  <w:latentStyles w:defLockedState="0" w:defUIPriority="0" w:defSemiHidden="0" w:defUnhideWhenUsed="0" w:defQFormat="0" w:count="267">
    <w:lsdException w:name="Normal"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line number"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CE2D9C"/>
    <w:pPr>
      <w:bidi/>
      <w:spacing w:line="400" w:lineRule="exact"/>
      <w:jc w:val="lowKashida"/>
    </w:pPr>
    <w:rPr>
      <w:w w:val="103"/>
      <w:kern w:val="14"/>
      <w:szCs w:val="30"/>
    </w:rPr>
  </w:style>
  <w:style w:type="paragraph" w:styleId="Heading1">
    <w:name w:val="heading 1"/>
    <w:basedOn w:val="Normal"/>
    <w:next w:val="Normal"/>
    <w:rsid w:val="00D4694F"/>
    <w:pPr>
      <w:keepNext/>
      <w:outlineLvl w:val="0"/>
    </w:pPr>
    <w:rPr>
      <w:sz w:val="24"/>
      <w:szCs w:val="24"/>
    </w:rPr>
  </w:style>
  <w:style w:type="paragraph" w:styleId="Heading2">
    <w:name w:val="heading 2"/>
    <w:basedOn w:val="Normal"/>
    <w:next w:val="Normal"/>
    <w:qFormat/>
    <w:rsid w:val="00D4694F"/>
    <w:pPr>
      <w:outlineLvl w:val="1"/>
    </w:pPr>
  </w:style>
  <w:style w:type="paragraph" w:styleId="Heading3">
    <w:name w:val="heading 3"/>
    <w:basedOn w:val="Normal"/>
    <w:next w:val="Normal"/>
    <w:link w:val="Heading3Char"/>
    <w:qFormat/>
    <w:rsid w:val="00D4694F"/>
    <w:pPr>
      <w:keepNext/>
      <w:spacing w:before="240" w:after="60"/>
      <w:outlineLvl w:val="2"/>
    </w:pPr>
    <w:rPr>
      <w:rFonts w:ascii="Arial" w:eastAsiaTheme="majorEastAsia"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385F27"/>
    <w:pPr>
      <w:keepNext/>
      <w:keepLines/>
      <w:outlineLvl w:val="0"/>
    </w:pPr>
    <w:rPr>
      <w:b/>
      <w:bCs/>
      <w:sz w:val="24"/>
      <w:szCs w:val="34"/>
    </w:rPr>
  </w:style>
  <w:style w:type="paragraph" w:customStyle="1" w:styleId="HCh">
    <w:name w:val="_ H _Ch"/>
    <w:basedOn w:val="H1"/>
    <w:next w:val="SingleTxt"/>
    <w:qFormat/>
    <w:rsid w:val="00385F27"/>
    <w:pPr>
      <w:spacing w:line="450" w:lineRule="exact"/>
    </w:pPr>
    <w:rPr>
      <w:spacing w:val="-2"/>
      <w:sz w:val="28"/>
      <w:szCs w:val="38"/>
    </w:rPr>
  </w:style>
  <w:style w:type="character" w:styleId="CommentReference">
    <w:name w:val="annotation reference"/>
    <w:basedOn w:val="DefaultParagraphFont"/>
    <w:semiHidden/>
    <w:rsid w:val="00EB4992"/>
    <w:rPr>
      <w:sz w:val="6"/>
      <w:szCs w:val="9"/>
    </w:rPr>
  </w:style>
  <w:style w:type="paragraph" w:styleId="FootnoteText">
    <w:name w:val="footnote text"/>
    <w:basedOn w:val="Normal"/>
    <w:semiHidden/>
    <w:rsid w:val="00EB4992"/>
    <w:pPr>
      <w:tabs>
        <w:tab w:val="right" w:pos="418"/>
      </w:tabs>
      <w:spacing w:line="300" w:lineRule="exact"/>
      <w:ind w:left="662" w:right="662" w:hanging="662"/>
    </w:pPr>
    <w:rPr>
      <w:w w:val="100"/>
      <w:sz w:val="17"/>
      <w:szCs w:val="26"/>
    </w:rPr>
  </w:style>
  <w:style w:type="paragraph" w:styleId="EndnoteText">
    <w:name w:val="endnote text"/>
    <w:basedOn w:val="FootnoteText"/>
    <w:semiHidden/>
    <w:rsid w:val="00EB4992"/>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pPr>
  </w:style>
  <w:style w:type="character" w:styleId="FootnoteReference">
    <w:name w:val="footnote reference"/>
    <w:basedOn w:val="DefaultParagraphFont"/>
    <w:semiHidden/>
    <w:rsid w:val="00CE2D9C"/>
    <w:rPr>
      <w:rFonts w:ascii="Times New Roman" w:hAnsi="Times New Roman" w:cs="Traditional Arabic"/>
      <w:color w:val="auto"/>
      <w:spacing w:val="5"/>
      <w:w w:val="103"/>
      <w:kern w:val="14"/>
      <w:position w:val="0"/>
      <w:sz w:val="17"/>
      <w:szCs w:val="26"/>
      <w:vertAlign w:val="superscript"/>
      <w:lang w:val="en-US" w:bidi="ar-SA"/>
      <w14:ligatures w14:val="none"/>
      <w14:numForm w14:val="default"/>
      <w14:numSpacing w14:val="default"/>
      <w14:stylisticSets/>
      <w14:cntxtAlts w14:val="0"/>
    </w:rPr>
  </w:style>
  <w:style w:type="paragraph" w:styleId="BalloonText">
    <w:name w:val="Balloon Text"/>
    <w:basedOn w:val="Normal"/>
    <w:semiHidden/>
    <w:rsid w:val="00EB4992"/>
    <w:rPr>
      <w:rFonts w:ascii="Tahoma" w:hAnsi="Tahoma" w:cs="Tahoma"/>
      <w:sz w:val="16"/>
      <w:szCs w:val="16"/>
    </w:rPr>
  </w:style>
  <w:style w:type="paragraph" w:customStyle="1" w:styleId="HM">
    <w:name w:val="_ H __M"/>
    <w:basedOn w:val="HCh"/>
    <w:next w:val="Normal"/>
    <w:qFormat/>
    <w:rsid w:val="00385F27"/>
    <w:pPr>
      <w:suppressAutoHyphens/>
      <w:spacing w:line="540" w:lineRule="exact"/>
    </w:pPr>
    <w:rPr>
      <w:spacing w:val="-3"/>
      <w:w w:val="99"/>
      <w:sz w:val="34"/>
      <w:szCs w:val="51"/>
    </w:rPr>
  </w:style>
  <w:style w:type="paragraph" w:customStyle="1" w:styleId="SingleTxt">
    <w:name w:val="__Single Txt"/>
    <w:basedOn w:val="Normal"/>
    <w:qFormat/>
    <w:rsid w:val="004D3ACE"/>
    <w:pPr>
      <w:tabs>
        <w:tab w:val="left" w:pos="1930"/>
        <w:tab w:val="left" w:pos="2592"/>
        <w:tab w:val="left" w:pos="3254"/>
        <w:tab w:val="left" w:pos="3917"/>
        <w:tab w:val="left" w:pos="4579"/>
        <w:tab w:val="left" w:pos="5242"/>
        <w:tab w:val="left" w:pos="5904"/>
        <w:tab w:val="left" w:pos="6566"/>
      </w:tabs>
      <w:spacing w:after="120"/>
      <w:ind w:left="1264" w:right="1264"/>
    </w:pPr>
  </w:style>
  <w:style w:type="paragraph" w:customStyle="1" w:styleId="H23">
    <w:name w:val="_ H_2/3"/>
    <w:basedOn w:val="H1"/>
    <w:next w:val="SingleTxt"/>
    <w:qFormat/>
    <w:rsid w:val="00385F27"/>
    <w:pPr>
      <w:suppressAutoHyphens/>
      <w:outlineLvl w:val="1"/>
    </w:pPr>
    <w:rPr>
      <w:spacing w:val="2"/>
      <w:sz w:val="20"/>
      <w:szCs w:val="30"/>
    </w:rPr>
  </w:style>
  <w:style w:type="paragraph" w:customStyle="1" w:styleId="H4">
    <w:name w:val="_ H_4"/>
    <w:basedOn w:val="Normal"/>
    <w:next w:val="Normal"/>
    <w:qFormat/>
    <w:rsid w:val="00385F27"/>
    <w:pPr>
      <w:keepNext/>
      <w:keepLines/>
      <w:suppressAutoHyphens/>
      <w:spacing w:line="360" w:lineRule="exact"/>
      <w:outlineLvl w:val="3"/>
    </w:pPr>
    <w:rPr>
      <w:i/>
      <w:iCs/>
      <w:spacing w:val="3"/>
    </w:rPr>
  </w:style>
  <w:style w:type="paragraph" w:customStyle="1" w:styleId="H56">
    <w:name w:val="_ H_5/6"/>
    <w:basedOn w:val="Normal"/>
    <w:next w:val="Normal"/>
    <w:qFormat/>
    <w:rsid w:val="00385F27"/>
    <w:pPr>
      <w:keepNext/>
      <w:keepLines/>
      <w:suppressAutoHyphens/>
      <w:spacing w:line="360" w:lineRule="exact"/>
      <w:outlineLvl w:val="4"/>
    </w:pPr>
  </w:style>
  <w:style w:type="paragraph" w:customStyle="1" w:styleId="DualTxt">
    <w:name w:val="__Dual Txt"/>
    <w:basedOn w:val="Normal"/>
    <w:qFormat/>
    <w:rsid w:val="00351324"/>
    <w:pPr>
      <w:tabs>
        <w:tab w:val="left" w:pos="662"/>
        <w:tab w:val="left" w:pos="1325"/>
        <w:tab w:val="left" w:pos="1987"/>
        <w:tab w:val="left" w:pos="2650"/>
        <w:tab w:val="left" w:pos="3312"/>
        <w:tab w:val="left" w:pos="3974"/>
        <w:tab w:val="left" w:pos="4637"/>
      </w:tabs>
      <w:spacing w:after="120"/>
    </w:pPr>
  </w:style>
  <w:style w:type="paragraph" w:customStyle="1" w:styleId="JDualTxt">
    <w:name w:val="J__Dual Txt"/>
    <w:basedOn w:val="Normal"/>
    <w:qFormat/>
    <w:rsid w:val="00D4694F"/>
    <w:pPr>
      <w:tabs>
        <w:tab w:val="left" w:pos="475"/>
        <w:tab w:val="left" w:pos="950"/>
        <w:tab w:val="left" w:pos="1426"/>
        <w:tab w:val="left" w:pos="1901"/>
        <w:tab w:val="center" w:pos="2563"/>
        <w:tab w:val="right" w:pos="5040"/>
      </w:tabs>
      <w:spacing w:after="80" w:line="300" w:lineRule="exact"/>
    </w:pPr>
    <w:rPr>
      <w:sz w:val="17"/>
      <w:szCs w:val="26"/>
    </w:rPr>
  </w:style>
  <w:style w:type="paragraph" w:styleId="Footer">
    <w:name w:val="footer"/>
    <w:link w:val="FooterChar"/>
    <w:qFormat/>
    <w:rsid w:val="007D489C"/>
    <w:pPr>
      <w:tabs>
        <w:tab w:val="center" w:pos="4320"/>
        <w:tab w:val="right" w:pos="8640"/>
      </w:tabs>
      <w:spacing w:line="210" w:lineRule="exact"/>
      <w:jc w:val="right"/>
    </w:pPr>
    <w:rPr>
      <w:b/>
      <w:bCs/>
      <w:kern w:val="14"/>
      <w:sz w:val="17"/>
      <w:szCs w:val="25"/>
    </w:rPr>
  </w:style>
  <w:style w:type="character" w:customStyle="1" w:styleId="FooterChar">
    <w:name w:val="Footer Char"/>
    <w:basedOn w:val="DefaultParagraphFont"/>
    <w:link w:val="Footer"/>
    <w:rsid w:val="007D489C"/>
    <w:rPr>
      <w:b/>
      <w:bCs/>
      <w:kern w:val="14"/>
      <w:sz w:val="17"/>
      <w:szCs w:val="25"/>
    </w:rPr>
  </w:style>
  <w:style w:type="paragraph" w:styleId="Header">
    <w:name w:val="header"/>
    <w:link w:val="HeaderChar"/>
    <w:qFormat/>
    <w:rsid w:val="007D489C"/>
    <w:pPr>
      <w:tabs>
        <w:tab w:val="center" w:pos="4320"/>
        <w:tab w:val="right" w:pos="8640"/>
      </w:tabs>
      <w:jc w:val="right"/>
    </w:pPr>
    <w:rPr>
      <w:b/>
      <w:bCs/>
      <w:w w:val="105"/>
      <w:kern w:val="14"/>
      <w:sz w:val="17"/>
      <w:szCs w:val="25"/>
    </w:rPr>
  </w:style>
  <w:style w:type="character" w:customStyle="1" w:styleId="HeaderChar">
    <w:name w:val="Header Char"/>
    <w:basedOn w:val="DefaultParagraphFont"/>
    <w:link w:val="Header"/>
    <w:rsid w:val="007D489C"/>
    <w:rPr>
      <w:b/>
      <w:bCs/>
      <w:w w:val="105"/>
      <w:kern w:val="14"/>
      <w:sz w:val="17"/>
      <w:szCs w:val="25"/>
    </w:rPr>
  </w:style>
  <w:style w:type="character" w:customStyle="1" w:styleId="Heading3Char">
    <w:name w:val="Heading 3 Char"/>
    <w:basedOn w:val="DefaultParagraphFont"/>
    <w:link w:val="Heading3"/>
    <w:rsid w:val="00D4694F"/>
    <w:rPr>
      <w:rFonts w:ascii="Arial" w:eastAsiaTheme="majorEastAsia" w:hAnsi="Arial" w:cs="Arial"/>
      <w:b/>
      <w:bCs/>
      <w:w w:val="103"/>
      <w:kern w:val="14"/>
      <w:sz w:val="26"/>
      <w:szCs w:val="26"/>
    </w:rPr>
  </w:style>
  <w:style w:type="paragraph" w:customStyle="1" w:styleId="JSingleTxt">
    <w:name w:val="J__Single Txt"/>
    <w:basedOn w:val="Normal"/>
    <w:qFormat/>
    <w:rsid w:val="00784F2B"/>
    <w:pPr>
      <w:tabs>
        <w:tab w:val="left" w:pos="1843"/>
        <w:tab w:val="left" w:pos="2419"/>
        <w:tab w:val="left" w:pos="2995"/>
        <w:tab w:val="left" w:pos="3571"/>
        <w:tab w:val="left" w:pos="4147"/>
        <w:tab w:val="left" w:pos="4723"/>
        <w:tab w:val="center" w:pos="5486"/>
        <w:tab w:val="right" w:pos="9547"/>
      </w:tabs>
      <w:spacing w:after="80" w:line="300" w:lineRule="exact"/>
    </w:pPr>
    <w:rPr>
      <w:sz w:val="17"/>
      <w:szCs w:val="26"/>
    </w:rPr>
  </w:style>
  <w:style w:type="paragraph" w:customStyle="1" w:styleId="JCH">
    <w:name w:val="J_C_H"/>
    <w:basedOn w:val="JSingleTxt"/>
    <w:qFormat/>
    <w:rsid w:val="00784F2B"/>
    <w:pPr>
      <w:spacing w:after="120" w:line="440" w:lineRule="exact"/>
      <w:jc w:val="center"/>
    </w:pPr>
    <w:rPr>
      <w:b/>
      <w:bCs/>
      <w:sz w:val="25"/>
      <w:szCs w:val="38"/>
    </w:rPr>
  </w:style>
  <w:style w:type="paragraph" w:customStyle="1" w:styleId="JH1">
    <w:name w:val="J_H_1"/>
    <w:basedOn w:val="JCH"/>
    <w:qFormat/>
    <w:rsid w:val="00784F2B"/>
    <w:pPr>
      <w:spacing w:line="420" w:lineRule="exact"/>
    </w:pPr>
    <w:rPr>
      <w:sz w:val="23"/>
      <w:szCs w:val="34"/>
    </w:rPr>
  </w:style>
  <w:style w:type="paragraph" w:customStyle="1" w:styleId="JH2">
    <w:name w:val="J_H_2"/>
    <w:basedOn w:val="JH1"/>
    <w:qFormat/>
    <w:rsid w:val="00784F2B"/>
    <w:pPr>
      <w:spacing w:line="400" w:lineRule="exact"/>
    </w:pPr>
    <w:rPr>
      <w:sz w:val="20"/>
      <w:szCs w:val="30"/>
    </w:rPr>
  </w:style>
  <w:style w:type="paragraph" w:customStyle="1" w:styleId="JSmall">
    <w:name w:val="J_Small"/>
    <w:basedOn w:val="JSingleTxt"/>
    <w:next w:val="JSingleTxt"/>
    <w:qFormat/>
    <w:rsid w:val="00784F2B"/>
    <w:pPr>
      <w:tabs>
        <w:tab w:val="clear" w:pos="1843"/>
        <w:tab w:val="clear" w:pos="2419"/>
        <w:tab w:val="clear" w:pos="2995"/>
        <w:tab w:val="clear" w:pos="3571"/>
        <w:tab w:val="clear" w:pos="4147"/>
        <w:tab w:val="clear" w:pos="4723"/>
        <w:tab w:val="clear" w:pos="5486"/>
        <w:tab w:val="clear" w:pos="9547"/>
      </w:tabs>
      <w:spacing w:after="120"/>
      <w:ind w:left="2563" w:right="1584"/>
    </w:pPr>
  </w:style>
  <w:style w:type="paragraph" w:customStyle="1" w:styleId="Small">
    <w:name w:val="Small"/>
    <w:basedOn w:val="Normal"/>
    <w:next w:val="Normal"/>
    <w:qFormat/>
    <w:rsid w:val="00AD1A68"/>
    <w:pPr>
      <w:tabs>
        <w:tab w:val="right" w:leader="dot" w:pos="360"/>
      </w:tabs>
      <w:spacing w:line="310" w:lineRule="exact"/>
      <w:jc w:val="right"/>
    </w:pPr>
    <w:rPr>
      <w:spacing w:val="5"/>
      <w:w w:val="104"/>
      <w:sz w:val="17"/>
      <w:szCs w:val="25"/>
    </w:rPr>
  </w:style>
  <w:style w:type="character" w:styleId="LineNumber">
    <w:name w:val="line number"/>
    <w:basedOn w:val="DefaultParagraphFont"/>
    <w:qFormat/>
    <w:rsid w:val="00AD1A68"/>
    <w:rPr>
      <w:sz w:val="14"/>
      <w:szCs w:val="16"/>
    </w:rPr>
  </w:style>
  <w:style w:type="paragraph" w:customStyle="1" w:styleId="SmallX">
    <w:name w:val="SmallX"/>
    <w:basedOn w:val="Small"/>
    <w:next w:val="Normal"/>
    <w:qFormat/>
    <w:rsid w:val="00AD1A68"/>
    <w:pPr>
      <w:spacing w:line="240" w:lineRule="exact"/>
    </w:pPr>
    <w:rPr>
      <w:spacing w:val="6"/>
      <w:w w:val="106"/>
      <w:sz w:val="14"/>
      <w:szCs w:val="21"/>
    </w:rPr>
  </w:style>
  <w:style w:type="paragraph" w:customStyle="1" w:styleId="XLarge">
    <w:name w:val="XLarge"/>
    <w:basedOn w:val="HM"/>
    <w:qFormat/>
    <w:rsid w:val="00AD1A68"/>
    <w:pPr>
      <w:tabs>
        <w:tab w:val="right" w:leader="dot" w:pos="360"/>
      </w:tabs>
      <w:spacing w:line="580" w:lineRule="exact"/>
      <w:jc w:val="right"/>
    </w:pPr>
    <w:rPr>
      <w:spacing w:val="-4"/>
      <w:w w:val="98"/>
      <w:sz w:val="40"/>
      <w:szCs w:val="60"/>
    </w:rPr>
  </w:style>
  <w:style w:type="paragraph" w:customStyle="1" w:styleId="XXLarge">
    <w:name w:val="XXLarge"/>
    <w:basedOn w:val="XLarge"/>
    <w:next w:val="Normal"/>
    <w:qFormat/>
    <w:rsid w:val="00351324"/>
    <w:pPr>
      <w:spacing w:line="820" w:lineRule="exact"/>
    </w:pPr>
    <w:rPr>
      <w:spacing w:val="-8"/>
      <w:w w:val="96"/>
      <w:sz w:val="57"/>
      <w:szCs w:val="86"/>
    </w:rPr>
  </w:style>
  <w:style w:type="paragraph" w:customStyle="1" w:styleId="Distribution">
    <w:name w:val="Distribution"/>
    <w:basedOn w:val="Normal"/>
    <w:next w:val="Normal"/>
    <w:qFormat/>
    <w:rsid w:val="00351324"/>
    <w:pPr>
      <w:tabs>
        <w:tab w:val="left" w:pos="662"/>
        <w:tab w:val="left" w:pos="1267"/>
        <w:tab w:val="left" w:pos="1987"/>
        <w:tab w:val="left" w:pos="2650"/>
      </w:tabs>
      <w:spacing w:line="240" w:lineRule="exact"/>
    </w:pPr>
  </w:style>
  <w:style w:type="paragraph" w:customStyle="1" w:styleId="Publication">
    <w:name w:val="Publication"/>
    <w:basedOn w:val="Normal"/>
    <w:next w:val="Normal"/>
    <w:qFormat/>
    <w:rsid w:val="00351324"/>
    <w:pPr>
      <w:tabs>
        <w:tab w:val="left" w:pos="662"/>
        <w:tab w:val="left" w:pos="1267"/>
        <w:tab w:val="left" w:pos="1987"/>
        <w:tab w:val="left" w:pos="2650"/>
      </w:tabs>
      <w:spacing w:line="240" w:lineRule="exact"/>
    </w:pPr>
  </w:style>
  <w:style w:type="paragraph" w:customStyle="1" w:styleId="Original">
    <w:name w:val="Original"/>
    <w:basedOn w:val="Normal"/>
    <w:next w:val="Normal"/>
    <w:qFormat/>
    <w:rsid w:val="00351324"/>
    <w:pPr>
      <w:tabs>
        <w:tab w:val="left" w:pos="662"/>
        <w:tab w:val="left" w:pos="1267"/>
        <w:tab w:val="left" w:pos="1987"/>
        <w:tab w:val="left" w:pos="2650"/>
      </w:tabs>
      <w:spacing w:line="240" w:lineRule="exact"/>
    </w:pPr>
  </w:style>
  <w:style w:type="paragraph" w:customStyle="1" w:styleId="ReleaseDate">
    <w:name w:val="Release Date"/>
    <w:next w:val="Footer"/>
    <w:qFormat/>
    <w:rsid w:val="00693CF9"/>
    <w:pPr>
      <w:tabs>
        <w:tab w:val="center" w:pos="4320"/>
        <w:tab w:val="right" w:pos="8640"/>
      </w:tabs>
      <w:spacing w:line="210" w:lineRule="exact"/>
      <w:jc w:val="right"/>
    </w:pPr>
    <w:rPr>
      <w:w w:val="103"/>
      <w:kern w:val="14"/>
      <w:szCs w:val="30"/>
    </w:rPr>
  </w:style>
  <w:style w:type="paragraph" w:customStyle="1" w:styleId="Session">
    <w:name w:val="Session"/>
    <w:basedOn w:val="H23"/>
    <w:qFormat/>
    <w:rsid w:val="00351324"/>
    <w:pPr>
      <w:tabs>
        <w:tab w:val="left" w:pos="662"/>
        <w:tab w:val="left" w:pos="1267"/>
        <w:tab w:val="left" w:pos="1987"/>
        <w:tab w:val="left" w:pos="2650"/>
      </w:tabs>
      <w:ind w:left="663" w:hanging="663"/>
    </w:pPr>
  </w:style>
  <w:style w:type="paragraph" w:customStyle="1" w:styleId="Committee">
    <w:name w:val="Committee"/>
    <w:basedOn w:val="H1"/>
    <w:qFormat/>
    <w:rsid w:val="00351324"/>
    <w:pPr>
      <w:tabs>
        <w:tab w:val="left" w:pos="662"/>
        <w:tab w:val="left" w:pos="1267"/>
        <w:tab w:val="left" w:pos="1987"/>
        <w:tab w:val="left" w:pos="2650"/>
      </w:tabs>
      <w:ind w:right="1264"/>
    </w:pPr>
  </w:style>
  <w:style w:type="paragraph" w:customStyle="1" w:styleId="AgendaTitle">
    <w:name w:val="AgendaTitle"/>
    <w:basedOn w:val="Normal"/>
    <w:next w:val="Normal"/>
    <w:qFormat/>
    <w:rsid w:val="00351324"/>
    <w:pPr>
      <w:tabs>
        <w:tab w:val="left" w:pos="662"/>
        <w:tab w:val="left" w:pos="1267"/>
        <w:tab w:val="left" w:pos="1325"/>
        <w:tab w:val="left" w:pos="1987"/>
        <w:tab w:val="left" w:pos="2650"/>
        <w:tab w:val="left" w:pos="3312"/>
      </w:tabs>
      <w:ind w:left="1264" w:hanging="1264"/>
    </w:pPr>
  </w:style>
  <w:style w:type="paragraph" w:customStyle="1" w:styleId="Sponsors">
    <w:name w:val="Sponsors"/>
    <w:basedOn w:val="H23"/>
    <w:qFormat/>
    <w:rsid w:val="00351324"/>
    <w:pPr>
      <w:tabs>
        <w:tab w:val="right" w:pos="1022"/>
        <w:tab w:val="left" w:pos="1267"/>
        <w:tab w:val="left" w:pos="1930"/>
        <w:tab w:val="left" w:pos="2592"/>
        <w:tab w:val="left" w:pos="3254"/>
      </w:tabs>
      <w:spacing w:after="120"/>
      <w:ind w:left="1264" w:right="1264" w:hanging="1264"/>
    </w:pPr>
  </w:style>
  <w:style w:type="paragraph" w:customStyle="1" w:styleId="Title1">
    <w:name w:val="Title 1"/>
    <w:basedOn w:val="HCh"/>
    <w:qFormat/>
    <w:rsid w:val="00351324"/>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paragraph" w:customStyle="1" w:styleId="Title2">
    <w:name w:val="Title 2"/>
    <w:basedOn w:val="H1"/>
    <w:qFormat/>
    <w:rsid w:val="00351324"/>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paragraph" w:customStyle="1" w:styleId="Type">
    <w:name w:val="Type"/>
    <w:basedOn w:val="H23"/>
    <w:qFormat/>
    <w:rsid w:val="00351324"/>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character" w:styleId="Hyperlink">
    <w:name w:val="Hyperlink"/>
    <w:basedOn w:val="DefaultParagraphFont"/>
    <w:rsid w:val="0025236C"/>
    <w:rPr>
      <w:color w:val="0000FF" w:themeColor="hyperlink"/>
      <w:u w:val="single"/>
    </w:rPr>
  </w:style>
  <w:style w:type="character" w:styleId="FollowedHyperlink">
    <w:name w:val="FollowedHyperlink"/>
    <w:basedOn w:val="DefaultParagraphFont"/>
    <w:rsid w:val="0025236C"/>
    <w:rPr>
      <w:color w:val="0000FF"/>
      <w:u w:val="single"/>
    </w:rPr>
  </w:style>
  <w:style w:type="paragraph" w:customStyle="1" w:styleId="Bullet1">
    <w:name w:val="Bullet 1"/>
    <w:basedOn w:val="Normal"/>
    <w:qFormat/>
    <w:rsid w:val="00F923A5"/>
    <w:pPr>
      <w:numPr>
        <w:numId w:val="1"/>
      </w:numPr>
      <w:spacing w:after="120" w:line="240" w:lineRule="exact"/>
      <w:ind w:left="1743" w:right="1267" w:hanging="130"/>
    </w:pPr>
  </w:style>
  <w:style w:type="paragraph" w:customStyle="1" w:styleId="Bullet2">
    <w:name w:val="Bullet 2"/>
    <w:basedOn w:val="Normal"/>
    <w:qFormat/>
    <w:rsid w:val="00F923A5"/>
    <w:pPr>
      <w:numPr>
        <w:numId w:val="2"/>
      </w:numPr>
      <w:spacing w:after="120" w:line="240" w:lineRule="exact"/>
      <w:ind w:left="2218" w:right="1267" w:hanging="130"/>
    </w:pPr>
  </w:style>
  <w:style w:type="character" w:styleId="EndnoteReference">
    <w:name w:val="endnote reference"/>
    <w:basedOn w:val="DefaultParagraphFont"/>
    <w:semiHidden/>
    <w:rsid w:val="00C7606D"/>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F923A5"/>
    <w:pPr>
      <w:numPr>
        <w:numId w:val="3"/>
      </w:numPr>
      <w:tabs>
        <w:tab w:val="clear" w:pos="1930"/>
        <w:tab w:val="clear" w:pos="2592"/>
        <w:tab w:val="clear" w:pos="3254"/>
        <w:tab w:val="clear" w:pos="3917"/>
        <w:tab w:val="clear" w:pos="4579"/>
        <w:tab w:val="clear" w:pos="5242"/>
        <w:tab w:val="clear" w:pos="5904"/>
        <w:tab w:val="clear" w:pos="6566"/>
      </w:tabs>
      <w:spacing w:line="240" w:lineRule="exact"/>
      <w:ind w:left="2693" w:right="1267" w:hanging="130"/>
    </w:pPr>
  </w:style>
  <w:style w:type="paragraph" w:styleId="CommentText">
    <w:name w:val="annotation text"/>
    <w:basedOn w:val="Normal"/>
    <w:link w:val="CommentTextChar"/>
    <w:rsid w:val="007B6F28"/>
    <w:pPr>
      <w:spacing w:line="240" w:lineRule="auto"/>
    </w:pPr>
    <w:rPr>
      <w:szCs w:val="20"/>
    </w:rPr>
  </w:style>
  <w:style w:type="character" w:customStyle="1" w:styleId="CommentTextChar">
    <w:name w:val="Comment Text Char"/>
    <w:basedOn w:val="DefaultParagraphFont"/>
    <w:link w:val="CommentText"/>
    <w:rsid w:val="007B6F28"/>
    <w:rPr>
      <w:w w:val="103"/>
      <w:kern w:val="14"/>
    </w:rPr>
  </w:style>
  <w:style w:type="paragraph" w:styleId="CommentSubject">
    <w:name w:val="annotation subject"/>
    <w:basedOn w:val="CommentText"/>
    <w:next w:val="CommentText"/>
    <w:link w:val="CommentSubjectChar"/>
    <w:rsid w:val="007B6F28"/>
    <w:rPr>
      <w:b/>
      <w:bCs/>
    </w:rPr>
  </w:style>
  <w:style w:type="character" w:customStyle="1" w:styleId="CommentSubjectChar">
    <w:name w:val="Comment Subject Char"/>
    <w:basedOn w:val="CommentTextChar"/>
    <w:link w:val="CommentSubject"/>
    <w:rsid w:val="007B6F28"/>
    <w:rPr>
      <w:b/>
      <w:bCs/>
      <w:w w:val="103"/>
      <w:kern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raditional Arabic"/>
        <w:lang w:val="en-US" w:eastAsia="en-US" w:bidi="ar-SA"/>
      </w:rPr>
    </w:rPrDefault>
    <w:pPrDefault/>
  </w:docDefaults>
  <w:latentStyles w:defLockedState="0" w:defUIPriority="0" w:defSemiHidden="0" w:defUnhideWhenUsed="0" w:defQFormat="0" w:count="267">
    <w:lsdException w:name="Normal"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line number"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CE2D9C"/>
    <w:pPr>
      <w:bidi/>
      <w:spacing w:line="400" w:lineRule="exact"/>
      <w:jc w:val="lowKashida"/>
    </w:pPr>
    <w:rPr>
      <w:w w:val="103"/>
      <w:kern w:val="14"/>
      <w:szCs w:val="30"/>
    </w:rPr>
  </w:style>
  <w:style w:type="paragraph" w:styleId="Heading1">
    <w:name w:val="heading 1"/>
    <w:basedOn w:val="Normal"/>
    <w:next w:val="Normal"/>
    <w:rsid w:val="00D4694F"/>
    <w:pPr>
      <w:keepNext/>
      <w:outlineLvl w:val="0"/>
    </w:pPr>
    <w:rPr>
      <w:sz w:val="24"/>
      <w:szCs w:val="24"/>
    </w:rPr>
  </w:style>
  <w:style w:type="paragraph" w:styleId="Heading2">
    <w:name w:val="heading 2"/>
    <w:basedOn w:val="Normal"/>
    <w:next w:val="Normal"/>
    <w:qFormat/>
    <w:rsid w:val="00D4694F"/>
    <w:pPr>
      <w:outlineLvl w:val="1"/>
    </w:pPr>
  </w:style>
  <w:style w:type="paragraph" w:styleId="Heading3">
    <w:name w:val="heading 3"/>
    <w:basedOn w:val="Normal"/>
    <w:next w:val="Normal"/>
    <w:link w:val="Heading3Char"/>
    <w:qFormat/>
    <w:rsid w:val="00D4694F"/>
    <w:pPr>
      <w:keepNext/>
      <w:spacing w:before="240" w:after="60"/>
      <w:outlineLvl w:val="2"/>
    </w:pPr>
    <w:rPr>
      <w:rFonts w:ascii="Arial" w:eastAsiaTheme="majorEastAsia"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385F27"/>
    <w:pPr>
      <w:keepNext/>
      <w:keepLines/>
      <w:outlineLvl w:val="0"/>
    </w:pPr>
    <w:rPr>
      <w:b/>
      <w:bCs/>
      <w:sz w:val="24"/>
      <w:szCs w:val="34"/>
    </w:rPr>
  </w:style>
  <w:style w:type="paragraph" w:customStyle="1" w:styleId="HCh">
    <w:name w:val="_ H _Ch"/>
    <w:basedOn w:val="H1"/>
    <w:next w:val="SingleTxt"/>
    <w:qFormat/>
    <w:rsid w:val="00385F27"/>
    <w:pPr>
      <w:spacing w:line="450" w:lineRule="exact"/>
    </w:pPr>
    <w:rPr>
      <w:spacing w:val="-2"/>
      <w:sz w:val="28"/>
      <w:szCs w:val="38"/>
    </w:rPr>
  </w:style>
  <w:style w:type="character" w:styleId="CommentReference">
    <w:name w:val="annotation reference"/>
    <w:basedOn w:val="DefaultParagraphFont"/>
    <w:semiHidden/>
    <w:rsid w:val="00EB4992"/>
    <w:rPr>
      <w:sz w:val="6"/>
      <w:szCs w:val="9"/>
    </w:rPr>
  </w:style>
  <w:style w:type="paragraph" w:styleId="FootnoteText">
    <w:name w:val="footnote text"/>
    <w:basedOn w:val="Normal"/>
    <w:semiHidden/>
    <w:rsid w:val="00EB4992"/>
    <w:pPr>
      <w:tabs>
        <w:tab w:val="right" w:pos="418"/>
      </w:tabs>
      <w:spacing w:line="300" w:lineRule="exact"/>
      <w:ind w:left="662" w:right="662" w:hanging="662"/>
    </w:pPr>
    <w:rPr>
      <w:w w:val="100"/>
      <w:sz w:val="17"/>
      <w:szCs w:val="26"/>
    </w:rPr>
  </w:style>
  <w:style w:type="paragraph" w:styleId="EndnoteText">
    <w:name w:val="endnote text"/>
    <w:basedOn w:val="FootnoteText"/>
    <w:semiHidden/>
    <w:rsid w:val="00EB4992"/>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pPr>
  </w:style>
  <w:style w:type="character" w:styleId="FootnoteReference">
    <w:name w:val="footnote reference"/>
    <w:basedOn w:val="DefaultParagraphFont"/>
    <w:semiHidden/>
    <w:rsid w:val="00CE2D9C"/>
    <w:rPr>
      <w:rFonts w:ascii="Times New Roman" w:hAnsi="Times New Roman" w:cs="Traditional Arabic"/>
      <w:color w:val="auto"/>
      <w:spacing w:val="5"/>
      <w:w w:val="103"/>
      <w:kern w:val="14"/>
      <w:position w:val="0"/>
      <w:sz w:val="17"/>
      <w:szCs w:val="26"/>
      <w:vertAlign w:val="superscript"/>
      <w:lang w:val="en-US" w:bidi="ar-SA"/>
      <w14:ligatures w14:val="none"/>
      <w14:numForm w14:val="default"/>
      <w14:numSpacing w14:val="default"/>
      <w14:stylisticSets/>
      <w14:cntxtAlts w14:val="0"/>
    </w:rPr>
  </w:style>
  <w:style w:type="paragraph" w:styleId="BalloonText">
    <w:name w:val="Balloon Text"/>
    <w:basedOn w:val="Normal"/>
    <w:semiHidden/>
    <w:rsid w:val="00EB4992"/>
    <w:rPr>
      <w:rFonts w:ascii="Tahoma" w:hAnsi="Tahoma" w:cs="Tahoma"/>
      <w:sz w:val="16"/>
      <w:szCs w:val="16"/>
    </w:rPr>
  </w:style>
  <w:style w:type="paragraph" w:customStyle="1" w:styleId="HM">
    <w:name w:val="_ H __M"/>
    <w:basedOn w:val="HCh"/>
    <w:next w:val="Normal"/>
    <w:qFormat/>
    <w:rsid w:val="00385F27"/>
    <w:pPr>
      <w:suppressAutoHyphens/>
      <w:spacing w:line="540" w:lineRule="exact"/>
    </w:pPr>
    <w:rPr>
      <w:spacing w:val="-3"/>
      <w:w w:val="99"/>
      <w:sz w:val="34"/>
      <w:szCs w:val="51"/>
    </w:rPr>
  </w:style>
  <w:style w:type="paragraph" w:customStyle="1" w:styleId="SingleTxt">
    <w:name w:val="__Single Txt"/>
    <w:basedOn w:val="Normal"/>
    <w:qFormat/>
    <w:rsid w:val="004D3ACE"/>
    <w:pPr>
      <w:tabs>
        <w:tab w:val="left" w:pos="1930"/>
        <w:tab w:val="left" w:pos="2592"/>
        <w:tab w:val="left" w:pos="3254"/>
        <w:tab w:val="left" w:pos="3917"/>
        <w:tab w:val="left" w:pos="4579"/>
        <w:tab w:val="left" w:pos="5242"/>
        <w:tab w:val="left" w:pos="5904"/>
        <w:tab w:val="left" w:pos="6566"/>
      </w:tabs>
      <w:spacing w:after="120"/>
      <w:ind w:left="1264" w:right="1264"/>
    </w:pPr>
  </w:style>
  <w:style w:type="paragraph" w:customStyle="1" w:styleId="H23">
    <w:name w:val="_ H_2/3"/>
    <w:basedOn w:val="H1"/>
    <w:next w:val="SingleTxt"/>
    <w:qFormat/>
    <w:rsid w:val="00385F27"/>
    <w:pPr>
      <w:suppressAutoHyphens/>
      <w:outlineLvl w:val="1"/>
    </w:pPr>
    <w:rPr>
      <w:spacing w:val="2"/>
      <w:sz w:val="20"/>
      <w:szCs w:val="30"/>
    </w:rPr>
  </w:style>
  <w:style w:type="paragraph" w:customStyle="1" w:styleId="H4">
    <w:name w:val="_ H_4"/>
    <w:basedOn w:val="Normal"/>
    <w:next w:val="Normal"/>
    <w:qFormat/>
    <w:rsid w:val="00385F27"/>
    <w:pPr>
      <w:keepNext/>
      <w:keepLines/>
      <w:suppressAutoHyphens/>
      <w:spacing w:line="360" w:lineRule="exact"/>
      <w:outlineLvl w:val="3"/>
    </w:pPr>
    <w:rPr>
      <w:i/>
      <w:iCs/>
      <w:spacing w:val="3"/>
    </w:rPr>
  </w:style>
  <w:style w:type="paragraph" w:customStyle="1" w:styleId="H56">
    <w:name w:val="_ H_5/6"/>
    <w:basedOn w:val="Normal"/>
    <w:next w:val="Normal"/>
    <w:qFormat/>
    <w:rsid w:val="00385F27"/>
    <w:pPr>
      <w:keepNext/>
      <w:keepLines/>
      <w:suppressAutoHyphens/>
      <w:spacing w:line="360" w:lineRule="exact"/>
      <w:outlineLvl w:val="4"/>
    </w:pPr>
  </w:style>
  <w:style w:type="paragraph" w:customStyle="1" w:styleId="DualTxt">
    <w:name w:val="__Dual Txt"/>
    <w:basedOn w:val="Normal"/>
    <w:qFormat/>
    <w:rsid w:val="00351324"/>
    <w:pPr>
      <w:tabs>
        <w:tab w:val="left" w:pos="662"/>
        <w:tab w:val="left" w:pos="1325"/>
        <w:tab w:val="left" w:pos="1987"/>
        <w:tab w:val="left" w:pos="2650"/>
        <w:tab w:val="left" w:pos="3312"/>
        <w:tab w:val="left" w:pos="3974"/>
        <w:tab w:val="left" w:pos="4637"/>
      </w:tabs>
      <w:spacing w:after="120"/>
    </w:pPr>
  </w:style>
  <w:style w:type="paragraph" w:customStyle="1" w:styleId="JDualTxt">
    <w:name w:val="J__Dual Txt"/>
    <w:basedOn w:val="Normal"/>
    <w:qFormat/>
    <w:rsid w:val="00D4694F"/>
    <w:pPr>
      <w:tabs>
        <w:tab w:val="left" w:pos="475"/>
        <w:tab w:val="left" w:pos="950"/>
        <w:tab w:val="left" w:pos="1426"/>
        <w:tab w:val="left" w:pos="1901"/>
        <w:tab w:val="center" w:pos="2563"/>
        <w:tab w:val="right" w:pos="5040"/>
      </w:tabs>
      <w:spacing w:after="80" w:line="300" w:lineRule="exact"/>
    </w:pPr>
    <w:rPr>
      <w:sz w:val="17"/>
      <w:szCs w:val="26"/>
    </w:rPr>
  </w:style>
  <w:style w:type="paragraph" w:styleId="Footer">
    <w:name w:val="footer"/>
    <w:link w:val="FooterChar"/>
    <w:qFormat/>
    <w:rsid w:val="007D489C"/>
    <w:pPr>
      <w:tabs>
        <w:tab w:val="center" w:pos="4320"/>
        <w:tab w:val="right" w:pos="8640"/>
      </w:tabs>
      <w:spacing w:line="210" w:lineRule="exact"/>
      <w:jc w:val="right"/>
    </w:pPr>
    <w:rPr>
      <w:b/>
      <w:bCs/>
      <w:kern w:val="14"/>
      <w:sz w:val="17"/>
      <w:szCs w:val="25"/>
    </w:rPr>
  </w:style>
  <w:style w:type="character" w:customStyle="1" w:styleId="FooterChar">
    <w:name w:val="Footer Char"/>
    <w:basedOn w:val="DefaultParagraphFont"/>
    <w:link w:val="Footer"/>
    <w:rsid w:val="007D489C"/>
    <w:rPr>
      <w:b/>
      <w:bCs/>
      <w:kern w:val="14"/>
      <w:sz w:val="17"/>
      <w:szCs w:val="25"/>
    </w:rPr>
  </w:style>
  <w:style w:type="paragraph" w:styleId="Header">
    <w:name w:val="header"/>
    <w:link w:val="HeaderChar"/>
    <w:qFormat/>
    <w:rsid w:val="007D489C"/>
    <w:pPr>
      <w:tabs>
        <w:tab w:val="center" w:pos="4320"/>
        <w:tab w:val="right" w:pos="8640"/>
      </w:tabs>
      <w:jc w:val="right"/>
    </w:pPr>
    <w:rPr>
      <w:b/>
      <w:bCs/>
      <w:w w:val="105"/>
      <w:kern w:val="14"/>
      <w:sz w:val="17"/>
      <w:szCs w:val="25"/>
    </w:rPr>
  </w:style>
  <w:style w:type="character" w:customStyle="1" w:styleId="HeaderChar">
    <w:name w:val="Header Char"/>
    <w:basedOn w:val="DefaultParagraphFont"/>
    <w:link w:val="Header"/>
    <w:rsid w:val="007D489C"/>
    <w:rPr>
      <w:b/>
      <w:bCs/>
      <w:w w:val="105"/>
      <w:kern w:val="14"/>
      <w:sz w:val="17"/>
      <w:szCs w:val="25"/>
    </w:rPr>
  </w:style>
  <w:style w:type="character" w:customStyle="1" w:styleId="Heading3Char">
    <w:name w:val="Heading 3 Char"/>
    <w:basedOn w:val="DefaultParagraphFont"/>
    <w:link w:val="Heading3"/>
    <w:rsid w:val="00D4694F"/>
    <w:rPr>
      <w:rFonts w:ascii="Arial" w:eastAsiaTheme="majorEastAsia" w:hAnsi="Arial" w:cs="Arial"/>
      <w:b/>
      <w:bCs/>
      <w:w w:val="103"/>
      <w:kern w:val="14"/>
      <w:sz w:val="26"/>
      <w:szCs w:val="26"/>
    </w:rPr>
  </w:style>
  <w:style w:type="paragraph" w:customStyle="1" w:styleId="JSingleTxt">
    <w:name w:val="J__Single Txt"/>
    <w:basedOn w:val="Normal"/>
    <w:qFormat/>
    <w:rsid w:val="00784F2B"/>
    <w:pPr>
      <w:tabs>
        <w:tab w:val="left" w:pos="1843"/>
        <w:tab w:val="left" w:pos="2419"/>
        <w:tab w:val="left" w:pos="2995"/>
        <w:tab w:val="left" w:pos="3571"/>
        <w:tab w:val="left" w:pos="4147"/>
        <w:tab w:val="left" w:pos="4723"/>
        <w:tab w:val="center" w:pos="5486"/>
        <w:tab w:val="right" w:pos="9547"/>
      </w:tabs>
      <w:spacing w:after="80" w:line="300" w:lineRule="exact"/>
    </w:pPr>
    <w:rPr>
      <w:sz w:val="17"/>
      <w:szCs w:val="26"/>
    </w:rPr>
  </w:style>
  <w:style w:type="paragraph" w:customStyle="1" w:styleId="JCH">
    <w:name w:val="J_C_H"/>
    <w:basedOn w:val="JSingleTxt"/>
    <w:qFormat/>
    <w:rsid w:val="00784F2B"/>
    <w:pPr>
      <w:spacing w:after="120" w:line="440" w:lineRule="exact"/>
      <w:jc w:val="center"/>
    </w:pPr>
    <w:rPr>
      <w:b/>
      <w:bCs/>
      <w:sz w:val="25"/>
      <w:szCs w:val="38"/>
    </w:rPr>
  </w:style>
  <w:style w:type="paragraph" w:customStyle="1" w:styleId="JH1">
    <w:name w:val="J_H_1"/>
    <w:basedOn w:val="JCH"/>
    <w:qFormat/>
    <w:rsid w:val="00784F2B"/>
    <w:pPr>
      <w:spacing w:line="420" w:lineRule="exact"/>
    </w:pPr>
    <w:rPr>
      <w:sz w:val="23"/>
      <w:szCs w:val="34"/>
    </w:rPr>
  </w:style>
  <w:style w:type="paragraph" w:customStyle="1" w:styleId="JH2">
    <w:name w:val="J_H_2"/>
    <w:basedOn w:val="JH1"/>
    <w:qFormat/>
    <w:rsid w:val="00784F2B"/>
    <w:pPr>
      <w:spacing w:line="400" w:lineRule="exact"/>
    </w:pPr>
    <w:rPr>
      <w:sz w:val="20"/>
      <w:szCs w:val="30"/>
    </w:rPr>
  </w:style>
  <w:style w:type="paragraph" w:customStyle="1" w:styleId="JSmall">
    <w:name w:val="J_Small"/>
    <w:basedOn w:val="JSingleTxt"/>
    <w:next w:val="JSingleTxt"/>
    <w:qFormat/>
    <w:rsid w:val="00784F2B"/>
    <w:pPr>
      <w:tabs>
        <w:tab w:val="clear" w:pos="1843"/>
        <w:tab w:val="clear" w:pos="2419"/>
        <w:tab w:val="clear" w:pos="2995"/>
        <w:tab w:val="clear" w:pos="3571"/>
        <w:tab w:val="clear" w:pos="4147"/>
        <w:tab w:val="clear" w:pos="4723"/>
        <w:tab w:val="clear" w:pos="5486"/>
        <w:tab w:val="clear" w:pos="9547"/>
      </w:tabs>
      <w:spacing w:after="120"/>
      <w:ind w:left="2563" w:right="1584"/>
    </w:pPr>
  </w:style>
  <w:style w:type="paragraph" w:customStyle="1" w:styleId="Small">
    <w:name w:val="Small"/>
    <w:basedOn w:val="Normal"/>
    <w:next w:val="Normal"/>
    <w:qFormat/>
    <w:rsid w:val="00AD1A68"/>
    <w:pPr>
      <w:tabs>
        <w:tab w:val="right" w:leader="dot" w:pos="360"/>
      </w:tabs>
      <w:spacing w:line="310" w:lineRule="exact"/>
      <w:jc w:val="right"/>
    </w:pPr>
    <w:rPr>
      <w:spacing w:val="5"/>
      <w:w w:val="104"/>
      <w:sz w:val="17"/>
      <w:szCs w:val="25"/>
    </w:rPr>
  </w:style>
  <w:style w:type="character" w:styleId="LineNumber">
    <w:name w:val="line number"/>
    <w:basedOn w:val="DefaultParagraphFont"/>
    <w:qFormat/>
    <w:rsid w:val="00AD1A68"/>
    <w:rPr>
      <w:sz w:val="14"/>
      <w:szCs w:val="16"/>
    </w:rPr>
  </w:style>
  <w:style w:type="paragraph" w:customStyle="1" w:styleId="SmallX">
    <w:name w:val="SmallX"/>
    <w:basedOn w:val="Small"/>
    <w:next w:val="Normal"/>
    <w:qFormat/>
    <w:rsid w:val="00AD1A68"/>
    <w:pPr>
      <w:spacing w:line="240" w:lineRule="exact"/>
    </w:pPr>
    <w:rPr>
      <w:spacing w:val="6"/>
      <w:w w:val="106"/>
      <w:sz w:val="14"/>
      <w:szCs w:val="21"/>
    </w:rPr>
  </w:style>
  <w:style w:type="paragraph" w:customStyle="1" w:styleId="XLarge">
    <w:name w:val="XLarge"/>
    <w:basedOn w:val="HM"/>
    <w:qFormat/>
    <w:rsid w:val="00AD1A68"/>
    <w:pPr>
      <w:tabs>
        <w:tab w:val="right" w:leader="dot" w:pos="360"/>
      </w:tabs>
      <w:spacing w:line="580" w:lineRule="exact"/>
      <w:jc w:val="right"/>
    </w:pPr>
    <w:rPr>
      <w:spacing w:val="-4"/>
      <w:w w:val="98"/>
      <w:sz w:val="40"/>
      <w:szCs w:val="60"/>
    </w:rPr>
  </w:style>
  <w:style w:type="paragraph" w:customStyle="1" w:styleId="XXLarge">
    <w:name w:val="XXLarge"/>
    <w:basedOn w:val="XLarge"/>
    <w:next w:val="Normal"/>
    <w:qFormat/>
    <w:rsid w:val="00351324"/>
    <w:pPr>
      <w:spacing w:line="820" w:lineRule="exact"/>
    </w:pPr>
    <w:rPr>
      <w:spacing w:val="-8"/>
      <w:w w:val="96"/>
      <w:sz w:val="57"/>
      <w:szCs w:val="86"/>
    </w:rPr>
  </w:style>
  <w:style w:type="paragraph" w:customStyle="1" w:styleId="Distribution">
    <w:name w:val="Distribution"/>
    <w:basedOn w:val="Normal"/>
    <w:next w:val="Normal"/>
    <w:qFormat/>
    <w:rsid w:val="00351324"/>
    <w:pPr>
      <w:tabs>
        <w:tab w:val="left" w:pos="662"/>
        <w:tab w:val="left" w:pos="1267"/>
        <w:tab w:val="left" w:pos="1987"/>
        <w:tab w:val="left" w:pos="2650"/>
      </w:tabs>
      <w:spacing w:line="240" w:lineRule="exact"/>
    </w:pPr>
  </w:style>
  <w:style w:type="paragraph" w:customStyle="1" w:styleId="Publication">
    <w:name w:val="Publication"/>
    <w:basedOn w:val="Normal"/>
    <w:next w:val="Normal"/>
    <w:qFormat/>
    <w:rsid w:val="00351324"/>
    <w:pPr>
      <w:tabs>
        <w:tab w:val="left" w:pos="662"/>
        <w:tab w:val="left" w:pos="1267"/>
        <w:tab w:val="left" w:pos="1987"/>
        <w:tab w:val="left" w:pos="2650"/>
      </w:tabs>
      <w:spacing w:line="240" w:lineRule="exact"/>
    </w:pPr>
  </w:style>
  <w:style w:type="paragraph" w:customStyle="1" w:styleId="Original">
    <w:name w:val="Original"/>
    <w:basedOn w:val="Normal"/>
    <w:next w:val="Normal"/>
    <w:qFormat/>
    <w:rsid w:val="00351324"/>
    <w:pPr>
      <w:tabs>
        <w:tab w:val="left" w:pos="662"/>
        <w:tab w:val="left" w:pos="1267"/>
        <w:tab w:val="left" w:pos="1987"/>
        <w:tab w:val="left" w:pos="2650"/>
      </w:tabs>
      <w:spacing w:line="240" w:lineRule="exact"/>
    </w:pPr>
  </w:style>
  <w:style w:type="paragraph" w:customStyle="1" w:styleId="ReleaseDate">
    <w:name w:val="Release Date"/>
    <w:next w:val="Footer"/>
    <w:qFormat/>
    <w:rsid w:val="00693CF9"/>
    <w:pPr>
      <w:tabs>
        <w:tab w:val="center" w:pos="4320"/>
        <w:tab w:val="right" w:pos="8640"/>
      </w:tabs>
      <w:spacing w:line="210" w:lineRule="exact"/>
      <w:jc w:val="right"/>
    </w:pPr>
    <w:rPr>
      <w:w w:val="103"/>
      <w:kern w:val="14"/>
      <w:szCs w:val="30"/>
    </w:rPr>
  </w:style>
  <w:style w:type="paragraph" w:customStyle="1" w:styleId="Session">
    <w:name w:val="Session"/>
    <w:basedOn w:val="H23"/>
    <w:qFormat/>
    <w:rsid w:val="00351324"/>
    <w:pPr>
      <w:tabs>
        <w:tab w:val="left" w:pos="662"/>
        <w:tab w:val="left" w:pos="1267"/>
        <w:tab w:val="left" w:pos="1987"/>
        <w:tab w:val="left" w:pos="2650"/>
      </w:tabs>
      <w:ind w:left="663" w:hanging="663"/>
    </w:pPr>
  </w:style>
  <w:style w:type="paragraph" w:customStyle="1" w:styleId="Committee">
    <w:name w:val="Committee"/>
    <w:basedOn w:val="H1"/>
    <w:qFormat/>
    <w:rsid w:val="00351324"/>
    <w:pPr>
      <w:tabs>
        <w:tab w:val="left" w:pos="662"/>
        <w:tab w:val="left" w:pos="1267"/>
        <w:tab w:val="left" w:pos="1987"/>
        <w:tab w:val="left" w:pos="2650"/>
      </w:tabs>
      <w:ind w:right="1264"/>
    </w:pPr>
  </w:style>
  <w:style w:type="paragraph" w:customStyle="1" w:styleId="AgendaTitle">
    <w:name w:val="AgendaTitle"/>
    <w:basedOn w:val="Normal"/>
    <w:next w:val="Normal"/>
    <w:qFormat/>
    <w:rsid w:val="00351324"/>
    <w:pPr>
      <w:tabs>
        <w:tab w:val="left" w:pos="662"/>
        <w:tab w:val="left" w:pos="1267"/>
        <w:tab w:val="left" w:pos="1325"/>
        <w:tab w:val="left" w:pos="1987"/>
        <w:tab w:val="left" w:pos="2650"/>
        <w:tab w:val="left" w:pos="3312"/>
      </w:tabs>
      <w:ind w:left="1264" w:hanging="1264"/>
    </w:pPr>
  </w:style>
  <w:style w:type="paragraph" w:customStyle="1" w:styleId="Sponsors">
    <w:name w:val="Sponsors"/>
    <w:basedOn w:val="H23"/>
    <w:qFormat/>
    <w:rsid w:val="00351324"/>
    <w:pPr>
      <w:tabs>
        <w:tab w:val="right" w:pos="1022"/>
        <w:tab w:val="left" w:pos="1267"/>
        <w:tab w:val="left" w:pos="1930"/>
        <w:tab w:val="left" w:pos="2592"/>
        <w:tab w:val="left" w:pos="3254"/>
      </w:tabs>
      <w:spacing w:after="120"/>
      <w:ind w:left="1264" w:right="1264" w:hanging="1264"/>
    </w:pPr>
  </w:style>
  <w:style w:type="paragraph" w:customStyle="1" w:styleId="Title1">
    <w:name w:val="Title 1"/>
    <w:basedOn w:val="HCh"/>
    <w:qFormat/>
    <w:rsid w:val="00351324"/>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paragraph" w:customStyle="1" w:styleId="Title2">
    <w:name w:val="Title 2"/>
    <w:basedOn w:val="H1"/>
    <w:qFormat/>
    <w:rsid w:val="00351324"/>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paragraph" w:customStyle="1" w:styleId="Type">
    <w:name w:val="Type"/>
    <w:basedOn w:val="H23"/>
    <w:qFormat/>
    <w:rsid w:val="00351324"/>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character" w:styleId="Hyperlink">
    <w:name w:val="Hyperlink"/>
    <w:basedOn w:val="DefaultParagraphFont"/>
    <w:rsid w:val="0025236C"/>
    <w:rPr>
      <w:color w:val="0000FF" w:themeColor="hyperlink"/>
      <w:u w:val="single"/>
    </w:rPr>
  </w:style>
  <w:style w:type="character" w:styleId="FollowedHyperlink">
    <w:name w:val="FollowedHyperlink"/>
    <w:basedOn w:val="DefaultParagraphFont"/>
    <w:rsid w:val="0025236C"/>
    <w:rPr>
      <w:color w:val="0000FF"/>
      <w:u w:val="single"/>
    </w:rPr>
  </w:style>
  <w:style w:type="paragraph" w:customStyle="1" w:styleId="Bullet1">
    <w:name w:val="Bullet 1"/>
    <w:basedOn w:val="Normal"/>
    <w:qFormat/>
    <w:rsid w:val="00F923A5"/>
    <w:pPr>
      <w:numPr>
        <w:numId w:val="1"/>
      </w:numPr>
      <w:spacing w:after="120" w:line="240" w:lineRule="exact"/>
      <w:ind w:left="1743" w:right="1267" w:hanging="130"/>
    </w:pPr>
  </w:style>
  <w:style w:type="paragraph" w:customStyle="1" w:styleId="Bullet2">
    <w:name w:val="Bullet 2"/>
    <w:basedOn w:val="Normal"/>
    <w:qFormat/>
    <w:rsid w:val="00F923A5"/>
    <w:pPr>
      <w:numPr>
        <w:numId w:val="2"/>
      </w:numPr>
      <w:spacing w:after="120" w:line="240" w:lineRule="exact"/>
      <w:ind w:left="2218" w:right="1267" w:hanging="130"/>
    </w:pPr>
  </w:style>
  <w:style w:type="character" w:styleId="EndnoteReference">
    <w:name w:val="endnote reference"/>
    <w:basedOn w:val="DefaultParagraphFont"/>
    <w:semiHidden/>
    <w:rsid w:val="00C7606D"/>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F923A5"/>
    <w:pPr>
      <w:numPr>
        <w:numId w:val="3"/>
      </w:numPr>
      <w:tabs>
        <w:tab w:val="clear" w:pos="1930"/>
        <w:tab w:val="clear" w:pos="2592"/>
        <w:tab w:val="clear" w:pos="3254"/>
        <w:tab w:val="clear" w:pos="3917"/>
        <w:tab w:val="clear" w:pos="4579"/>
        <w:tab w:val="clear" w:pos="5242"/>
        <w:tab w:val="clear" w:pos="5904"/>
        <w:tab w:val="clear" w:pos="6566"/>
      </w:tabs>
      <w:spacing w:line="240" w:lineRule="exact"/>
      <w:ind w:left="2693" w:right="1267" w:hanging="130"/>
    </w:pPr>
  </w:style>
  <w:style w:type="paragraph" w:styleId="CommentText">
    <w:name w:val="annotation text"/>
    <w:basedOn w:val="Normal"/>
    <w:link w:val="CommentTextChar"/>
    <w:rsid w:val="007B6F28"/>
    <w:pPr>
      <w:spacing w:line="240" w:lineRule="auto"/>
    </w:pPr>
    <w:rPr>
      <w:szCs w:val="20"/>
    </w:rPr>
  </w:style>
  <w:style w:type="character" w:customStyle="1" w:styleId="CommentTextChar">
    <w:name w:val="Comment Text Char"/>
    <w:basedOn w:val="DefaultParagraphFont"/>
    <w:link w:val="CommentText"/>
    <w:rsid w:val="007B6F28"/>
    <w:rPr>
      <w:w w:val="103"/>
      <w:kern w:val="14"/>
    </w:rPr>
  </w:style>
  <w:style w:type="paragraph" w:styleId="CommentSubject">
    <w:name w:val="annotation subject"/>
    <w:basedOn w:val="CommentText"/>
    <w:next w:val="CommentText"/>
    <w:link w:val="CommentSubjectChar"/>
    <w:rsid w:val="007B6F28"/>
    <w:rPr>
      <w:b/>
      <w:bCs/>
    </w:rPr>
  </w:style>
  <w:style w:type="character" w:customStyle="1" w:styleId="CommentSubjectChar">
    <w:name w:val="Comment Subject Char"/>
    <w:basedOn w:val="CommentTextChar"/>
    <w:link w:val="CommentSubject"/>
    <w:rsid w:val="007B6F28"/>
    <w:rPr>
      <w:b/>
      <w:bCs/>
      <w:w w:val="103"/>
      <w:kern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809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omments" Target="comment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3A6433-8C15-468D-9030-A132C7543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4985</Words>
  <Characters>26070</Characters>
  <Application>Microsoft Office Word</Application>
  <DocSecurity>0</DocSecurity>
  <Lines>473</Lines>
  <Paragraphs>133</Paragraphs>
  <ScaleCrop>false</ScaleCrop>
  <HeadingPairs>
    <vt:vector size="2" baseType="variant">
      <vt:variant>
        <vt:lpstr>Title</vt:lpstr>
      </vt:variant>
      <vt:variant>
        <vt:i4>1</vt:i4>
      </vt:variant>
    </vt:vector>
  </HeadingPairs>
  <TitlesOfParts>
    <vt:vector size="1" baseType="lpstr">
      <vt:lpstr>Normal.dot</vt:lpstr>
    </vt:vector>
  </TitlesOfParts>
  <Company>DCM</Company>
  <LinksUpToDate>false</LinksUpToDate>
  <CharactersWithSpaces>31053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dc:title>
  <dc:subject/>
  <dc:creator>Mahmoud</dc:creator>
  <cp:keywords/>
  <dc:description/>
  <cp:lastModifiedBy>Tpsara</cp:lastModifiedBy>
  <cp:revision>3</cp:revision>
  <cp:lastPrinted>2015-11-02T12:50:00Z</cp:lastPrinted>
  <dcterms:created xsi:type="dcterms:W3CDTF">2015-11-02T12:50:00Z</dcterms:created>
  <dcterms:modified xsi:type="dcterms:W3CDTF">2015-11-02T12:50:00Z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1513453</vt:lpwstr>
  </property>
  <property fmtid="{D5CDD505-2E9C-101B-9397-08002B2CF9AE}" pid="3" name="ODSRefJobNo">
    <vt:lpwstr>1518227A</vt:lpwstr>
  </property>
  <property fmtid="{D5CDD505-2E9C-101B-9397-08002B2CF9AE}" pid="4" name="Symbol1">
    <vt:lpwstr>CCPR/C/GBR/CO/7</vt:lpwstr>
  </property>
  <property fmtid="{D5CDD505-2E9C-101B-9397-08002B2CF9AE}" pid="5" name="Symbol2">
    <vt:lpwstr/>
  </property>
  <property fmtid="{D5CDD505-2E9C-101B-9397-08002B2CF9AE}" pid="6" name="Translator">
    <vt:lpwstr/>
  </property>
  <property fmtid="{D5CDD505-2E9C-101B-9397-08002B2CF9AE}" pid="7" name="Distribution">
    <vt:lpwstr>General</vt:lpwstr>
  </property>
  <property fmtid="{D5CDD505-2E9C-101B-9397-08002B2CF9AE}" pid="8" name="Publication Date">
    <vt:lpwstr>17 August 2015</vt:lpwstr>
  </property>
  <property fmtid="{D5CDD505-2E9C-101B-9397-08002B2CF9AE}" pid="9" name="Original">
    <vt:lpwstr>English</vt:lpwstr>
  </property>
  <property fmtid="{D5CDD505-2E9C-101B-9397-08002B2CF9AE}" pid="10" name="Release Date">
    <vt:lpwstr>301015</vt:lpwstr>
  </property>
  <property fmtid="{D5CDD505-2E9C-101B-9397-08002B2CF9AE}" pid="11" name="Comment">
    <vt:lpwstr>Boraan/Louati</vt:lpwstr>
  </property>
  <property fmtid="{D5CDD505-2E9C-101B-9397-08002B2CF9AE}" pid="12" name="DraftPages">
    <vt:lpwstr>9</vt:lpwstr>
  </property>
  <property fmtid="{D5CDD505-2E9C-101B-9397-08002B2CF9AE}" pid="13" name="Operator">
    <vt:lpwstr>Gamal</vt:lpwstr>
  </property>
</Properties>
</file>