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6F2A95" w:rsidP="006F2A95">
            <w:pPr>
              <w:bidi w:val="0"/>
              <w:spacing w:after="20"/>
              <w:jc w:val="left"/>
              <w:rPr>
                <w:szCs w:val="20"/>
              </w:rPr>
            </w:pPr>
            <w:r w:rsidRPr="006F2A95">
              <w:rPr>
                <w:sz w:val="40"/>
                <w:szCs w:val="20"/>
              </w:rPr>
              <w:t>CAT</w:t>
            </w:r>
            <w:r>
              <w:rPr>
                <w:szCs w:val="20"/>
              </w:rPr>
              <w:t>/C/KWT/CO/2</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6F2A95" w:rsidRDefault="006F2A95" w:rsidP="006F2A95">
            <w:pPr>
              <w:bidi w:val="0"/>
              <w:spacing w:before="240"/>
              <w:jc w:val="left"/>
            </w:pPr>
            <w:r>
              <w:t>Distr.: General</w:t>
            </w:r>
          </w:p>
          <w:p w:rsidR="006F2A95" w:rsidRDefault="006F2A95" w:rsidP="00384844">
            <w:pPr>
              <w:bidi w:val="0"/>
              <w:jc w:val="left"/>
            </w:pPr>
            <w:r>
              <w:t xml:space="preserve">28 </w:t>
            </w:r>
            <w:r w:rsidR="00384844">
              <w:t>J</w:t>
            </w:r>
            <w:r>
              <w:t>une 2011</w:t>
            </w:r>
          </w:p>
          <w:p w:rsidR="006F2A95" w:rsidRDefault="006F2A95" w:rsidP="006F2A95">
            <w:pPr>
              <w:bidi w:val="0"/>
              <w:jc w:val="left"/>
            </w:pPr>
            <w:r>
              <w:t>Arabic</w:t>
            </w:r>
          </w:p>
          <w:p w:rsidR="00257225" w:rsidRPr="008B4BC6" w:rsidRDefault="006F2A95" w:rsidP="006F2A95">
            <w:pPr>
              <w:bidi w:val="0"/>
              <w:jc w:val="left"/>
            </w:pPr>
            <w:r>
              <w:t>Original: English</w:t>
            </w:r>
          </w:p>
        </w:tc>
      </w:tr>
    </w:tbl>
    <w:p w:rsidR="006F2A95" w:rsidRPr="00774287" w:rsidRDefault="006F2A95" w:rsidP="006F2A95">
      <w:pPr>
        <w:spacing w:before="120" w:line="380" w:lineRule="exact"/>
        <w:rPr>
          <w:b/>
          <w:bCs/>
          <w:sz w:val="28"/>
          <w:szCs w:val="36"/>
          <w:rtl/>
        </w:rPr>
      </w:pPr>
      <w:r w:rsidRPr="00774287">
        <w:rPr>
          <w:b/>
          <w:bCs/>
          <w:sz w:val="28"/>
          <w:szCs w:val="36"/>
          <w:rtl/>
        </w:rPr>
        <w:t>ل</w:t>
      </w:r>
      <w:r w:rsidRPr="00774287">
        <w:rPr>
          <w:rFonts w:hint="cs"/>
          <w:b/>
          <w:bCs/>
          <w:sz w:val="28"/>
          <w:szCs w:val="36"/>
          <w:rtl/>
        </w:rPr>
        <w:t>جن</w:t>
      </w:r>
      <w:r w:rsidRPr="00774287">
        <w:rPr>
          <w:b/>
          <w:bCs/>
          <w:sz w:val="28"/>
          <w:szCs w:val="36"/>
          <w:rtl/>
        </w:rPr>
        <w:t xml:space="preserve">ة </w:t>
      </w:r>
      <w:r w:rsidRPr="00774287">
        <w:rPr>
          <w:rFonts w:hint="cs"/>
          <w:b/>
          <w:bCs/>
          <w:sz w:val="28"/>
          <w:szCs w:val="36"/>
          <w:rtl/>
        </w:rPr>
        <w:t>مناهضة التعذيب</w:t>
      </w:r>
    </w:p>
    <w:p w:rsidR="006F2A95" w:rsidRPr="009C593B" w:rsidRDefault="006F2A95" w:rsidP="006F2A95">
      <w:pPr>
        <w:spacing w:line="380" w:lineRule="exact"/>
        <w:rPr>
          <w:rFonts w:hint="cs"/>
          <w:b/>
          <w:bCs/>
          <w:rtl/>
        </w:rPr>
      </w:pPr>
      <w:r w:rsidRPr="009C593B">
        <w:rPr>
          <w:rFonts w:hint="cs"/>
          <w:b/>
          <w:bCs/>
          <w:rtl/>
        </w:rPr>
        <w:t xml:space="preserve">الدورة </w:t>
      </w:r>
      <w:r>
        <w:rPr>
          <w:rFonts w:hint="cs"/>
          <w:b/>
          <w:bCs/>
          <w:rtl/>
        </w:rPr>
        <w:t>السادسة</w:t>
      </w:r>
      <w:r w:rsidRPr="009C593B">
        <w:rPr>
          <w:rFonts w:hint="cs"/>
          <w:b/>
          <w:bCs/>
          <w:rtl/>
        </w:rPr>
        <w:t xml:space="preserve"> والأربعون</w:t>
      </w:r>
    </w:p>
    <w:p w:rsidR="006F2A95" w:rsidRPr="00CC29B8" w:rsidRDefault="006F2A95" w:rsidP="006F2A95">
      <w:pPr>
        <w:spacing w:line="380" w:lineRule="exact"/>
        <w:rPr>
          <w:rFonts w:hint="cs"/>
          <w:rtl/>
        </w:rPr>
      </w:pPr>
      <w:r>
        <w:rPr>
          <w:rFonts w:hint="cs"/>
          <w:rtl/>
        </w:rPr>
        <w:t>9</w:t>
      </w:r>
      <w:r w:rsidRPr="00CC29B8">
        <w:rPr>
          <w:rFonts w:hint="cs"/>
          <w:rtl/>
        </w:rPr>
        <w:t xml:space="preserve"> </w:t>
      </w:r>
      <w:r>
        <w:rPr>
          <w:rFonts w:hint="cs"/>
          <w:rtl/>
        </w:rPr>
        <w:t>أيار</w:t>
      </w:r>
      <w:r w:rsidRPr="00CC29B8">
        <w:rPr>
          <w:rFonts w:hint="cs"/>
          <w:rtl/>
        </w:rPr>
        <w:t>/</w:t>
      </w:r>
      <w:r>
        <w:rPr>
          <w:rFonts w:hint="cs"/>
          <w:rtl/>
        </w:rPr>
        <w:t>مايو</w:t>
      </w:r>
      <w:r w:rsidRPr="00CC29B8">
        <w:rPr>
          <w:rFonts w:hint="cs"/>
          <w:rtl/>
        </w:rPr>
        <w:t xml:space="preserve"> - </w:t>
      </w:r>
      <w:r>
        <w:rPr>
          <w:rFonts w:hint="cs"/>
          <w:rtl/>
        </w:rPr>
        <w:t>3</w:t>
      </w:r>
      <w:r w:rsidRPr="00CC29B8">
        <w:rPr>
          <w:rFonts w:hint="cs"/>
          <w:rtl/>
        </w:rPr>
        <w:t xml:space="preserve"> </w:t>
      </w:r>
      <w:r>
        <w:rPr>
          <w:rFonts w:hint="cs"/>
          <w:rtl/>
        </w:rPr>
        <w:t>حزيران/يونيه</w:t>
      </w:r>
      <w:r w:rsidRPr="00CC29B8">
        <w:rPr>
          <w:rFonts w:hint="cs"/>
          <w:rtl/>
        </w:rPr>
        <w:t xml:space="preserve"> 20</w:t>
      </w:r>
      <w:r>
        <w:rPr>
          <w:rFonts w:hint="cs"/>
          <w:rtl/>
        </w:rPr>
        <w:t>11</w:t>
      </w:r>
    </w:p>
    <w:p w:rsidR="006F2A95" w:rsidRPr="00CC29B8" w:rsidRDefault="006F2A95" w:rsidP="006F2A95">
      <w:pPr>
        <w:pStyle w:val="HChGA"/>
        <w:rPr>
          <w:rFonts w:hint="cs"/>
          <w:rtl/>
        </w:rPr>
      </w:pPr>
      <w:r>
        <w:rPr>
          <w:rFonts w:hint="cs"/>
          <w:rtl/>
        </w:rPr>
        <w:tab/>
      </w:r>
      <w:r>
        <w:rPr>
          <w:rFonts w:hint="cs"/>
          <w:rtl/>
        </w:rPr>
        <w:tab/>
      </w:r>
      <w:r w:rsidRPr="00CC29B8">
        <w:rPr>
          <w:rFonts w:hint="cs"/>
          <w:rtl/>
        </w:rPr>
        <w:t>النظر في التقارير المقدمة من الدول الأطراف بموجب</w:t>
      </w:r>
      <w:r>
        <w:rPr>
          <w:rFonts w:hint="cs"/>
          <w:rtl/>
        </w:rPr>
        <w:t xml:space="preserve"> </w:t>
      </w:r>
      <w:r w:rsidRPr="00CC29B8">
        <w:rPr>
          <w:rFonts w:hint="cs"/>
          <w:rtl/>
        </w:rPr>
        <w:t>المادة 19 من</w:t>
      </w:r>
      <w:r>
        <w:rPr>
          <w:rFonts w:hint="eastAsia"/>
          <w:rtl/>
        </w:rPr>
        <w:t> </w:t>
      </w:r>
      <w:r w:rsidRPr="00CC29B8">
        <w:rPr>
          <w:rFonts w:hint="cs"/>
          <w:rtl/>
        </w:rPr>
        <w:t>الاتفاقية</w:t>
      </w:r>
    </w:p>
    <w:p w:rsidR="006F2A95" w:rsidRPr="00CC29B8" w:rsidRDefault="006F2A95" w:rsidP="006F2A95">
      <w:pPr>
        <w:pStyle w:val="H1GA"/>
        <w:rPr>
          <w:rFonts w:hint="cs"/>
          <w:rtl/>
        </w:rPr>
      </w:pPr>
      <w:r>
        <w:rPr>
          <w:rFonts w:hint="cs"/>
          <w:rtl/>
        </w:rPr>
        <w:tab/>
      </w:r>
      <w:r>
        <w:rPr>
          <w:rFonts w:hint="cs"/>
          <w:rtl/>
        </w:rPr>
        <w:tab/>
      </w:r>
      <w:r w:rsidRPr="00CC29B8">
        <w:rPr>
          <w:rFonts w:hint="cs"/>
          <w:rtl/>
        </w:rPr>
        <w:t>الملاحظات الختامية للجنة مناهضة التعذيب</w:t>
      </w:r>
    </w:p>
    <w:p w:rsidR="006F2A95" w:rsidRPr="00CC29B8" w:rsidRDefault="006F2A95" w:rsidP="006F2A95">
      <w:pPr>
        <w:pStyle w:val="HChGA"/>
        <w:rPr>
          <w:rFonts w:hint="cs"/>
          <w:rtl/>
        </w:rPr>
      </w:pPr>
      <w:r>
        <w:rPr>
          <w:rFonts w:hint="cs"/>
          <w:rtl/>
        </w:rPr>
        <w:tab/>
      </w:r>
      <w:r>
        <w:rPr>
          <w:rFonts w:hint="cs"/>
          <w:rtl/>
        </w:rPr>
        <w:tab/>
        <w:t>الكويت</w:t>
      </w:r>
    </w:p>
    <w:p w:rsidR="006F2A95" w:rsidRDefault="006F2A95" w:rsidP="006F2A95">
      <w:pPr>
        <w:pStyle w:val="SingleTxtGA"/>
        <w:rPr>
          <w:rFonts w:hint="cs"/>
          <w:rtl/>
        </w:rPr>
      </w:pPr>
      <w:r>
        <w:rPr>
          <w:rFonts w:hint="cs"/>
          <w:rtl/>
        </w:rPr>
        <w:t>1-</w:t>
      </w:r>
      <w:r>
        <w:rPr>
          <w:rFonts w:hint="cs"/>
          <w:rtl/>
        </w:rPr>
        <w:tab/>
      </w:r>
      <w:r w:rsidRPr="004246FB">
        <w:rPr>
          <w:rFonts w:hint="cs"/>
          <w:rtl/>
        </w:rPr>
        <w:t xml:space="preserve">نظرت لجنة مناهضة التعذيب في التقرير </w:t>
      </w:r>
      <w:r>
        <w:rPr>
          <w:rFonts w:hint="cs"/>
          <w:rtl/>
        </w:rPr>
        <w:t>الدوري الثاني للكويت</w:t>
      </w:r>
      <w:r w:rsidRPr="004246FB">
        <w:rPr>
          <w:rFonts w:hint="cs"/>
          <w:rtl/>
        </w:rPr>
        <w:t xml:space="preserve"> </w:t>
      </w:r>
      <w:r w:rsidRPr="00A5311D">
        <w:rPr>
          <w:sz w:val="18"/>
          <w:szCs w:val="28"/>
        </w:rPr>
        <w:t>(</w:t>
      </w:r>
      <w:r w:rsidRPr="00A5311D">
        <w:rPr>
          <w:szCs w:val="20"/>
        </w:rPr>
        <w:t>CAT/C/</w:t>
      </w:r>
      <w:r>
        <w:rPr>
          <w:szCs w:val="20"/>
        </w:rPr>
        <w:t>KWT</w:t>
      </w:r>
      <w:r w:rsidRPr="00A5311D">
        <w:rPr>
          <w:szCs w:val="20"/>
        </w:rPr>
        <w:t>/</w:t>
      </w:r>
      <w:r>
        <w:rPr>
          <w:szCs w:val="20"/>
        </w:rPr>
        <w:t>2</w:t>
      </w:r>
      <w:r w:rsidRPr="00A5311D">
        <w:rPr>
          <w:sz w:val="18"/>
          <w:szCs w:val="28"/>
        </w:rPr>
        <w:t>)</w:t>
      </w:r>
      <w:r w:rsidRPr="004246FB">
        <w:rPr>
          <w:rFonts w:hint="cs"/>
          <w:rtl/>
        </w:rPr>
        <w:t xml:space="preserve"> في جلستيها </w:t>
      </w:r>
      <w:r>
        <w:rPr>
          <w:rFonts w:hint="cs"/>
          <w:rtl/>
        </w:rPr>
        <w:t>986</w:t>
      </w:r>
      <w:r w:rsidRPr="004246FB">
        <w:rPr>
          <w:rFonts w:hint="cs"/>
          <w:rtl/>
        </w:rPr>
        <w:t xml:space="preserve"> و</w:t>
      </w:r>
      <w:r>
        <w:rPr>
          <w:rFonts w:hint="cs"/>
          <w:rtl/>
        </w:rPr>
        <w:t>989</w:t>
      </w:r>
      <w:r w:rsidRPr="004246FB">
        <w:rPr>
          <w:rFonts w:hint="cs"/>
          <w:rtl/>
        </w:rPr>
        <w:t xml:space="preserve"> </w:t>
      </w:r>
      <w:r w:rsidRPr="00050F25">
        <w:rPr>
          <w:szCs w:val="20"/>
        </w:rPr>
        <w:t>CAT/C/SR.</w:t>
      </w:r>
      <w:r>
        <w:rPr>
          <w:szCs w:val="20"/>
        </w:rPr>
        <w:t>986</w:t>
      </w:r>
      <w:r w:rsidRPr="004246FB">
        <w:t>)</w:t>
      </w:r>
      <w:r w:rsidRPr="004246FB">
        <w:rPr>
          <w:rFonts w:hint="cs"/>
          <w:rtl/>
        </w:rPr>
        <w:t xml:space="preserve"> و</w:t>
      </w:r>
      <w:r w:rsidRPr="00050F25">
        <w:rPr>
          <w:szCs w:val="20"/>
        </w:rPr>
        <w:t>9</w:t>
      </w:r>
      <w:r>
        <w:rPr>
          <w:szCs w:val="20"/>
        </w:rPr>
        <w:t>89</w:t>
      </w:r>
      <w:r w:rsidRPr="004246FB">
        <w:rPr>
          <w:rFonts w:hint="cs"/>
          <w:rtl/>
        </w:rPr>
        <w:t xml:space="preserve">) المعقودتين </w:t>
      </w:r>
      <w:r>
        <w:rPr>
          <w:rFonts w:hint="cs"/>
          <w:rtl/>
        </w:rPr>
        <w:t>يومي</w:t>
      </w:r>
      <w:r w:rsidRPr="004246FB">
        <w:rPr>
          <w:rFonts w:hint="cs"/>
          <w:rtl/>
        </w:rPr>
        <w:t xml:space="preserve"> </w:t>
      </w:r>
      <w:r>
        <w:rPr>
          <w:rFonts w:hint="cs"/>
          <w:rtl/>
        </w:rPr>
        <w:t>11</w:t>
      </w:r>
      <w:r w:rsidRPr="004246FB">
        <w:rPr>
          <w:rFonts w:hint="cs"/>
          <w:rtl/>
        </w:rPr>
        <w:t xml:space="preserve"> و</w:t>
      </w:r>
      <w:r>
        <w:rPr>
          <w:rFonts w:hint="cs"/>
          <w:rtl/>
        </w:rPr>
        <w:t>12</w:t>
      </w:r>
      <w:r w:rsidRPr="004246FB">
        <w:rPr>
          <w:rFonts w:hint="cs"/>
          <w:rtl/>
        </w:rPr>
        <w:t xml:space="preserve"> </w:t>
      </w:r>
      <w:r w:rsidRPr="00A5311D">
        <w:rPr>
          <w:rFonts w:hint="cs"/>
          <w:spacing w:val="-6"/>
          <w:rtl/>
        </w:rPr>
        <w:t>أيار/مايو 201</w:t>
      </w:r>
      <w:r>
        <w:rPr>
          <w:rFonts w:hint="cs"/>
          <w:spacing w:val="-6"/>
          <w:rtl/>
        </w:rPr>
        <w:t>1</w:t>
      </w:r>
      <w:r w:rsidRPr="00A5311D">
        <w:rPr>
          <w:rFonts w:hint="cs"/>
          <w:spacing w:val="-6"/>
          <w:rtl/>
        </w:rPr>
        <w:t xml:space="preserve">، واعتمدت اللجنة الملاحظات الختامية التالية في جلستها </w:t>
      </w:r>
      <w:r>
        <w:rPr>
          <w:rFonts w:hint="cs"/>
          <w:spacing w:val="-6"/>
          <w:rtl/>
        </w:rPr>
        <w:t>1007</w:t>
      </w:r>
      <w:r w:rsidRPr="00A5311D">
        <w:rPr>
          <w:rFonts w:hint="cs"/>
          <w:spacing w:val="-6"/>
          <w:rtl/>
        </w:rPr>
        <w:t xml:space="preserve"> </w:t>
      </w:r>
      <w:r w:rsidRPr="00A5311D">
        <w:rPr>
          <w:spacing w:val="-6"/>
          <w:szCs w:val="20"/>
        </w:rPr>
        <w:t>(CAT/C/SR.</w:t>
      </w:r>
      <w:r>
        <w:rPr>
          <w:spacing w:val="-6"/>
          <w:szCs w:val="20"/>
        </w:rPr>
        <w:t>1007</w:t>
      </w:r>
      <w:r w:rsidRPr="00A5311D">
        <w:rPr>
          <w:spacing w:val="-6"/>
          <w:szCs w:val="20"/>
        </w:rPr>
        <w:t>)</w:t>
      </w:r>
      <w:r w:rsidRPr="004246FB">
        <w:rPr>
          <w:rFonts w:hint="cs"/>
          <w:rtl/>
        </w:rPr>
        <w:t>.</w:t>
      </w:r>
      <w:r>
        <w:rPr>
          <w:rFonts w:hint="cs"/>
          <w:rtl/>
        </w:rPr>
        <w:t xml:space="preserve"> </w:t>
      </w:r>
    </w:p>
    <w:p w:rsidR="006F2A95" w:rsidRPr="00CC29B8" w:rsidRDefault="006F2A95" w:rsidP="006F2A95">
      <w:pPr>
        <w:pStyle w:val="H1GA"/>
        <w:spacing w:before="0" w:after="120" w:line="380" w:lineRule="exact"/>
        <w:rPr>
          <w:rFonts w:hint="cs"/>
          <w:rtl/>
        </w:rPr>
      </w:pPr>
      <w:r>
        <w:rPr>
          <w:rFonts w:hint="cs"/>
          <w:rtl/>
        </w:rPr>
        <w:tab/>
      </w:r>
      <w:r w:rsidRPr="00CC29B8">
        <w:rPr>
          <w:rFonts w:hint="cs"/>
          <w:rtl/>
        </w:rPr>
        <w:t xml:space="preserve">ألف </w:t>
      </w:r>
      <w:r>
        <w:rPr>
          <w:rFonts w:hint="cs"/>
          <w:rtl/>
        </w:rPr>
        <w:t>-</w:t>
      </w:r>
      <w:r>
        <w:rPr>
          <w:rFonts w:hint="cs"/>
          <w:rtl/>
        </w:rPr>
        <w:tab/>
      </w:r>
      <w:r w:rsidRPr="00CC29B8">
        <w:rPr>
          <w:rFonts w:hint="cs"/>
          <w:rtl/>
        </w:rPr>
        <w:t>مقدمة</w:t>
      </w:r>
    </w:p>
    <w:p w:rsidR="006F2A95" w:rsidRDefault="006F2A95" w:rsidP="00A24385">
      <w:pPr>
        <w:pStyle w:val="SingleTxtGA"/>
        <w:rPr>
          <w:rFonts w:hint="cs"/>
          <w:rtl/>
        </w:rPr>
      </w:pPr>
      <w:r>
        <w:rPr>
          <w:rFonts w:hint="cs"/>
          <w:rtl/>
        </w:rPr>
        <w:t>2-</w:t>
      </w:r>
      <w:r>
        <w:rPr>
          <w:rFonts w:hint="cs"/>
          <w:rtl/>
        </w:rPr>
        <w:tab/>
      </w:r>
      <w:r w:rsidRPr="00CC29B8">
        <w:rPr>
          <w:rFonts w:hint="cs"/>
          <w:rtl/>
        </w:rPr>
        <w:t xml:space="preserve">ترحّب اللجنة بتقديم </w:t>
      </w:r>
      <w:r>
        <w:rPr>
          <w:rFonts w:hint="cs"/>
          <w:rtl/>
        </w:rPr>
        <w:t>الكويت</w:t>
      </w:r>
      <w:r w:rsidRPr="00CC29B8">
        <w:rPr>
          <w:rFonts w:hint="cs"/>
          <w:rtl/>
        </w:rPr>
        <w:t xml:space="preserve"> </w:t>
      </w:r>
      <w:r>
        <w:rPr>
          <w:rFonts w:hint="cs"/>
          <w:rtl/>
        </w:rPr>
        <w:t xml:space="preserve">تقريرها الدوري الثاني </w:t>
      </w:r>
      <w:r w:rsidRPr="00320CC0">
        <w:rPr>
          <w:rFonts w:hint="cs"/>
          <w:rtl/>
        </w:rPr>
        <w:t>الذي</w:t>
      </w:r>
      <w:r>
        <w:rPr>
          <w:rFonts w:hint="cs"/>
          <w:rtl/>
        </w:rPr>
        <w:t xml:space="preserve"> قُدم وفقا</w:t>
      </w:r>
      <w:r w:rsidR="00812524">
        <w:rPr>
          <w:rFonts w:hint="cs"/>
          <w:rtl/>
        </w:rPr>
        <w:t>ً</w:t>
      </w:r>
      <w:r>
        <w:rPr>
          <w:rFonts w:hint="cs"/>
          <w:rtl/>
        </w:rPr>
        <w:t xml:space="preserve"> لإجراء اللجنة الاختياري الجديد المتمثل في ردود الدولة الطرف على قائمة من المسائل التي </w:t>
      </w:r>
      <w:r w:rsidR="00A24385">
        <w:rPr>
          <w:rFonts w:hint="cs"/>
          <w:rtl/>
        </w:rPr>
        <w:t>أعدتها</w:t>
      </w:r>
      <w:r>
        <w:rPr>
          <w:rFonts w:hint="cs"/>
          <w:rtl/>
        </w:rPr>
        <w:t xml:space="preserve"> اللجنة وأحالتها إليها (</w:t>
      </w:r>
      <w:r w:rsidRPr="00F939D2">
        <w:t>CAT/C/KWT/Q/2</w:t>
      </w:r>
      <w:r>
        <w:rPr>
          <w:rFonts w:hint="cs"/>
          <w:rtl/>
        </w:rPr>
        <w:t xml:space="preserve">) من أجل </w:t>
      </w:r>
      <w:r w:rsidRPr="006910B9">
        <w:rPr>
          <w:rFonts w:hint="cs"/>
          <w:rtl/>
        </w:rPr>
        <w:t>فسح المجال لحوار أكثر تركيزا</w:t>
      </w:r>
      <w:r>
        <w:rPr>
          <w:rFonts w:hint="cs"/>
          <w:rtl/>
        </w:rPr>
        <w:t>ً</w:t>
      </w:r>
      <w:r w:rsidRPr="006910B9">
        <w:rPr>
          <w:rFonts w:hint="cs"/>
          <w:rtl/>
        </w:rPr>
        <w:t>.</w:t>
      </w:r>
      <w:r w:rsidRPr="006910B9">
        <w:rPr>
          <w:rFonts w:hint="cs"/>
          <w:rtl/>
          <w:lang w:bidi="ar"/>
        </w:rPr>
        <w:t xml:space="preserve"> لكن اللجنة تأسف لأن التقرير يفتقر إلى معلومات مفصلة، بما فيها بيانات إحصائية، ولأنه </w:t>
      </w:r>
      <w:r>
        <w:rPr>
          <w:rFonts w:hint="cs"/>
          <w:rtl/>
        </w:rPr>
        <w:t xml:space="preserve">تأخر </w:t>
      </w:r>
      <w:r w:rsidR="00A24385">
        <w:rPr>
          <w:rFonts w:hint="cs"/>
          <w:rtl/>
        </w:rPr>
        <w:t xml:space="preserve">تسع سنوات </w:t>
      </w:r>
      <w:r>
        <w:rPr>
          <w:rFonts w:hint="cs"/>
          <w:rtl/>
        </w:rPr>
        <w:t>عن موعد</w:t>
      </w:r>
      <w:r w:rsidRPr="006910B9">
        <w:rPr>
          <w:rFonts w:hint="cs"/>
          <w:rtl/>
        </w:rPr>
        <w:t xml:space="preserve"> تقديمه. وقد منع هذا اللجنة من إجراء تحليل </w:t>
      </w:r>
      <w:r>
        <w:rPr>
          <w:rFonts w:hint="cs"/>
          <w:rtl/>
        </w:rPr>
        <w:t>مستمر</w:t>
      </w:r>
      <w:r w:rsidRPr="006910B9">
        <w:rPr>
          <w:rFonts w:hint="cs"/>
          <w:rtl/>
        </w:rPr>
        <w:t xml:space="preserve"> لتنفيذ الاتفاقية في الدولة الطرف.</w:t>
      </w:r>
    </w:p>
    <w:p w:rsidR="006F2A95" w:rsidRDefault="006F2A95" w:rsidP="00A24385">
      <w:pPr>
        <w:pStyle w:val="SingleTxtGA"/>
        <w:rPr>
          <w:rFonts w:hint="cs"/>
        </w:rPr>
      </w:pPr>
      <w:r>
        <w:rPr>
          <w:rFonts w:hint="cs"/>
          <w:rtl/>
        </w:rPr>
        <w:t>3-</w:t>
      </w:r>
      <w:r>
        <w:rPr>
          <w:rFonts w:hint="cs"/>
          <w:rtl/>
        </w:rPr>
        <w:tab/>
        <w:t xml:space="preserve">وتلاحظ اللجنة مع التقدير أن وفداً رفيع المستوى من الدولة الطرف قد اجتمع باللجنة، </w:t>
      </w:r>
      <w:r w:rsidR="00A24385">
        <w:rPr>
          <w:rFonts w:hint="cs"/>
          <w:rtl/>
        </w:rPr>
        <w:t>كما تحيط علماً مع التقدير ب</w:t>
      </w:r>
      <w:r>
        <w:rPr>
          <w:rFonts w:hint="cs"/>
          <w:rtl/>
        </w:rPr>
        <w:t xml:space="preserve">الفرصة التي أتيحت لها لإجراء حوار بناء يغطي مجالات </w:t>
      </w:r>
      <w:r w:rsidR="00A24385">
        <w:rPr>
          <w:rFonts w:hint="cs"/>
          <w:rtl/>
        </w:rPr>
        <w:t xml:space="preserve">شتى </w:t>
      </w:r>
      <w:r>
        <w:rPr>
          <w:rFonts w:hint="cs"/>
          <w:rtl/>
        </w:rPr>
        <w:t xml:space="preserve">موضع اهتمام </w:t>
      </w:r>
      <w:r w:rsidRPr="00320CC0">
        <w:rPr>
          <w:rFonts w:hint="cs"/>
          <w:rtl/>
        </w:rPr>
        <w:t>تندرج في نطاق الاتفاقية</w:t>
      </w:r>
      <w:r>
        <w:rPr>
          <w:rFonts w:hint="cs"/>
          <w:rtl/>
        </w:rPr>
        <w:t>.</w:t>
      </w:r>
    </w:p>
    <w:p w:rsidR="006F2A95" w:rsidRPr="008F503B" w:rsidRDefault="006F2A95" w:rsidP="006F2A95">
      <w:pPr>
        <w:pStyle w:val="H1GA"/>
        <w:spacing w:before="0" w:after="120" w:line="380" w:lineRule="exact"/>
        <w:rPr>
          <w:rFonts w:hint="cs"/>
          <w:rtl/>
        </w:rPr>
      </w:pPr>
      <w:r>
        <w:rPr>
          <w:rFonts w:hint="cs"/>
          <w:rtl/>
        </w:rPr>
        <w:tab/>
      </w:r>
      <w:r w:rsidRPr="008F503B">
        <w:rPr>
          <w:rFonts w:hint="cs"/>
          <w:rtl/>
        </w:rPr>
        <w:t>باء -</w:t>
      </w:r>
      <w:r w:rsidRPr="008F503B">
        <w:rPr>
          <w:rFonts w:hint="cs"/>
          <w:rtl/>
        </w:rPr>
        <w:tab/>
        <w:t>الجوانب الإيجابية</w:t>
      </w:r>
    </w:p>
    <w:p w:rsidR="006F2A95" w:rsidRPr="00A5311D" w:rsidRDefault="006F2A95" w:rsidP="006F2A95">
      <w:pPr>
        <w:pStyle w:val="SingleTxtGA"/>
        <w:rPr>
          <w:rFonts w:hint="cs"/>
          <w:spacing w:val="-6"/>
          <w:rtl/>
        </w:rPr>
      </w:pPr>
      <w:r>
        <w:rPr>
          <w:rFonts w:hint="cs"/>
          <w:rtl/>
        </w:rPr>
        <w:t>4</w:t>
      </w:r>
      <w:r w:rsidRPr="00CC29B8">
        <w:rPr>
          <w:rFonts w:hint="cs"/>
          <w:rtl/>
        </w:rPr>
        <w:t>-</w:t>
      </w:r>
      <w:r w:rsidRPr="00CC29B8">
        <w:rPr>
          <w:rFonts w:hint="cs"/>
          <w:rtl/>
        </w:rPr>
        <w:tab/>
      </w:r>
      <w:r w:rsidRPr="00A5311D">
        <w:rPr>
          <w:rFonts w:hint="cs"/>
          <w:spacing w:val="-6"/>
          <w:rtl/>
        </w:rPr>
        <w:t>ترحب اللجنة بتصديق الدولة الطرف</w:t>
      </w:r>
      <w:r>
        <w:rPr>
          <w:rFonts w:hint="cs"/>
          <w:spacing w:val="-6"/>
          <w:rtl/>
        </w:rPr>
        <w:t xml:space="preserve">، منذ النظر في التقرير الأولي، </w:t>
      </w:r>
      <w:r w:rsidRPr="00A5311D">
        <w:rPr>
          <w:rFonts w:hint="cs"/>
          <w:spacing w:val="-6"/>
          <w:rtl/>
        </w:rPr>
        <w:t xml:space="preserve">على </w:t>
      </w:r>
      <w:r>
        <w:rPr>
          <w:rFonts w:hint="cs"/>
          <w:spacing w:val="-6"/>
          <w:rtl/>
        </w:rPr>
        <w:t>الصكين الدوليين التاليين</w:t>
      </w:r>
      <w:r w:rsidRPr="00A5311D">
        <w:rPr>
          <w:rFonts w:hint="cs"/>
          <w:spacing w:val="-6"/>
          <w:rtl/>
        </w:rPr>
        <w:t xml:space="preserve"> أو بانضمامها إليه</w:t>
      </w:r>
      <w:r>
        <w:rPr>
          <w:rFonts w:hint="cs"/>
          <w:spacing w:val="-6"/>
          <w:rtl/>
        </w:rPr>
        <w:t>م</w:t>
      </w:r>
      <w:r w:rsidRPr="00A5311D">
        <w:rPr>
          <w:rFonts w:hint="cs"/>
          <w:spacing w:val="-6"/>
          <w:rtl/>
        </w:rPr>
        <w:t>ا:</w:t>
      </w:r>
    </w:p>
    <w:p w:rsidR="006F2A95" w:rsidRPr="00CC29B8" w:rsidRDefault="006F2A95" w:rsidP="006F2A95">
      <w:pPr>
        <w:pStyle w:val="SingleTxtGA"/>
        <w:rPr>
          <w:rFonts w:hint="cs"/>
          <w:rtl/>
        </w:rPr>
      </w:pPr>
      <w:r w:rsidRPr="00A5311D">
        <w:rPr>
          <w:rFonts w:hint="cs"/>
          <w:spacing w:val="-6"/>
          <w:rtl/>
        </w:rPr>
        <w:tab/>
        <w:t>(أ)</w:t>
      </w:r>
      <w:r w:rsidRPr="00A5311D">
        <w:rPr>
          <w:rFonts w:hint="cs"/>
          <w:spacing w:val="-6"/>
          <w:rtl/>
        </w:rPr>
        <w:tab/>
      </w:r>
      <w:r>
        <w:rPr>
          <w:sz w:val="30"/>
          <w:rtl/>
        </w:rPr>
        <w:t>البروتوكول الاختياري لاتفاقية حقوق الطفل المتعلق بإشراك الأطفال في النزاعات المسلحة</w:t>
      </w:r>
      <w:r>
        <w:rPr>
          <w:rFonts w:hint="cs"/>
          <w:rtl/>
        </w:rPr>
        <w:t>؛</w:t>
      </w:r>
    </w:p>
    <w:p w:rsidR="006F2A95" w:rsidRDefault="006F2A95" w:rsidP="006F2A95">
      <w:pPr>
        <w:pStyle w:val="SingleTxtGA"/>
        <w:rPr>
          <w:rFonts w:hint="cs"/>
          <w:rtl/>
        </w:rPr>
      </w:pPr>
      <w:r w:rsidRPr="00CC29B8">
        <w:rPr>
          <w:rFonts w:hint="cs"/>
          <w:rtl/>
        </w:rPr>
        <w:tab/>
        <w:t>(ب)</w:t>
      </w:r>
      <w:r w:rsidRPr="00CC29B8">
        <w:rPr>
          <w:rFonts w:hint="cs"/>
          <w:rtl/>
        </w:rPr>
        <w:tab/>
      </w:r>
      <w:r>
        <w:rPr>
          <w:sz w:val="30"/>
          <w:rtl/>
        </w:rPr>
        <w:t>البروتوكول الاختياري لاتفاقية حقوق الطفل المتعلق ببيع الأطفال وبغاء الأطفال واستغلال الأطفال في المواد الإباحية</w:t>
      </w:r>
      <w:r>
        <w:rPr>
          <w:rFonts w:hint="cs"/>
          <w:rtl/>
        </w:rPr>
        <w:t>.</w:t>
      </w:r>
    </w:p>
    <w:p w:rsidR="006F2A95" w:rsidRDefault="006F2A95" w:rsidP="006F2A95">
      <w:pPr>
        <w:pStyle w:val="SingleTxtGA"/>
        <w:rPr>
          <w:rFonts w:hint="cs"/>
          <w:rtl/>
        </w:rPr>
      </w:pPr>
      <w:r>
        <w:rPr>
          <w:rFonts w:hint="cs"/>
          <w:rtl/>
        </w:rPr>
        <w:t>5-</w:t>
      </w:r>
      <w:r>
        <w:rPr>
          <w:rFonts w:hint="cs"/>
          <w:rtl/>
        </w:rPr>
        <w:tab/>
        <w:t xml:space="preserve">وترحب اللجنة بإنشاء </w:t>
      </w:r>
      <w:r>
        <w:rPr>
          <w:rtl/>
        </w:rPr>
        <w:t>اللجنة العليا لحقوق الإنسان</w:t>
      </w:r>
      <w:r>
        <w:rPr>
          <w:rFonts w:hint="cs"/>
          <w:rtl/>
        </w:rPr>
        <w:t xml:space="preserve"> في سنة 2008، المكلفة بمراجعة القوانين واللوائح القائمة واقتراح تعديلات عليها، من أجل إدماج المفاهيم الأساسية لحقوق الإنسان في المناهج المدرسية والجامعية.</w:t>
      </w:r>
    </w:p>
    <w:p w:rsidR="006F2A95" w:rsidRPr="00CC29B8" w:rsidRDefault="006F2A95" w:rsidP="00A24385">
      <w:pPr>
        <w:pStyle w:val="SingleTxtGA"/>
        <w:rPr>
          <w:rFonts w:hint="cs"/>
          <w:rtl/>
        </w:rPr>
      </w:pPr>
      <w:r>
        <w:rPr>
          <w:rFonts w:hint="cs"/>
          <w:rtl/>
        </w:rPr>
        <w:t>6-</w:t>
      </w:r>
      <w:r>
        <w:rPr>
          <w:rFonts w:hint="cs"/>
          <w:rtl/>
        </w:rPr>
        <w:tab/>
        <w:t>وتلاحظ اللجنة بارتياح أن الدولة الطرف قد وجهت الدعوة</w:t>
      </w:r>
      <w:r w:rsidR="00A24385">
        <w:rPr>
          <w:rFonts w:hint="cs"/>
          <w:rtl/>
        </w:rPr>
        <w:t xml:space="preserve">، في 12 أيار/      مايو 2010، </w:t>
      </w:r>
      <w:r>
        <w:rPr>
          <w:rFonts w:hint="cs"/>
          <w:rtl/>
        </w:rPr>
        <w:t xml:space="preserve">إلى جميع آليات الإجراءات الخاصة </w:t>
      </w:r>
      <w:r w:rsidR="00A24385">
        <w:rPr>
          <w:rFonts w:hint="cs"/>
          <w:rtl/>
        </w:rPr>
        <w:t>ل</w:t>
      </w:r>
      <w:r>
        <w:rPr>
          <w:rFonts w:hint="cs"/>
          <w:rtl/>
        </w:rPr>
        <w:t>مجلس حقوق الإنسان.</w:t>
      </w:r>
    </w:p>
    <w:p w:rsidR="006F2A95" w:rsidRDefault="006F2A95" w:rsidP="006F2A95">
      <w:pPr>
        <w:pStyle w:val="H1GA"/>
        <w:spacing w:before="0" w:after="120" w:line="380" w:lineRule="exact"/>
        <w:rPr>
          <w:rFonts w:hint="cs"/>
          <w:rtl/>
        </w:rPr>
      </w:pPr>
      <w:r>
        <w:rPr>
          <w:rFonts w:hint="cs"/>
          <w:rtl/>
        </w:rPr>
        <w:tab/>
      </w:r>
      <w:r w:rsidRPr="00CC29B8">
        <w:rPr>
          <w:rFonts w:hint="cs"/>
          <w:rtl/>
        </w:rPr>
        <w:t xml:space="preserve">جيم - </w:t>
      </w:r>
      <w:r>
        <w:rPr>
          <w:rFonts w:hint="cs"/>
          <w:rtl/>
        </w:rPr>
        <w:tab/>
      </w:r>
      <w:r w:rsidRPr="00CC29B8">
        <w:rPr>
          <w:rFonts w:hint="cs"/>
          <w:rtl/>
        </w:rPr>
        <w:t>دواعي القلق الرئيسية والتوصيات</w:t>
      </w:r>
    </w:p>
    <w:p w:rsidR="006F2A95" w:rsidRDefault="006F2A95" w:rsidP="006F2A95">
      <w:pPr>
        <w:pStyle w:val="H23GA"/>
        <w:spacing w:before="0"/>
        <w:rPr>
          <w:rFonts w:hint="cs"/>
          <w:rtl/>
        </w:rPr>
      </w:pPr>
      <w:r>
        <w:rPr>
          <w:rFonts w:hint="cs"/>
          <w:rtl/>
        </w:rPr>
        <w:tab/>
      </w:r>
      <w:r>
        <w:rPr>
          <w:rFonts w:hint="cs"/>
          <w:rtl/>
        </w:rPr>
        <w:tab/>
      </w:r>
      <w:r w:rsidRPr="00FF0B4D">
        <w:rPr>
          <w:rFonts w:hint="cs"/>
          <w:rtl/>
        </w:rPr>
        <w:t>تعريف التعذيب وتجريمه</w:t>
      </w:r>
    </w:p>
    <w:p w:rsidR="006F2A95" w:rsidRPr="00A5311D" w:rsidRDefault="006F2A95" w:rsidP="00A24385">
      <w:pPr>
        <w:pStyle w:val="SingleTxtGA"/>
        <w:rPr>
          <w:rFonts w:hint="cs"/>
          <w:spacing w:val="-6"/>
          <w:rtl/>
        </w:rPr>
      </w:pPr>
      <w:r>
        <w:rPr>
          <w:rFonts w:hint="cs"/>
          <w:rtl/>
        </w:rPr>
        <w:t>7-</w:t>
      </w:r>
      <w:r>
        <w:rPr>
          <w:rFonts w:hint="cs"/>
          <w:rtl/>
        </w:rPr>
        <w:tab/>
        <w:t>ترحب اللجنة بالتزام الدولة الطرف، الذي أعرب عنه ممثلوها خلال الحوار،</w:t>
      </w:r>
      <w:r>
        <w:rPr>
          <w:rFonts w:hint="cs"/>
          <w:spacing w:val="-6"/>
          <w:rtl/>
        </w:rPr>
        <w:t xml:space="preserve"> بسن قانون خاص لاعتماد تعريف للتعذيب يتماشى تماماً مع المادة 1 من الاتفاقية، وبتعديل تشريعاتها الوطنية لكي تكفل العقوبات المناسبة على أفعال التعذيب وسوء المعاملة. بيد أن اللجنة تلاحظ بقلق أن الأحكام القانونية الحالية لا تتضمن تعريفاً للتعذيب ولا تنص على العقوبات المناسبة التي يمكن تطبيقها إزاء هذه الأفعال، حيث أنها تحدد عقوبة أقصاها ثلاث سنوات و/أو غرامة قدرها 225 ديناراً على فعل اعتقال أو حبس أو احتجاز لا ينص عليه القانون، وعقوبة سبع سنوات إذا كانت هذه الأفعال مقترنة بالتعذيب الجسدي أو تهديدات بالقتل (المادت</w:t>
      </w:r>
      <w:r w:rsidR="00A24385">
        <w:rPr>
          <w:rFonts w:hint="cs"/>
          <w:spacing w:val="-6"/>
          <w:rtl/>
        </w:rPr>
        <w:t>ا</w:t>
      </w:r>
      <w:r>
        <w:rPr>
          <w:rFonts w:hint="cs"/>
          <w:spacing w:val="-6"/>
          <w:rtl/>
        </w:rPr>
        <w:t>ن 1 و4).</w:t>
      </w:r>
    </w:p>
    <w:p w:rsidR="006F2A95" w:rsidRPr="001629D3" w:rsidRDefault="006F2A95" w:rsidP="00A24385">
      <w:pPr>
        <w:pStyle w:val="SingleTxtGA"/>
        <w:rPr>
          <w:rFonts w:hint="cs"/>
          <w:b/>
          <w:bCs/>
          <w:rtl/>
        </w:rPr>
      </w:pPr>
      <w:r>
        <w:rPr>
          <w:rFonts w:hint="cs"/>
          <w:b/>
          <w:bCs/>
          <w:rtl/>
        </w:rPr>
        <w:tab/>
        <w:t>تؤكد اللجنة من جديد توصيتها السابقة (</w:t>
      </w:r>
      <w:r>
        <w:rPr>
          <w:b/>
          <w:bCs/>
        </w:rPr>
        <w:t>A/53/44</w:t>
      </w:r>
      <w:r>
        <w:rPr>
          <w:rFonts w:hint="cs"/>
          <w:b/>
          <w:bCs/>
          <w:rtl/>
        </w:rPr>
        <w:t xml:space="preserve">، الفقرة </w:t>
      </w:r>
      <w:r w:rsidR="00A24385">
        <w:rPr>
          <w:rFonts w:hint="cs"/>
          <w:b/>
          <w:bCs/>
          <w:rtl/>
        </w:rPr>
        <w:t>230</w:t>
      </w:r>
      <w:r>
        <w:rPr>
          <w:rFonts w:hint="cs"/>
          <w:b/>
          <w:bCs/>
          <w:rtl/>
        </w:rPr>
        <w:t xml:space="preserve">) بإدراج جريمة التعذيب، مثلما تعرفها المادة 1 من الاتفاقية، في القانون الجنائي المحلي للدولة الطرف بما يكفل </w:t>
      </w:r>
      <w:r w:rsidRPr="001629D3">
        <w:rPr>
          <w:rFonts w:hint="cs"/>
          <w:b/>
          <w:bCs/>
          <w:rtl/>
        </w:rPr>
        <w:t>إدماج جميع العناصر التي تتضمنها المادة 1 من الاتفاقية.</w:t>
      </w:r>
    </w:p>
    <w:p w:rsidR="006F2A95" w:rsidRPr="00FE1025" w:rsidRDefault="006F2A95" w:rsidP="00A24385">
      <w:pPr>
        <w:pStyle w:val="SingleTxtGA"/>
        <w:rPr>
          <w:rFonts w:hint="cs"/>
          <w:b/>
          <w:bCs/>
          <w:rtl/>
          <w:lang w:val="fr-CH"/>
        </w:rPr>
      </w:pPr>
      <w:r w:rsidRPr="001629D3">
        <w:rPr>
          <w:rFonts w:hint="cs"/>
          <w:b/>
          <w:bCs/>
          <w:rtl/>
          <w:lang w:val="fr-CH"/>
        </w:rPr>
        <w:tab/>
      </w:r>
      <w:r>
        <w:rPr>
          <w:rFonts w:hint="cs"/>
          <w:b/>
          <w:bCs/>
          <w:rtl/>
          <w:lang w:val="fr-CH"/>
        </w:rPr>
        <w:t>و</w:t>
      </w:r>
      <w:r w:rsidRPr="001629D3">
        <w:rPr>
          <w:rFonts w:hint="cs"/>
          <w:b/>
          <w:bCs/>
          <w:rtl/>
          <w:lang w:val="fr-CH"/>
        </w:rPr>
        <w:t>ينبغي للدولة الطرف أن تراجع تشريع</w:t>
      </w:r>
      <w:r>
        <w:rPr>
          <w:rFonts w:hint="cs"/>
          <w:b/>
          <w:bCs/>
          <w:rtl/>
          <w:lang w:val="fr-CH"/>
        </w:rPr>
        <w:t>اتها</w:t>
      </w:r>
      <w:r w:rsidRPr="001629D3">
        <w:rPr>
          <w:rFonts w:hint="cs"/>
          <w:b/>
          <w:bCs/>
          <w:rtl/>
          <w:lang w:val="fr-CH"/>
        </w:rPr>
        <w:t xml:space="preserve"> الوطني</w:t>
      </w:r>
      <w:r>
        <w:rPr>
          <w:rFonts w:hint="cs"/>
          <w:b/>
          <w:bCs/>
          <w:rtl/>
          <w:lang w:val="fr-CH"/>
        </w:rPr>
        <w:t>ة</w:t>
      </w:r>
      <w:r w:rsidRPr="001629D3">
        <w:rPr>
          <w:rFonts w:hint="cs"/>
          <w:b/>
          <w:bCs/>
          <w:rtl/>
          <w:lang w:val="fr-CH"/>
        </w:rPr>
        <w:t xml:space="preserve"> لضمان اعتبار أفعال التعذيب جرائم في إطار </w:t>
      </w:r>
      <w:r>
        <w:rPr>
          <w:rFonts w:hint="cs"/>
          <w:b/>
          <w:bCs/>
          <w:rtl/>
          <w:lang w:val="fr-CH"/>
        </w:rPr>
        <w:t xml:space="preserve">القانون الجنائي </w:t>
      </w:r>
      <w:r w:rsidRPr="001629D3">
        <w:rPr>
          <w:rFonts w:hint="cs"/>
          <w:b/>
          <w:bCs/>
          <w:rtl/>
          <w:lang w:val="fr-CH"/>
        </w:rPr>
        <w:t xml:space="preserve">يعاقب عليها بعقوبات </w:t>
      </w:r>
      <w:r w:rsidR="00A24385">
        <w:rPr>
          <w:rFonts w:hint="cs"/>
          <w:b/>
          <w:bCs/>
          <w:rtl/>
          <w:lang w:val="fr-CH"/>
        </w:rPr>
        <w:t>قاسي</w:t>
      </w:r>
      <w:r w:rsidRPr="001629D3">
        <w:rPr>
          <w:rFonts w:hint="cs"/>
          <w:b/>
          <w:bCs/>
          <w:rtl/>
          <w:lang w:val="fr-CH"/>
        </w:rPr>
        <w:t>ة تراعي الطابع الجسيم لهذه الأفعال على النحو المنصوص عليه في الفقرة 2 من المادة 4 من الاتفاقية.</w:t>
      </w:r>
      <w:r w:rsidRPr="00FE1025">
        <w:rPr>
          <w:rFonts w:hint="cs"/>
          <w:b/>
          <w:bCs/>
          <w:rtl/>
          <w:lang w:val="fr-CH"/>
        </w:rPr>
        <w:t xml:space="preserve"> </w:t>
      </w:r>
      <w:r>
        <w:rPr>
          <w:rFonts w:hint="cs"/>
          <w:rtl/>
          <w:lang w:val="fr-CH"/>
        </w:rPr>
        <w:tab/>
      </w:r>
    </w:p>
    <w:p w:rsidR="006F2A95" w:rsidRPr="00094AF2" w:rsidRDefault="006F2A95" w:rsidP="006F2A95">
      <w:pPr>
        <w:pStyle w:val="H23GA"/>
        <w:spacing w:before="0"/>
        <w:rPr>
          <w:rFonts w:hint="cs"/>
          <w:rtl/>
          <w:lang w:val="fr-CH"/>
        </w:rPr>
      </w:pPr>
      <w:r>
        <w:rPr>
          <w:rFonts w:hint="cs"/>
          <w:rtl/>
          <w:lang w:val="fr-CH"/>
        </w:rPr>
        <w:tab/>
      </w:r>
      <w:r>
        <w:rPr>
          <w:rFonts w:hint="cs"/>
          <w:rtl/>
          <w:lang w:val="fr-CH"/>
        </w:rPr>
        <w:tab/>
      </w:r>
      <w:r w:rsidRPr="00DF283F">
        <w:rPr>
          <w:rFonts w:hint="cs"/>
          <w:rtl/>
          <w:lang w:val="fr-CH"/>
        </w:rPr>
        <w:t>الضمانات القانونية الأساسية</w:t>
      </w:r>
    </w:p>
    <w:p w:rsidR="006F2A95" w:rsidRPr="00381EEF" w:rsidRDefault="006F2A95" w:rsidP="00A24385">
      <w:pPr>
        <w:pStyle w:val="SingleTxtGA"/>
        <w:rPr>
          <w:rFonts w:hint="cs"/>
          <w:rtl/>
          <w:lang w:val="fr-CH"/>
        </w:rPr>
      </w:pPr>
      <w:r>
        <w:rPr>
          <w:rFonts w:hint="cs"/>
          <w:rtl/>
          <w:lang w:val="fr-CH"/>
        </w:rPr>
        <w:t>8</w:t>
      </w:r>
      <w:r w:rsidRPr="00094AF2">
        <w:rPr>
          <w:rFonts w:hint="cs"/>
          <w:rtl/>
          <w:lang w:val="fr-CH"/>
        </w:rPr>
        <w:t>-</w:t>
      </w:r>
      <w:r w:rsidRPr="00094AF2">
        <w:rPr>
          <w:rFonts w:hint="cs"/>
          <w:rtl/>
          <w:lang w:val="fr-CH"/>
        </w:rPr>
        <w:tab/>
        <w:t>ت</w:t>
      </w:r>
      <w:r>
        <w:rPr>
          <w:rFonts w:hint="cs"/>
          <w:rtl/>
          <w:lang w:val="fr-CH"/>
        </w:rPr>
        <w:t xml:space="preserve">لاحظ اللجنة أن </w:t>
      </w:r>
      <w:r w:rsidRPr="00DF283F">
        <w:rPr>
          <w:rtl/>
          <w:lang w:val="fr-CH"/>
        </w:rPr>
        <w:t xml:space="preserve">قانون الإجراءات والمحاكمات الجزائية </w:t>
      </w:r>
      <w:r w:rsidRPr="00DF283F">
        <w:rPr>
          <w:rFonts w:hint="cs"/>
          <w:rtl/>
          <w:lang w:val="fr-CH"/>
        </w:rPr>
        <w:t>(17/60)</w:t>
      </w:r>
      <w:r>
        <w:rPr>
          <w:rFonts w:hint="cs"/>
          <w:rtl/>
          <w:lang w:val="fr-CH"/>
        </w:rPr>
        <w:t xml:space="preserve"> وقانون تنظيم السجون (26/1962) يتضمنان أحكاماً تنص على بعض الضمانات القانونية لصالح المحتجزين، مثل حقهم في الاتصال بمحام وإبلاغ أحد الأقارب، </w:t>
      </w:r>
      <w:r w:rsidRPr="00381EEF">
        <w:rPr>
          <w:rFonts w:hint="cs"/>
          <w:rtl/>
          <w:lang w:val="fr-CH"/>
        </w:rPr>
        <w:t xml:space="preserve">وتعريفهم </w:t>
      </w:r>
      <w:r>
        <w:rPr>
          <w:rFonts w:hint="cs"/>
          <w:rtl/>
          <w:lang w:val="fr-CH"/>
        </w:rPr>
        <w:t>بالتهم الموجهة إلي</w:t>
      </w:r>
      <w:r w:rsidRPr="00381EEF">
        <w:rPr>
          <w:rFonts w:hint="cs"/>
          <w:rtl/>
          <w:lang w:val="fr-CH"/>
        </w:rPr>
        <w:t>هم</w:t>
      </w:r>
      <w:r>
        <w:rPr>
          <w:rFonts w:hint="cs"/>
          <w:rtl/>
          <w:lang w:val="fr-CH"/>
        </w:rPr>
        <w:t>،</w:t>
      </w:r>
      <w:r w:rsidRPr="00381EEF">
        <w:rPr>
          <w:rFonts w:hint="cs"/>
          <w:rtl/>
          <w:lang w:val="fr-CH"/>
        </w:rPr>
        <w:t xml:space="preserve"> ومثولهم أمام قاضٍ ضمن مهلة زمنية محددة وفقاً للمعايير الدولية</w:t>
      </w:r>
      <w:r>
        <w:rPr>
          <w:rFonts w:hint="cs"/>
          <w:rtl/>
          <w:lang w:val="fr-CH"/>
        </w:rPr>
        <w:t xml:space="preserve">، إلا أن اللجنة تلاحظ بقلق أن هذه الأحكام لا تُحترم إلا قليلاً. وبينما تلاحظ اللجنة أن المادة 75 من </w:t>
      </w:r>
      <w:r w:rsidRPr="00DF283F">
        <w:rPr>
          <w:rtl/>
          <w:lang w:val="fr-CH"/>
        </w:rPr>
        <w:t>قانون الإجراءات والمحاكمات الجزائية</w:t>
      </w:r>
      <w:r>
        <w:rPr>
          <w:rFonts w:hint="cs"/>
          <w:rtl/>
          <w:lang w:val="fr-CH"/>
        </w:rPr>
        <w:t xml:space="preserve"> تكفل للمتهم الحق في </w:t>
      </w:r>
      <w:r w:rsidR="00A24385">
        <w:rPr>
          <w:rFonts w:hint="cs"/>
          <w:rtl/>
          <w:lang w:val="fr-CH"/>
        </w:rPr>
        <w:t>الاستعانة ب</w:t>
      </w:r>
      <w:r>
        <w:rPr>
          <w:rFonts w:hint="cs"/>
          <w:rtl/>
          <w:lang w:val="fr-CH"/>
        </w:rPr>
        <w:t xml:space="preserve">محام للدفاع عنه ولحضور جلسة الاستجواب، فإن اللجنة تشعر بالقلق لأن المحامي لا يستطيع التحدث إلا بإذن من المحقق (المادة 2). </w:t>
      </w:r>
    </w:p>
    <w:p w:rsidR="006F2A95" w:rsidRDefault="006F2A95" w:rsidP="00A24385">
      <w:pPr>
        <w:pStyle w:val="SingleTxtGA"/>
        <w:rPr>
          <w:rFonts w:hint="cs"/>
          <w:b/>
          <w:bCs/>
          <w:rtl/>
          <w:lang w:val="fr-CH"/>
        </w:rPr>
      </w:pPr>
      <w:r w:rsidRPr="006B29A1">
        <w:rPr>
          <w:rFonts w:hint="cs"/>
          <w:b/>
          <w:bCs/>
          <w:rtl/>
          <w:lang w:val="fr-CH"/>
        </w:rPr>
        <w:tab/>
        <w:t>ينبغي للدولة الطرف أن تتخذ على الفور تدابير فعالة لضمان حصول جميع المحتجزين من الناحية العملية على جميع الضمانات القانونية الأساسية منذ بداية احتجازهم، بما في ذلك حقهم في الا</w:t>
      </w:r>
      <w:r>
        <w:rPr>
          <w:rFonts w:hint="cs"/>
          <w:b/>
          <w:bCs/>
          <w:rtl/>
          <w:lang w:val="fr-CH"/>
        </w:rPr>
        <w:t xml:space="preserve">تصال </w:t>
      </w:r>
      <w:r w:rsidRPr="006B29A1">
        <w:rPr>
          <w:rFonts w:hint="cs"/>
          <w:b/>
          <w:bCs/>
          <w:rtl/>
          <w:lang w:val="fr-CH"/>
        </w:rPr>
        <w:t xml:space="preserve">بسرعة بمحامٍ والخضوع لفحص طبي مستقل وإبلاغ أحد أقاربهم وتعريفهم بحقوقهم </w:t>
      </w:r>
      <w:r w:rsidR="00A24385">
        <w:rPr>
          <w:rFonts w:hint="cs"/>
          <w:b/>
          <w:bCs/>
          <w:rtl/>
          <w:lang w:val="fr-CH"/>
        </w:rPr>
        <w:t>وقت</w:t>
      </w:r>
      <w:r w:rsidRPr="006B29A1">
        <w:rPr>
          <w:rFonts w:hint="cs"/>
          <w:b/>
          <w:bCs/>
          <w:rtl/>
          <w:lang w:val="fr-CH"/>
        </w:rPr>
        <w:t xml:space="preserve"> الاحتجاز، بما في ذلك بالتهم الموجهة </w:t>
      </w:r>
      <w:r>
        <w:rPr>
          <w:rFonts w:hint="cs"/>
          <w:b/>
          <w:bCs/>
          <w:rtl/>
          <w:lang w:val="fr-CH"/>
        </w:rPr>
        <w:t>إلي</w:t>
      </w:r>
      <w:r w:rsidRPr="006B29A1">
        <w:rPr>
          <w:rFonts w:hint="cs"/>
          <w:b/>
          <w:bCs/>
          <w:rtl/>
          <w:lang w:val="fr-CH"/>
        </w:rPr>
        <w:t>هم والحق في المثول أمام قاضٍ في غضون مدة زمنية محددة وفقاً للمعايير الدولية.</w:t>
      </w:r>
      <w:r>
        <w:rPr>
          <w:rFonts w:hint="cs"/>
          <w:b/>
          <w:bCs/>
          <w:rtl/>
          <w:lang w:val="fr-CH"/>
        </w:rPr>
        <w:t xml:space="preserve"> </w:t>
      </w:r>
    </w:p>
    <w:p w:rsidR="006F2A95" w:rsidRDefault="006F2A95" w:rsidP="006F2A95">
      <w:pPr>
        <w:pStyle w:val="H23GA"/>
        <w:spacing w:before="0"/>
        <w:rPr>
          <w:rFonts w:hint="cs"/>
          <w:rtl/>
          <w:lang w:val="fr-CH"/>
        </w:rPr>
      </w:pPr>
      <w:r>
        <w:rPr>
          <w:rFonts w:hint="cs"/>
          <w:rtl/>
          <w:lang w:val="fr-CH"/>
        </w:rPr>
        <w:tab/>
      </w:r>
      <w:r>
        <w:rPr>
          <w:rFonts w:hint="cs"/>
          <w:rtl/>
          <w:lang w:val="fr-CH"/>
        </w:rPr>
        <w:tab/>
        <w:t>رصد أماكن الاحتجاز وتفتيشها</w:t>
      </w:r>
    </w:p>
    <w:p w:rsidR="006F2A95" w:rsidRPr="004B3D7E" w:rsidRDefault="006F2A95" w:rsidP="006F2A95">
      <w:pPr>
        <w:pStyle w:val="SingleTxtGA"/>
        <w:rPr>
          <w:rFonts w:hint="cs"/>
          <w:rtl/>
          <w:lang w:val="fr-CH"/>
        </w:rPr>
      </w:pPr>
      <w:r>
        <w:rPr>
          <w:rFonts w:hint="cs"/>
          <w:rtl/>
          <w:lang w:val="fr-CH"/>
        </w:rPr>
        <w:t>9-</w:t>
      </w:r>
      <w:r>
        <w:rPr>
          <w:rFonts w:hint="cs"/>
          <w:rtl/>
          <w:lang w:val="fr-CH"/>
        </w:rPr>
        <w:tab/>
        <w:t xml:space="preserve">تحيط اللجنة علماً بالبيان الوارد في الردود على قائمة المسائل والذي يفيد بأن التشريعات الكويتية تكفل عدة أنواع من المراقبة والإشراف على السجون، وفقاً لقانون تنظيم القضاء (23/1990)، والقانون رقم 26 لسنة 1962، والمادة 56 من مرسوم القانون رقم 23 لسنة 1990. بيد أن اللجنة تشعر بالقلق إزاء الافتقار إلى عمليات رصد وتفتيش منهجية وفعالة لجميع أماكن الاحتجاز، بما فيها الزيارات المفاجئة التي يقوم </w:t>
      </w:r>
      <w:proofErr w:type="spellStart"/>
      <w:r>
        <w:rPr>
          <w:rFonts w:hint="cs"/>
          <w:rtl/>
          <w:lang w:val="fr-CH"/>
        </w:rPr>
        <w:t>بها</w:t>
      </w:r>
      <w:proofErr w:type="spellEnd"/>
      <w:r>
        <w:rPr>
          <w:rFonts w:hint="cs"/>
          <w:rtl/>
          <w:lang w:val="fr-CH"/>
        </w:rPr>
        <w:t xml:space="preserve"> مراقبون وطنيون ودوليون (</w:t>
      </w:r>
      <w:r w:rsidRPr="004B3D7E">
        <w:rPr>
          <w:rFonts w:hint="cs"/>
          <w:rtl/>
          <w:lang w:val="fr-CH"/>
        </w:rPr>
        <w:t>المادة 2).</w:t>
      </w:r>
    </w:p>
    <w:p w:rsidR="006F2A95" w:rsidRDefault="006F2A95" w:rsidP="00A24385">
      <w:pPr>
        <w:pStyle w:val="SingleTxtGA"/>
        <w:rPr>
          <w:rFonts w:hint="cs"/>
          <w:b/>
          <w:bCs/>
          <w:rtl/>
          <w:lang w:val="fr-CH"/>
        </w:rPr>
      </w:pPr>
      <w:r w:rsidRPr="004B3D7E">
        <w:rPr>
          <w:rFonts w:hint="cs"/>
          <w:b/>
          <w:bCs/>
          <w:rtl/>
          <w:lang w:val="fr-CH"/>
        </w:rPr>
        <w:tab/>
        <w:t xml:space="preserve">تدعو اللجنة الدولة الطرف إلى إنشاء نظام وطني لرصد وتفتيش جميع أماكن الاحتجاز بصورة فعالة ومتابعة نتائج هذا الرصد المنهجي. وينبغي أن يشمل هذا النظام زيارات منتظمة ومفاجئة لمنع التعذيب وغيره من ضروب المعاملة أو العقوبة القاسية أو </w:t>
      </w:r>
      <w:proofErr w:type="spellStart"/>
      <w:r w:rsidRPr="004B3D7E">
        <w:rPr>
          <w:rFonts w:hint="cs"/>
          <w:b/>
          <w:bCs/>
          <w:rtl/>
          <w:lang w:val="fr-CH"/>
        </w:rPr>
        <w:t>اللاإنسانية</w:t>
      </w:r>
      <w:proofErr w:type="spellEnd"/>
      <w:r w:rsidRPr="004B3D7E">
        <w:rPr>
          <w:rFonts w:hint="cs"/>
          <w:b/>
          <w:bCs/>
          <w:rtl/>
          <w:lang w:val="fr-CH"/>
        </w:rPr>
        <w:t xml:space="preserve"> أو المهينة. وتشجع الدولة الطرف على قبول رصد</w:t>
      </w:r>
      <w:r w:rsidRPr="00425DE5">
        <w:rPr>
          <w:rFonts w:hint="cs"/>
          <w:b/>
          <w:bCs/>
          <w:rtl/>
          <w:lang w:val="fr-CH"/>
        </w:rPr>
        <w:t xml:space="preserve"> </w:t>
      </w:r>
      <w:r w:rsidRPr="004B3D7E">
        <w:rPr>
          <w:rFonts w:hint="cs"/>
          <w:b/>
          <w:bCs/>
          <w:rtl/>
          <w:lang w:val="fr-CH"/>
        </w:rPr>
        <w:t xml:space="preserve">آليات دولية مناسبة </w:t>
      </w:r>
      <w:r>
        <w:rPr>
          <w:rFonts w:hint="cs"/>
          <w:b/>
          <w:bCs/>
          <w:rtl/>
          <w:lang w:val="fr-CH"/>
        </w:rPr>
        <w:t>لأماكن الاحتجاز.</w:t>
      </w:r>
    </w:p>
    <w:p w:rsidR="006F2A95" w:rsidRDefault="00812524" w:rsidP="00812524">
      <w:pPr>
        <w:pStyle w:val="H23GA"/>
        <w:rPr>
          <w:rFonts w:hint="cs"/>
          <w:rtl/>
          <w:lang w:val="fr-CH"/>
        </w:rPr>
      </w:pPr>
      <w:r>
        <w:rPr>
          <w:rFonts w:hint="cs"/>
          <w:rtl/>
          <w:lang w:val="fr-CH"/>
        </w:rPr>
        <w:tab/>
      </w:r>
      <w:r>
        <w:rPr>
          <w:rFonts w:hint="cs"/>
          <w:rtl/>
          <w:lang w:val="fr-CH"/>
        </w:rPr>
        <w:tab/>
      </w:r>
      <w:r w:rsidR="006F2A95" w:rsidRPr="00425DE5">
        <w:rPr>
          <w:rFonts w:hint="cs"/>
          <w:rtl/>
          <w:lang w:val="fr-CH"/>
        </w:rPr>
        <w:t>الشكاوى والتحقيقات النزيهة الكاملة</w:t>
      </w:r>
      <w:r w:rsidR="006F2A95" w:rsidRPr="00BF50B9">
        <w:rPr>
          <w:rFonts w:hint="cs"/>
          <w:rtl/>
          <w:lang w:val="fr-CH"/>
        </w:rPr>
        <w:t xml:space="preserve"> </w:t>
      </w:r>
      <w:r w:rsidR="006F2A95">
        <w:rPr>
          <w:rFonts w:hint="cs"/>
          <w:rtl/>
          <w:lang w:val="fr-CH"/>
        </w:rPr>
        <w:t>و</w:t>
      </w:r>
      <w:r w:rsidR="006F2A95" w:rsidRPr="00425DE5">
        <w:rPr>
          <w:rFonts w:hint="cs"/>
          <w:rtl/>
          <w:lang w:val="fr-CH"/>
        </w:rPr>
        <w:t xml:space="preserve">الفورية </w:t>
      </w:r>
    </w:p>
    <w:p w:rsidR="006F2A95" w:rsidRDefault="006F2A95" w:rsidP="00A24385">
      <w:pPr>
        <w:pStyle w:val="SingleTxtGA"/>
        <w:rPr>
          <w:rFonts w:hint="cs"/>
          <w:rtl/>
          <w:lang w:val="fr-CH"/>
        </w:rPr>
      </w:pPr>
      <w:r w:rsidRPr="00206548">
        <w:rPr>
          <w:rFonts w:hint="cs"/>
          <w:rtl/>
          <w:lang w:val="fr-CH"/>
        </w:rPr>
        <w:t>10-</w:t>
      </w:r>
      <w:r w:rsidRPr="00206548">
        <w:rPr>
          <w:rFonts w:hint="cs"/>
          <w:rtl/>
          <w:lang w:val="fr-CH"/>
        </w:rPr>
        <w:tab/>
        <w:t xml:space="preserve">تلاحظ اللجنة أن </w:t>
      </w:r>
      <w:r>
        <w:rPr>
          <w:rFonts w:hint="cs"/>
          <w:rtl/>
          <w:lang w:val="fr-CH"/>
        </w:rPr>
        <w:t xml:space="preserve">المعلومات المقدمة إليها خلال الحوار تفيد بأن وزارة الداخلية الكويتية أنشأت </w:t>
      </w:r>
      <w:r w:rsidR="00A24385">
        <w:rPr>
          <w:rFonts w:hint="cs"/>
          <w:rtl/>
          <w:lang w:val="fr-CH"/>
        </w:rPr>
        <w:t>إدارة</w:t>
      </w:r>
      <w:r>
        <w:rPr>
          <w:rFonts w:hint="cs"/>
          <w:rtl/>
          <w:lang w:val="fr-CH"/>
        </w:rPr>
        <w:t xml:space="preserve"> خاصة لتسجيل الشكاوى العامة ومتابعة التظلمات المتعلقة بإساءة استعمال السلطة والمقدَّمة بحق أي موظف يعمل في وزارة الداخلية، لكن اللجنة تأسف لغياب آلية مستقلة لتلقي الشكاوى وإجراء تحقيقات نزيهة كاملة وفورية في حالات التعذيب التي تُبلّغ </w:t>
      </w:r>
      <w:proofErr w:type="spellStart"/>
      <w:r>
        <w:rPr>
          <w:rFonts w:hint="cs"/>
          <w:rtl/>
          <w:lang w:val="fr-CH"/>
        </w:rPr>
        <w:t>بها</w:t>
      </w:r>
      <w:proofErr w:type="spellEnd"/>
      <w:r>
        <w:rPr>
          <w:rFonts w:hint="cs"/>
          <w:rtl/>
          <w:lang w:val="fr-CH"/>
        </w:rPr>
        <w:t xml:space="preserve"> السلطات، ولضمان فرض عقوبات مناسبـة علـى أولئك الذين يثبت أنهم مذنبون (المادة 13).</w:t>
      </w:r>
    </w:p>
    <w:p w:rsidR="006F2A95" w:rsidRDefault="006F2A95" w:rsidP="00A24385">
      <w:pPr>
        <w:pStyle w:val="SingleTxtGA"/>
        <w:rPr>
          <w:rFonts w:hint="cs"/>
          <w:b/>
          <w:bCs/>
          <w:rtl/>
          <w:lang w:val="fr-CH"/>
        </w:rPr>
      </w:pPr>
      <w:r>
        <w:rPr>
          <w:rFonts w:hint="cs"/>
          <w:rtl/>
          <w:lang w:val="fr-CH"/>
        </w:rPr>
        <w:tab/>
      </w:r>
      <w:r w:rsidRPr="007126DF">
        <w:rPr>
          <w:rFonts w:hint="cs"/>
          <w:b/>
          <w:bCs/>
          <w:rtl/>
          <w:lang w:val="fr-CH"/>
        </w:rPr>
        <w:t>ينبغي للدولة الطرف أن تنشئ آلية مستقلة كلي</w:t>
      </w:r>
      <w:r>
        <w:rPr>
          <w:rFonts w:hint="cs"/>
          <w:b/>
          <w:bCs/>
          <w:rtl/>
          <w:lang w:val="fr-CH"/>
        </w:rPr>
        <w:t xml:space="preserve">اً </w:t>
      </w:r>
      <w:r w:rsidRPr="007126DF">
        <w:rPr>
          <w:rFonts w:hint="cs"/>
          <w:b/>
          <w:bCs/>
          <w:rtl/>
          <w:lang w:val="fr-CH"/>
        </w:rPr>
        <w:t xml:space="preserve">لتقديم الشكاوى، وأن تضمن إجراء تحقيقات نزيهة كاملة وفورية في </w:t>
      </w:r>
      <w:r>
        <w:rPr>
          <w:rFonts w:hint="cs"/>
          <w:b/>
          <w:bCs/>
          <w:rtl/>
          <w:lang w:val="fr-CH"/>
        </w:rPr>
        <w:t xml:space="preserve">جميع </w:t>
      </w:r>
      <w:r w:rsidRPr="007126DF">
        <w:rPr>
          <w:rFonts w:hint="cs"/>
          <w:b/>
          <w:bCs/>
          <w:rtl/>
          <w:lang w:val="fr-CH"/>
        </w:rPr>
        <w:t>ادعاءات التعذيب</w:t>
      </w:r>
      <w:r>
        <w:rPr>
          <w:rFonts w:hint="cs"/>
          <w:b/>
          <w:bCs/>
          <w:rtl/>
          <w:lang w:val="fr-CH"/>
        </w:rPr>
        <w:t>،</w:t>
      </w:r>
      <w:r w:rsidRPr="007126DF">
        <w:rPr>
          <w:rFonts w:hint="cs"/>
          <w:b/>
          <w:bCs/>
          <w:rtl/>
          <w:lang w:val="fr-CH"/>
        </w:rPr>
        <w:t xml:space="preserve"> وأن تقاضي الذين يدعى ارتكابهم </w:t>
      </w:r>
      <w:r>
        <w:rPr>
          <w:rFonts w:hint="cs"/>
          <w:b/>
          <w:bCs/>
          <w:rtl/>
          <w:lang w:val="fr-CH"/>
        </w:rPr>
        <w:t>لأفعال التعذيب وتعاقب من ثبتت إدانتهم</w:t>
      </w:r>
      <w:r w:rsidRPr="007126DF">
        <w:rPr>
          <w:rFonts w:hint="cs"/>
          <w:b/>
          <w:bCs/>
          <w:rtl/>
          <w:lang w:val="fr-CH"/>
        </w:rPr>
        <w:t>.</w:t>
      </w:r>
    </w:p>
    <w:p w:rsidR="006F2A95" w:rsidRDefault="006F2A95" w:rsidP="006F2A95">
      <w:pPr>
        <w:pStyle w:val="SingleTxtGA"/>
        <w:rPr>
          <w:rFonts w:hint="cs"/>
          <w:rtl/>
          <w:lang w:val="fr-CH"/>
        </w:rPr>
      </w:pPr>
      <w:r w:rsidRPr="007126DF">
        <w:rPr>
          <w:rFonts w:hint="cs"/>
          <w:rtl/>
          <w:lang w:val="fr-CH"/>
        </w:rPr>
        <w:t>11-</w:t>
      </w:r>
      <w:r w:rsidRPr="007126DF">
        <w:rPr>
          <w:rFonts w:hint="cs"/>
          <w:rtl/>
          <w:lang w:val="fr-CH"/>
        </w:rPr>
        <w:tab/>
        <w:t>وتلاحظ اللجنة أن</w:t>
      </w:r>
      <w:r w:rsidR="00A24385">
        <w:rPr>
          <w:rFonts w:hint="cs"/>
          <w:rtl/>
          <w:lang w:val="fr-CH"/>
        </w:rPr>
        <w:t>ه</w:t>
      </w:r>
      <w:r w:rsidRPr="007126DF">
        <w:rPr>
          <w:rFonts w:hint="cs"/>
          <w:rtl/>
          <w:lang w:val="fr-CH"/>
        </w:rPr>
        <w:t xml:space="preserve"> في الفترة 2001-2011، جرت 632 محاكمة في قضايا متعلقة ب</w:t>
      </w:r>
      <w:r>
        <w:rPr>
          <w:rFonts w:hint="cs"/>
          <w:rtl/>
          <w:lang w:val="fr-CH"/>
        </w:rPr>
        <w:t xml:space="preserve">أفعال </w:t>
      </w:r>
      <w:r w:rsidRPr="007126DF">
        <w:rPr>
          <w:rFonts w:hint="cs"/>
          <w:rtl/>
          <w:lang w:val="fr-CH"/>
        </w:rPr>
        <w:t>التعذيب</w:t>
      </w:r>
      <w:r>
        <w:rPr>
          <w:rFonts w:hint="cs"/>
          <w:rtl/>
          <w:lang w:val="fr-CH"/>
        </w:rPr>
        <w:t xml:space="preserve"> وسوء المعاملة والعقاب البدني، وصدرت أحكام في 248 قضية بمعاقبة مرتكبي هذه الأفعال، لكن اللجنة تلاحظ أن الدولة الطرف لم تقدم معلومات عن أنواع العقوبات بالتحديد التي طُبقت على الجناة المدانين (المواد 4 و12 و13).</w:t>
      </w:r>
    </w:p>
    <w:p w:rsidR="006F2A95" w:rsidRDefault="006F2A95" w:rsidP="00A24385">
      <w:pPr>
        <w:pStyle w:val="SingleTxtGA"/>
        <w:rPr>
          <w:rFonts w:hint="cs"/>
          <w:rtl/>
          <w:lang w:val="fr-CH"/>
        </w:rPr>
      </w:pPr>
      <w:r>
        <w:rPr>
          <w:rFonts w:hint="cs"/>
          <w:b/>
          <w:bCs/>
          <w:rtl/>
          <w:lang w:val="fr-CH"/>
        </w:rPr>
        <w:tab/>
      </w:r>
      <w:r w:rsidRPr="000B6D1D">
        <w:rPr>
          <w:rFonts w:hint="cs"/>
          <w:b/>
          <w:bCs/>
          <w:rtl/>
          <w:lang w:val="fr-CH"/>
        </w:rPr>
        <w:t xml:space="preserve">تطلب اللجنة </w:t>
      </w:r>
      <w:r>
        <w:rPr>
          <w:rFonts w:hint="cs"/>
          <w:b/>
          <w:bCs/>
          <w:rtl/>
          <w:lang w:val="fr-CH"/>
        </w:rPr>
        <w:t>من</w:t>
      </w:r>
      <w:r w:rsidRPr="000B6D1D">
        <w:rPr>
          <w:rFonts w:hint="cs"/>
          <w:b/>
          <w:bCs/>
          <w:rtl/>
          <w:lang w:val="fr-CH"/>
        </w:rPr>
        <w:t xml:space="preserve"> الدولة الطرف أن تقدم معلومات، </w:t>
      </w:r>
      <w:r w:rsidR="00A24385">
        <w:rPr>
          <w:rFonts w:hint="cs"/>
          <w:b/>
          <w:bCs/>
          <w:rtl/>
          <w:lang w:val="fr-CH"/>
        </w:rPr>
        <w:t xml:space="preserve">تشمل </w:t>
      </w:r>
      <w:r w:rsidRPr="000B6D1D">
        <w:rPr>
          <w:rFonts w:hint="cs"/>
          <w:b/>
          <w:bCs/>
          <w:rtl/>
          <w:lang w:val="fr-CH"/>
        </w:rPr>
        <w:t>إحصاءات</w:t>
      </w:r>
      <w:r w:rsidR="00A24385">
        <w:rPr>
          <w:rFonts w:hint="cs"/>
          <w:b/>
          <w:bCs/>
          <w:rtl/>
          <w:lang w:val="fr-CH"/>
        </w:rPr>
        <w:t>،</w:t>
      </w:r>
      <w:r w:rsidRPr="000B6D1D">
        <w:rPr>
          <w:rFonts w:hint="cs"/>
          <w:b/>
          <w:bCs/>
          <w:rtl/>
          <w:lang w:val="fr-CH"/>
        </w:rPr>
        <w:t xml:space="preserve"> عن عدد الشكاوى المقدمة ضد الموظفين العموميين </w:t>
      </w:r>
      <w:r>
        <w:rPr>
          <w:rFonts w:hint="cs"/>
          <w:b/>
          <w:bCs/>
          <w:rtl/>
          <w:lang w:val="fr-CH"/>
        </w:rPr>
        <w:t>و</w:t>
      </w:r>
      <w:r w:rsidRPr="000B6D1D">
        <w:rPr>
          <w:rFonts w:hint="cs"/>
          <w:b/>
          <w:bCs/>
          <w:rtl/>
          <w:lang w:val="fr-CH"/>
        </w:rPr>
        <w:t>المتعلقة بالتعذيب و</w:t>
      </w:r>
      <w:r>
        <w:rPr>
          <w:rFonts w:hint="cs"/>
          <w:b/>
          <w:bCs/>
          <w:rtl/>
          <w:lang w:val="fr-CH"/>
        </w:rPr>
        <w:t>سوء المعاملة</w:t>
      </w:r>
      <w:r w:rsidRPr="000B6D1D">
        <w:rPr>
          <w:rFonts w:hint="cs"/>
          <w:b/>
          <w:bCs/>
          <w:rtl/>
          <w:lang w:val="fr-CH"/>
        </w:rPr>
        <w:t xml:space="preserve"> إضافة إلى معلومات عن نتائج المحاكمات على المستويين الجزائي والتأديبي</w:t>
      </w:r>
      <w:r>
        <w:rPr>
          <w:rFonts w:hint="cs"/>
          <w:b/>
          <w:bCs/>
          <w:rtl/>
          <w:lang w:val="fr-CH"/>
        </w:rPr>
        <w:t>، مع تقديم أمثلة على الأحكام المناسبة</w:t>
      </w:r>
      <w:r w:rsidRPr="000B6D1D">
        <w:rPr>
          <w:rFonts w:hint="cs"/>
          <w:b/>
          <w:bCs/>
          <w:rtl/>
          <w:lang w:val="fr-CH"/>
        </w:rPr>
        <w:t>.</w:t>
      </w:r>
    </w:p>
    <w:p w:rsidR="006F2A95" w:rsidRDefault="006F2A95" w:rsidP="00A24385">
      <w:pPr>
        <w:pStyle w:val="SingleTxtGA"/>
        <w:rPr>
          <w:rFonts w:hint="cs"/>
          <w:rtl/>
          <w:lang w:val="fr-CH"/>
        </w:rPr>
      </w:pPr>
      <w:r>
        <w:rPr>
          <w:rFonts w:hint="cs"/>
          <w:rtl/>
          <w:lang w:val="fr-CH"/>
        </w:rPr>
        <w:t>12-</w:t>
      </w:r>
      <w:r>
        <w:rPr>
          <w:rFonts w:hint="cs"/>
          <w:rtl/>
          <w:lang w:val="fr-CH"/>
        </w:rPr>
        <w:tab/>
        <w:t xml:space="preserve">وتأسف اللجنة بالغ الأسف لوفاة محمد غازي </w:t>
      </w:r>
      <w:proofErr w:type="spellStart"/>
      <w:r>
        <w:rPr>
          <w:rFonts w:hint="cs"/>
          <w:rtl/>
          <w:lang w:val="fr-CH"/>
        </w:rPr>
        <w:t>الميموني</w:t>
      </w:r>
      <w:proofErr w:type="spellEnd"/>
      <w:r>
        <w:rPr>
          <w:rFonts w:hint="cs"/>
          <w:rtl/>
          <w:lang w:val="fr-CH"/>
        </w:rPr>
        <w:t xml:space="preserve"> </w:t>
      </w:r>
      <w:proofErr w:type="spellStart"/>
      <w:r>
        <w:rPr>
          <w:rFonts w:hint="cs"/>
          <w:rtl/>
          <w:lang w:val="fr-CH"/>
        </w:rPr>
        <w:t>المطيري</w:t>
      </w:r>
      <w:proofErr w:type="spellEnd"/>
      <w:r>
        <w:rPr>
          <w:rFonts w:hint="cs"/>
          <w:rtl/>
          <w:lang w:val="fr-CH"/>
        </w:rPr>
        <w:t xml:space="preserve"> الذي تعرض للتعذيب في كانون الثاني/يناير 2011 على يد موظفين مكلفين بإنفاذ القانون في الوقت الذي كان فيه </w:t>
      </w:r>
      <w:r w:rsidR="00A24385">
        <w:rPr>
          <w:rFonts w:hint="cs"/>
          <w:rtl/>
          <w:lang w:val="fr-CH"/>
        </w:rPr>
        <w:t>محتجزاً قيد التحقيق</w:t>
      </w:r>
      <w:r>
        <w:rPr>
          <w:rFonts w:hint="cs"/>
          <w:rtl/>
          <w:lang w:val="fr-CH"/>
        </w:rPr>
        <w:t>. وتحيط اللجنة علماً باتهام 19 شخصاً شاركوا في أفعال التعذيب المتصلة بهذه القضي</w:t>
      </w:r>
      <w:r>
        <w:rPr>
          <w:rFonts w:hint="eastAsia"/>
          <w:rtl/>
          <w:lang w:val="fr-CH"/>
        </w:rPr>
        <w:t>ة</w:t>
      </w:r>
      <w:r>
        <w:rPr>
          <w:rFonts w:hint="cs"/>
          <w:rtl/>
          <w:lang w:val="fr-CH"/>
        </w:rPr>
        <w:t xml:space="preserve"> (المادة 12).</w:t>
      </w:r>
    </w:p>
    <w:p w:rsidR="006F2A95" w:rsidRDefault="006F2A95" w:rsidP="00A24385">
      <w:pPr>
        <w:pStyle w:val="SingleTxtGA"/>
        <w:rPr>
          <w:rFonts w:hint="cs"/>
          <w:rtl/>
          <w:lang w:val="fr-CH"/>
        </w:rPr>
      </w:pPr>
      <w:r>
        <w:rPr>
          <w:rFonts w:hint="cs"/>
          <w:b/>
          <w:bCs/>
          <w:rtl/>
          <w:lang w:val="fr-CH"/>
        </w:rPr>
        <w:tab/>
      </w:r>
      <w:r w:rsidRPr="000B6D1D">
        <w:rPr>
          <w:rFonts w:hint="cs"/>
          <w:b/>
          <w:bCs/>
          <w:rtl/>
          <w:lang w:val="fr-CH"/>
        </w:rPr>
        <w:t xml:space="preserve">تطلب اللجنة </w:t>
      </w:r>
      <w:r>
        <w:rPr>
          <w:rFonts w:hint="cs"/>
          <w:b/>
          <w:bCs/>
          <w:rtl/>
          <w:lang w:val="fr-CH"/>
        </w:rPr>
        <w:t>من الدولة</w:t>
      </w:r>
      <w:r w:rsidRPr="000B6D1D">
        <w:rPr>
          <w:rFonts w:hint="cs"/>
          <w:b/>
          <w:bCs/>
          <w:rtl/>
          <w:lang w:val="fr-CH"/>
        </w:rPr>
        <w:t xml:space="preserve"> الطرف أن تقدم معلومات</w:t>
      </w:r>
      <w:r>
        <w:rPr>
          <w:rFonts w:hint="cs"/>
          <w:b/>
          <w:bCs/>
          <w:rtl/>
          <w:lang w:val="fr-CH"/>
        </w:rPr>
        <w:t xml:space="preserve"> مفصلة عن التطورات القضائية المتعلقة بهذه القضية، وعن التدابير المتخذة لتقديم تعويض لأقارب الضحية.</w:t>
      </w:r>
    </w:p>
    <w:p w:rsidR="006F2A95" w:rsidRDefault="006F2A95" w:rsidP="006F2A95">
      <w:pPr>
        <w:pStyle w:val="SingleTxtGA"/>
        <w:rPr>
          <w:rFonts w:hint="cs"/>
          <w:rtl/>
          <w:lang w:val="fr-CH"/>
        </w:rPr>
      </w:pPr>
      <w:r>
        <w:rPr>
          <w:rFonts w:hint="cs"/>
          <w:rtl/>
          <w:lang w:val="fr-CH"/>
        </w:rPr>
        <w:t>13-</w:t>
      </w:r>
      <w:r>
        <w:rPr>
          <w:rFonts w:hint="cs"/>
          <w:rtl/>
          <w:lang w:val="fr-CH"/>
        </w:rPr>
        <w:tab/>
        <w:t xml:space="preserve">وتعرب اللجنة عن قلقها بشأن قضية الأشخاص الثمانية الذين أُطلق سراحهم من </w:t>
      </w:r>
      <w:r w:rsidRPr="007A00A7">
        <w:rPr>
          <w:rtl/>
          <w:lang w:val="fr-CH"/>
        </w:rPr>
        <w:t xml:space="preserve">خليج </w:t>
      </w:r>
      <w:proofErr w:type="spellStart"/>
      <w:r w:rsidRPr="007A00A7">
        <w:rPr>
          <w:rtl/>
          <w:lang w:val="fr-CH"/>
        </w:rPr>
        <w:t>غوانتانامو</w:t>
      </w:r>
      <w:proofErr w:type="spellEnd"/>
      <w:r>
        <w:rPr>
          <w:rFonts w:hint="cs"/>
          <w:rtl/>
          <w:lang w:val="fr-CH"/>
        </w:rPr>
        <w:t xml:space="preserve"> وعادوا إلى الكويت ويُدعى أنهم اعتُقلوا وحوكموا في الكويت عند عودتهم.</w:t>
      </w:r>
    </w:p>
    <w:p w:rsidR="006F2A95" w:rsidRPr="001A6345" w:rsidRDefault="006F2A95" w:rsidP="00A24385">
      <w:pPr>
        <w:pStyle w:val="SingleTxtGA"/>
        <w:rPr>
          <w:rFonts w:hint="cs"/>
          <w:b/>
          <w:bCs/>
          <w:rtl/>
          <w:lang w:val="fr-CH"/>
        </w:rPr>
      </w:pPr>
      <w:r>
        <w:rPr>
          <w:rFonts w:hint="cs"/>
          <w:b/>
          <w:bCs/>
          <w:rtl/>
          <w:lang w:val="fr-CH"/>
        </w:rPr>
        <w:tab/>
      </w:r>
      <w:r w:rsidRPr="00927A8D">
        <w:rPr>
          <w:rFonts w:hint="cs"/>
          <w:b/>
          <w:bCs/>
          <w:rtl/>
          <w:lang w:val="fr-CH"/>
        </w:rPr>
        <w:t>تطلب اللجنة من الدولة الطرف أن تقدم معلومات مفصلة عن الظروف الدقيقة لهذه القضية، وعن أي</w:t>
      </w:r>
      <w:r>
        <w:rPr>
          <w:rFonts w:hint="cs"/>
          <w:b/>
          <w:bCs/>
          <w:rtl/>
          <w:lang w:val="fr-CH"/>
        </w:rPr>
        <w:t xml:space="preserve">ة تطورات </w:t>
      </w:r>
      <w:r w:rsidRPr="00927A8D">
        <w:rPr>
          <w:rFonts w:hint="cs"/>
          <w:b/>
          <w:bCs/>
          <w:rtl/>
          <w:lang w:val="fr-CH"/>
        </w:rPr>
        <w:t>قضائي</w:t>
      </w:r>
      <w:r>
        <w:rPr>
          <w:rFonts w:hint="cs"/>
          <w:b/>
          <w:bCs/>
          <w:rtl/>
          <w:lang w:val="fr-CH"/>
        </w:rPr>
        <w:t>ة</w:t>
      </w:r>
      <w:r w:rsidRPr="00927A8D">
        <w:rPr>
          <w:rFonts w:hint="cs"/>
          <w:b/>
          <w:bCs/>
          <w:rtl/>
          <w:lang w:val="fr-CH"/>
        </w:rPr>
        <w:t xml:space="preserve"> جديد</w:t>
      </w:r>
      <w:r>
        <w:rPr>
          <w:rFonts w:hint="cs"/>
          <w:b/>
          <w:bCs/>
          <w:rtl/>
          <w:lang w:val="fr-CH"/>
        </w:rPr>
        <w:t>ة بشأنها</w:t>
      </w:r>
      <w:r w:rsidRPr="00927A8D">
        <w:rPr>
          <w:rFonts w:hint="cs"/>
          <w:b/>
          <w:bCs/>
          <w:rtl/>
          <w:lang w:val="fr-CH"/>
        </w:rPr>
        <w:t>.</w:t>
      </w:r>
    </w:p>
    <w:p w:rsidR="006F2A95" w:rsidRDefault="006F2A95" w:rsidP="00812524">
      <w:pPr>
        <w:pStyle w:val="SingleTxtGA"/>
        <w:rPr>
          <w:rFonts w:hint="cs"/>
          <w:rtl/>
          <w:lang w:val="fr-CH"/>
        </w:rPr>
      </w:pPr>
      <w:r>
        <w:rPr>
          <w:rFonts w:hint="cs"/>
          <w:rtl/>
          <w:lang w:val="fr-CH"/>
        </w:rPr>
        <w:t>14-</w:t>
      </w:r>
      <w:r>
        <w:rPr>
          <w:rFonts w:hint="cs"/>
          <w:rtl/>
          <w:lang w:val="fr-CH"/>
        </w:rPr>
        <w:tab/>
        <w:t>وتلاحظ اللجنة أن الملاحظة الختامية للجنة المعنية بحقوق الإنسان في سنة 2000 (</w:t>
      </w:r>
      <w:r w:rsidRPr="00897883">
        <w:t>CCPR/CO/69/KWT</w:t>
      </w:r>
      <w:r>
        <w:rPr>
          <w:rFonts w:hint="cs"/>
          <w:rtl/>
          <w:lang w:val="fr-CH"/>
        </w:rPr>
        <w:t xml:space="preserve">، الفقرة 11) تشير إلى قائمة تتضمن 62 شخصاً احتُجزوا في </w:t>
      </w:r>
      <w:r w:rsidR="00A24385">
        <w:rPr>
          <w:rFonts w:hint="cs"/>
          <w:rtl/>
          <w:lang w:val="fr-CH"/>
        </w:rPr>
        <w:t xml:space="preserve">   حرب</w:t>
      </w:r>
      <w:r>
        <w:rPr>
          <w:rFonts w:hint="cs"/>
          <w:rtl/>
          <w:lang w:val="fr-CH"/>
        </w:rPr>
        <w:t xml:space="preserve"> 1991 بعد الحرب، ثم اختفوا بعد ذلك. وتلاحظ اللجنة أن الدولة الطرف قد أقرت بحالة واحدة فقط. ويساور اللجنة القلق لأن المعلومات المتعلقة باختفاء الأشخاص المحتجزين بعد </w:t>
      </w:r>
      <w:r w:rsidR="00812524">
        <w:rPr>
          <w:rFonts w:hint="cs"/>
          <w:rtl/>
          <w:lang w:val="fr-CH"/>
        </w:rPr>
        <w:t>حرب</w:t>
      </w:r>
      <w:r>
        <w:rPr>
          <w:rFonts w:hint="cs"/>
          <w:rtl/>
          <w:lang w:val="fr-CH"/>
        </w:rPr>
        <w:t xml:space="preserve"> 1991 ترد باستمرار كما أن منظمة غير حكومية أثارت هذه المسألة خلال نظر </w:t>
      </w:r>
      <w:r>
        <w:rPr>
          <w:rFonts w:hint="cs"/>
          <w:rtl/>
          <w:lang w:bidi="ar"/>
        </w:rPr>
        <w:t>آلية الاستعراض الدوري الشامل</w:t>
      </w:r>
      <w:r>
        <w:rPr>
          <w:rFonts w:hint="cs"/>
          <w:rtl/>
          <w:lang w:val="fr-CH"/>
        </w:rPr>
        <w:t xml:space="preserve"> </w:t>
      </w:r>
      <w:r w:rsidR="00A24385">
        <w:rPr>
          <w:rFonts w:hint="cs"/>
          <w:rtl/>
          <w:lang w:val="fr-CH"/>
        </w:rPr>
        <w:t>ل</w:t>
      </w:r>
      <w:r>
        <w:rPr>
          <w:rFonts w:hint="cs"/>
          <w:rtl/>
          <w:lang w:val="fr-CH"/>
        </w:rPr>
        <w:t>تقرير الكويت في أيار/مايو 2010.</w:t>
      </w:r>
    </w:p>
    <w:p w:rsidR="006F2A95" w:rsidRPr="00D91C91" w:rsidRDefault="006F2A95" w:rsidP="00A24385">
      <w:pPr>
        <w:pStyle w:val="SingleTxtGA"/>
        <w:rPr>
          <w:rFonts w:hint="cs"/>
          <w:b/>
          <w:bCs/>
          <w:rtl/>
          <w:lang w:val="fr-CH"/>
        </w:rPr>
      </w:pPr>
      <w:r>
        <w:rPr>
          <w:rFonts w:hint="cs"/>
          <w:rtl/>
          <w:lang w:val="fr-CH"/>
        </w:rPr>
        <w:tab/>
      </w:r>
      <w:r w:rsidRPr="00D91C91">
        <w:rPr>
          <w:rFonts w:hint="cs"/>
          <w:b/>
          <w:bCs/>
          <w:rtl/>
          <w:lang w:val="fr-CH"/>
        </w:rPr>
        <w:t xml:space="preserve">ينبغي للدولة الطرف أن تقدم معلومات مفصلة لتوضيح حالات الأشخاص المحتجزين والمختفين بعد حرب سنة 1991، التي بُلغت </w:t>
      </w:r>
      <w:proofErr w:type="spellStart"/>
      <w:r w:rsidRPr="00D91C91">
        <w:rPr>
          <w:rFonts w:hint="cs"/>
          <w:b/>
          <w:bCs/>
          <w:rtl/>
          <w:lang w:val="fr-CH"/>
        </w:rPr>
        <w:t>بها</w:t>
      </w:r>
      <w:proofErr w:type="spellEnd"/>
      <w:r w:rsidRPr="00D91C91">
        <w:rPr>
          <w:rFonts w:hint="cs"/>
          <w:b/>
          <w:bCs/>
          <w:rtl/>
          <w:lang w:val="fr-CH"/>
        </w:rPr>
        <w:t>.</w:t>
      </w:r>
    </w:p>
    <w:p w:rsidR="006F2A95" w:rsidRDefault="006F2A95" w:rsidP="00812524">
      <w:pPr>
        <w:pStyle w:val="H23GA"/>
        <w:ind w:firstLine="0"/>
        <w:rPr>
          <w:rFonts w:hint="cs"/>
          <w:rtl/>
          <w:lang w:val="fr-CH"/>
        </w:rPr>
      </w:pPr>
    </w:p>
    <w:p w:rsidR="00812524" w:rsidRDefault="00812524" w:rsidP="00812524">
      <w:pPr>
        <w:pStyle w:val="H23GA"/>
        <w:rPr>
          <w:rFonts w:hint="cs"/>
          <w:rtl/>
          <w:lang w:val="fr-CH"/>
        </w:rPr>
      </w:pPr>
      <w:r>
        <w:rPr>
          <w:rFonts w:hint="cs"/>
          <w:rtl/>
          <w:lang w:val="fr-CH"/>
        </w:rPr>
        <w:tab/>
      </w:r>
      <w:r>
        <w:rPr>
          <w:rFonts w:hint="cs"/>
          <w:rtl/>
          <w:lang w:val="fr-CH"/>
        </w:rPr>
        <w:tab/>
        <w:t xml:space="preserve">عدم الإعادة </w:t>
      </w:r>
      <w:proofErr w:type="spellStart"/>
      <w:r>
        <w:rPr>
          <w:rFonts w:hint="cs"/>
          <w:rtl/>
          <w:lang w:val="fr-CH"/>
        </w:rPr>
        <w:t>القسرية</w:t>
      </w:r>
      <w:proofErr w:type="spellEnd"/>
    </w:p>
    <w:p w:rsidR="006F2A95" w:rsidRDefault="006F2A95" w:rsidP="00A24385">
      <w:pPr>
        <w:pStyle w:val="SingleTxtGA"/>
        <w:rPr>
          <w:rFonts w:hint="cs"/>
          <w:rtl/>
          <w:lang w:val="fr-CH"/>
        </w:rPr>
      </w:pPr>
      <w:r>
        <w:rPr>
          <w:rFonts w:hint="cs"/>
          <w:rtl/>
          <w:lang w:val="fr-CH"/>
        </w:rPr>
        <w:t>15-</w:t>
      </w:r>
      <w:r>
        <w:rPr>
          <w:rFonts w:hint="cs"/>
          <w:rtl/>
          <w:lang w:val="fr-CH"/>
        </w:rPr>
        <w:tab/>
        <w:t>تأسف اللجنة لانعدام المعلومات في البند 5 (</w:t>
      </w:r>
      <w:r w:rsidRPr="00F939D2">
        <w:t>CAT/C/KWT/2</w:t>
      </w:r>
      <w:r>
        <w:rPr>
          <w:rFonts w:hint="cs"/>
          <w:rtl/>
        </w:rPr>
        <w:t xml:space="preserve">، </w:t>
      </w:r>
      <w:r>
        <w:rPr>
          <w:rFonts w:hint="cs"/>
          <w:rtl/>
          <w:lang w:val="fr-CH"/>
        </w:rPr>
        <w:t>الفقرة 18) من ردود الدولة الطرف على قائمة المسائل التي أرسلتها اللجنة (</w:t>
      </w:r>
      <w:r>
        <w:t>CAT/C/KWT/Q/2</w:t>
      </w:r>
      <w:r>
        <w:rPr>
          <w:rFonts w:hint="cs"/>
          <w:rtl/>
          <w:lang w:val="fr-CH"/>
        </w:rPr>
        <w:t xml:space="preserve">)، فيما يخص المعلومات الإحصائية لمدة </w:t>
      </w:r>
      <w:r w:rsidR="00A24385">
        <w:rPr>
          <w:rFonts w:hint="cs"/>
          <w:rtl/>
          <w:lang w:val="fr-CH"/>
        </w:rPr>
        <w:t>ال</w:t>
      </w:r>
      <w:r>
        <w:rPr>
          <w:rFonts w:hint="cs"/>
          <w:rtl/>
          <w:lang w:val="fr-CH"/>
        </w:rPr>
        <w:t xml:space="preserve">سنوات </w:t>
      </w:r>
      <w:r w:rsidR="00A24385">
        <w:rPr>
          <w:rFonts w:hint="cs"/>
          <w:rtl/>
          <w:lang w:val="fr-CH"/>
        </w:rPr>
        <w:t xml:space="preserve">الخمس </w:t>
      </w:r>
      <w:r>
        <w:rPr>
          <w:rFonts w:hint="cs"/>
          <w:rtl/>
          <w:lang w:val="fr-CH"/>
        </w:rPr>
        <w:t>الماضية (2005-2010) بشأن طلبات اللجوء،   لا سيما الطلبات المقدمة من ملتمسي اللجوء الذين تعرضوا للتعذيب أو قد يتعرضون له في حالة عودتهم إلى بلدهم الأصلي (المادة 3).</w:t>
      </w:r>
    </w:p>
    <w:p w:rsidR="006F2A95" w:rsidRDefault="006F2A95" w:rsidP="00A24385">
      <w:pPr>
        <w:pStyle w:val="SingleTxtGA"/>
        <w:rPr>
          <w:rFonts w:hint="cs"/>
          <w:rtl/>
          <w:lang w:val="fr-CH"/>
        </w:rPr>
      </w:pPr>
      <w:r>
        <w:rPr>
          <w:rFonts w:hint="cs"/>
          <w:b/>
          <w:bCs/>
          <w:rtl/>
          <w:lang w:val="fr-CH"/>
        </w:rPr>
        <w:tab/>
      </w:r>
      <w:r w:rsidRPr="004C294E">
        <w:rPr>
          <w:rFonts w:hint="cs"/>
          <w:b/>
          <w:bCs/>
          <w:rtl/>
          <w:lang w:val="fr-CH"/>
        </w:rPr>
        <w:t xml:space="preserve">لا </w:t>
      </w:r>
      <w:r w:rsidR="00A24385">
        <w:rPr>
          <w:rFonts w:hint="cs"/>
          <w:b/>
          <w:bCs/>
          <w:rtl/>
          <w:lang w:val="fr-CH"/>
        </w:rPr>
        <w:t>ينبغي</w:t>
      </w:r>
      <w:r w:rsidRPr="004C294E">
        <w:rPr>
          <w:rFonts w:hint="cs"/>
          <w:b/>
          <w:bCs/>
          <w:rtl/>
          <w:lang w:val="fr-CH"/>
        </w:rPr>
        <w:t xml:space="preserve"> للدولة الطرف</w:t>
      </w:r>
      <w:r w:rsidR="00A24385">
        <w:rPr>
          <w:rFonts w:hint="cs"/>
          <w:b/>
          <w:bCs/>
          <w:rtl/>
          <w:lang w:val="fr-CH"/>
        </w:rPr>
        <w:t>، تحت أ</w:t>
      </w:r>
      <w:r w:rsidRPr="004C294E">
        <w:rPr>
          <w:rFonts w:hint="cs"/>
          <w:b/>
          <w:bCs/>
          <w:rtl/>
          <w:lang w:val="fr-CH"/>
        </w:rPr>
        <w:t>ي ظرف من الظروف</w:t>
      </w:r>
      <w:r w:rsidR="00A24385">
        <w:rPr>
          <w:rFonts w:hint="cs"/>
          <w:b/>
          <w:bCs/>
          <w:rtl/>
          <w:lang w:val="fr-CH"/>
        </w:rPr>
        <w:t>،</w:t>
      </w:r>
      <w:r w:rsidRPr="004C294E">
        <w:rPr>
          <w:rFonts w:hint="cs"/>
          <w:b/>
          <w:bCs/>
          <w:rtl/>
          <w:lang w:val="fr-CH"/>
        </w:rPr>
        <w:t xml:space="preserve"> طرد أو إعادة أو تسل</w:t>
      </w:r>
      <w:r>
        <w:rPr>
          <w:rFonts w:hint="cs"/>
          <w:b/>
          <w:bCs/>
          <w:rtl/>
          <w:lang w:val="fr-CH"/>
        </w:rPr>
        <w:t>ي</w:t>
      </w:r>
      <w:r w:rsidRPr="004C294E">
        <w:rPr>
          <w:rFonts w:hint="cs"/>
          <w:b/>
          <w:bCs/>
          <w:rtl/>
          <w:lang w:val="fr-CH"/>
        </w:rPr>
        <w:t xml:space="preserve">م </w:t>
      </w:r>
      <w:r w:rsidRPr="008837A7">
        <w:rPr>
          <w:rFonts w:hint="cs"/>
          <w:b/>
          <w:bCs/>
          <w:rtl/>
          <w:lang w:val="fr-CH"/>
        </w:rPr>
        <w:t>شخص إلى دولة تتوافر بشأنها أسباب وجيهة تدعو إلى الاعتقاد بأن هذ</w:t>
      </w:r>
      <w:r w:rsidRPr="006F2A95">
        <w:rPr>
          <w:rFonts w:hint="cs"/>
          <w:rtl/>
        </w:rPr>
        <w:t xml:space="preserve">ا </w:t>
      </w:r>
      <w:r w:rsidRPr="008837A7">
        <w:rPr>
          <w:rFonts w:hint="cs"/>
          <w:b/>
          <w:bCs/>
          <w:rtl/>
          <w:lang w:val="fr-CH"/>
        </w:rPr>
        <w:t>الشخص سيتعرض لخطر التعذيب أو ل</w:t>
      </w:r>
      <w:r>
        <w:rPr>
          <w:rFonts w:hint="cs"/>
          <w:b/>
          <w:bCs/>
          <w:rtl/>
          <w:lang w:val="fr-CH"/>
        </w:rPr>
        <w:t>سوء المعاملة</w:t>
      </w:r>
      <w:r w:rsidRPr="008837A7">
        <w:rPr>
          <w:rFonts w:hint="cs"/>
          <w:b/>
          <w:bCs/>
          <w:rtl/>
          <w:lang w:val="fr-CH"/>
        </w:rPr>
        <w:t>. وتدعو اللجنة الدولة الطرف إلى تقديم معلومات مفصلة عن العدد الدقيق لطلبات اللجوء التي تلقتها، وعدد طلبات اللجوء الناجحة</w:t>
      </w:r>
      <w:r w:rsidR="00A24385">
        <w:rPr>
          <w:rFonts w:hint="cs"/>
          <w:b/>
          <w:bCs/>
          <w:rtl/>
          <w:lang w:val="fr-CH"/>
        </w:rPr>
        <w:t>،</w:t>
      </w:r>
      <w:r w:rsidRPr="008837A7">
        <w:rPr>
          <w:rFonts w:hint="cs"/>
          <w:b/>
          <w:bCs/>
          <w:rtl/>
          <w:lang w:val="fr-CH"/>
        </w:rPr>
        <w:t xml:space="preserve"> وعدد ملتمسي اللجوء الذين قُبلت طلباتهم لأنهم تعرضوا للتعذيب</w:t>
      </w:r>
      <w:r>
        <w:rPr>
          <w:rFonts w:hint="cs"/>
          <w:b/>
          <w:bCs/>
          <w:rtl/>
          <w:lang w:val="fr-CH"/>
        </w:rPr>
        <w:t xml:space="preserve"> أو قد يتعرضون</w:t>
      </w:r>
      <w:r w:rsidRPr="008837A7">
        <w:rPr>
          <w:rFonts w:hint="cs"/>
          <w:b/>
          <w:bCs/>
          <w:rtl/>
          <w:lang w:val="fr-CH"/>
        </w:rPr>
        <w:t xml:space="preserve"> له في حالة عودتهم إلى بلدهم الأصلي، وعدد حالات الترحيل مع ذكر (أ) عدد المرحلين من ملتمسي اللجوء </w:t>
      </w:r>
      <w:r w:rsidR="00A24385">
        <w:rPr>
          <w:rFonts w:hint="cs"/>
          <w:b/>
          <w:bCs/>
          <w:rtl/>
          <w:lang w:val="fr-CH"/>
        </w:rPr>
        <w:t>و</w:t>
      </w:r>
      <w:r w:rsidRPr="008837A7">
        <w:rPr>
          <w:rFonts w:hint="cs"/>
          <w:b/>
          <w:bCs/>
          <w:rtl/>
          <w:lang w:val="fr-CH"/>
        </w:rPr>
        <w:t>(ب) البلدان التي رُحِّلوا إليها. وينبغي تصنيف البيانات حسب العمر ونوع الجنس والجنسية.</w:t>
      </w:r>
    </w:p>
    <w:p w:rsidR="006F2A95" w:rsidRDefault="00812524" w:rsidP="00812524">
      <w:pPr>
        <w:pStyle w:val="H23GA"/>
        <w:rPr>
          <w:rFonts w:hint="cs"/>
          <w:rtl/>
          <w:lang w:val="fr-CH"/>
        </w:rPr>
      </w:pPr>
      <w:r>
        <w:rPr>
          <w:rFonts w:hint="cs"/>
          <w:rtl/>
          <w:lang w:val="fr-CH"/>
        </w:rPr>
        <w:tab/>
      </w:r>
      <w:r>
        <w:rPr>
          <w:rFonts w:hint="cs"/>
          <w:rtl/>
          <w:lang w:val="fr-CH"/>
        </w:rPr>
        <w:tab/>
      </w:r>
      <w:r w:rsidR="006F2A95">
        <w:rPr>
          <w:rFonts w:hint="cs"/>
          <w:rtl/>
          <w:lang w:val="fr-CH"/>
        </w:rPr>
        <w:t>اللاجئون</w:t>
      </w:r>
    </w:p>
    <w:p w:rsidR="006F2A95" w:rsidRDefault="006F2A95" w:rsidP="00034A52">
      <w:pPr>
        <w:pStyle w:val="SingleTxtGA"/>
        <w:rPr>
          <w:rFonts w:hint="cs"/>
          <w:rtl/>
          <w:lang w:val="fr-CH"/>
        </w:rPr>
      </w:pPr>
      <w:r>
        <w:rPr>
          <w:rFonts w:hint="cs"/>
          <w:rtl/>
          <w:lang w:val="fr-CH"/>
        </w:rPr>
        <w:t>16-</w:t>
      </w:r>
      <w:r>
        <w:rPr>
          <w:rFonts w:hint="cs"/>
          <w:rtl/>
          <w:lang w:val="fr-CH"/>
        </w:rPr>
        <w:tab/>
        <w:t>تلاحظ اللجنة أن</w:t>
      </w:r>
      <w:r w:rsidR="00812524">
        <w:rPr>
          <w:rFonts w:hint="cs"/>
          <w:rtl/>
          <w:lang w:val="fr-CH"/>
        </w:rPr>
        <w:t>ه</w:t>
      </w:r>
      <w:r>
        <w:rPr>
          <w:rFonts w:hint="cs"/>
          <w:rtl/>
          <w:lang w:val="fr-CH"/>
        </w:rPr>
        <w:t xml:space="preserve"> على الرغم من التعاون القائم مع </w:t>
      </w:r>
      <w:r w:rsidRPr="008837A7">
        <w:rPr>
          <w:lang w:val="fr-CH"/>
        </w:rPr>
        <w:t> </w:t>
      </w:r>
      <w:r w:rsidRPr="008837A7">
        <w:rPr>
          <w:rtl/>
          <w:lang w:val="fr-CH"/>
        </w:rPr>
        <w:t>مفوضية الأمم المتحدة السامية لشؤون اللاجئين</w:t>
      </w:r>
      <w:r>
        <w:rPr>
          <w:rFonts w:hint="cs"/>
          <w:rtl/>
          <w:lang w:val="fr-CH"/>
        </w:rPr>
        <w:t xml:space="preserve"> فإن الدولة الطرف لم تصدق بعد على الاتفاقية المتعلقة باللاجئين (1951) والبروتوكول الاختياري الملحق </w:t>
      </w:r>
      <w:proofErr w:type="spellStart"/>
      <w:r>
        <w:rPr>
          <w:rFonts w:hint="cs"/>
          <w:rtl/>
          <w:lang w:val="fr-CH"/>
        </w:rPr>
        <w:t>بها</w:t>
      </w:r>
      <w:proofErr w:type="spellEnd"/>
      <w:r>
        <w:rPr>
          <w:rFonts w:hint="cs"/>
          <w:rtl/>
          <w:lang w:val="fr-CH"/>
        </w:rPr>
        <w:t xml:space="preserve"> (1967).</w:t>
      </w:r>
    </w:p>
    <w:p w:rsidR="006F2A95" w:rsidRPr="00055CDD" w:rsidRDefault="006F2A95" w:rsidP="006F2A95">
      <w:pPr>
        <w:pStyle w:val="SingleTxtGA"/>
        <w:rPr>
          <w:rFonts w:hint="cs"/>
          <w:b/>
          <w:bCs/>
          <w:rtl/>
          <w:lang w:val="fr-CH"/>
        </w:rPr>
      </w:pPr>
      <w:r>
        <w:rPr>
          <w:rFonts w:hint="cs"/>
          <w:rtl/>
          <w:lang w:val="fr-CH"/>
        </w:rPr>
        <w:tab/>
      </w:r>
      <w:r w:rsidRPr="00055CDD">
        <w:rPr>
          <w:rFonts w:hint="cs"/>
          <w:b/>
          <w:bCs/>
          <w:rtl/>
          <w:lang w:val="fr-CH"/>
        </w:rPr>
        <w:t xml:space="preserve">وتُشجَّع الدولة الطرف على التفكير في الانضمام إلى الاتفاقية المتعلقة بمركز اللاجئين (1951) والبروتوكول الاختياري الملحق </w:t>
      </w:r>
      <w:proofErr w:type="spellStart"/>
      <w:r w:rsidRPr="00055CDD">
        <w:rPr>
          <w:rFonts w:hint="cs"/>
          <w:b/>
          <w:bCs/>
          <w:rtl/>
          <w:lang w:val="fr-CH"/>
        </w:rPr>
        <w:t>بها</w:t>
      </w:r>
      <w:proofErr w:type="spellEnd"/>
      <w:r w:rsidRPr="00055CDD">
        <w:rPr>
          <w:rFonts w:hint="cs"/>
          <w:b/>
          <w:bCs/>
          <w:rtl/>
          <w:lang w:val="fr-CH"/>
        </w:rPr>
        <w:t xml:space="preserve"> (1967).</w:t>
      </w:r>
    </w:p>
    <w:p w:rsidR="006F2A95" w:rsidRPr="00C31D54" w:rsidRDefault="00812524" w:rsidP="00812524">
      <w:pPr>
        <w:pStyle w:val="H23GA"/>
        <w:rPr>
          <w:rFonts w:hint="cs"/>
          <w:rtl/>
          <w:lang w:bidi="ar"/>
        </w:rPr>
      </w:pPr>
      <w:r>
        <w:rPr>
          <w:rFonts w:hint="cs"/>
          <w:rtl/>
          <w:lang w:bidi="ar"/>
        </w:rPr>
        <w:tab/>
      </w:r>
      <w:r>
        <w:rPr>
          <w:rFonts w:hint="cs"/>
          <w:rtl/>
          <w:lang w:bidi="ar"/>
        </w:rPr>
        <w:tab/>
      </w:r>
      <w:r w:rsidR="006F2A95" w:rsidRPr="00C31D54">
        <w:rPr>
          <w:rFonts w:hint="cs"/>
          <w:rtl/>
          <w:lang w:bidi="ar"/>
        </w:rPr>
        <w:t>فرض عقوبة الإعدام</w:t>
      </w:r>
    </w:p>
    <w:p w:rsidR="006F2A95" w:rsidRDefault="006F2A95" w:rsidP="006F2A95">
      <w:pPr>
        <w:pStyle w:val="SingleTxtGA"/>
        <w:rPr>
          <w:rFonts w:hint="cs"/>
          <w:rtl/>
          <w:lang w:val="fr-CH"/>
        </w:rPr>
      </w:pPr>
      <w:r>
        <w:rPr>
          <w:rFonts w:hint="cs"/>
          <w:rtl/>
          <w:lang w:bidi="ar"/>
        </w:rPr>
        <w:t>17-</w:t>
      </w:r>
      <w:r>
        <w:rPr>
          <w:rFonts w:hint="cs"/>
          <w:rtl/>
          <w:lang w:bidi="ar"/>
        </w:rPr>
        <w:tab/>
      </w:r>
      <w:r>
        <w:rPr>
          <w:rFonts w:hint="cs"/>
          <w:rtl/>
          <w:lang w:val="fr-CH"/>
        </w:rPr>
        <w:t>تحيط اللجنة علماً بالمعلومات التي قدمها الوفد والتي تفيد بأن عقوبة الإعدام لم تطبق في الدولة الطرف منذ سنة 2006، لكن  اللجنة قلقة بسبب قلة المعلومات المقدمة بشأن عدد الأشخا</w:t>
      </w:r>
      <w:r>
        <w:rPr>
          <w:rFonts w:hint="eastAsia"/>
          <w:rtl/>
          <w:lang w:val="fr-CH"/>
        </w:rPr>
        <w:t>ص</w:t>
      </w:r>
      <w:r>
        <w:rPr>
          <w:rFonts w:hint="cs"/>
          <w:rtl/>
          <w:lang w:val="fr-CH"/>
        </w:rPr>
        <w:t xml:space="preserve"> الذين أُعدموا قبل سنة 2006. ويساورها القلق أيضاً إزاء العدد الكبير للجرائم التي تُفرض بشأنها عقوبة الإعدام، وإزاء قلة المعلومات بشأن عدد الأشخا</w:t>
      </w:r>
      <w:r>
        <w:rPr>
          <w:rFonts w:hint="eastAsia"/>
          <w:rtl/>
          <w:lang w:val="fr-CH"/>
        </w:rPr>
        <w:t>ص</w:t>
      </w:r>
      <w:r>
        <w:rPr>
          <w:rFonts w:hint="cs"/>
          <w:rtl/>
          <w:lang w:val="fr-CH"/>
        </w:rPr>
        <w:t xml:space="preserve"> الذين </w:t>
      </w:r>
      <w:r>
        <w:rPr>
          <w:rFonts w:hint="cs"/>
          <w:rtl/>
          <w:lang w:bidi="ar"/>
        </w:rPr>
        <w:t>ينتظرون تنفيذ عقوبة الإعدام</w:t>
      </w:r>
      <w:r>
        <w:rPr>
          <w:rFonts w:hint="cs"/>
          <w:rtl/>
          <w:lang w:val="fr-CH"/>
        </w:rPr>
        <w:t xml:space="preserve">. كما تشعر اللجنة بالقلق إزاء أحكام المادة 49 من </w:t>
      </w:r>
      <w:r w:rsidRPr="00DF283F">
        <w:rPr>
          <w:rtl/>
          <w:lang w:val="fr-CH"/>
        </w:rPr>
        <w:t>قانون الإجراءات والمحاكمات الجزائية</w:t>
      </w:r>
      <w:r>
        <w:rPr>
          <w:rFonts w:hint="cs"/>
          <w:rtl/>
          <w:lang w:val="fr-CH"/>
        </w:rPr>
        <w:t xml:space="preserve"> التي تُجيز الاستخدام المفرط للقوة على المحتجزين الذين </w:t>
      </w:r>
      <w:r>
        <w:rPr>
          <w:rFonts w:hint="cs"/>
          <w:rtl/>
          <w:lang w:bidi="ar"/>
        </w:rPr>
        <w:t>ينتظرون تنفيذ عقوبة الإعدام</w:t>
      </w:r>
      <w:r>
        <w:rPr>
          <w:rFonts w:hint="cs"/>
          <w:rtl/>
          <w:lang w:val="fr-CH"/>
        </w:rPr>
        <w:t xml:space="preserve"> (المادتان 2 و16).</w:t>
      </w:r>
    </w:p>
    <w:p w:rsidR="00812524" w:rsidRDefault="00812524" w:rsidP="006F2A95">
      <w:pPr>
        <w:pStyle w:val="SingleTxtGA"/>
        <w:rPr>
          <w:rFonts w:hint="cs"/>
          <w:rtl/>
          <w:lang w:val="fr-CH"/>
        </w:rPr>
      </w:pPr>
    </w:p>
    <w:p w:rsidR="006F2A95" w:rsidRPr="001E0B11" w:rsidRDefault="006F2A95" w:rsidP="00034A52">
      <w:pPr>
        <w:pStyle w:val="SingleTxtGA"/>
        <w:rPr>
          <w:rFonts w:hint="cs"/>
          <w:b/>
          <w:bCs/>
          <w:rtl/>
          <w:lang w:val="fr-CH"/>
        </w:rPr>
      </w:pPr>
      <w:r>
        <w:rPr>
          <w:rFonts w:hint="cs"/>
          <w:rtl/>
          <w:lang w:val="fr-CH"/>
        </w:rPr>
        <w:tab/>
      </w:r>
      <w:r w:rsidRPr="001E0B11">
        <w:rPr>
          <w:rFonts w:hint="cs"/>
          <w:b/>
          <w:bCs/>
          <w:rtl/>
          <w:lang w:val="fr-CH"/>
        </w:rPr>
        <w:t>توصي اللجنة الدولة الطرف ب</w:t>
      </w:r>
      <w:r w:rsidR="00034A52">
        <w:rPr>
          <w:rFonts w:hint="cs"/>
          <w:b/>
          <w:bCs/>
          <w:rtl/>
          <w:lang w:val="fr-CH"/>
        </w:rPr>
        <w:t xml:space="preserve">أن تنظر </w:t>
      </w:r>
      <w:r w:rsidRPr="001E0B11">
        <w:rPr>
          <w:rFonts w:hint="cs"/>
          <w:b/>
          <w:bCs/>
          <w:rtl/>
          <w:lang w:val="fr-CH"/>
        </w:rPr>
        <w:t xml:space="preserve">في التصديق على البروتوكول الاختياري الثاني </w:t>
      </w:r>
      <w:r w:rsidR="00034A52">
        <w:rPr>
          <w:rFonts w:hint="cs"/>
          <w:b/>
          <w:bCs/>
          <w:rtl/>
          <w:lang w:val="fr-CH"/>
        </w:rPr>
        <w:t>الملحق با</w:t>
      </w:r>
      <w:r w:rsidRPr="001E0B11">
        <w:rPr>
          <w:rFonts w:hint="cs"/>
          <w:b/>
          <w:bCs/>
          <w:rtl/>
          <w:lang w:val="fr-CH"/>
        </w:rPr>
        <w:t xml:space="preserve">لعهد الدولي الخاص بالحقوق المدنية والسياسية، الرامي إلى إلغاء عقوبة الإعدام. وفي الوقت نفسه، ينبغي للدولة الطرف أن تراجع سياستها العامة لكي يقتصر فرض عقوبة الإعدام على الجرائم الأشد خطورة. وينبغي للدولة الطرف أن تكفل لجميع الأشخاص الذين </w:t>
      </w:r>
      <w:r w:rsidRPr="001E0B11">
        <w:rPr>
          <w:rFonts w:hint="cs"/>
          <w:b/>
          <w:bCs/>
          <w:rtl/>
          <w:lang w:bidi="ar"/>
        </w:rPr>
        <w:t>ينتظرون تنفيذ عقوبة الإعدام</w:t>
      </w:r>
      <w:r w:rsidRPr="001E0B11">
        <w:rPr>
          <w:rFonts w:hint="cs"/>
          <w:b/>
          <w:bCs/>
          <w:rtl/>
          <w:lang w:val="fr-CH" w:bidi="ar"/>
        </w:rPr>
        <w:t xml:space="preserve"> </w:t>
      </w:r>
      <w:r w:rsidRPr="001E0B11">
        <w:rPr>
          <w:rFonts w:hint="cs"/>
          <w:b/>
          <w:bCs/>
          <w:rtl/>
          <w:lang w:val="fr-CH"/>
        </w:rPr>
        <w:t>الحماية التي ت</w:t>
      </w:r>
      <w:r w:rsidR="00034A52">
        <w:rPr>
          <w:rFonts w:hint="cs"/>
          <w:b/>
          <w:bCs/>
          <w:rtl/>
          <w:lang w:val="fr-CH"/>
        </w:rPr>
        <w:t>وفرها</w:t>
      </w:r>
      <w:r w:rsidRPr="001E0B11">
        <w:rPr>
          <w:rFonts w:hint="cs"/>
          <w:b/>
          <w:bCs/>
          <w:rtl/>
          <w:lang w:val="fr-CH"/>
        </w:rPr>
        <w:t xml:space="preserve"> اتفاقية مناهضة التعذيب ومعاملتهم معاملة إنسانية وعدم تعرض هؤلاء الأشخاص لأية تدابير تمييزية ول</w:t>
      </w:r>
      <w:r>
        <w:rPr>
          <w:rFonts w:hint="cs"/>
          <w:b/>
          <w:bCs/>
          <w:rtl/>
          <w:lang w:val="fr-CH"/>
        </w:rPr>
        <w:t>سوء المعاملة</w:t>
      </w:r>
      <w:r w:rsidRPr="001E0B11">
        <w:rPr>
          <w:rFonts w:hint="cs"/>
          <w:b/>
          <w:bCs/>
          <w:rtl/>
          <w:lang w:val="fr-CH"/>
        </w:rPr>
        <w:t>. وتطلب اللجنة من الدولة الطرف تقديم معلومات بشأن العدد الدقيق للأشخاص الذين أعدموا منذ النظر في التقرير السابق في سنة 1998 والجرائم التي ارتكبوها. وينبغي للدولة الطرف أن تذكر أيض</w:t>
      </w:r>
      <w:r>
        <w:rPr>
          <w:rFonts w:hint="cs"/>
          <w:b/>
          <w:bCs/>
          <w:rtl/>
          <w:lang w:val="fr-CH"/>
        </w:rPr>
        <w:t xml:space="preserve">اً </w:t>
      </w:r>
      <w:r w:rsidRPr="001E0B11">
        <w:rPr>
          <w:rFonts w:hint="cs"/>
          <w:b/>
          <w:bCs/>
          <w:rtl/>
          <w:lang w:val="fr-CH"/>
        </w:rPr>
        <w:t xml:space="preserve">العدد الحالي للأشخاص الذين ينتظرون تنفيذ عقوبة الإعدام وتصنيفهم حسب الجنس والعمر والانتماء </w:t>
      </w:r>
      <w:r w:rsidR="00034A52">
        <w:rPr>
          <w:rFonts w:hint="cs"/>
          <w:b/>
          <w:bCs/>
          <w:rtl/>
          <w:lang w:val="fr-CH"/>
        </w:rPr>
        <w:t>العرقي</w:t>
      </w:r>
      <w:r w:rsidRPr="001E0B11">
        <w:rPr>
          <w:rFonts w:hint="cs"/>
          <w:b/>
          <w:bCs/>
          <w:rtl/>
          <w:lang w:val="fr-CH"/>
        </w:rPr>
        <w:t xml:space="preserve"> ونوع الجريمة.  </w:t>
      </w:r>
    </w:p>
    <w:p w:rsidR="006F2A95" w:rsidRPr="00BF7DB1" w:rsidRDefault="006F2A95" w:rsidP="006F2A95">
      <w:pPr>
        <w:pStyle w:val="H23GA"/>
        <w:spacing w:before="0"/>
        <w:rPr>
          <w:rFonts w:hint="cs"/>
          <w:rtl/>
          <w:lang w:val="fr-CH"/>
        </w:rPr>
      </w:pPr>
      <w:r>
        <w:rPr>
          <w:rFonts w:hint="cs"/>
          <w:rtl/>
          <w:lang w:val="fr-CH"/>
        </w:rPr>
        <w:tab/>
      </w:r>
      <w:r>
        <w:rPr>
          <w:rFonts w:hint="cs"/>
          <w:rtl/>
          <w:lang w:val="fr-CH"/>
        </w:rPr>
        <w:tab/>
      </w:r>
      <w:r w:rsidRPr="00BF7DB1">
        <w:rPr>
          <w:rFonts w:hint="cs"/>
          <w:rtl/>
          <w:lang w:val="fr-CH"/>
        </w:rPr>
        <w:t>التدريب</w:t>
      </w:r>
    </w:p>
    <w:p w:rsidR="006F2A95" w:rsidRDefault="006F2A95" w:rsidP="00034A52">
      <w:pPr>
        <w:pStyle w:val="SingleTxtGA"/>
        <w:rPr>
          <w:rFonts w:hint="cs"/>
          <w:rtl/>
          <w:lang w:val="fr-CH" w:bidi="ar"/>
        </w:rPr>
      </w:pPr>
      <w:r>
        <w:rPr>
          <w:rFonts w:hint="cs"/>
          <w:rtl/>
          <w:lang w:val="fr-CH"/>
        </w:rPr>
        <w:t>18-</w:t>
      </w:r>
      <w:r>
        <w:rPr>
          <w:rFonts w:hint="cs"/>
          <w:rtl/>
          <w:lang w:val="fr-CH"/>
        </w:rPr>
        <w:tab/>
        <w:t>تلاحظ اللجنة مع التقدير أن الدولة الطرف نظمت عدة دورات تدريبية للموظفين المكلفين بإنفاذ القانون بخصوص حقوق الإنسان. لكن اللجنة قلقة إزاء عدم تقديم تدريب خاص</w:t>
      </w:r>
      <w:r w:rsidRPr="001E0B11">
        <w:rPr>
          <w:rFonts w:hint="cs"/>
          <w:rtl/>
          <w:lang w:val="fr-CH"/>
        </w:rPr>
        <w:t xml:space="preserve"> </w:t>
      </w:r>
      <w:r>
        <w:rPr>
          <w:rFonts w:hint="cs"/>
          <w:rtl/>
          <w:lang w:val="fr-CH"/>
        </w:rPr>
        <w:t>للموظفين المكلفين بإنفاذ القانون وأفراد الأمن والقضاة و</w:t>
      </w:r>
      <w:r w:rsidR="00034A52">
        <w:rPr>
          <w:rFonts w:hint="cs"/>
          <w:rtl/>
          <w:lang w:val="fr-CH"/>
        </w:rPr>
        <w:t>أعضاء النيابة العامة</w:t>
      </w:r>
      <w:r>
        <w:rPr>
          <w:rFonts w:hint="cs"/>
          <w:rtl/>
          <w:lang w:val="fr-CH"/>
        </w:rPr>
        <w:t xml:space="preserve"> والأطباء الشرعيين والموظفين الطبيين ممن يتعاملون مع الأشخا</w:t>
      </w:r>
      <w:r>
        <w:rPr>
          <w:rFonts w:hint="eastAsia"/>
          <w:rtl/>
          <w:lang w:val="fr-CH"/>
        </w:rPr>
        <w:t>ص</w:t>
      </w:r>
      <w:r>
        <w:rPr>
          <w:rFonts w:hint="cs"/>
          <w:rtl/>
          <w:lang w:val="fr-CH"/>
        </w:rPr>
        <w:t xml:space="preserve"> المحتجزين، بخصوص أحكام الاتفاقية </w:t>
      </w:r>
      <w:r>
        <w:rPr>
          <w:rFonts w:hint="cs"/>
          <w:rtl/>
          <w:lang w:bidi="ar"/>
        </w:rPr>
        <w:t xml:space="preserve">وطريقة اكتشاف </w:t>
      </w:r>
      <w:r w:rsidRPr="00C32366">
        <w:rPr>
          <w:rFonts w:hint="cs"/>
          <w:rtl/>
          <w:lang w:bidi="ar"/>
        </w:rPr>
        <w:t>وتوثيق العواقب البدنية والنفسية المترتبة على التعذيب</w:t>
      </w:r>
      <w:r w:rsidRPr="00C32366">
        <w:rPr>
          <w:rFonts w:hint="cs"/>
          <w:rtl/>
          <w:lang w:val="fr-CH"/>
        </w:rPr>
        <w:t xml:space="preserve"> وغيره من ضروب المعاملة أو العقوبة القاسية أو </w:t>
      </w:r>
      <w:proofErr w:type="spellStart"/>
      <w:r w:rsidRPr="00C32366">
        <w:rPr>
          <w:rFonts w:hint="cs"/>
          <w:rtl/>
          <w:lang w:val="fr-CH"/>
        </w:rPr>
        <w:t>اللاإنسانية</w:t>
      </w:r>
      <w:proofErr w:type="spellEnd"/>
      <w:r w:rsidRPr="00C32366">
        <w:rPr>
          <w:rFonts w:hint="cs"/>
          <w:rtl/>
          <w:lang w:val="fr-CH"/>
        </w:rPr>
        <w:t xml:space="preserve"> أو المهينة</w:t>
      </w:r>
      <w:r>
        <w:rPr>
          <w:rFonts w:hint="cs"/>
          <w:rtl/>
          <w:lang w:bidi="ar"/>
        </w:rPr>
        <w:t>. وتأسف اللجنة أيضاً لقلة المعلومات بشأن الدورات التدريبية المتعلقة بالاتجار بالبشر والعنف المنزلي والمهاجرين والأقليات وغيرهم من الفئات الضعيفة، وبشأن رصد وتقييم أثر أي من برامجها ال</w:t>
      </w:r>
      <w:r>
        <w:rPr>
          <w:rFonts w:hint="cs"/>
          <w:rtl/>
          <w:lang w:val="fr-CH" w:bidi="ar"/>
        </w:rPr>
        <w:t>تدريبية على خفض عدد حوادث التعذيب وسوء المعاملة. (المادة 10)</w:t>
      </w:r>
    </w:p>
    <w:p w:rsidR="006F2A95" w:rsidRDefault="006F2A95" w:rsidP="00034A52">
      <w:pPr>
        <w:pStyle w:val="SingleTxtGA"/>
        <w:rPr>
          <w:rFonts w:hint="cs"/>
          <w:b/>
          <w:bCs/>
          <w:rtl/>
          <w:lang w:val="fr-CH"/>
        </w:rPr>
      </w:pPr>
      <w:r w:rsidRPr="00390FB2">
        <w:rPr>
          <w:rFonts w:hint="cs"/>
          <w:b/>
          <w:bCs/>
          <w:rtl/>
          <w:lang w:val="fr-CH"/>
        </w:rPr>
        <w:tab/>
        <w:t xml:space="preserve">ينبغي للدولة الطرف أن تواصل وضع وتعزيز </w:t>
      </w:r>
      <w:r w:rsidR="00034A52">
        <w:rPr>
          <w:rFonts w:hint="cs"/>
          <w:b/>
          <w:bCs/>
          <w:rtl/>
          <w:lang w:val="fr-CH"/>
        </w:rPr>
        <w:t>دورات تدريبية و</w:t>
      </w:r>
      <w:r w:rsidRPr="00390FB2">
        <w:rPr>
          <w:rFonts w:hint="cs"/>
          <w:b/>
          <w:bCs/>
          <w:rtl/>
          <w:lang w:val="fr-CH"/>
        </w:rPr>
        <w:t>برامج تثقيفية لضمان اطلاع جميع الموظفين اطلاعاً كاملاً، بمن فيهم موظفو إنفاذ القانون وأفراد الأمن وموظفو السجون</w:t>
      </w:r>
      <w:r w:rsidR="00034A52">
        <w:rPr>
          <w:rFonts w:hint="cs"/>
          <w:b/>
          <w:bCs/>
          <w:rtl/>
          <w:lang w:val="fr-CH"/>
        </w:rPr>
        <w:t>،</w:t>
      </w:r>
      <w:r w:rsidRPr="00390FB2">
        <w:rPr>
          <w:rFonts w:hint="cs"/>
          <w:b/>
          <w:bCs/>
          <w:rtl/>
          <w:lang w:val="fr-CH"/>
        </w:rPr>
        <w:t xml:space="preserve"> على أحكام الاتفاقية، وإعلامهم بأنه لن يُسمح بأية انتهاكات للاتفاقية وسيُحَقََّق فيها بشكل فوري وفعال، وسي</w:t>
      </w:r>
      <w:r>
        <w:rPr>
          <w:rFonts w:hint="cs"/>
          <w:b/>
          <w:bCs/>
          <w:rtl/>
          <w:lang w:val="fr-CH"/>
        </w:rPr>
        <w:t xml:space="preserve">خضع </w:t>
      </w:r>
      <w:r w:rsidRPr="00390FB2">
        <w:rPr>
          <w:rFonts w:hint="cs"/>
          <w:b/>
          <w:bCs/>
          <w:rtl/>
          <w:lang w:val="fr-CH"/>
        </w:rPr>
        <w:t>مرتكبوها للملاحقة القضائية. وإضافة إلى ذلك ينبغي أن يتلقى جميع الموظفين ذوي الصلة، بمن فيهم الموظفون الطبيون تدريباً خاصاً يتعلق بطريقة الكشف عن آثار التعذيب و</w:t>
      </w:r>
      <w:r>
        <w:rPr>
          <w:rFonts w:hint="cs"/>
          <w:b/>
          <w:bCs/>
          <w:rtl/>
          <w:lang w:val="fr-CH"/>
        </w:rPr>
        <w:t>سوء المعاملة</w:t>
      </w:r>
      <w:r w:rsidRPr="00390FB2">
        <w:rPr>
          <w:rFonts w:hint="cs"/>
          <w:b/>
          <w:bCs/>
          <w:rtl/>
          <w:lang w:val="fr-CH"/>
        </w:rPr>
        <w:t xml:space="preserve">. ولهذا ينبغي أن تشمل المواد التدريبية </w:t>
      </w:r>
      <w:r w:rsidR="00034A52">
        <w:rPr>
          <w:rFonts w:hint="cs"/>
          <w:b/>
          <w:bCs/>
          <w:rtl/>
          <w:lang w:val="fr-CH"/>
        </w:rPr>
        <w:t>"</w:t>
      </w:r>
      <w:r w:rsidRPr="00390FB2">
        <w:rPr>
          <w:rFonts w:hint="cs"/>
          <w:b/>
          <w:bCs/>
          <w:rtl/>
          <w:lang w:val="fr-CH"/>
        </w:rPr>
        <w:t xml:space="preserve">دليل التقصي والتوثيق الفعالين للتعذيب وغيره من ضروب المعاملة أو العقوبة القاسية أو </w:t>
      </w:r>
      <w:proofErr w:type="spellStart"/>
      <w:r w:rsidRPr="00390FB2">
        <w:rPr>
          <w:rFonts w:hint="cs"/>
          <w:b/>
          <w:bCs/>
          <w:rtl/>
          <w:lang w:val="fr-CH"/>
        </w:rPr>
        <w:t>اللاإنسانية</w:t>
      </w:r>
      <w:proofErr w:type="spellEnd"/>
      <w:r w:rsidRPr="00390FB2">
        <w:rPr>
          <w:rFonts w:hint="cs"/>
          <w:b/>
          <w:bCs/>
          <w:rtl/>
          <w:lang w:val="fr-CH"/>
        </w:rPr>
        <w:t xml:space="preserve"> أو المهينة</w:t>
      </w:r>
      <w:r w:rsidR="00034A52">
        <w:rPr>
          <w:rFonts w:hint="cs"/>
          <w:b/>
          <w:bCs/>
          <w:rtl/>
          <w:lang w:val="fr-CH"/>
        </w:rPr>
        <w:t>"</w:t>
      </w:r>
      <w:r w:rsidRPr="00390FB2">
        <w:rPr>
          <w:rFonts w:hint="cs"/>
          <w:b/>
          <w:bCs/>
          <w:rtl/>
          <w:lang w:val="fr-CH"/>
        </w:rPr>
        <w:t xml:space="preserve"> (بروتوكول اسطنبول). وينبغي للدولة الطرف أيض</w:t>
      </w:r>
      <w:r>
        <w:rPr>
          <w:rFonts w:hint="cs"/>
          <w:b/>
          <w:bCs/>
          <w:rtl/>
          <w:lang w:val="fr-CH"/>
        </w:rPr>
        <w:t xml:space="preserve">اً </w:t>
      </w:r>
      <w:r w:rsidRPr="00390FB2">
        <w:rPr>
          <w:rFonts w:hint="cs"/>
          <w:b/>
          <w:bCs/>
          <w:rtl/>
          <w:lang w:val="fr-CH"/>
        </w:rPr>
        <w:t>أن ت</w:t>
      </w:r>
      <w:r>
        <w:rPr>
          <w:rFonts w:hint="cs"/>
          <w:b/>
          <w:bCs/>
          <w:rtl/>
          <w:lang w:val="fr-CH"/>
        </w:rPr>
        <w:t xml:space="preserve">نظم </w:t>
      </w:r>
      <w:r w:rsidRPr="00390FB2">
        <w:rPr>
          <w:rFonts w:hint="cs"/>
          <w:b/>
          <w:bCs/>
          <w:rtl/>
          <w:lang w:val="fr-CH"/>
        </w:rPr>
        <w:t>دورات تدريبية تثقيفية ل</w:t>
      </w:r>
      <w:r>
        <w:rPr>
          <w:rFonts w:hint="cs"/>
          <w:b/>
          <w:bCs/>
          <w:rtl/>
          <w:lang w:val="fr-CH"/>
        </w:rPr>
        <w:t xml:space="preserve">صالح </w:t>
      </w:r>
      <w:r w:rsidRPr="00390FB2">
        <w:rPr>
          <w:rFonts w:hint="cs"/>
          <w:b/>
          <w:bCs/>
          <w:rtl/>
          <w:lang w:val="fr-CH"/>
        </w:rPr>
        <w:t xml:space="preserve">جميع الموظفين بشأن </w:t>
      </w:r>
      <w:r w:rsidRPr="00390FB2">
        <w:rPr>
          <w:rFonts w:hint="cs"/>
          <w:b/>
          <w:bCs/>
          <w:rtl/>
          <w:lang w:bidi="ar"/>
        </w:rPr>
        <w:t>الاتجار بالبشر والعنف المنزلي والمهاجرين والأقليات وغيرهم من ال</w:t>
      </w:r>
      <w:r>
        <w:rPr>
          <w:rFonts w:hint="cs"/>
          <w:b/>
          <w:bCs/>
          <w:rtl/>
          <w:lang w:bidi="ar"/>
        </w:rPr>
        <w:t>فئات</w:t>
      </w:r>
      <w:r w:rsidRPr="00390FB2">
        <w:rPr>
          <w:rFonts w:hint="cs"/>
          <w:b/>
          <w:bCs/>
          <w:rtl/>
          <w:lang w:bidi="ar"/>
        </w:rPr>
        <w:t xml:space="preserve"> الضعيفة. كما ينبغي للدولة الطرف</w:t>
      </w:r>
      <w:r w:rsidRPr="00390FB2">
        <w:rPr>
          <w:rFonts w:hint="cs"/>
          <w:b/>
          <w:bCs/>
          <w:rtl/>
          <w:lang w:val="fr-CH"/>
        </w:rPr>
        <w:t xml:space="preserve"> أن تقيِّم مدى فعالية وتأثير هذه البرامـج التدريبية/التثقيفية</w:t>
      </w:r>
      <w:r>
        <w:rPr>
          <w:rFonts w:hint="cs"/>
          <w:b/>
          <w:bCs/>
          <w:rtl/>
          <w:lang w:val="fr-CH"/>
        </w:rPr>
        <w:t xml:space="preserve"> في</w:t>
      </w:r>
      <w:r w:rsidRPr="00390FB2">
        <w:rPr>
          <w:rFonts w:hint="cs"/>
          <w:b/>
          <w:bCs/>
          <w:rtl/>
          <w:lang w:val="fr-CH"/>
        </w:rPr>
        <w:t>ما يخص الحظر المطلق للتعذيب.</w:t>
      </w:r>
    </w:p>
    <w:p w:rsidR="00812524" w:rsidRDefault="00812524" w:rsidP="00812524">
      <w:pPr>
        <w:pStyle w:val="H23GA"/>
        <w:rPr>
          <w:rFonts w:hint="cs"/>
          <w:rtl/>
          <w:lang w:val="fr-CH"/>
        </w:rPr>
      </w:pPr>
    </w:p>
    <w:p w:rsidR="006F2A95" w:rsidRDefault="00812524" w:rsidP="00812524">
      <w:pPr>
        <w:pStyle w:val="H23GA"/>
        <w:rPr>
          <w:rFonts w:hint="cs"/>
          <w:rtl/>
          <w:lang w:val="fr-CH"/>
        </w:rPr>
      </w:pPr>
      <w:r>
        <w:rPr>
          <w:rFonts w:hint="cs"/>
          <w:rtl/>
          <w:lang w:val="fr-CH"/>
        </w:rPr>
        <w:tab/>
      </w:r>
      <w:r>
        <w:rPr>
          <w:rFonts w:hint="cs"/>
          <w:rtl/>
          <w:lang w:val="fr-CH"/>
        </w:rPr>
        <w:tab/>
      </w:r>
      <w:r w:rsidR="006F2A95">
        <w:rPr>
          <w:rFonts w:hint="cs"/>
          <w:rtl/>
          <w:lang w:val="fr-CH"/>
        </w:rPr>
        <w:t>ظروف الاحتجاز</w:t>
      </w:r>
    </w:p>
    <w:p w:rsidR="006F2A95" w:rsidRPr="002C2F05" w:rsidRDefault="006F2A95" w:rsidP="00034A52">
      <w:pPr>
        <w:pStyle w:val="SingleTxtGA"/>
        <w:rPr>
          <w:rFonts w:hint="cs"/>
          <w:rtl/>
          <w:lang w:val="fr-CH"/>
        </w:rPr>
      </w:pPr>
      <w:r w:rsidRPr="002C2F05">
        <w:rPr>
          <w:rFonts w:hint="cs"/>
          <w:rtl/>
          <w:lang w:val="fr-CH"/>
        </w:rPr>
        <w:t>19-</w:t>
      </w:r>
      <w:r w:rsidRPr="002C2F05">
        <w:rPr>
          <w:rFonts w:hint="cs"/>
          <w:rtl/>
          <w:lang w:val="fr-CH"/>
        </w:rPr>
        <w:tab/>
        <w:t xml:space="preserve">ترحب اللجنة بتقديم مشروع قانون من أجل تعديل المادة 60 من </w:t>
      </w:r>
      <w:r w:rsidRPr="002C2F05">
        <w:rPr>
          <w:rtl/>
          <w:lang w:val="fr-CH"/>
        </w:rPr>
        <w:t>قانون الإجراءات والمحاكمات الجزائية</w:t>
      </w:r>
      <w:r w:rsidRPr="002C2F05">
        <w:rPr>
          <w:rFonts w:hint="cs"/>
          <w:rtl/>
          <w:lang w:val="fr-CH"/>
        </w:rPr>
        <w:t xml:space="preserve"> لخفض المدة القصوى </w:t>
      </w:r>
      <w:r w:rsidR="00034A52">
        <w:rPr>
          <w:rFonts w:hint="cs"/>
          <w:rtl/>
          <w:lang w:val="fr-CH"/>
        </w:rPr>
        <w:t>للاحتجاز قيد التحقيق</w:t>
      </w:r>
      <w:r>
        <w:rPr>
          <w:rFonts w:hint="cs"/>
          <w:rtl/>
          <w:lang w:val="fr-CH"/>
        </w:rPr>
        <w:t xml:space="preserve"> دون أمر كتابي</w:t>
      </w:r>
      <w:r w:rsidRPr="002C2F05">
        <w:rPr>
          <w:rFonts w:hint="cs"/>
          <w:rtl/>
          <w:lang w:val="fr-CH"/>
        </w:rPr>
        <w:t xml:space="preserve"> من أربعة أيام </w:t>
      </w:r>
      <w:r>
        <w:rPr>
          <w:rFonts w:hint="cs"/>
          <w:rtl/>
          <w:lang w:val="fr-CH"/>
        </w:rPr>
        <w:t xml:space="preserve">إلى 48 ساعة على </w:t>
      </w:r>
      <w:r w:rsidRPr="002C2F05">
        <w:rPr>
          <w:rFonts w:hint="cs"/>
          <w:rtl/>
          <w:lang w:val="fr-CH"/>
        </w:rPr>
        <w:t xml:space="preserve">الأكثر. لكن اللجنة قلقة بالغ القلق بسبب الظروف العامة للاحتجاز في كافة السجون (المادتان 11 و16). </w:t>
      </w:r>
    </w:p>
    <w:p w:rsidR="006F2A95" w:rsidRPr="00390FB2" w:rsidRDefault="006F2A95" w:rsidP="00034A52">
      <w:pPr>
        <w:pStyle w:val="SingleTxtGA"/>
        <w:rPr>
          <w:rFonts w:hint="cs"/>
          <w:b/>
          <w:bCs/>
          <w:rtl/>
          <w:lang w:val="fr-CH"/>
        </w:rPr>
      </w:pPr>
      <w:r>
        <w:rPr>
          <w:rFonts w:hint="cs"/>
          <w:b/>
          <w:bCs/>
          <w:rtl/>
          <w:lang w:val="fr-CH"/>
        </w:rPr>
        <w:tab/>
        <w:t xml:space="preserve">تطلب اللجنة من الدولة الطرف تقديم معلومات مفصلة عن ظروف الاحتجاز العامة في السجون، بما فيها معدل النزلاء في جميع أنواع السجون. وينبغي للدولة الطرف اتخاذ تدابير عاجلة تسمح بمواءمة ظروف الاحتجاز في جميع السجون مع القواعد النموذجية الدنيا لمعاملة السجناء، وذلك من خلال </w:t>
      </w:r>
      <w:r w:rsidRPr="00FB4720">
        <w:rPr>
          <w:rFonts w:hint="cs"/>
          <w:b/>
          <w:bCs/>
          <w:rtl/>
          <w:lang w:val="fr-CH"/>
        </w:rPr>
        <w:t xml:space="preserve">تحسين </w:t>
      </w:r>
      <w:r>
        <w:rPr>
          <w:rFonts w:hint="cs"/>
          <w:b/>
          <w:bCs/>
          <w:rtl/>
          <w:lang w:val="fr-CH"/>
        </w:rPr>
        <w:t>ما يقدم للمحتجزين من غذاء و</w:t>
      </w:r>
      <w:r w:rsidRPr="00FB4720">
        <w:rPr>
          <w:rFonts w:hint="cs"/>
          <w:b/>
          <w:bCs/>
          <w:rtl/>
          <w:lang w:val="fr-CH"/>
        </w:rPr>
        <w:t xml:space="preserve">رعاية </w:t>
      </w:r>
      <w:r>
        <w:rPr>
          <w:rFonts w:hint="cs"/>
          <w:b/>
          <w:bCs/>
          <w:rtl/>
          <w:lang w:val="fr-CH"/>
        </w:rPr>
        <w:t xml:space="preserve">صحية، </w:t>
      </w:r>
      <w:r w:rsidR="00034A52">
        <w:rPr>
          <w:rFonts w:hint="cs"/>
          <w:b/>
          <w:bCs/>
          <w:rtl/>
          <w:lang w:val="fr-CH"/>
        </w:rPr>
        <w:t>ودعم الإشراف القضائي</w:t>
      </w:r>
      <w:r>
        <w:rPr>
          <w:rFonts w:hint="cs"/>
          <w:b/>
          <w:bCs/>
          <w:rtl/>
          <w:lang w:val="fr-CH"/>
        </w:rPr>
        <w:t xml:space="preserve"> والرصد المستقل لظروف الاحتجاز. </w:t>
      </w:r>
    </w:p>
    <w:p w:rsidR="006F2A95" w:rsidRPr="00BF7DB1" w:rsidRDefault="006F2A95" w:rsidP="00812524">
      <w:pPr>
        <w:pStyle w:val="H23GA"/>
        <w:rPr>
          <w:rFonts w:hint="cs"/>
          <w:rtl/>
          <w:lang w:val="fr-CH" w:bidi="ar"/>
        </w:rPr>
      </w:pPr>
      <w:r>
        <w:rPr>
          <w:rFonts w:hint="cs"/>
          <w:rtl/>
          <w:lang w:val="fr-CH"/>
        </w:rPr>
        <w:tab/>
      </w:r>
      <w:r>
        <w:rPr>
          <w:rFonts w:hint="cs"/>
          <w:rtl/>
          <w:lang w:bidi="ar"/>
        </w:rPr>
        <w:tab/>
        <w:t>الظروف السائدة في مستشفيات الأمراض النفسية</w:t>
      </w:r>
    </w:p>
    <w:p w:rsidR="006F2A95" w:rsidRPr="004F5009" w:rsidRDefault="006F2A95" w:rsidP="006F2A95">
      <w:pPr>
        <w:pStyle w:val="SingleTxtGA"/>
        <w:rPr>
          <w:rFonts w:hint="cs"/>
          <w:rtl/>
          <w:lang w:val="fr-CH"/>
        </w:rPr>
      </w:pPr>
      <w:r w:rsidRPr="004F5009">
        <w:rPr>
          <w:rFonts w:hint="cs"/>
          <w:rtl/>
          <w:lang w:val="fr-CH"/>
        </w:rPr>
        <w:t>20</w:t>
      </w:r>
      <w:r>
        <w:rPr>
          <w:rFonts w:hint="cs"/>
          <w:rtl/>
          <w:lang w:val="fr-CH"/>
        </w:rPr>
        <w:t>-</w:t>
      </w:r>
      <w:r>
        <w:rPr>
          <w:rFonts w:hint="cs"/>
          <w:rtl/>
          <w:lang w:val="fr-CH"/>
        </w:rPr>
        <w:tab/>
        <w:t>تحيط اللجنة علماً بالمعلومات المقدمة خلال الحوار عن الأشخاص ذوي الإعاقات الذهنية. لكن اللجنة تأسف لقلة المعلومات المقدمة بشأن الظروف والضمانا</w:t>
      </w:r>
      <w:r>
        <w:rPr>
          <w:rFonts w:hint="eastAsia"/>
          <w:rtl/>
          <w:lang w:val="fr-CH"/>
        </w:rPr>
        <w:t>ت</w:t>
      </w:r>
      <w:r>
        <w:rPr>
          <w:rFonts w:hint="cs"/>
          <w:rtl/>
          <w:lang w:val="fr-CH"/>
        </w:rPr>
        <w:t xml:space="preserve"> القانونية المتاحة للأشخاص الذين وضعوا في مرافق نفسية للعلاج دون إرادتهم. (المادة 16)</w:t>
      </w:r>
    </w:p>
    <w:p w:rsidR="006F2A95" w:rsidRDefault="006F2A95" w:rsidP="00034A52">
      <w:pPr>
        <w:pStyle w:val="SingleTxtGA"/>
        <w:rPr>
          <w:rFonts w:hint="cs"/>
          <w:b/>
          <w:bCs/>
          <w:rtl/>
          <w:lang w:val="fr-CH"/>
        </w:rPr>
      </w:pPr>
      <w:r>
        <w:rPr>
          <w:rFonts w:hint="cs"/>
          <w:rtl/>
          <w:lang w:val="fr-CH"/>
        </w:rPr>
        <w:tab/>
      </w:r>
      <w:r w:rsidRPr="00B55F51">
        <w:rPr>
          <w:rFonts w:hint="cs"/>
          <w:b/>
          <w:bCs/>
          <w:rtl/>
          <w:lang w:val="fr-CH"/>
        </w:rPr>
        <w:t>توصي اللجنة الدولة الطرف باتخاذ جميع التدابير اللازمة لضمان إمكانية وصول الأشخاص الخاضعين لعلاج دون إرادتهم إلى آليات تقديم الشكاوى.</w:t>
      </w:r>
      <w:r>
        <w:rPr>
          <w:rFonts w:hint="cs"/>
          <w:b/>
          <w:bCs/>
          <w:rtl/>
          <w:lang w:val="fr-CH"/>
        </w:rPr>
        <w:t xml:space="preserve"> وتطلب اللجنة من الدولة الطرف أن تقدم معلومات بشأن الظروف المتاحة للأشخاص في مستشفيات الأمرا</w:t>
      </w:r>
      <w:r>
        <w:rPr>
          <w:rFonts w:hint="eastAsia"/>
          <w:b/>
          <w:bCs/>
          <w:rtl/>
          <w:lang w:val="fr-CH"/>
        </w:rPr>
        <w:t>ض</w:t>
      </w:r>
      <w:r>
        <w:rPr>
          <w:rFonts w:hint="cs"/>
          <w:b/>
          <w:bCs/>
          <w:rtl/>
          <w:lang w:val="fr-CH"/>
        </w:rPr>
        <w:t xml:space="preserve"> النفسية.</w:t>
      </w:r>
    </w:p>
    <w:p w:rsidR="006F2A95" w:rsidRPr="006F75D3" w:rsidRDefault="006F2A95" w:rsidP="00034A52">
      <w:pPr>
        <w:pStyle w:val="SingleTxtGA"/>
        <w:rPr>
          <w:rFonts w:hint="cs"/>
          <w:b/>
          <w:bCs/>
          <w:rtl/>
          <w:lang w:val="fr-CH"/>
        </w:rPr>
      </w:pPr>
      <w:r>
        <w:rPr>
          <w:rFonts w:hint="cs"/>
          <w:b/>
          <w:bCs/>
          <w:rtl/>
          <w:lang w:bidi="ar"/>
        </w:rPr>
        <w:t xml:space="preserve">سبل </w:t>
      </w:r>
      <w:proofErr w:type="spellStart"/>
      <w:r>
        <w:rPr>
          <w:rFonts w:hint="cs"/>
          <w:b/>
          <w:bCs/>
          <w:rtl/>
          <w:lang w:bidi="ar"/>
        </w:rPr>
        <w:t>الانصاف</w:t>
      </w:r>
      <w:proofErr w:type="spellEnd"/>
      <w:r w:rsidRPr="006F75D3">
        <w:rPr>
          <w:rFonts w:hint="cs"/>
          <w:b/>
          <w:bCs/>
          <w:rtl/>
          <w:lang w:bidi="ar"/>
        </w:rPr>
        <w:t xml:space="preserve"> بما </w:t>
      </w:r>
      <w:r>
        <w:rPr>
          <w:rFonts w:hint="cs"/>
          <w:b/>
          <w:bCs/>
          <w:rtl/>
          <w:lang w:bidi="ar"/>
        </w:rPr>
        <w:t>فيها</w:t>
      </w:r>
      <w:r w:rsidRPr="006F75D3">
        <w:rPr>
          <w:rFonts w:hint="cs"/>
          <w:b/>
          <w:bCs/>
          <w:rtl/>
          <w:lang w:bidi="ar"/>
        </w:rPr>
        <w:t xml:space="preserve"> التعويض وإعادة التأهيل</w:t>
      </w:r>
    </w:p>
    <w:p w:rsidR="006F2A95" w:rsidRDefault="006F2A95" w:rsidP="00034A52">
      <w:pPr>
        <w:pStyle w:val="SingleTxtGA"/>
        <w:rPr>
          <w:rFonts w:hint="cs"/>
          <w:rtl/>
          <w:lang w:val="fr-CH"/>
        </w:rPr>
      </w:pPr>
      <w:r>
        <w:rPr>
          <w:rFonts w:hint="cs"/>
          <w:rtl/>
          <w:lang w:val="fr-CH"/>
        </w:rPr>
        <w:t>21-</w:t>
      </w:r>
      <w:r>
        <w:rPr>
          <w:rFonts w:hint="cs"/>
          <w:rtl/>
          <w:lang w:val="fr-CH"/>
        </w:rPr>
        <w:tab/>
        <w:t xml:space="preserve">تلاحظ اللجنة أن تشريعات الدولة الطرف تتضمن أحكاماً يُقال إنها تمنح ضحايا التعذيب إمكانية الحصول على تعويض من الدولة، بما في ذلك استرجاع حقوقهم وتلقي تعويضات مالية عادلة ومناسبة </w:t>
      </w:r>
      <w:r w:rsidR="00034A52">
        <w:rPr>
          <w:rFonts w:hint="cs"/>
          <w:rtl/>
          <w:lang w:val="fr-CH"/>
        </w:rPr>
        <w:t xml:space="preserve">فضلاً عن </w:t>
      </w:r>
      <w:r>
        <w:rPr>
          <w:rFonts w:hint="cs"/>
          <w:rtl/>
          <w:lang w:val="fr-CH"/>
        </w:rPr>
        <w:t xml:space="preserve">الرعاية الصحية وإعادة التأهيل، إلا أن اللجنة تشعر بالقلق إزاء انعدام برنامج محدد لتنفيذ حقوق ضحايا التعذيب وسوء المعاملة في الحصول على الجبر والتعويض بشكل مناسب. ويساور اللجنة قلق أيضاً بسبب قلة المعلومات المتاحة </w:t>
      </w:r>
      <w:r w:rsidR="00034A52">
        <w:rPr>
          <w:rFonts w:hint="cs"/>
          <w:rtl/>
          <w:lang w:val="fr-CH"/>
        </w:rPr>
        <w:t>ع</w:t>
      </w:r>
      <w:r>
        <w:rPr>
          <w:rFonts w:hint="cs"/>
          <w:rtl/>
          <w:lang w:val="fr-CH"/>
        </w:rPr>
        <w:t>ن عدد ضحايا التعذي</w:t>
      </w:r>
      <w:r>
        <w:rPr>
          <w:rFonts w:hint="eastAsia"/>
          <w:rtl/>
          <w:lang w:val="fr-CH"/>
        </w:rPr>
        <w:t>ب</w:t>
      </w:r>
      <w:r>
        <w:rPr>
          <w:rFonts w:hint="cs"/>
          <w:rtl/>
          <w:lang w:val="fr-CH"/>
        </w:rPr>
        <w:t xml:space="preserve"> وسوء المعاملة الذين تلقوا تعويضات</w:t>
      </w:r>
      <w:r w:rsidRPr="00BC0E6D">
        <w:rPr>
          <w:rFonts w:hint="cs"/>
          <w:rtl/>
          <w:lang w:val="fr-CH"/>
        </w:rPr>
        <w:t xml:space="preserve"> </w:t>
      </w:r>
      <w:r>
        <w:rPr>
          <w:rFonts w:hint="cs"/>
          <w:rtl/>
          <w:lang w:val="fr-CH"/>
        </w:rPr>
        <w:t>على الأرجح والمبالغ الممنوحة في مثل هذه الحالات، وبسبب قلة المعلومات عن الأشكال الأخرى من المساعدة المقدمة لهؤلاء الضحايا، بما فيها إعادة التأهيل الصحي أو النفسي (المادتان 12 و14).</w:t>
      </w:r>
    </w:p>
    <w:p w:rsidR="006F2A95" w:rsidRDefault="006F2A95" w:rsidP="00812524">
      <w:pPr>
        <w:pStyle w:val="SingleTxtGA"/>
        <w:rPr>
          <w:rFonts w:hint="cs"/>
          <w:rtl/>
          <w:lang w:val="fr-CH"/>
        </w:rPr>
      </w:pPr>
      <w:r>
        <w:rPr>
          <w:rFonts w:hint="cs"/>
          <w:rtl/>
          <w:lang w:val="fr-CH"/>
        </w:rPr>
        <w:tab/>
      </w:r>
      <w:r w:rsidRPr="00990ED4">
        <w:rPr>
          <w:rFonts w:hint="cs"/>
          <w:b/>
          <w:bCs/>
          <w:rtl/>
          <w:lang w:val="fr-CH"/>
        </w:rPr>
        <w:t xml:space="preserve">ينبغي للدولة الطرف أن تكفل لضحايا التعذيب وسوء المعاملة </w:t>
      </w:r>
      <w:r>
        <w:rPr>
          <w:rFonts w:hint="cs"/>
          <w:b/>
          <w:bCs/>
          <w:rtl/>
          <w:lang w:val="fr-CH"/>
        </w:rPr>
        <w:t xml:space="preserve">الحصول على </w:t>
      </w:r>
      <w:r w:rsidRPr="00990ED4">
        <w:rPr>
          <w:rFonts w:hint="cs"/>
          <w:b/>
          <w:bCs/>
          <w:rtl/>
          <w:lang w:val="fr-CH"/>
        </w:rPr>
        <w:t>حق</w:t>
      </w:r>
      <w:r>
        <w:rPr>
          <w:rFonts w:hint="cs"/>
          <w:b/>
          <w:bCs/>
          <w:rtl/>
          <w:lang w:val="fr-CH"/>
        </w:rPr>
        <w:t xml:space="preserve"> الإنصاف</w:t>
      </w:r>
      <w:r w:rsidRPr="00990ED4">
        <w:rPr>
          <w:rFonts w:hint="cs"/>
          <w:b/>
          <w:bCs/>
          <w:rtl/>
          <w:lang w:val="fr-CH"/>
        </w:rPr>
        <w:t xml:space="preserve"> </w:t>
      </w:r>
      <w:r w:rsidR="00034A52">
        <w:rPr>
          <w:rFonts w:hint="cs"/>
          <w:b/>
          <w:bCs/>
          <w:rtl/>
          <w:lang w:val="fr-CH"/>
        </w:rPr>
        <w:t>الواجب الإنفاذ،</w:t>
      </w:r>
      <w:r w:rsidRPr="00990ED4">
        <w:rPr>
          <w:rFonts w:hint="cs"/>
          <w:b/>
          <w:bCs/>
          <w:rtl/>
          <w:lang w:val="fr-CH"/>
        </w:rPr>
        <w:t xml:space="preserve"> بما في ذلك </w:t>
      </w:r>
      <w:r w:rsidR="00034A52">
        <w:rPr>
          <w:rFonts w:hint="cs"/>
          <w:b/>
          <w:bCs/>
          <w:rtl/>
          <w:lang w:val="fr-CH"/>
        </w:rPr>
        <w:t>ال</w:t>
      </w:r>
      <w:r w:rsidRPr="00990ED4">
        <w:rPr>
          <w:rFonts w:hint="cs"/>
          <w:b/>
          <w:bCs/>
          <w:rtl/>
          <w:lang w:val="fr-CH"/>
        </w:rPr>
        <w:t xml:space="preserve">تعويض </w:t>
      </w:r>
      <w:r w:rsidR="00034A52">
        <w:rPr>
          <w:rFonts w:hint="cs"/>
          <w:b/>
          <w:bCs/>
          <w:rtl/>
          <w:lang w:val="fr-CH"/>
        </w:rPr>
        <w:t>ال</w:t>
      </w:r>
      <w:r w:rsidRPr="00990ED4">
        <w:rPr>
          <w:rFonts w:hint="cs"/>
          <w:b/>
          <w:bCs/>
          <w:rtl/>
          <w:lang w:val="fr-CH"/>
        </w:rPr>
        <w:t>عادل و</w:t>
      </w:r>
      <w:r w:rsidR="00034A52">
        <w:rPr>
          <w:rFonts w:hint="cs"/>
          <w:b/>
          <w:bCs/>
          <w:rtl/>
          <w:lang w:val="fr-CH"/>
        </w:rPr>
        <w:t>ال</w:t>
      </w:r>
      <w:r w:rsidRPr="00990ED4">
        <w:rPr>
          <w:rFonts w:hint="cs"/>
          <w:b/>
          <w:bCs/>
          <w:rtl/>
          <w:lang w:val="fr-CH"/>
        </w:rPr>
        <w:t xml:space="preserve">مناسب </w:t>
      </w:r>
      <w:r w:rsidRPr="00990ED4">
        <w:rPr>
          <w:rFonts w:hint="cs"/>
          <w:b/>
          <w:bCs/>
          <w:rtl/>
        </w:rPr>
        <w:t>وإعادة</w:t>
      </w:r>
      <w:r w:rsidRPr="00506DCC">
        <w:rPr>
          <w:rFonts w:hint="cs"/>
          <w:b/>
          <w:bCs/>
          <w:rtl/>
        </w:rPr>
        <w:t xml:space="preserve"> </w:t>
      </w:r>
      <w:r w:rsidR="00034A52">
        <w:rPr>
          <w:rFonts w:hint="cs"/>
          <w:b/>
          <w:bCs/>
          <w:rtl/>
        </w:rPr>
        <w:t>الت</w:t>
      </w:r>
      <w:r w:rsidRPr="00506DCC">
        <w:rPr>
          <w:rFonts w:hint="cs"/>
          <w:b/>
          <w:bCs/>
          <w:rtl/>
        </w:rPr>
        <w:t xml:space="preserve">أهيل تأهيلاً كاملاً </w:t>
      </w:r>
      <w:r w:rsidR="00034A52">
        <w:rPr>
          <w:rFonts w:hint="cs"/>
          <w:b/>
          <w:bCs/>
          <w:spacing w:val="6"/>
          <w:rtl/>
        </w:rPr>
        <w:t xml:space="preserve">قدر </w:t>
      </w:r>
      <w:r w:rsidRPr="007C6689">
        <w:rPr>
          <w:rFonts w:hint="cs"/>
          <w:b/>
          <w:bCs/>
          <w:spacing w:val="6"/>
          <w:rtl/>
        </w:rPr>
        <w:t>الإمكان. وعلاوة على ذلك، ينبغي للدولة الطرف أن تقدم معلومات عن تدابير ال</w:t>
      </w:r>
      <w:r>
        <w:rPr>
          <w:rFonts w:hint="cs"/>
          <w:b/>
          <w:bCs/>
          <w:spacing w:val="6"/>
          <w:rtl/>
        </w:rPr>
        <w:t>إنصاف</w:t>
      </w:r>
      <w:r w:rsidRPr="007C6689">
        <w:rPr>
          <w:rFonts w:hint="cs"/>
          <w:b/>
          <w:bCs/>
          <w:spacing w:val="6"/>
          <w:rtl/>
        </w:rPr>
        <w:t xml:space="preserve"> والتعويض التي قضت </w:t>
      </w:r>
      <w:proofErr w:type="spellStart"/>
      <w:r w:rsidRPr="007C6689">
        <w:rPr>
          <w:rFonts w:hint="cs"/>
          <w:b/>
          <w:bCs/>
          <w:spacing w:val="6"/>
          <w:rtl/>
        </w:rPr>
        <w:t>بها</w:t>
      </w:r>
      <w:proofErr w:type="spellEnd"/>
      <w:r w:rsidRPr="007C6689">
        <w:rPr>
          <w:rFonts w:hint="cs"/>
          <w:b/>
          <w:bCs/>
          <w:spacing w:val="6"/>
          <w:rtl/>
        </w:rPr>
        <w:t xml:space="preserve"> ال</w:t>
      </w:r>
      <w:r>
        <w:rPr>
          <w:rFonts w:hint="cs"/>
          <w:b/>
          <w:bCs/>
          <w:spacing w:val="6"/>
          <w:rtl/>
        </w:rPr>
        <w:t>محاكم وأتيحت لضحايا</w:t>
      </w:r>
      <w:r w:rsidR="00034A52">
        <w:rPr>
          <w:rFonts w:hint="cs"/>
          <w:b/>
          <w:bCs/>
          <w:spacing w:val="6"/>
          <w:rtl/>
        </w:rPr>
        <w:t xml:space="preserve"> التعذيب</w:t>
      </w:r>
      <w:r w:rsidRPr="007C6689">
        <w:rPr>
          <w:rFonts w:hint="cs"/>
          <w:b/>
          <w:bCs/>
          <w:spacing w:val="6"/>
          <w:rtl/>
        </w:rPr>
        <w:t xml:space="preserve">. وينبغي أن تشمل هذه المعلومات عدد الطلبات المقدمة وعدد الطلبات التي </w:t>
      </w:r>
      <w:r>
        <w:rPr>
          <w:rFonts w:hint="cs"/>
          <w:b/>
          <w:bCs/>
          <w:spacing w:val="6"/>
          <w:rtl/>
        </w:rPr>
        <w:t>حصلت على الموافقة</w:t>
      </w:r>
      <w:r w:rsidRPr="007C6689">
        <w:rPr>
          <w:rFonts w:hint="cs"/>
          <w:b/>
          <w:bCs/>
          <w:spacing w:val="6"/>
          <w:rtl/>
        </w:rPr>
        <w:t xml:space="preserve"> والمبالغ التي حُكِم </w:t>
      </w:r>
      <w:proofErr w:type="spellStart"/>
      <w:r w:rsidRPr="007C6689">
        <w:rPr>
          <w:rFonts w:hint="cs"/>
          <w:b/>
          <w:bCs/>
          <w:spacing w:val="6"/>
          <w:rtl/>
        </w:rPr>
        <w:t>بها</w:t>
      </w:r>
      <w:proofErr w:type="spellEnd"/>
      <w:r w:rsidRPr="007C6689">
        <w:rPr>
          <w:rFonts w:hint="cs"/>
          <w:b/>
          <w:bCs/>
          <w:spacing w:val="6"/>
          <w:rtl/>
        </w:rPr>
        <w:t xml:space="preserve"> والتي </w:t>
      </w:r>
      <w:r>
        <w:rPr>
          <w:rFonts w:hint="cs"/>
          <w:b/>
          <w:bCs/>
          <w:spacing w:val="6"/>
          <w:rtl/>
        </w:rPr>
        <w:t>صُرفت</w:t>
      </w:r>
      <w:r w:rsidRPr="007C6689">
        <w:rPr>
          <w:rFonts w:hint="cs"/>
          <w:b/>
          <w:bCs/>
          <w:spacing w:val="6"/>
          <w:rtl/>
        </w:rPr>
        <w:t xml:space="preserve"> فعلاً في كل حالة. </w:t>
      </w:r>
      <w:r>
        <w:rPr>
          <w:rFonts w:hint="cs"/>
          <w:b/>
          <w:bCs/>
          <w:spacing w:val="6"/>
          <w:rtl/>
        </w:rPr>
        <w:t>و</w:t>
      </w:r>
      <w:r w:rsidRPr="007C6689">
        <w:rPr>
          <w:rFonts w:hint="cs"/>
          <w:b/>
          <w:bCs/>
          <w:spacing w:val="6"/>
          <w:rtl/>
        </w:rPr>
        <w:t xml:space="preserve">ينبغي للدولة الطرف </w:t>
      </w:r>
      <w:r>
        <w:rPr>
          <w:rFonts w:hint="cs"/>
          <w:b/>
          <w:bCs/>
          <w:spacing w:val="6"/>
          <w:rtl/>
        </w:rPr>
        <w:t xml:space="preserve">أيضاً </w:t>
      </w:r>
      <w:r w:rsidRPr="007C6689">
        <w:rPr>
          <w:rFonts w:hint="cs"/>
          <w:b/>
          <w:bCs/>
          <w:spacing w:val="6"/>
          <w:rtl/>
        </w:rPr>
        <w:t>أن تقد</w:t>
      </w:r>
      <w:r>
        <w:rPr>
          <w:rFonts w:hint="cs"/>
          <w:b/>
          <w:bCs/>
          <w:spacing w:val="6"/>
          <w:rtl/>
        </w:rPr>
        <w:t>م معلومات عن أية برامج تعويض حال</w:t>
      </w:r>
      <w:r w:rsidRPr="007C6689">
        <w:rPr>
          <w:rFonts w:hint="cs"/>
          <w:b/>
          <w:bCs/>
          <w:spacing w:val="6"/>
          <w:rtl/>
        </w:rPr>
        <w:t>ية، بما في ذلك البرامج المخصصة لمعالجة الصدمات وغيرها من أشكال إعادة التأهيل المقدمة إلى ضحايا التعذيب وسوء المعاملة، وأن تخصص كذلك الموارد الكافية لضمان الأداء الفعال لهذه البرامج.</w:t>
      </w:r>
    </w:p>
    <w:p w:rsidR="006F2A95" w:rsidRPr="006F75D3" w:rsidRDefault="00812524" w:rsidP="00812524">
      <w:pPr>
        <w:pStyle w:val="H23GA"/>
        <w:rPr>
          <w:rFonts w:hint="cs"/>
          <w:rtl/>
          <w:lang w:val="fr-CH"/>
        </w:rPr>
      </w:pPr>
      <w:r>
        <w:rPr>
          <w:rFonts w:hint="cs"/>
          <w:rtl/>
          <w:lang w:val="fr-CH"/>
        </w:rPr>
        <w:tab/>
      </w:r>
      <w:r>
        <w:rPr>
          <w:rFonts w:hint="cs"/>
          <w:rtl/>
          <w:lang w:val="fr-CH"/>
        </w:rPr>
        <w:tab/>
      </w:r>
      <w:r w:rsidR="00034A52">
        <w:rPr>
          <w:rFonts w:hint="cs"/>
          <w:rtl/>
          <w:lang w:val="fr-CH"/>
        </w:rPr>
        <w:t>خدم المنازل</w:t>
      </w:r>
      <w:r w:rsidR="006F2A95" w:rsidRPr="006F75D3">
        <w:rPr>
          <w:rFonts w:hint="cs"/>
          <w:rtl/>
          <w:lang w:val="fr-CH"/>
        </w:rPr>
        <w:t xml:space="preserve"> المهاجرون</w:t>
      </w:r>
    </w:p>
    <w:p w:rsidR="006F2A95" w:rsidRDefault="006F2A95" w:rsidP="00034A52">
      <w:pPr>
        <w:pStyle w:val="SingleTxtGA"/>
        <w:rPr>
          <w:rFonts w:hint="cs"/>
          <w:rtl/>
          <w:lang w:val="fr-CH"/>
        </w:rPr>
      </w:pPr>
      <w:r w:rsidRPr="00BC0E6D">
        <w:rPr>
          <w:rFonts w:hint="cs"/>
          <w:rtl/>
          <w:lang w:val="fr-CH"/>
        </w:rPr>
        <w:t>22-</w:t>
      </w:r>
      <w:r w:rsidRPr="00BC0E6D">
        <w:rPr>
          <w:rFonts w:hint="cs"/>
          <w:rtl/>
          <w:lang w:val="fr-CH"/>
        </w:rPr>
        <w:tab/>
        <w:t xml:space="preserve">تعرب اللجنة عن قلقها بسبب التقارير الواردة </w:t>
      </w:r>
      <w:r w:rsidR="00034A52">
        <w:rPr>
          <w:rFonts w:hint="cs"/>
          <w:rtl/>
          <w:lang w:val="fr-CH"/>
        </w:rPr>
        <w:t>ع</w:t>
      </w:r>
      <w:r w:rsidRPr="00BC0E6D">
        <w:rPr>
          <w:rFonts w:hint="cs"/>
          <w:rtl/>
          <w:lang w:val="fr-CH"/>
        </w:rPr>
        <w:t xml:space="preserve">ن </w:t>
      </w:r>
      <w:r>
        <w:rPr>
          <w:rFonts w:hint="cs"/>
          <w:rtl/>
          <w:lang w:val="fr-CH"/>
        </w:rPr>
        <w:t xml:space="preserve">انتشار ظاهرة إيذاء </w:t>
      </w:r>
      <w:r w:rsidR="00034A52">
        <w:rPr>
          <w:rFonts w:hint="cs"/>
          <w:rtl/>
          <w:lang w:val="fr-CH"/>
        </w:rPr>
        <w:t xml:space="preserve">خدم المنازل </w:t>
      </w:r>
      <w:r>
        <w:rPr>
          <w:rFonts w:hint="cs"/>
          <w:rtl/>
          <w:lang w:val="fr-CH"/>
        </w:rPr>
        <w:t>المهاجرين، لا سيما النساء. وتتعرض</w:t>
      </w:r>
      <w:r w:rsidRPr="004C0346">
        <w:rPr>
          <w:rFonts w:hint="cs"/>
          <w:rtl/>
          <w:lang w:val="fr-CH"/>
        </w:rPr>
        <w:t xml:space="preserve"> </w:t>
      </w:r>
      <w:r>
        <w:rPr>
          <w:rFonts w:hint="cs"/>
          <w:rtl/>
          <w:lang w:val="fr-CH"/>
        </w:rPr>
        <w:t xml:space="preserve">على ما يبدو هذه الفئة الضعيفة لسوء المعاملة باستمرار ودون أي عقاب للمسؤولين عن ذلك ودون حماية قانونية لهؤلاء العمال. وتأسف اللجنة أيضاً لقلة الإحصاءات المتعلقة بعدد ونوع الشكاوى المقدمة إلى السلطات المشرفة على العمل </w:t>
      </w:r>
      <w:r w:rsidR="00034A52">
        <w:rPr>
          <w:rFonts w:hint="cs"/>
          <w:rtl/>
          <w:lang w:val="fr-CH"/>
        </w:rPr>
        <w:t>في الخدمة المنزلية،</w:t>
      </w:r>
      <w:r>
        <w:rPr>
          <w:rFonts w:hint="cs"/>
          <w:rtl/>
          <w:lang w:val="fr-CH"/>
        </w:rPr>
        <w:t xml:space="preserve"> والطريقة التي تعالج </w:t>
      </w:r>
      <w:proofErr w:type="spellStart"/>
      <w:r>
        <w:rPr>
          <w:rFonts w:hint="cs"/>
          <w:rtl/>
          <w:lang w:val="fr-CH"/>
        </w:rPr>
        <w:t>بها</w:t>
      </w:r>
      <w:proofErr w:type="spellEnd"/>
      <w:r>
        <w:rPr>
          <w:rFonts w:hint="cs"/>
          <w:rtl/>
          <w:lang w:val="fr-CH"/>
        </w:rPr>
        <w:t xml:space="preserve"> هذه الشكاوى. وتحيط اللجنة علماً بتعهد الدولة الطرف الذي أعرب عنه ممثلوها خلال النظر في تقريرها في الدورة الثامنة </w:t>
      </w:r>
      <w:r w:rsidR="00034A52">
        <w:rPr>
          <w:rFonts w:hint="cs"/>
          <w:rtl/>
          <w:lang w:bidi="ar"/>
        </w:rPr>
        <w:t>ل</w:t>
      </w:r>
      <w:r>
        <w:rPr>
          <w:rFonts w:hint="cs"/>
          <w:rtl/>
          <w:lang w:bidi="ar"/>
        </w:rPr>
        <w:t>لاستعراض الدوري الشامل</w:t>
      </w:r>
      <w:r>
        <w:rPr>
          <w:rFonts w:hint="cs"/>
          <w:rtl/>
          <w:lang w:val="fr-CH"/>
        </w:rPr>
        <w:t xml:space="preserve"> في أيار/مايو 2010، ببذل الجهود لسن تشريعات من أجل مكافحة الاتجار بالبشر وتهريب المهاجرين، تماشياً مع اتفاقية الأمم المتحدة </w:t>
      </w:r>
      <w:r w:rsidRPr="00DD007E">
        <w:rPr>
          <w:rtl/>
          <w:lang w:val="fr-CH"/>
        </w:rPr>
        <w:t>لمكافحة الجريمة المنظّمة عبر الوطنية و</w:t>
      </w:r>
      <w:r>
        <w:rPr>
          <w:rtl/>
          <w:lang w:val="fr-CH"/>
        </w:rPr>
        <w:t>البروتوكول الملحق</w:t>
      </w:r>
      <w:r w:rsidRPr="00DD007E">
        <w:rPr>
          <w:rtl/>
          <w:lang w:val="fr-CH"/>
        </w:rPr>
        <w:t xml:space="preserve"> </w:t>
      </w:r>
      <w:proofErr w:type="spellStart"/>
      <w:r w:rsidRPr="00DD007E">
        <w:rPr>
          <w:rtl/>
          <w:lang w:val="fr-CH"/>
        </w:rPr>
        <w:t>بها</w:t>
      </w:r>
      <w:proofErr w:type="spellEnd"/>
      <w:r>
        <w:rPr>
          <w:rFonts w:hint="cs"/>
          <w:rtl/>
          <w:lang w:val="fr-CH"/>
        </w:rPr>
        <w:t xml:space="preserve"> (المواد 1 و2 و16).</w:t>
      </w:r>
    </w:p>
    <w:p w:rsidR="006F2A95" w:rsidRPr="00AA1C81" w:rsidRDefault="006F2A95" w:rsidP="00034A52">
      <w:pPr>
        <w:pStyle w:val="SingleTxtGA"/>
        <w:rPr>
          <w:rFonts w:hint="cs"/>
          <w:b/>
          <w:bCs/>
          <w:rtl/>
          <w:lang w:val="fr-CH"/>
        </w:rPr>
      </w:pPr>
      <w:r>
        <w:rPr>
          <w:rFonts w:hint="cs"/>
          <w:rtl/>
          <w:lang w:val="fr-CH"/>
        </w:rPr>
        <w:tab/>
      </w:r>
      <w:r w:rsidRPr="00AA1C81">
        <w:rPr>
          <w:rFonts w:hint="cs"/>
          <w:b/>
          <w:bCs/>
          <w:rtl/>
          <w:lang w:val="fr-CH"/>
        </w:rPr>
        <w:t xml:space="preserve">ينبغي للدولة الطرف أن تعتمد على وجه السرعة تشريعات للعمل تشمل العمل </w:t>
      </w:r>
      <w:r w:rsidR="00034A52">
        <w:rPr>
          <w:rFonts w:hint="cs"/>
          <w:b/>
          <w:bCs/>
          <w:rtl/>
          <w:lang w:val="fr-CH"/>
        </w:rPr>
        <w:t xml:space="preserve">في الخدمة المنزلية وأن تمنح خدم المنازل </w:t>
      </w:r>
      <w:r w:rsidRPr="00AA1C81">
        <w:rPr>
          <w:rFonts w:hint="cs"/>
          <w:b/>
          <w:bCs/>
          <w:rtl/>
          <w:lang w:val="fr-CH"/>
        </w:rPr>
        <w:t>المهاجرين، لا سيما النساء، على أراضيها الحماية القانونية من الاستغلال وسوء المعاملة والإيذاء. وينبغي للدولة الطرف أيض</w:t>
      </w:r>
      <w:r>
        <w:rPr>
          <w:rFonts w:hint="cs"/>
          <w:b/>
          <w:bCs/>
          <w:rtl/>
          <w:lang w:val="fr-CH"/>
        </w:rPr>
        <w:t xml:space="preserve">اً </w:t>
      </w:r>
      <w:r w:rsidRPr="00AA1C81">
        <w:rPr>
          <w:rFonts w:hint="cs"/>
          <w:b/>
          <w:bCs/>
          <w:rtl/>
          <w:lang w:val="fr-CH"/>
        </w:rPr>
        <w:t xml:space="preserve">أن تقدم للجنة إحصاءات، بما فيها الإحصاءات المتعلقة بعدد ونوع الشكاوى المقدمة للسلطات والإجراءات المتخذة لتسوية الحالات التي </w:t>
      </w:r>
      <w:r>
        <w:rPr>
          <w:rFonts w:hint="cs"/>
          <w:b/>
          <w:bCs/>
          <w:rtl/>
          <w:lang w:val="fr-CH"/>
        </w:rPr>
        <w:t>كانت وراء</w:t>
      </w:r>
      <w:r w:rsidRPr="00AA1C81">
        <w:rPr>
          <w:rFonts w:hint="cs"/>
          <w:b/>
          <w:bCs/>
          <w:rtl/>
          <w:lang w:val="fr-CH"/>
        </w:rPr>
        <w:t xml:space="preserve"> هذه الشكاوى.</w:t>
      </w:r>
    </w:p>
    <w:p w:rsidR="006F2A95" w:rsidRPr="002C44E6" w:rsidRDefault="00812524" w:rsidP="00812524">
      <w:pPr>
        <w:pStyle w:val="H23GA"/>
        <w:rPr>
          <w:rFonts w:hint="cs"/>
          <w:rtl/>
          <w:lang w:val="fr-CH"/>
        </w:rPr>
      </w:pPr>
      <w:r>
        <w:rPr>
          <w:rFonts w:hint="cs"/>
          <w:rtl/>
          <w:lang w:val="fr-CH"/>
        </w:rPr>
        <w:tab/>
      </w:r>
      <w:r>
        <w:rPr>
          <w:rFonts w:hint="cs"/>
          <w:rtl/>
          <w:lang w:val="fr-CH"/>
        </w:rPr>
        <w:tab/>
      </w:r>
      <w:r w:rsidR="006F2A95" w:rsidRPr="002C44E6">
        <w:rPr>
          <w:rFonts w:hint="cs"/>
          <w:rtl/>
          <w:lang w:val="fr-CH"/>
        </w:rPr>
        <w:t xml:space="preserve">العنف </w:t>
      </w:r>
      <w:r w:rsidR="00034A52">
        <w:rPr>
          <w:rFonts w:hint="cs"/>
          <w:rtl/>
          <w:lang w:val="fr-CH"/>
        </w:rPr>
        <w:t xml:space="preserve">ضد </w:t>
      </w:r>
      <w:r w:rsidR="006F2A95" w:rsidRPr="002C44E6">
        <w:rPr>
          <w:rFonts w:hint="cs"/>
          <w:rtl/>
          <w:lang w:val="fr-CH"/>
        </w:rPr>
        <w:t>المرأة</w:t>
      </w:r>
    </w:p>
    <w:p w:rsidR="006F2A95" w:rsidRPr="0069133B" w:rsidRDefault="006F2A95" w:rsidP="00034A52">
      <w:pPr>
        <w:pStyle w:val="SingleTxtGA"/>
        <w:rPr>
          <w:rFonts w:hint="cs"/>
          <w:b/>
          <w:bCs/>
          <w:rtl/>
          <w:lang w:val="fr-CH"/>
        </w:rPr>
      </w:pPr>
      <w:r w:rsidRPr="00AA1C81">
        <w:rPr>
          <w:rFonts w:hint="cs"/>
          <w:rtl/>
          <w:lang w:val="fr-CH"/>
        </w:rPr>
        <w:t>23-</w:t>
      </w:r>
      <w:r w:rsidRPr="00AA1C81">
        <w:rPr>
          <w:rFonts w:hint="cs"/>
          <w:rtl/>
          <w:lang w:val="fr-CH"/>
        </w:rPr>
        <w:tab/>
        <w:t>تلاحظ اللجنة بقلق الادعاءات العديدة</w:t>
      </w:r>
      <w:r>
        <w:rPr>
          <w:rFonts w:hint="cs"/>
          <w:rtl/>
          <w:lang w:val="fr-CH"/>
        </w:rPr>
        <w:t xml:space="preserve"> المتعلقة</w:t>
      </w:r>
      <w:r w:rsidRPr="00AA1C81">
        <w:rPr>
          <w:rFonts w:hint="cs"/>
          <w:rtl/>
          <w:lang w:val="fr-CH"/>
        </w:rPr>
        <w:t xml:space="preserve"> </w:t>
      </w:r>
      <w:r>
        <w:rPr>
          <w:rFonts w:hint="cs"/>
          <w:rtl/>
          <w:lang w:val="fr-CH"/>
        </w:rPr>
        <w:t>ب</w:t>
      </w:r>
      <w:r w:rsidRPr="00AA1C81">
        <w:rPr>
          <w:rFonts w:hint="cs"/>
          <w:rtl/>
          <w:lang w:val="fr-CH"/>
        </w:rPr>
        <w:t xml:space="preserve">العنف </w:t>
      </w:r>
      <w:r w:rsidR="00034A52">
        <w:rPr>
          <w:rFonts w:hint="cs"/>
          <w:rtl/>
          <w:lang w:val="fr-CH"/>
        </w:rPr>
        <w:t xml:space="preserve">ضد </w:t>
      </w:r>
      <w:r w:rsidRPr="00AA1C81">
        <w:rPr>
          <w:rFonts w:hint="cs"/>
          <w:rtl/>
          <w:lang w:val="fr-CH"/>
        </w:rPr>
        <w:t>المرأة</w:t>
      </w:r>
      <w:r>
        <w:rPr>
          <w:rFonts w:hint="cs"/>
          <w:rtl/>
          <w:lang w:val="fr-CH"/>
        </w:rPr>
        <w:t xml:space="preserve"> والعنف المنزلي،</w:t>
      </w:r>
      <w:r w:rsidRPr="00AA1C81">
        <w:rPr>
          <w:rFonts w:hint="cs"/>
          <w:rtl/>
          <w:lang w:val="fr-CH"/>
        </w:rPr>
        <w:t xml:space="preserve"> ال</w:t>
      </w:r>
      <w:r>
        <w:rPr>
          <w:rFonts w:hint="cs"/>
          <w:rtl/>
          <w:lang w:val="fr-CH"/>
        </w:rPr>
        <w:t>ل</w:t>
      </w:r>
      <w:r w:rsidRPr="00AA1C81">
        <w:rPr>
          <w:rFonts w:hint="cs"/>
          <w:rtl/>
          <w:lang w:val="fr-CH"/>
        </w:rPr>
        <w:t xml:space="preserve">ذين </w:t>
      </w:r>
      <w:r>
        <w:rPr>
          <w:rFonts w:hint="cs"/>
          <w:rtl/>
          <w:lang w:val="fr-CH"/>
        </w:rPr>
        <w:t xml:space="preserve">لم تقدم الدولة الطرف أية معلومات بشأنهما. وتشعر اللجنة بالقلق إزاء  عدم وجود أي قانون </w:t>
      </w:r>
      <w:r w:rsidR="00034A52">
        <w:rPr>
          <w:rFonts w:hint="cs"/>
          <w:rtl/>
          <w:lang w:val="fr-CH"/>
        </w:rPr>
        <w:t>محدد</w:t>
      </w:r>
      <w:r>
        <w:rPr>
          <w:rFonts w:hint="cs"/>
          <w:rtl/>
          <w:lang w:val="fr-CH"/>
        </w:rPr>
        <w:t xml:space="preserve"> بشأن العنف المنزلي، وعدم تقديم معلومات إحصائية عن العدد الإجمالي </w:t>
      </w:r>
      <w:r w:rsidRPr="0069133B">
        <w:rPr>
          <w:rFonts w:hint="cs"/>
          <w:rtl/>
          <w:lang w:val="fr-CH"/>
        </w:rPr>
        <w:t xml:space="preserve">لشكاوى العنف المنزلي المبلغ عنه وعدد التحقيقات التي جرت </w:t>
      </w:r>
      <w:r>
        <w:rPr>
          <w:rFonts w:hint="cs"/>
          <w:rtl/>
          <w:lang w:val="fr-CH"/>
        </w:rPr>
        <w:t>والإدانات</w:t>
      </w:r>
      <w:r w:rsidRPr="0069133B">
        <w:rPr>
          <w:rFonts w:hint="cs"/>
          <w:rtl/>
          <w:lang w:val="fr-CH"/>
        </w:rPr>
        <w:t xml:space="preserve"> والعقوبات التي أُصدرت (المادتان 2 و16).</w:t>
      </w:r>
    </w:p>
    <w:p w:rsidR="006F2A95" w:rsidRPr="0069133B" w:rsidRDefault="00034A52" w:rsidP="006F2A95">
      <w:pPr>
        <w:pStyle w:val="SingleTxtGA"/>
        <w:rPr>
          <w:rFonts w:hint="cs"/>
          <w:b/>
          <w:bCs/>
          <w:rtl/>
          <w:lang w:val="fr-CH"/>
        </w:rPr>
      </w:pPr>
      <w:r>
        <w:rPr>
          <w:rFonts w:hint="cs"/>
          <w:b/>
          <w:bCs/>
          <w:rtl/>
          <w:lang w:val="fr-CH"/>
        </w:rPr>
        <w:tab/>
      </w:r>
      <w:r w:rsidR="006F2A95" w:rsidRPr="0069133B">
        <w:rPr>
          <w:rFonts w:hint="cs"/>
          <w:b/>
          <w:bCs/>
          <w:rtl/>
          <w:lang w:val="fr-CH"/>
        </w:rPr>
        <w:t>إن اللجنة:</w:t>
      </w:r>
    </w:p>
    <w:p w:rsidR="006F2A95" w:rsidRPr="0069133B" w:rsidRDefault="006F2A95" w:rsidP="00034A52">
      <w:pPr>
        <w:pStyle w:val="SingleTxtGA"/>
        <w:rPr>
          <w:rFonts w:hint="cs"/>
          <w:b/>
          <w:bCs/>
          <w:rtl/>
          <w:lang w:val="fr-CH"/>
        </w:rPr>
      </w:pPr>
      <w:r w:rsidRPr="0069133B">
        <w:rPr>
          <w:rFonts w:hint="cs"/>
          <w:b/>
          <w:bCs/>
          <w:rtl/>
          <w:lang w:val="fr-CH"/>
        </w:rPr>
        <w:tab/>
        <w:t>(أ)</w:t>
      </w:r>
      <w:r w:rsidRPr="0069133B">
        <w:rPr>
          <w:rFonts w:hint="cs"/>
          <w:b/>
          <w:bCs/>
          <w:rtl/>
          <w:lang w:val="fr-CH"/>
        </w:rPr>
        <w:tab/>
        <w:t xml:space="preserve">تدعو الدولة الطرف إلى سن تشريعات على وجه السرعة من أجل منع العنف </w:t>
      </w:r>
      <w:r w:rsidR="00034A52">
        <w:rPr>
          <w:rFonts w:hint="cs"/>
          <w:b/>
          <w:bCs/>
          <w:rtl/>
          <w:lang w:val="fr-CH"/>
        </w:rPr>
        <w:t xml:space="preserve">ضد </w:t>
      </w:r>
      <w:r w:rsidRPr="0069133B">
        <w:rPr>
          <w:rFonts w:hint="cs"/>
          <w:b/>
          <w:bCs/>
          <w:rtl/>
          <w:lang w:val="fr-CH"/>
        </w:rPr>
        <w:t>المرأة ومكافحته وتجريمه، بما فيه العنف المنزلي؛</w:t>
      </w:r>
    </w:p>
    <w:p w:rsidR="006F2A95" w:rsidRPr="0069133B" w:rsidRDefault="006F2A95" w:rsidP="006F2A95">
      <w:pPr>
        <w:pStyle w:val="SingleTxtGA"/>
        <w:rPr>
          <w:rFonts w:hint="cs"/>
          <w:b/>
          <w:bCs/>
          <w:rtl/>
          <w:lang w:val="fr-CH"/>
        </w:rPr>
      </w:pPr>
      <w:r w:rsidRPr="0069133B">
        <w:rPr>
          <w:rFonts w:hint="cs"/>
          <w:b/>
          <w:bCs/>
          <w:rtl/>
          <w:lang w:val="fr-CH"/>
        </w:rPr>
        <w:tab/>
        <w:t>(ب)</w:t>
      </w:r>
      <w:r w:rsidRPr="0069133B">
        <w:rPr>
          <w:rFonts w:hint="cs"/>
          <w:b/>
          <w:bCs/>
          <w:rtl/>
          <w:lang w:val="fr-CH"/>
        </w:rPr>
        <w:tab/>
        <w:t xml:space="preserve">توصي بأن </w:t>
      </w:r>
      <w:r>
        <w:rPr>
          <w:rFonts w:hint="cs"/>
          <w:b/>
          <w:bCs/>
          <w:rtl/>
          <w:lang w:val="fr-CH"/>
        </w:rPr>
        <w:t>تجري</w:t>
      </w:r>
      <w:r w:rsidRPr="0069133B">
        <w:rPr>
          <w:rFonts w:hint="cs"/>
          <w:b/>
          <w:bCs/>
          <w:rtl/>
          <w:lang w:val="fr-CH"/>
        </w:rPr>
        <w:t xml:space="preserve"> ال</w:t>
      </w:r>
      <w:r>
        <w:rPr>
          <w:rFonts w:hint="cs"/>
          <w:b/>
          <w:bCs/>
          <w:rtl/>
          <w:lang w:val="fr-CH"/>
        </w:rPr>
        <w:t xml:space="preserve">دولة الطرف </w:t>
      </w:r>
      <w:r w:rsidRPr="0069133B">
        <w:rPr>
          <w:rFonts w:hint="cs"/>
          <w:b/>
          <w:bCs/>
          <w:rtl/>
          <w:lang w:val="fr-CH"/>
        </w:rPr>
        <w:t>أبحاث</w:t>
      </w:r>
      <w:r>
        <w:rPr>
          <w:rFonts w:hint="cs"/>
          <w:b/>
          <w:bCs/>
          <w:rtl/>
          <w:lang w:val="fr-CH"/>
        </w:rPr>
        <w:t>ا</w:t>
      </w:r>
      <w:r w:rsidRPr="0069133B">
        <w:rPr>
          <w:rFonts w:hint="cs"/>
          <w:b/>
          <w:bCs/>
          <w:rtl/>
          <w:lang w:val="fr-CH"/>
        </w:rPr>
        <w:t xml:space="preserve"> و</w:t>
      </w:r>
      <w:r>
        <w:rPr>
          <w:rFonts w:hint="cs"/>
          <w:b/>
          <w:bCs/>
          <w:rtl/>
          <w:lang w:val="fr-CH"/>
        </w:rPr>
        <w:t xml:space="preserve">تجمع </w:t>
      </w:r>
      <w:r w:rsidRPr="0069133B">
        <w:rPr>
          <w:rFonts w:hint="cs"/>
          <w:b/>
          <w:bCs/>
          <w:rtl/>
          <w:lang w:val="fr-CH"/>
        </w:rPr>
        <w:t>بيانات ب</w:t>
      </w:r>
      <w:r>
        <w:rPr>
          <w:rFonts w:hint="cs"/>
          <w:b/>
          <w:bCs/>
          <w:rtl/>
          <w:lang w:val="fr-CH"/>
        </w:rPr>
        <w:t xml:space="preserve">شأن </w:t>
      </w:r>
      <w:r w:rsidRPr="0069133B">
        <w:rPr>
          <w:rFonts w:hint="cs"/>
          <w:b/>
          <w:bCs/>
          <w:rtl/>
          <w:lang w:val="fr-CH"/>
        </w:rPr>
        <w:t>العنف المنزل</w:t>
      </w:r>
      <w:r>
        <w:rPr>
          <w:rFonts w:hint="cs"/>
          <w:b/>
          <w:bCs/>
          <w:rtl/>
          <w:lang w:val="fr-CH"/>
        </w:rPr>
        <w:t>ي</w:t>
      </w:r>
      <w:r w:rsidRPr="0069133B">
        <w:rPr>
          <w:rFonts w:hint="cs"/>
          <w:b/>
          <w:bCs/>
          <w:rtl/>
          <w:lang w:val="fr-CH"/>
        </w:rPr>
        <w:t>، و</w:t>
      </w:r>
      <w:r w:rsidR="00034A52">
        <w:rPr>
          <w:rFonts w:hint="cs"/>
          <w:b/>
          <w:bCs/>
          <w:rtl/>
          <w:lang w:val="fr-CH"/>
        </w:rPr>
        <w:t xml:space="preserve">أن </w:t>
      </w:r>
      <w:r w:rsidRPr="0069133B">
        <w:rPr>
          <w:rFonts w:hint="cs"/>
          <w:b/>
          <w:bCs/>
          <w:rtl/>
          <w:lang w:val="fr-CH"/>
        </w:rPr>
        <w:t>تقدم للجنة بيانات إحصائية بشأن الشكاوى والملاحقات القضائية والأحكام الصادرة؛</w:t>
      </w:r>
    </w:p>
    <w:p w:rsidR="006F2A95" w:rsidRPr="0069133B" w:rsidRDefault="006F2A95" w:rsidP="00E76E4B">
      <w:pPr>
        <w:pStyle w:val="SingleTxtGA"/>
        <w:rPr>
          <w:rFonts w:hint="cs"/>
          <w:b/>
          <w:bCs/>
          <w:rtl/>
          <w:lang w:val="fr-CH"/>
        </w:rPr>
      </w:pPr>
      <w:r w:rsidRPr="0069133B">
        <w:rPr>
          <w:rFonts w:hint="cs"/>
          <w:b/>
          <w:bCs/>
          <w:rtl/>
          <w:lang w:val="fr-CH"/>
        </w:rPr>
        <w:tab/>
        <w:t>(ج)</w:t>
      </w:r>
      <w:r w:rsidRPr="0069133B">
        <w:rPr>
          <w:rFonts w:hint="cs"/>
          <w:b/>
          <w:bCs/>
          <w:rtl/>
          <w:lang w:val="fr-CH"/>
        </w:rPr>
        <w:tab/>
        <w:t xml:space="preserve">تشجع الدولة الطرف على تنظيم مشاركة موظفيها الحكوميين في برامج إعادة التأهيل والمساعدة القانونية، وعلى إجراء حملات توعية واسعة لصالح المسؤولين مثل القضاة والموظفين </w:t>
      </w:r>
      <w:r w:rsidR="00034A52">
        <w:rPr>
          <w:rFonts w:hint="cs"/>
          <w:b/>
          <w:bCs/>
          <w:rtl/>
          <w:lang w:val="fr-CH"/>
        </w:rPr>
        <w:t xml:space="preserve">القضائيين </w:t>
      </w:r>
      <w:r w:rsidRPr="0069133B">
        <w:rPr>
          <w:rFonts w:hint="cs"/>
          <w:b/>
          <w:bCs/>
          <w:rtl/>
          <w:lang w:val="fr-CH"/>
        </w:rPr>
        <w:t>والموظفين المكلفين بإنفاذ القانون و</w:t>
      </w:r>
      <w:r w:rsidR="00E76E4B">
        <w:rPr>
          <w:rFonts w:hint="cs"/>
          <w:b/>
          <w:bCs/>
          <w:rtl/>
          <w:lang w:val="fr-CH"/>
        </w:rPr>
        <w:t>الأخصائيين الاجتماعيين</w:t>
      </w:r>
      <w:r w:rsidRPr="0069133B">
        <w:rPr>
          <w:rFonts w:hint="cs"/>
          <w:b/>
          <w:bCs/>
          <w:rtl/>
          <w:lang w:val="fr-CH"/>
        </w:rPr>
        <w:t>، ممن لهم اتصال مباشر بالضحايا. وينبغي إعلام السكان</w:t>
      </w:r>
      <w:r>
        <w:rPr>
          <w:rFonts w:hint="cs"/>
          <w:b/>
          <w:bCs/>
          <w:rtl/>
          <w:lang w:val="fr-CH"/>
        </w:rPr>
        <w:t xml:space="preserve"> عامة</w:t>
      </w:r>
      <w:r w:rsidRPr="0069133B">
        <w:rPr>
          <w:rFonts w:hint="cs"/>
          <w:b/>
          <w:bCs/>
          <w:rtl/>
          <w:lang w:val="fr-CH"/>
        </w:rPr>
        <w:t xml:space="preserve"> بهذه البرامج.</w:t>
      </w:r>
    </w:p>
    <w:p w:rsidR="006F2A95" w:rsidRDefault="00812524" w:rsidP="00812524">
      <w:pPr>
        <w:pStyle w:val="H23GA"/>
        <w:rPr>
          <w:rFonts w:hint="cs"/>
          <w:rtl/>
          <w:lang w:val="fr-CH"/>
        </w:rPr>
      </w:pPr>
      <w:r>
        <w:rPr>
          <w:rFonts w:hint="cs"/>
          <w:rtl/>
          <w:lang w:val="fr-CH"/>
        </w:rPr>
        <w:tab/>
      </w:r>
      <w:r>
        <w:rPr>
          <w:rFonts w:hint="cs"/>
          <w:rtl/>
          <w:lang w:val="fr-CH"/>
        </w:rPr>
        <w:tab/>
      </w:r>
      <w:r w:rsidR="006F2A95" w:rsidRPr="002C44E6">
        <w:rPr>
          <w:rFonts w:hint="cs"/>
          <w:rtl/>
          <w:lang w:val="fr-CH"/>
        </w:rPr>
        <w:t>الاتجار بالبشر</w:t>
      </w:r>
    </w:p>
    <w:p w:rsidR="006F2A95" w:rsidRDefault="006F2A95" w:rsidP="006F2A95">
      <w:pPr>
        <w:pStyle w:val="SingleTxtGA"/>
        <w:rPr>
          <w:rFonts w:hint="cs"/>
          <w:rtl/>
          <w:lang w:val="fr-CH"/>
        </w:rPr>
      </w:pPr>
      <w:r w:rsidRPr="0069133B">
        <w:rPr>
          <w:rFonts w:hint="cs"/>
          <w:rtl/>
          <w:lang w:val="fr-CH"/>
        </w:rPr>
        <w:t>24-</w:t>
      </w:r>
      <w:r w:rsidRPr="0069133B">
        <w:rPr>
          <w:rFonts w:hint="cs"/>
          <w:rtl/>
          <w:lang w:val="fr-CH"/>
        </w:rPr>
        <w:tab/>
        <w:t>تشعر اللجنة بالقلق إزاء عدم وجود تشريعات</w:t>
      </w:r>
      <w:r>
        <w:rPr>
          <w:rFonts w:hint="cs"/>
          <w:rtl/>
          <w:lang w:val="fr-CH"/>
        </w:rPr>
        <w:t xml:space="preserve"> خاصة</w:t>
      </w:r>
      <w:r w:rsidRPr="0069133B">
        <w:rPr>
          <w:rFonts w:hint="cs"/>
          <w:rtl/>
          <w:lang w:val="fr-CH"/>
        </w:rPr>
        <w:t xml:space="preserve"> </w:t>
      </w:r>
      <w:r>
        <w:rPr>
          <w:rFonts w:hint="cs"/>
          <w:rtl/>
          <w:lang w:val="fr-CH"/>
        </w:rPr>
        <w:t xml:space="preserve">لمنع الاتجار بالبشر ومكافحته وتجريمه. وإن اللجنة قلقة أيضاً بسبب انعدام المعلومات فيما يخص الاتجار بالبشر، بما فيها </w:t>
      </w:r>
      <w:r w:rsidR="00E76E4B">
        <w:rPr>
          <w:rFonts w:hint="cs"/>
          <w:rtl/>
          <w:lang w:val="fr-CH"/>
        </w:rPr>
        <w:t xml:space="preserve">تلك </w:t>
      </w:r>
      <w:r>
        <w:rPr>
          <w:rFonts w:hint="cs"/>
          <w:rtl/>
          <w:lang w:val="fr-CH"/>
        </w:rPr>
        <w:t>المتعلقة بالتشريعات والإحصاءات القائمة لا سيما عدد الشكاوى والتحقيقات والملاحقات القضائية والإدانات الصادرة بحق مرتكبي أفعال الاتجار، وبسبب انعدام المعلومات بشأن التدابير العملية المعتمدة لمنع هذه الظاهرة ومكافحتها، بما فيها التدابير الطبية والاجتماعية والخاصة بإعادة التأهيل (المواد 2 و4 و16).</w:t>
      </w:r>
    </w:p>
    <w:p w:rsidR="006F2A95" w:rsidRPr="004C0346" w:rsidRDefault="006F2A95" w:rsidP="00E76E4B">
      <w:pPr>
        <w:pStyle w:val="SingleTxtGA"/>
        <w:rPr>
          <w:rFonts w:hint="cs"/>
          <w:b/>
          <w:bCs/>
          <w:rtl/>
          <w:lang w:val="fr-CH"/>
        </w:rPr>
      </w:pPr>
      <w:r>
        <w:rPr>
          <w:rFonts w:hint="cs"/>
          <w:rtl/>
          <w:lang w:val="fr-CH"/>
        </w:rPr>
        <w:tab/>
      </w:r>
      <w:r w:rsidRPr="004C0346">
        <w:rPr>
          <w:rFonts w:hint="cs"/>
          <w:b/>
          <w:bCs/>
          <w:rtl/>
          <w:lang w:val="fr-CH"/>
        </w:rPr>
        <w:t>ينبغي للدولة الطرف أن تكافح الاتجار بالبشر من خلال اعتماد تشريعات خاصة مناهضة للاتجار وتنفيذها لضمان تعريف الاتجار في الدولة الطرف كجريمة وفق</w:t>
      </w:r>
      <w:r>
        <w:rPr>
          <w:rFonts w:hint="cs"/>
          <w:b/>
          <w:bCs/>
          <w:rtl/>
          <w:lang w:val="fr-CH"/>
        </w:rPr>
        <w:t xml:space="preserve">اً </w:t>
      </w:r>
      <w:r w:rsidRPr="004C0346">
        <w:rPr>
          <w:rFonts w:hint="cs"/>
          <w:b/>
          <w:bCs/>
          <w:rtl/>
          <w:lang w:val="fr-CH"/>
        </w:rPr>
        <w:t>للمعايير الدولية. وينبغي أن يُعاق</w:t>
      </w:r>
      <w:r w:rsidR="00E76E4B">
        <w:rPr>
          <w:rFonts w:hint="cs"/>
          <w:b/>
          <w:bCs/>
          <w:rtl/>
          <w:lang w:val="fr-CH"/>
        </w:rPr>
        <w:t>َ</w:t>
      </w:r>
      <w:r w:rsidRPr="004C0346">
        <w:rPr>
          <w:rFonts w:hint="cs"/>
          <w:b/>
          <w:bCs/>
          <w:rtl/>
          <w:lang w:val="fr-CH"/>
        </w:rPr>
        <w:t xml:space="preserve">ب على جرائم الاتجار بالعقوبات المناسبة.  وينبغي للدولة الطرف أن توفر الحماية للضحايا وتضمن وصولهم إلى الخدمات القانونية والاستشارية </w:t>
      </w:r>
      <w:proofErr w:type="spellStart"/>
      <w:r w:rsidRPr="004C0346">
        <w:rPr>
          <w:rFonts w:hint="cs"/>
          <w:b/>
          <w:bCs/>
          <w:rtl/>
          <w:lang w:val="fr-CH"/>
        </w:rPr>
        <w:t>و</w:t>
      </w:r>
      <w:r w:rsidR="00E76E4B">
        <w:rPr>
          <w:rFonts w:hint="cs"/>
          <w:b/>
          <w:bCs/>
          <w:rtl/>
          <w:lang w:val="fr-CH"/>
        </w:rPr>
        <w:t>التأهيلية</w:t>
      </w:r>
      <w:proofErr w:type="spellEnd"/>
      <w:r w:rsidR="00E76E4B">
        <w:rPr>
          <w:rFonts w:hint="cs"/>
          <w:b/>
          <w:bCs/>
          <w:rtl/>
          <w:lang w:val="fr-CH"/>
        </w:rPr>
        <w:t xml:space="preserve"> </w:t>
      </w:r>
      <w:r w:rsidRPr="004C0346">
        <w:rPr>
          <w:rFonts w:hint="cs"/>
          <w:b/>
          <w:bCs/>
          <w:rtl/>
          <w:lang w:val="fr-CH"/>
        </w:rPr>
        <w:t>والاجتماعية والطبية.</w:t>
      </w:r>
    </w:p>
    <w:p w:rsidR="006F2A95" w:rsidRPr="00E41615" w:rsidRDefault="00812524" w:rsidP="00812524">
      <w:pPr>
        <w:pStyle w:val="H23GA"/>
        <w:rPr>
          <w:rFonts w:hint="cs"/>
          <w:rtl/>
          <w:lang w:val="fr-CH"/>
        </w:rPr>
      </w:pPr>
      <w:r>
        <w:rPr>
          <w:rFonts w:hint="cs"/>
          <w:rtl/>
          <w:lang w:val="fr-CH"/>
        </w:rPr>
        <w:tab/>
      </w:r>
      <w:r>
        <w:rPr>
          <w:rFonts w:hint="cs"/>
          <w:rtl/>
          <w:lang w:val="fr-CH"/>
        </w:rPr>
        <w:tab/>
      </w:r>
      <w:r w:rsidR="006F2A95" w:rsidRPr="00E41615">
        <w:rPr>
          <w:rFonts w:hint="cs"/>
          <w:rtl/>
          <w:lang w:val="fr-CH"/>
        </w:rPr>
        <w:t xml:space="preserve">التمييز والعنف </w:t>
      </w:r>
      <w:r w:rsidR="00E76E4B">
        <w:rPr>
          <w:rFonts w:hint="cs"/>
          <w:rtl/>
          <w:lang w:val="fr-CH"/>
        </w:rPr>
        <w:t xml:space="preserve">ضد </w:t>
      </w:r>
      <w:r w:rsidR="006F2A95" w:rsidRPr="00E41615">
        <w:rPr>
          <w:rFonts w:hint="cs"/>
          <w:rtl/>
          <w:lang w:val="fr-CH"/>
        </w:rPr>
        <w:t>الفئات الضعيفة</w:t>
      </w:r>
    </w:p>
    <w:p w:rsidR="006F2A95" w:rsidRDefault="006F2A95" w:rsidP="00E76E4B">
      <w:pPr>
        <w:pStyle w:val="SingleTxtGA"/>
        <w:rPr>
          <w:rFonts w:hint="cs"/>
          <w:rtl/>
          <w:lang w:val="fr-CH" w:bidi="ar"/>
        </w:rPr>
      </w:pPr>
      <w:r>
        <w:rPr>
          <w:rFonts w:hint="cs"/>
          <w:rtl/>
          <w:lang w:val="fr-CH"/>
        </w:rPr>
        <w:t>25-</w:t>
      </w:r>
      <w:r>
        <w:rPr>
          <w:rFonts w:hint="cs"/>
          <w:rtl/>
          <w:lang w:val="fr-CH"/>
        </w:rPr>
        <w:tab/>
        <w:t>تشعر اللجنة بالقلق إزاء التقارير التي تفيد بأن الفئات الضعيفة</w:t>
      </w:r>
      <w:r w:rsidR="00E76E4B">
        <w:rPr>
          <w:rFonts w:hint="cs"/>
          <w:rtl/>
          <w:lang w:val="fr-CH"/>
        </w:rPr>
        <w:t>،</w:t>
      </w:r>
      <w:r>
        <w:rPr>
          <w:rFonts w:hint="cs"/>
          <w:rtl/>
          <w:lang w:val="fr-CH"/>
        </w:rPr>
        <w:t xml:space="preserve"> </w:t>
      </w:r>
      <w:r w:rsidR="00E76E4B">
        <w:rPr>
          <w:rFonts w:hint="cs"/>
          <w:rtl/>
          <w:lang w:bidi="ar"/>
        </w:rPr>
        <w:t>ك</w:t>
      </w:r>
      <w:r>
        <w:rPr>
          <w:rFonts w:hint="cs"/>
          <w:rtl/>
          <w:lang w:bidi="ar"/>
        </w:rPr>
        <w:t>المثليات والمثليين وثنائيي الجنس ومزدوجي الميول الجنسية والمحولين جنسياً</w:t>
      </w:r>
      <w:r w:rsidR="00E76E4B">
        <w:rPr>
          <w:rFonts w:hint="cs"/>
          <w:rtl/>
          <w:lang w:bidi="ar"/>
        </w:rPr>
        <w:t>،</w:t>
      </w:r>
      <w:r>
        <w:rPr>
          <w:rFonts w:hint="cs"/>
          <w:rtl/>
          <w:lang w:bidi="ar"/>
        </w:rPr>
        <w:t xml:space="preserve"> يتعرضون للتمييز وسوء المعاملة، بما </w:t>
      </w:r>
      <w:r w:rsidR="00E76E4B">
        <w:rPr>
          <w:rFonts w:hint="cs"/>
          <w:rtl/>
          <w:lang w:bidi="ar"/>
        </w:rPr>
        <w:t>يشمل</w:t>
      </w:r>
      <w:r>
        <w:rPr>
          <w:rFonts w:hint="cs"/>
          <w:rtl/>
          <w:lang w:bidi="ar"/>
        </w:rPr>
        <w:t xml:space="preserve"> العنف الجنسي</w:t>
      </w:r>
      <w:r>
        <w:rPr>
          <w:rFonts w:hint="cs"/>
          <w:rtl/>
          <w:lang w:val="fr-CH" w:bidi="ar"/>
        </w:rPr>
        <w:t xml:space="preserve"> </w:t>
      </w:r>
      <w:r>
        <w:rPr>
          <w:rFonts w:hint="cs"/>
          <w:rtl/>
          <w:lang w:bidi="ar"/>
        </w:rPr>
        <w:t>وذلك في كل من الأوساط العامة وفي المنزل</w:t>
      </w:r>
      <w:r>
        <w:rPr>
          <w:rFonts w:hint="cs"/>
          <w:rtl/>
          <w:lang w:val="fr-CH" w:bidi="ar"/>
        </w:rPr>
        <w:t>. (المادتان 2 و16)</w:t>
      </w:r>
    </w:p>
    <w:p w:rsidR="006F2A95" w:rsidRPr="00EE2FE7" w:rsidRDefault="006F2A95" w:rsidP="00E76E4B">
      <w:pPr>
        <w:pStyle w:val="SingleTxtGA"/>
        <w:rPr>
          <w:rFonts w:hint="cs"/>
          <w:b/>
          <w:bCs/>
          <w:rtl/>
          <w:lang w:val="fr-CH"/>
        </w:rPr>
      </w:pPr>
      <w:r>
        <w:rPr>
          <w:rFonts w:hint="cs"/>
          <w:rtl/>
          <w:lang w:val="fr-CH" w:bidi="ar"/>
        </w:rPr>
        <w:tab/>
      </w:r>
      <w:r w:rsidRPr="00EE2FE7">
        <w:rPr>
          <w:rFonts w:hint="cs"/>
          <w:b/>
          <w:bCs/>
          <w:rtl/>
          <w:lang w:val="fr-CH" w:bidi="ar"/>
        </w:rPr>
        <w:t xml:space="preserve">ينبغي للدولة الطرف أن تحقق في الجرائم المتصلة بالتمييز ضد جميع الفئات الضعيفة </w:t>
      </w:r>
      <w:r w:rsidRPr="00EE2FE7">
        <w:rPr>
          <w:rFonts w:hint="cs"/>
          <w:b/>
          <w:bCs/>
          <w:rtl/>
          <w:lang w:val="fr-CH"/>
        </w:rPr>
        <w:t>وتسلك الطرق التي تمكنها من منع جرائم الكراهية ومعاقبة مرتكبيها. وينبغي أيض</w:t>
      </w:r>
      <w:r>
        <w:rPr>
          <w:rFonts w:hint="cs"/>
          <w:b/>
          <w:bCs/>
          <w:rtl/>
          <w:lang w:val="fr-CH"/>
        </w:rPr>
        <w:t xml:space="preserve">اً </w:t>
      </w:r>
      <w:r w:rsidRPr="00EE2FE7">
        <w:rPr>
          <w:rFonts w:hint="cs"/>
          <w:b/>
          <w:bCs/>
          <w:rtl/>
          <w:lang w:val="fr-CH"/>
        </w:rPr>
        <w:t>للدولة الطرف أن تسارع بالتحقيق في جميع قضايا التمييز وسوء المعاملة تجاه هذه الفئات الضعيفة تحقيق</w:t>
      </w:r>
      <w:r>
        <w:rPr>
          <w:rFonts w:hint="cs"/>
          <w:b/>
          <w:bCs/>
          <w:rtl/>
          <w:lang w:val="fr-CH"/>
        </w:rPr>
        <w:t xml:space="preserve">اً </w:t>
      </w:r>
      <w:r w:rsidRPr="00EE2FE7">
        <w:rPr>
          <w:rFonts w:hint="cs"/>
          <w:b/>
          <w:bCs/>
          <w:rtl/>
          <w:lang w:val="fr-CH"/>
        </w:rPr>
        <w:t>كامل</w:t>
      </w:r>
      <w:r>
        <w:rPr>
          <w:rFonts w:hint="cs"/>
          <w:b/>
          <w:bCs/>
          <w:rtl/>
          <w:lang w:val="fr-CH"/>
        </w:rPr>
        <w:t xml:space="preserve">اً </w:t>
      </w:r>
      <w:r w:rsidRPr="00EE2FE7">
        <w:rPr>
          <w:rFonts w:hint="cs"/>
          <w:b/>
          <w:bCs/>
          <w:rtl/>
          <w:lang w:val="fr-CH"/>
        </w:rPr>
        <w:t>ومحايدا</w:t>
      </w:r>
      <w:r>
        <w:rPr>
          <w:rFonts w:hint="cs"/>
          <w:b/>
          <w:bCs/>
          <w:rtl/>
          <w:lang w:val="fr-CH"/>
        </w:rPr>
        <w:t>ً</w:t>
      </w:r>
      <w:r w:rsidRPr="00EE2FE7">
        <w:rPr>
          <w:rFonts w:hint="cs"/>
          <w:b/>
          <w:bCs/>
          <w:rtl/>
          <w:lang w:val="fr-CH"/>
        </w:rPr>
        <w:t>، ومعاقبة المسؤولين عن هذه الأفعال. وينبغي للدولة الطرف تنظيم حملات توعية لصالح جميع الموظفين ممن لهم ا</w:t>
      </w:r>
      <w:r>
        <w:rPr>
          <w:rFonts w:hint="cs"/>
          <w:b/>
          <w:bCs/>
          <w:rtl/>
          <w:lang w:val="fr-CH"/>
        </w:rPr>
        <w:t>تصال مباشر بضحايا هذا العنف، ول</w:t>
      </w:r>
      <w:r w:rsidRPr="00EE2FE7">
        <w:rPr>
          <w:rFonts w:hint="cs"/>
          <w:b/>
          <w:bCs/>
          <w:rtl/>
          <w:lang w:val="fr-CH"/>
        </w:rPr>
        <w:t>صالح السكان عامة.</w:t>
      </w:r>
    </w:p>
    <w:p w:rsidR="006F2A95" w:rsidRDefault="00812524" w:rsidP="00812524">
      <w:pPr>
        <w:pStyle w:val="H23GA"/>
        <w:rPr>
          <w:rFonts w:hint="cs"/>
          <w:rtl/>
          <w:lang w:val="fr-CH"/>
        </w:rPr>
      </w:pPr>
      <w:r>
        <w:rPr>
          <w:rtl/>
          <w:lang w:val="fr-CH"/>
        </w:rPr>
        <w:br w:type="page"/>
      </w:r>
      <w:r>
        <w:rPr>
          <w:rFonts w:hint="cs"/>
          <w:rtl/>
          <w:lang w:val="fr-CH"/>
        </w:rPr>
        <w:tab/>
      </w:r>
      <w:r>
        <w:rPr>
          <w:rFonts w:hint="cs"/>
          <w:rtl/>
          <w:lang w:val="fr-CH"/>
        </w:rPr>
        <w:tab/>
      </w:r>
      <w:r w:rsidR="006F2A95" w:rsidRPr="002C44E6">
        <w:rPr>
          <w:rFonts w:hint="cs"/>
          <w:rtl/>
          <w:lang w:val="fr-CH"/>
        </w:rPr>
        <w:t>حالة الأشخاص "</w:t>
      </w:r>
      <w:proofErr w:type="spellStart"/>
      <w:r w:rsidR="00E76E4B">
        <w:rPr>
          <w:rFonts w:hint="cs"/>
          <w:rtl/>
          <w:lang w:val="fr-CH"/>
        </w:rPr>
        <w:t>الب</w:t>
      </w:r>
      <w:r w:rsidR="006F2A95" w:rsidRPr="002C44E6">
        <w:rPr>
          <w:rFonts w:hint="cs"/>
          <w:rtl/>
          <w:lang w:val="fr-CH"/>
        </w:rPr>
        <w:t>دون</w:t>
      </w:r>
      <w:proofErr w:type="spellEnd"/>
      <w:r w:rsidR="006F2A95" w:rsidRPr="002C44E6">
        <w:rPr>
          <w:rFonts w:hint="cs"/>
          <w:rtl/>
          <w:lang w:val="fr-CH"/>
        </w:rPr>
        <w:t>"</w:t>
      </w:r>
    </w:p>
    <w:p w:rsidR="006F2A95" w:rsidRDefault="006F2A95" w:rsidP="00E76E4B">
      <w:pPr>
        <w:pStyle w:val="SingleTxtGA"/>
        <w:rPr>
          <w:rFonts w:hint="cs"/>
          <w:rtl/>
          <w:lang w:val="fr-CH"/>
        </w:rPr>
      </w:pPr>
      <w:r w:rsidRPr="00EE2FE7">
        <w:rPr>
          <w:rFonts w:hint="cs"/>
          <w:rtl/>
          <w:lang w:val="fr-CH"/>
        </w:rPr>
        <w:t>26-</w:t>
      </w:r>
      <w:r w:rsidRPr="00EE2FE7">
        <w:rPr>
          <w:rFonts w:hint="cs"/>
          <w:rtl/>
          <w:lang w:val="fr-CH"/>
        </w:rPr>
        <w:tab/>
        <w:t>تعرب اللجنة عن قلقها إزاء ح</w:t>
      </w:r>
      <w:r>
        <w:rPr>
          <w:rFonts w:hint="cs"/>
          <w:rtl/>
          <w:lang w:val="fr-CH"/>
        </w:rPr>
        <w:t>الة</w:t>
      </w:r>
      <w:r w:rsidR="00E76E4B">
        <w:rPr>
          <w:rFonts w:hint="cs"/>
          <w:rtl/>
          <w:lang w:val="fr-CH"/>
        </w:rPr>
        <w:t xml:space="preserve"> 000 100</w:t>
      </w:r>
      <w:r>
        <w:rPr>
          <w:rFonts w:hint="cs"/>
          <w:rtl/>
          <w:lang w:val="fr-CH"/>
        </w:rPr>
        <w:t xml:space="preserve"> شخص على الأقل من الأشخاص الذين لا تعترف بهم الدولة قانونياً ويطلق عليهم اسم "</w:t>
      </w:r>
      <w:proofErr w:type="spellStart"/>
      <w:r w:rsidR="00E76E4B">
        <w:rPr>
          <w:rFonts w:hint="cs"/>
          <w:rtl/>
          <w:lang w:val="fr-CH"/>
        </w:rPr>
        <w:t>ال</w:t>
      </w:r>
      <w:r>
        <w:rPr>
          <w:rFonts w:hint="cs"/>
          <w:rtl/>
          <w:lang w:val="fr-CH"/>
        </w:rPr>
        <w:t>بدون</w:t>
      </w:r>
      <w:proofErr w:type="spellEnd"/>
      <w:r>
        <w:rPr>
          <w:rFonts w:hint="cs"/>
          <w:rtl/>
          <w:lang w:val="fr-CH"/>
        </w:rPr>
        <w:t>" (أي بدون جنسية)، ويقعون حسب الادعاءات ضحية لأنواع مختلفة من التمييز وسوء المعاملة (المادة 16).</w:t>
      </w:r>
    </w:p>
    <w:p w:rsidR="006F2A95" w:rsidRPr="00EE2B8C" w:rsidRDefault="006F2A95" w:rsidP="00E76E4B">
      <w:pPr>
        <w:pStyle w:val="SingleTxtGA"/>
        <w:rPr>
          <w:rFonts w:hint="cs"/>
          <w:b/>
          <w:bCs/>
          <w:rtl/>
          <w:lang w:val="fr-CH" w:bidi="ar"/>
        </w:rPr>
      </w:pPr>
      <w:r>
        <w:rPr>
          <w:rFonts w:hint="cs"/>
          <w:rtl/>
          <w:lang w:val="fr-CH"/>
        </w:rPr>
        <w:tab/>
      </w:r>
      <w:r w:rsidRPr="00EE2B8C">
        <w:rPr>
          <w:rFonts w:hint="cs"/>
          <w:b/>
          <w:bCs/>
          <w:rtl/>
          <w:lang w:val="fr-CH"/>
        </w:rPr>
        <w:t>ينبغي للدولة الطرف أن تسن تشريعات من أجل حماية الأشخاص "</w:t>
      </w:r>
      <w:proofErr w:type="spellStart"/>
      <w:r w:rsidR="00E76E4B">
        <w:rPr>
          <w:rFonts w:hint="cs"/>
          <w:b/>
          <w:bCs/>
          <w:rtl/>
          <w:lang w:val="fr-CH"/>
        </w:rPr>
        <w:t>ال</w:t>
      </w:r>
      <w:r w:rsidRPr="00EE2B8C">
        <w:rPr>
          <w:rFonts w:hint="cs"/>
          <w:b/>
          <w:bCs/>
          <w:rtl/>
          <w:lang w:val="fr-CH"/>
        </w:rPr>
        <w:t>بدون</w:t>
      </w:r>
      <w:proofErr w:type="spellEnd"/>
      <w:r w:rsidRPr="00EE2B8C">
        <w:rPr>
          <w:rFonts w:hint="cs"/>
          <w:b/>
          <w:bCs/>
          <w:rtl/>
          <w:lang w:val="fr-CH"/>
        </w:rPr>
        <w:t>" والاعتراف بمركزهم القانوني. وينبغي للدولة الطرف أن تعتمد أيض</w:t>
      </w:r>
      <w:r>
        <w:rPr>
          <w:rFonts w:hint="cs"/>
          <w:b/>
          <w:bCs/>
          <w:rtl/>
          <w:lang w:val="fr-CH"/>
        </w:rPr>
        <w:t>اً جميع التدابير القانونية والعملية المناسبة لتبسيط وتسهيل تسوية وضع هؤلاء الأشخاص وأطفالهم وإدماجهم. وينبغي أن تضمن تمتع هؤلاء الأشخاص بجميع حقوق الإنسان دون أي تمييز. وينبغي للدولة الطرف أيضاً أن تعتمد التدابير اللازمة لضمان إعلام هؤلاء الأشخاص بحقوقه</w:t>
      </w:r>
      <w:r w:rsidRPr="004A122D">
        <w:rPr>
          <w:rFonts w:hint="cs"/>
          <w:b/>
          <w:bCs/>
          <w:rtl/>
          <w:lang w:val="fr-CH"/>
        </w:rPr>
        <w:t xml:space="preserve">م بلغة يفهمونها واستفادتهم من الضمانات القانونية الأساسية </w:t>
      </w:r>
      <w:r w:rsidR="00E76E4B">
        <w:rPr>
          <w:rFonts w:hint="cs"/>
          <w:b/>
          <w:bCs/>
          <w:rtl/>
          <w:lang w:val="fr-CH"/>
        </w:rPr>
        <w:t xml:space="preserve">من </w:t>
      </w:r>
      <w:r w:rsidRPr="004A122D">
        <w:rPr>
          <w:rFonts w:hint="cs"/>
          <w:b/>
          <w:bCs/>
          <w:rtl/>
          <w:lang w:val="fr-CH"/>
        </w:rPr>
        <w:t>لحظة حرمانهم من حريتهم، دون أي تمييز</w:t>
      </w:r>
      <w:r>
        <w:rPr>
          <w:rFonts w:hint="cs"/>
          <w:b/>
          <w:bCs/>
          <w:rtl/>
          <w:lang w:val="fr-CH" w:bidi="ar"/>
        </w:rPr>
        <w:t>.</w:t>
      </w:r>
    </w:p>
    <w:p w:rsidR="006F2A95" w:rsidRDefault="00812524" w:rsidP="00812524">
      <w:pPr>
        <w:pStyle w:val="H23GA"/>
        <w:rPr>
          <w:rFonts w:hint="cs"/>
          <w:rtl/>
          <w:lang w:val="fr-CH"/>
        </w:rPr>
      </w:pPr>
      <w:r>
        <w:rPr>
          <w:rFonts w:hint="cs"/>
          <w:rtl/>
          <w:lang w:val="fr-CH"/>
        </w:rPr>
        <w:tab/>
      </w:r>
      <w:r>
        <w:rPr>
          <w:rFonts w:hint="cs"/>
          <w:rtl/>
          <w:lang w:val="fr-CH"/>
        </w:rPr>
        <w:tab/>
      </w:r>
      <w:r w:rsidR="006F2A95" w:rsidRPr="002C44E6">
        <w:rPr>
          <w:rFonts w:hint="cs"/>
          <w:rtl/>
          <w:lang w:val="fr-CH"/>
        </w:rPr>
        <w:t>المؤسسات الوطنية لحقوق الإنسان</w:t>
      </w:r>
    </w:p>
    <w:p w:rsidR="006F2A95" w:rsidRPr="007A6B0A" w:rsidRDefault="006F2A95" w:rsidP="006F2A95">
      <w:pPr>
        <w:pStyle w:val="SingleTxtGA"/>
        <w:rPr>
          <w:rFonts w:hint="cs"/>
          <w:rtl/>
          <w:lang w:val="fr-CH"/>
        </w:rPr>
      </w:pPr>
      <w:r w:rsidRPr="007A6B0A">
        <w:rPr>
          <w:rFonts w:hint="cs"/>
          <w:rtl/>
          <w:lang w:val="fr-CH"/>
        </w:rPr>
        <w:t>27-</w:t>
      </w:r>
      <w:r w:rsidRPr="007A6B0A">
        <w:rPr>
          <w:rFonts w:hint="cs"/>
          <w:rtl/>
          <w:lang w:val="fr-CH"/>
        </w:rPr>
        <w:tab/>
        <w:t xml:space="preserve">تلاحظ اللجنة بقلق أن الدولة الطرف لم تنشئ بعد مؤسسة </w:t>
      </w:r>
      <w:r>
        <w:rPr>
          <w:rFonts w:hint="cs"/>
          <w:rtl/>
          <w:lang w:val="fr-CH"/>
        </w:rPr>
        <w:t>وطنية لحقوق الإنسان من أجل تعزيز حقوق الإنسان وحمايتها في الدولة الطرف، وفقاً للمبادئ المتعلقة بمركز المؤسسات الوطنية لتعزيز وحماية حقوق الإنسان (مبادئ باريس) (قرار الجمعية العامة 48/134، المرفق) (المادة 2).</w:t>
      </w:r>
    </w:p>
    <w:p w:rsidR="006F2A95" w:rsidRDefault="006F2A95" w:rsidP="00E76E4B">
      <w:pPr>
        <w:pStyle w:val="SingleTxtGA"/>
        <w:rPr>
          <w:rFonts w:hint="cs"/>
          <w:b/>
          <w:bCs/>
          <w:rtl/>
          <w:lang w:val="fr-CH"/>
        </w:rPr>
      </w:pPr>
      <w:r>
        <w:rPr>
          <w:rFonts w:hint="cs"/>
          <w:b/>
          <w:bCs/>
          <w:rtl/>
          <w:lang w:val="fr-CH"/>
        </w:rPr>
        <w:tab/>
      </w:r>
      <w:r w:rsidRPr="00EE2B8C">
        <w:rPr>
          <w:rFonts w:hint="cs"/>
          <w:b/>
          <w:bCs/>
          <w:rtl/>
          <w:lang w:val="fr-CH"/>
        </w:rPr>
        <w:t xml:space="preserve">ينبغي للدولة الطرف أن </w:t>
      </w:r>
      <w:r>
        <w:rPr>
          <w:rFonts w:hint="cs"/>
          <w:b/>
          <w:bCs/>
          <w:rtl/>
          <w:lang w:val="fr-CH"/>
        </w:rPr>
        <w:t>تنشئ مؤسسة وطنية مستقلة لحقوق الإنسان، وفقاً لمبادئ باريس.</w:t>
      </w:r>
    </w:p>
    <w:p w:rsidR="006F2A95" w:rsidRPr="002C44E6" w:rsidRDefault="00812524" w:rsidP="00812524">
      <w:pPr>
        <w:pStyle w:val="H23GA"/>
        <w:rPr>
          <w:rFonts w:hint="cs"/>
          <w:rtl/>
          <w:lang w:val="fr-CH"/>
        </w:rPr>
      </w:pPr>
      <w:r>
        <w:rPr>
          <w:rFonts w:hint="cs"/>
          <w:rtl/>
          <w:lang w:val="fr-CH"/>
        </w:rPr>
        <w:tab/>
      </w:r>
      <w:r>
        <w:rPr>
          <w:rFonts w:hint="cs"/>
          <w:rtl/>
          <w:lang w:val="fr-CH"/>
        </w:rPr>
        <w:tab/>
      </w:r>
      <w:r w:rsidR="006F2A95" w:rsidRPr="002C44E6">
        <w:rPr>
          <w:rFonts w:hint="cs"/>
          <w:rtl/>
          <w:lang w:val="fr-CH"/>
        </w:rPr>
        <w:t>جمع البيانات</w:t>
      </w:r>
    </w:p>
    <w:p w:rsidR="006F2A95" w:rsidRDefault="006F2A95" w:rsidP="006F2A95">
      <w:pPr>
        <w:pStyle w:val="SingleTxtGA"/>
        <w:rPr>
          <w:rFonts w:hint="cs"/>
          <w:rtl/>
          <w:lang w:val="fr-CH" w:bidi="ar"/>
        </w:rPr>
      </w:pPr>
      <w:r>
        <w:rPr>
          <w:rFonts w:hint="cs"/>
          <w:rtl/>
          <w:lang w:val="fr-CH"/>
        </w:rPr>
        <w:t>28-</w:t>
      </w:r>
      <w:r>
        <w:rPr>
          <w:rFonts w:hint="cs"/>
          <w:rtl/>
          <w:lang w:val="fr-CH"/>
        </w:rPr>
        <w:tab/>
        <w:t xml:space="preserve">تأسف اللجنة </w:t>
      </w:r>
      <w:r>
        <w:rPr>
          <w:rFonts w:hint="cs"/>
          <w:rtl/>
          <w:lang w:bidi="ar"/>
        </w:rPr>
        <w:t xml:space="preserve">لعدم تقديم بيانات شاملة ومصنفة بشأن الشكاوى والتحقيقات والملاحقات القضائية والإدانات المتصلة بحالات التعذيب وسوء المعاملة على يد الموظفين المكلفين بإنفاذ القوانين وأفراد الأمن والاستخبارات وموظفي السجون، وبشأن الاتجار وسوء معاملة العمال المهاجرين والعنف المنزلي والجنسي. </w:t>
      </w:r>
    </w:p>
    <w:p w:rsidR="006F2A95" w:rsidRDefault="006F2A95" w:rsidP="00E76E4B">
      <w:pPr>
        <w:pStyle w:val="SingleTxtGA"/>
        <w:rPr>
          <w:rFonts w:hint="cs"/>
          <w:b/>
          <w:bCs/>
          <w:rtl/>
          <w:lang w:val="fr-CH" w:bidi="ar"/>
        </w:rPr>
      </w:pPr>
      <w:r>
        <w:rPr>
          <w:rFonts w:hint="cs"/>
          <w:rtl/>
          <w:lang w:val="fr-CH"/>
        </w:rPr>
        <w:tab/>
      </w:r>
      <w:r w:rsidRPr="00AA1F74">
        <w:rPr>
          <w:rFonts w:hint="cs"/>
          <w:b/>
          <w:bCs/>
          <w:rtl/>
          <w:lang w:val="fr-CH"/>
        </w:rPr>
        <w:t xml:space="preserve">ينبغي للدولة الطرف أن تجمع البيانات الإحصائية المناسبة لرصد تنفيذ الاتفاقية على المستوى الوطني، بما فيها البيانات المتعلقة بالشكاوى والتحقيقات والملاحقات </w:t>
      </w:r>
      <w:r w:rsidR="00E76E4B">
        <w:rPr>
          <w:rFonts w:hint="cs"/>
          <w:b/>
          <w:bCs/>
          <w:rtl/>
          <w:lang w:val="fr-CH"/>
        </w:rPr>
        <w:t xml:space="preserve">والإدانات في قضايا </w:t>
      </w:r>
      <w:r w:rsidRPr="00AA1F74">
        <w:rPr>
          <w:rFonts w:hint="cs"/>
          <w:b/>
          <w:bCs/>
          <w:rtl/>
          <w:lang w:bidi="ar"/>
        </w:rPr>
        <w:t>التعذيب وسوء المعاملة والاتجار</w:t>
      </w:r>
      <w:r w:rsidR="00E76E4B">
        <w:rPr>
          <w:rFonts w:hint="cs"/>
          <w:b/>
          <w:bCs/>
          <w:rtl/>
          <w:lang w:bidi="ar"/>
        </w:rPr>
        <w:t>،</w:t>
      </w:r>
      <w:r w:rsidRPr="00AA1F74">
        <w:rPr>
          <w:rFonts w:hint="cs"/>
          <w:b/>
          <w:bCs/>
          <w:rtl/>
          <w:lang w:bidi="ar"/>
        </w:rPr>
        <w:t xml:space="preserve"> وسوء معاملة العمال المهاجرين والعنف المنزلي والجنسي، والبيانات المتعلقة بما يقدم للضحايا من تعويضات وإعادة تأهيل.</w:t>
      </w:r>
    </w:p>
    <w:p w:rsidR="006F2A95" w:rsidRDefault="006F2A95" w:rsidP="00E76E4B">
      <w:pPr>
        <w:pStyle w:val="SingleTxtGA"/>
        <w:rPr>
          <w:rFonts w:hint="cs"/>
          <w:rtl/>
          <w:lang w:val="fr-CH" w:bidi="ar"/>
        </w:rPr>
      </w:pPr>
      <w:r w:rsidRPr="00AA1F74">
        <w:rPr>
          <w:rFonts w:hint="cs"/>
          <w:rtl/>
          <w:lang w:val="fr-CH" w:bidi="ar"/>
        </w:rPr>
        <w:t>29-</w:t>
      </w:r>
      <w:r w:rsidRPr="00AA1F74">
        <w:rPr>
          <w:rFonts w:hint="cs"/>
          <w:rtl/>
          <w:lang w:val="fr-CH" w:bidi="ar"/>
        </w:rPr>
        <w:tab/>
        <w:t>وتوصي اللجنة الدولة الطرف بال</w:t>
      </w:r>
      <w:r w:rsidR="00E76E4B">
        <w:rPr>
          <w:rFonts w:hint="cs"/>
          <w:rtl/>
          <w:lang w:val="fr-CH" w:bidi="ar"/>
        </w:rPr>
        <w:t>نظر</w:t>
      </w:r>
      <w:r w:rsidRPr="00AA1F74">
        <w:rPr>
          <w:rFonts w:hint="cs"/>
          <w:rtl/>
          <w:lang w:val="fr-CH" w:bidi="ar"/>
        </w:rPr>
        <w:t xml:space="preserve"> في التصديق على البروتوكول الاختياري للاتفاقية.</w:t>
      </w:r>
    </w:p>
    <w:p w:rsidR="006F2A95" w:rsidRDefault="006F2A95" w:rsidP="006F2A95">
      <w:pPr>
        <w:pStyle w:val="SingleTxtGA"/>
        <w:rPr>
          <w:rFonts w:hint="cs"/>
          <w:rtl/>
          <w:lang w:val="fr-CH" w:bidi="ar"/>
        </w:rPr>
      </w:pPr>
      <w:r>
        <w:rPr>
          <w:rFonts w:hint="cs"/>
          <w:rtl/>
          <w:lang w:val="fr-CH" w:bidi="ar"/>
        </w:rPr>
        <w:t>30-</w:t>
      </w:r>
      <w:r>
        <w:rPr>
          <w:rFonts w:hint="cs"/>
          <w:rtl/>
          <w:lang w:val="fr-CH" w:bidi="ar"/>
        </w:rPr>
        <w:tab/>
        <w:t>وترحب اللجنة بتعهد الدولة الطرف المعرب عنه خلال الحوار بسحب تحفظها على المادة 20 من الاتفاقية.</w:t>
      </w:r>
    </w:p>
    <w:p w:rsidR="006F2A95" w:rsidRDefault="006F2A95" w:rsidP="00E76E4B">
      <w:pPr>
        <w:pStyle w:val="SingleTxtGA"/>
        <w:rPr>
          <w:rFonts w:hint="cs"/>
          <w:rtl/>
          <w:lang w:val="fr-CH" w:bidi="ar"/>
        </w:rPr>
      </w:pPr>
      <w:r>
        <w:rPr>
          <w:rFonts w:hint="cs"/>
          <w:rtl/>
          <w:lang w:val="fr-CH" w:bidi="ar"/>
        </w:rPr>
        <w:t>31-</w:t>
      </w:r>
      <w:r>
        <w:rPr>
          <w:rFonts w:hint="cs"/>
          <w:rtl/>
          <w:lang w:val="fr-CH" w:bidi="ar"/>
        </w:rPr>
        <w:tab/>
        <w:t xml:space="preserve">وتوصي اللجنة الدولة الطرف بأن تنظر </w:t>
      </w:r>
      <w:r>
        <w:rPr>
          <w:rFonts w:hint="cs"/>
          <w:rtl/>
          <w:lang w:bidi="ar"/>
        </w:rPr>
        <w:t xml:space="preserve">في </w:t>
      </w:r>
      <w:r w:rsidR="00E76E4B">
        <w:rPr>
          <w:rFonts w:hint="cs"/>
          <w:rtl/>
          <w:lang w:bidi="ar"/>
        </w:rPr>
        <w:t>إصدار</w:t>
      </w:r>
      <w:r>
        <w:rPr>
          <w:rFonts w:hint="cs"/>
          <w:rtl/>
          <w:lang w:bidi="ar"/>
        </w:rPr>
        <w:t xml:space="preserve"> الإعلانين المنصوص عليهمـا في المادة 21 والمادة 22 من الاتفاقية</w:t>
      </w:r>
      <w:r>
        <w:rPr>
          <w:rFonts w:hint="cs"/>
          <w:rtl/>
          <w:lang w:val="fr-CH" w:bidi="ar"/>
        </w:rPr>
        <w:t>.</w:t>
      </w:r>
    </w:p>
    <w:p w:rsidR="006F2A95" w:rsidRDefault="006F2A95" w:rsidP="00E76E4B">
      <w:pPr>
        <w:pStyle w:val="SingleTxtGA"/>
        <w:rPr>
          <w:rFonts w:hint="cs"/>
          <w:rtl/>
          <w:lang w:val="fr-CH" w:bidi="ar"/>
        </w:rPr>
      </w:pPr>
      <w:r>
        <w:rPr>
          <w:rFonts w:hint="cs"/>
          <w:rtl/>
          <w:lang w:val="fr-CH" w:bidi="ar"/>
        </w:rPr>
        <w:t>32-</w:t>
      </w:r>
      <w:r>
        <w:rPr>
          <w:rFonts w:hint="cs"/>
          <w:rtl/>
          <w:lang w:val="fr-CH" w:bidi="ar"/>
        </w:rPr>
        <w:tab/>
      </w:r>
      <w:r>
        <w:rPr>
          <w:rFonts w:hint="cs"/>
          <w:rtl/>
          <w:lang w:bidi="ar"/>
        </w:rPr>
        <w:t xml:space="preserve">وتدعو اللجنة الدولة الطرف إلى التصديق على معاهدات </w:t>
      </w:r>
      <w:r w:rsidR="00E76E4B">
        <w:rPr>
          <w:rFonts w:hint="cs"/>
          <w:rtl/>
          <w:lang w:bidi="ar"/>
        </w:rPr>
        <w:t xml:space="preserve">الأمم المتحدة </w:t>
      </w:r>
      <w:r>
        <w:rPr>
          <w:rFonts w:hint="cs"/>
          <w:rtl/>
          <w:lang w:bidi="ar"/>
        </w:rPr>
        <w:t xml:space="preserve">الأساسية لحقوق الإنسان التي ليست طرفاً فيها بعد، </w:t>
      </w:r>
      <w:r w:rsidR="00E76E4B">
        <w:rPr>
          <w:rFonts w:hint="cs"/>
          <w:rtl/>
          <w:lang w:bidi="ar"/>
        </w:rPr>
        <w:t xml:space="preserve">وهي تحديداً </w:t>
      </w:r>
      <w:r>
        <w:rPr>
          <w:rFonts w:hint="cs"/>
          <w:rtl/>
          <w:lang w:bidi="ar"/>
        </w:rPr>
        <w:t>اتفاقية حقوق الأشخاص ذوي الإعاقة واتفاقية حماية حقوق جميع العمال المهاجرين وأفراد أسرهم واتفاقية حماية جميع الأشخاص من الاختفاء القسري</w:t>
      </w:r>
      <w:r>
        <w:rPr>
          <w:rFonts w:hint="cs"/>
          <w:rtl/>
          <w:lang w:val="fr-CH" w:bidi="ar"/>
        </w:rPr>
        <w:t>.</w:t>
      </w:r>
    </w:p>
    <w:p w:rsidR="006F2A95" w:rsidRDefault="006F2A95" w:rsidP="006F2A95">
      <w:pPr>
        <w:pStyle w:val="SingleTxtGA"/>
        <w:rPr>
          <w:rFonts w:hint="cs"/>
          <w:rtl/>
          <w:lang w:val="fr-CH" w:bidi="ar"/>
        </w:rPr>
      </w:pPr>
      <w:r>
        <w:rPr>
          <w:rFonts w:hint="cs"/>
          <w:rtl/>
          <w:lang w:val="fr-CH" w:bidi="ar"/>
        </w:rPr>
        <w:t>33-</w:t>
      </w:r>
      <w:r>
        <w:rPr>
          <w:rFonts w:hint="cs"/>
          <w:rtl/>
          <w:lang w:val="fr-CH" w:bidi="ar"/>
        </w:rPr>
        <w:tab/>
      </w:r>
      <w:r>
        <w:rPr>
          <w:rFonts w:hint="cs"/>
          <w:rtl/>
          <w:lang w:bidi="ar"/>
        </w:rPr>
        <w:t xml:space="preserve">وتدعو اللجنة الدولة الطرف إلى التصديق على </w:t>
      </w:r>
      <w:r>
        <w:rPr>
          <w:rFonts w:hint="cs"/>
          <w:rtl/>
          <w:lang w:val="fr-CH"/>
        </w:rPr>
        <w:t xml:space="preserve">نظام روما الأساسي للمحكمة الجنائية </w:t>
      </w:r>
      <w:r w:rsidRPr="00B90607">
        <w:rPr>
          <w:rFonts w:hint="cs"/>
          <w:rtl/>
          <w:lang w:bidi="ar"/>
        </w:rPr>
        <w:t>الدولية</w:t>
      </w:r>
      <w:r>
        <w:rPr>
          <w:rFonts w:hint="cs"/>
          <w:rtl/>
          <w:cs/>
          <w:lang w:bidi="ar"/>
        </w:rPr>
        <w:t xml:space="preserve"> والاتفاقية المتعلقة بوضع الأشخاص عديمي الجنسية </w:t>
      </w:r>
      <w:r>
        <w:rPr>
          <w:rFonts w:hint="cs"/>
          <w:rtl/>
          <w:lang w:bidi="ar"/>
        </w:rPr>
        <w:t>واتفاقية خفض حالات انعدام الجنسية</w:t>
      </w:r>
      <w:r>
        <w:rPr>
          <w:rFonts w:hint="cs"/>
          <w:rtl/>
          <w:cs/>
          <w:lang w:bidi="ar"/>
        </w:rPr>
        <w:t>.</w:t>
      </w:r>
    </w:p>
    <w:p w:rsidR="006F2A95" w:rsidRDefault="006F2A95" w:rsidP="00E76E4B">
      <w:pPr>
        <w:pStyle w:val="SingleTxtGA"/>
        <w:rPr>
          <w:rFonts w:hint="cs"/>
          <w:rtl/>
          <w:lang w:val="fr-CH" w:bidi="ar"/>
        </w:rPr>
      </w:pPr>
      <w:r>
        <w:rPr>
          <w:rFonts w:hint="cs"/>
          <w:rtl/>
          <w:lang w:val="fr-CH" w:bidi="ar"/>
        </w:rPr>
        <w:t>34-</w:t>
      </w:r>
      <w:r>
        <w:rPr>
          <w:rFonts w:hint="cs"/>
          <w:rtl/>
          <w:lang w:val="fr-CH" w:bidi="ar"/>
        </w:rPr>
        <w:tab/>
      </w:r>
      <w:r>
        <w:rPr>
          <w:rFonts w:hint="cs"/>
          <w:rtl/>
          <w:lang w:val="fr-CH"/>
        </w:rPr>
        <w:t xml:space="preserve">وتدعو اللجنة الدولة الطرف إلى تقديم تقريرها الدوري المقبل وفقاً للمبادئ التوجيهية لتقديم التقارير وأن تحترم عدد الصفحات المحدد ألا وهو 40 صفحة فيما يخص </w:t>
      </w:r>
      <w:r w:rsidR="00E76E4B">
        <w:rPr>
          <w:rFonts w:hint="cs"/>
          <w:rtl/>
          <w:lang w:val="fr-CH"/>
        </w:rPr>
        <w:t xml:space="preserve">الوثيقة المتعلقة </w:t>
      </w:r>
      <w:r>
        <w:rPr>
          <w:rFonts w:hint="cs"/>
          <w:rtl/>
          <w:lang w:val="fr-CH"/>
        </w:rPr>
        <w:t>بمعاهد</w:t>
      </w:r>
      <w:r w:rsidR="00E76E4B">
        <w:rPr>
          <w:rFonts w:hint="cs"/>
          <w:rtl/>
          <w:lang w:val="fr-CH"/>
        </w:rPr>
        <w:t>ة محددة</w:t>
      </w:r>
      <w:r>
        <w:rPr>
          <w:rFonts w:hint="cs"/>
          <w:rtl/>
          <w:lang w:val="fr-CH"/>
        </w:rPr>
        <w:t>. وتدعو اللجنة الدولة الطرف أيضاً إلى تحديث وثيقتها الأساسية الموحدة وفقاً لمتطلبات الوثيقة الأساسية الموحدة الواردة في المبادئ التوجيهية المنسقة لتقديم التقارير بموجب المعاهدات الدولية لحقوق الإنسان (</w:t>
      </w:r>
      <w:r w:rsidRPr="00F939D2">
        <w:t>HRI/GEN.2/Rev.6</w:t>
      </w:r>
      <w:r>
        <w:rPr>
          <w:rFonts w:hint="cs"/>
          <w:rtl/>
          <w:lang w:val="fr-CH"/>
        </w:rPr>
        <w:t xml:space="preserve">) التي أقرها الاجتماع </w:t>
      </w:r>
      <w:r w:rsidRPr="00E76E4B">
        <w:rPr>
          <w:rFonts w:hint="cs"/>
          <w:spacing w:val="-2"/>
          <w:rtl/>
          <w:lang w:val="fr-CH"/>
        </w:rPr>
        <w:t xml:space="preserve">المشترك بين لجان </w:t>
      </w:r>
      <w:r w:rsidRPr="00E76E4B">
        <w:rPr>
          <w:spacing w:val="-2"/>
          <w:rtl/>
          <w:lang w:val="fr-CH"/>
        </w:rPr>
        <w:t>هيئات معاهدات حقوق الإ</w:t>
      </w:r>
      <w:r w:rsidRPr="00E76E4B">
        <w:rPr>
          <w:rFonts w:hint="cs"/>
          <w:spacing w:val="-2"/>
          <w:rtl/>
          <w:lang w:val="fr-CH"/>
        </w:rPr>
        <w:t xml:space="preserve">نسان، وأن تحترم عدد الصفحات المحدد </w:t>
      </w:r>
      <w:r w:rsidR="00E76E4B" w:rsidRPr="00E76E4B">
        <w:rPr>
          <w:rFonts w:hint="cs"/>
          <w:spacing w:val="-2"/>
          <w:rtl/>
          <w:lang w:val="fr-CH"/>
        </w:rPr>
        <w:t>وهو</w:t>
      </w:r>
      <w:r>
        <w:rPr>
          <w:rFonts w:hint="cs"/>
          <w:rtl/>
          <w:lang w:val="fr-CH"/>
        </w:rPr>
        <w:t xml:space="preserve"> 80 صفحة للوثيقة الأساسية الموحدة.</w:t>
      </w:r>
      <w:r w:rsidRPr="001531DC">
        <w:rPr>
          <w:rFonts w:hint="cs"/>
          <w:rtl/>
          <w:lang w:bidi="ar"/>
        </w:rPr>
        <w:t xml:space="preserve"> </w:t>
      </w:r>
      <w:r>
        <w:rPr>
          <w:rFonts w:hint="cs"/>
          <w:rtl/>
          <w:lang w:bidi="ar"/>
        </w:rPr>
        <w:t>وتشكل الوثيقة المتعلقة بمعاهدة محددة والوثيقة الأساسية الموحدة معاً التزام الدولة الطرف بالإبلاغ بموجب الاتفاقية</w:t>
      </w:r>
      <w:r>
        <w:rPr>
          <w:rFonts w:hint="cs"/>
          <w:rtl/>
          <w:lang w:val="fr-CH" w:bidi="ar"/>
        </w:rPr>
        <w:t>.</w:t>
      </w:r>
    </w:p>
    <w:p w:rsidR="006F2A95" w:rsidRDefault="006F2A95" w:rsidP="00E76E4B">
      <w:pPr>
        <w:pStyle w:val="SingleTxtGA"/>
        <w:rPr>
          <w:rFonts w:hint="cs"/>
          <w:rtl/>
          <w:lang w:bidi="ar"/>
        </w:rPr>
      </w:pPr>
      <w:r>
        <w:rPr>
          <w:rFonts w:hint="cs"/>
          <w:rtl/>
          <w:lang w:val="fr-CH" w:bidi="ar"/>
        </w:rPr>
        <w:t>35-</w:t>
      </w:r>
      <w:r>
        <w:rPr>
          <w:rFonts w:hint="cs"/>
          <w:rtl/>
          <w:lang w:val="fr-CH" w:bidi="ar"/>
        </w:rPr>
        <w:tab/>
      </w:r>
      <w:r>
        <w:rPr>
          <w:rFonts w:hint="cs"/>
          <w:rtl/>
          <w:lang w:bidi="ar"/>
        </w:rPr>
        <w:t xml:space="preserve">وتشجع اللجنة الدولة الطرف على أن تنشر على نطاق واسع التقارير </w:t>
      </w:r>
      <w:r w:rsidR="00E76E4B">
        <w:rPr>
          <w:rFonts w:hint="cs"/>
          <w:rtl/>
          <w:lang w:bidi="ar"/>
        </w:rPr>
        <w:t>المقدمة</w:t>
      </w:r>
      <w:r>
        <w:rPr>
          <w:rFonts w:hint="cs"/>
          <w:rtl/>
          <w:lang w:bidi="ar"/>
        </w:rPr>
        <w:t xml:space="preserve"> إلى اللجنة وهذه الملاحظات الختامية باللغات المناسبة عن طريق المواقع الرسمية على الإنترنت ووسائل الإعلام والمنظمات غير الحكومية.</w:t>
      </w:r>
    </w:p>
    <w:p w:rsidR="006F2A95" w:rsidRDefault="006F2A95" w:rsidP="006F2A95">
      <w:pPr>
        <w:pStyle w:val="SingleTxtGA"/>
        <w:rPr>
          <w:rFonts w:hint="cs"/>
          <w:rtl/>
          <w:lang w:val="fr-CH" w:bidi="ar"/>
        </w:rPr>
      </w:pPr>
      <w:r>
        <w:rPr>
          <w:rFonts w:hint="cs"/>
          <w:rtl/>
          <w:lang w:bidi="ar"/>
        </w:rPr>
        <w:t>36-</w:t>
      </w:r>
      <w:r>
        <w:rPr>
          <w:rFonts w:hint="cs"/>
          <w:rtl/>
          <w:lang w:bidi="ar"/>
        </w:rPr>
        <w:tab/>
        <w:t xml:space="preserve">وتطلب اللجنة إلى الدولة الطرف </w:t>
      </w:r>
      <w:r>
        <w:rPr>
          <w:rFonts w:hint="cs"/>
          <w:rtl/>
          <w:lang w:val="fr-CH"/>
        </w:rPr>
        <w:t xml:space="preserve">أن تقدم، في غضون سنة واحدة، </w:t>
      </w:r>
      <w:r>
        <w:rPr>
          <w:rFonts w:hint="cs"/>
          <w:rtl/>
          <w:lang w:bidi="ar"/>
        </w:rPr>
        <w:t>معلومات عن إجراءات المتابعة استجابة لتوصيات اللجنة الواردة في الفقرات 10 و11 و17</w:t>
      </w:r>
      <w:r w:rsidR="00E76E4B">
        <w:rPr>
          <w:rFonts w:hint="cs"/>
          <w:rtl/>
          <w:lang w:bidi="ar"/>
        </w:rPr>
        <w:t>، مع تقديم</w:t>
      </w:r>
      <w:r>
        <w:rPr>
          <w:rFonts w:hint="cs"/>
          <w:rtl/>
          <w:lang w:bidi="ar"/>
        </w:rPr>
        <w:t xml:space="preserve"> ومعلومات عن إجراءات المتابعة</w:t>
      </w:r>
      <w:r>
        <w:rPr>
          <w:rFonts w:hint="cs"/>
          <w:rtl/>
          <w:lang w:val="fr-CH" w:bidi="ar"/>
        </w:rPr>
        <w:t xml:space="preserve"> بشأن التزامها المشار إليه في الفقرة 6 من هذه الملاحظات الختامية.</w:t>
      </w:r>
    </w:p>
    <w:p w:rsidR="006F2A95" w:rsidRPr="00AA1F74" w:rsidRDefault="006F2A95" w:rsidP="00E76E4B">
      <w:pPr>
        <w:pStyle w:val="SingleTxtGA"/>
        <w:rPr>
          <w:rFonts w:hint="cs"/>
          <w:rtl/>
          <w:lang w:val="fr-CH" w:bidi="ar"/>
        </w:rPr>
      </w:pPr>
      <w:r>
        <w:rPr>
          <w:rFonts w:hint="cs"/>
          <w:rtl/>
          <w:lang w:val="fr-CH" w:bidi="ar"/>
        </w:rPr>
        <w:t>37-</w:t>
      </w:r>
      <w:r>
        <w:rPr>
          <w:rFonts w:hint="cs"/>
          <w:rtl/>
          <w:lang w:val="fr-CH" w:bidi="ar"/>
        </w:rPr>
        <w:tab/>
      </w:r>
      <w:r>
        <w:rPr>
          <w:rFonts w:hint="cs"/>
          <w:rtl/>
          <w:lang w:val="fr-CH"/>
        </w:rPr>
        <w:t>والدولة الطرف مدعوّة إلى تقديم تقريرها الدوري التالي الذي سيعتبر التقرير الثالث بحلول 3 حزيران/يونيه 2015.</w:t>
      </w:r>
    </w:p>
    <w:p w:rsidR="006F2A95" w:rsidRPr="006F2A95" w:rsidRDefault="006F2A95" w:rsidP="006F2A95">
      <w:pPr>
        <w:spacing w:before="120"/>
        <w:jc w:val="center"/>
        <w:rPr>
          <w:rFonts w:hint="cs"/>
          <w:u w:val="single"/>
          <w:rtl/>
        </w:rPr>
      </w:pPr>
      <w:r>
        <w:rPr>
          <w:u w:val="single"/>
          <w:rtl/>
        </w:rPr>
        <w:tab/>
      </w:r>
      <w:r>
        <w:rPr>
          <w:u w:val="single"/>
          <w:rtl/>
        </w:rPr>
        <w:tab/>
      </w:r>
      <w:r>
        <w:rPr>
          <w:u w:val="single"/>
          <w:rtl/>
        </w:rPr>
        <w:tab/>
      </w:r>
    </w:p>
    <w:p w:rsidR="008B4BC6" w:rsidRPr="008B4BC6" w:rsidRDefault="008B4BC6" w:rsidP="007E197F">
      <w:pPr>
        <w:spacing w:line="380" w:lineRule="exact"/>
        <w:rPr>
          <w:rFonts w:hint="cs"/>
          <w:rtl/>
        </w:rPr>
      </w:pPr>
    </w:p>
    <w:sectPr w:rsidR="008B4BC6" w:rsidRPr="008B4BC6"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06A" w:rsidRPr="00FE6865" w:rsidRDefault="005E106A" w:rsidP="00FE6865">
      <w:pPr>
        <w:pStyle w:val="Footer"/>
      </w:pPr>
    </w:p>
  </w:endnote>
  <w:endnote w:type="continuationSeparator" w:id="0">
    <w:p w:rsidR="005E106A" w:rsidRDefault="005E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95" w:rsidRPr="006F2A95" w:rsidRDefault="006F2A95" w:rsidP="006F2A95">
    <w:pPr>
      <w:pStyle w:val="Footer"/>
      <w:tabs>
        <w:tab w:val="right" w:pos="9598"/>
      </w:tabs>
    </w:pPr>
    <w:r>
      <w:t>GE.11-43782</w:t>
    </w:r>
    <w:r>
      <w:tab/>
    </w:r>
    <w:r w:rsidRPr="006F2A95">
      <w:rPr>
        <w:b/>
        <w:sz w:val="18"/>
      </w:rPr>
      <w:fldChar w:fldCharType="begin"/>
    </w:r>
    <w:r w:rsidRPr="006F2A95">
      <w:rPr>
        <w:b/>
        <w:sz w:val="18"/>
      </w:rPr>
      <w:instrText xml:space="preserve"> PAGE  \* MERGEFORMAT </w:instrText>
    </w:r>
    <w:r w:rsidRPr="006F2A95">
      <w:rPr>
        <w:b/>
        <w:sz w:val="18"/>
      </w:rPr>
      <w:fldChar w:fldCharType="separate"/>
    </w:r>
    <w:r w:rsidR="00384844">
      <w:rPr>
        <w:b/>
        <w:noProof/>
        <w:sz w:val="18"/>
      </w:rPr>
      <w:t>10</w:t>
    </w:r>
    <w:r w:rsidRPr="006F2A95">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95" w:rsidRPr="006F2A95" w:rsidRDefault="006F2A95" w:rsidP="006F2A95">
    <w:pPr>
      <w:pStyle w:val="Footer"/>
      <w:tabs>
        <w:tab w:val="right" w:pos="9598"/>
      </w:tabs>
      <w:rPr>
        <w:b/>
        <w:sz w:val="18"/>
      </w:rPr>
    </w:pPr>
    <w:r w:rsidRPr="006F2A95">
      <w:rPr>
        <w:b/>
        <w:sz w:val="18"/>
      </w:rPr>
      <w:fldChar w:fldCharType="begin"/>
    </w:r>
    <w:r w:rsidRPr="006F2A95">
      <w:rPr>
        <w:b/>
        <w:sz w:val="18"/>
      </w:rPr>
      <w:instrText xml:space="preserve"> PAGE  \* MERGEFORMAT </w:instrText>
    </w:r>
    <w:r w:rsidRPr="006F2A95">
      <w:rPr>
        <w:b/>
        <w:sz w:val="18"/>
      </w:rPr>
      <w:fldChar w:fldCharType="separate"/>
    </w:r>
    <w:r w:rsidR="00384844">
      <w:rPr>
        <w:b/>
        <w:noProof/>
        <w:sz w:val="18"/>
      </w:rPr>
      <w:t>11</w:t>
    </w:r>
    <w:r w:rsidRPr="006F2A95">
      <w:rPr>
        <w:b/>
        <w:sz w:val="18"/>
      </w:rPr>
      <w:fldChar w:fldCharType="end"/>
    </w:r>
    <w:r>
      <w:rPr>
        <w:b/>
        <w:sz w:val="18"/>
      </w:rPr>
      <w:tab/>
    </w:r>
    <w:r>
      <w:t>GE.11-43782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E9C" w:rsidRDefault="006F2A95" w:rsidP="006F2A95">
    <w:pPr>
      <w:pStyle w:val="Footer"/>
      <w:jc w:val="right"/>
    </w:pPr>
    <w:r>
      <w:rPr>
        <w:sz w:val="20"/>
      </w:rPr>
      <w:t>(A)   GE.11-43782</w:t>
    </w:r>
    <w:r w:rsidR="00263E9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812524">
      <w:rPr>
        <w:sz w:val="20"/>
      </w:rPr>
      <w:t xml:space="preserve">    140711    140711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06A" w:rsidRDefault="005E106A" w:rsidP="00834FF4">
      <w:pPr>
        <w:pStyle w:val="Footer"/>
        <w:bidi/>
        <w:spacing w:after="80" w:line="200" w:lineRule="exact"/>
        <w:ind w:left="680"/>
      </w:pPr>
      <w:r>
        <w:rPr>
          <w:rFonts w:hint="cs"/>
          <w:rtl/>
        </w:rPr>
        <w:t>__________</w:t>
      </w:r>
    </w:p>
  </w:footnote>
  <w:footnote w:type="continuationSeparator" w:id="0">
    <w:p w:rsidR="005E106A" w:rsidRDefault="005E106A" w:rsidP="00834FF4">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95" w:rsidRPr="006F2A95" w:rsidRDefault="006F2A95" w:rsidP="006F2A95">
    <w:pPr>
      <w:pStyle w:val="Header"/>
      <w:jc w:val="right"/>
    </w:pPr>
    <w:r w:rsidRPr="006F2A95">
      <w:t>CAT/C/KWT/CO/2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E9C" w:rsidRPr="006F2A95" w:rsidRDefault="006F2A95" w:rsidP="006F2A95">
    <w:pPr>
      <w:pStyle w:val="Header"/>
      <w:jc w:val="left"/>
    </w:pPr>
    <w:r w:rsidRPr="006F2A95">
      <w:t>CAT/C/KWT/CO/2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E9C" w:rsidRDefault="00263E9C"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263E9C" w:rsidRPr="002B399E" w:rsidRDefault="00263E9C"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263E9C" w:rsidRPr="002B399E" w:rsidRDefault="00263E9C"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263E9C" w:rsidRDefault="00263E9C"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3E9C"/>
    <w:rsid w:val="00034A52"/>
    <w:rsid w:val="00040E25"/>
    <w:rsid w:val="00042149"/>
    <w:rsid w:val="000648EA"/>
    <w:rsid w:val="00070F68"/>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A5161"/>
    <w:rsid w:val="001A60BD"/>
    <w:rsid w:val="002244FB"/>
    <w:rsid w:val="00232277"/>
    <w:rsid w:val="0023736D"/>
    <w:rsid w:val="00257225"/>
    <w:rsid w:val="00263E9C"/>
    <w:rsid w:val="00310160"/>
    <w:rsid w:val="003415D0"/>
    <w:rsid w:val="00341A8C"/>
    <w:rsid w:val="003519E6"/>
    <w:rsid w:val="00384844"/>
    <w:rsid w:val="003B4356"/>
    <w:rsid w:val="003F08A8"/>
    <w:rsid w:val="00423C1C"/>
    <w:rsid w:val="004250E3"/>
    <w:rsid w:val="00472A81"/>
    <w:rsid w:val="004A20A6"/>
    <w:rsid w:val="004B2C92"/>
    <w:rsid w:val="004D6A3A"/>
    <w:rsid w:val="004F4AD7"/>
    <w:rsid w:val="00557CD3"/>
    <w:rsid w:val="00571432"/>
    <w:rsid w:val="005732A2"/>
    <w:rsid w:val="005762A5"/>
    <w:rsid w:val="00590BA3"/>
    <w:rsid w:val="005B46D9"/>
    <w:rsid w:val="005B7AE0"/>
    <w:rsid w:val="005E106A"/>
    <w:rsid w:val="005F146F"/>
    <w:rsid w:val="005F71B6"/>
    <w:rsid w:val="00654786"/>
    <w:rsid w:val="00660FD4"/>
    <w:rsid w:val="006A4425"/>
    <w:rsid w:val="006B00A4"/>
    <w:rsid w:val="006B4669"/>
    <w:rsid w:val="006F2A95"/>
    <w:rsid w:val="006F6BF8"/>
    <w:rsid w:val="00707BDF"/>
    <w:rsid w:val="00710727"/>
    <w:rsid w:val="00715F45"/>
    <w:rsid w:val="00731815"/>
    <w:rsid w:val="00731B84"/>
    <w:rsid w:val="00734AE7"/>
    <w:rsid w:val="0079344E"/>
    <w:rsid w:val="007E197F"/>
    <w:rsid w:val="007F68C4"/>
    <w:rsid w:val="00812524"/>
    <w:rsid w:val="008153DE"/>
    <w:rsid w:val="00834FF4"/>
    <w:rsid w:val="00852A10"/>
    <w:rsid w:val="00862634"/>
    <w:rsid w:val="00866C59"/>
    <w:rsid w:val="00872F1F"/>
    <w:rsid w:val="00877306"/>
    <w:rsid w:val="008A6242"/>
    <w:rsid w:val="008B1726"/>
    <w:rsid w:val="008B4BC6"/>
    <w:rsid w:val="00901E57"/>
    <w:rsid w:val="009070DF"/>
    <w:rsid w:val="00935F0E"/>
    <w:rsid w:val="0095208F"/>
    <w:rsid w:val="00977B3F"/>
    <w:rsid w:val="009814AE"/>
    <w:rsid w:val="009901D3"/>
    <w:rsid w:val="00996BBE"/>
    <w:rsid w:val="009B2C03"/>
    <w:rsid w:val="009D1DD5"/>
    <w:rsid w:val="009F722C"/>
    <w:rsid w:val="00A24385"/>
    <w:rsid w:val="00A26157"/>
    <w:rsid w:val="00A265C3"/>
    <w:rsid w:val="00A43F9A"/>
    <w:rsid w:val="00A53F38"/>
    <w:rsid w:val="00A543D4"/>
    <w:rsid w:val="00AD0014"/>
    <w:rsid w:val="00AD4CF2"/>
    <w:rsid w:val="00AF0BBA"/>
    <w:rsid w:val="00B25BBD"/>
    <w:rsid w:val="00B30468"/>
    <w:rsid w:val="00B44E31"/>
    <w:rsid w:val="00BA4F7E"/>
    <w:rsid w:val="00BB2C41"/>
    <w:rsid w:val="00BC55C8"/>
    <w:rsid w:val="00BC5C10"/>
    <w:rsid w:val="00BE2964"/>
    <w:rsid w:val="00C21623"/>
    <w:rsid w:val="00C24FBD"/>
    <w:rsid w:val="00C473BA"/>
    <w:rsid w:val="00C611ED"/>
    <w:rsid w:val="00C6490A"/>
    <w:rsid w:val="00C64FE1"/>
    <w:rsid w:val="00C74296"/>
    <w:rsid w:val="00C8345E"/>
    <w:rsid w:val="00CA5F7C"/>
    <w:rsid w:val="00D51067"/>
    <w:rsid w:val="00D75657"/>
    <w:rsid w:val="00D960AD"/>
    <w:rsid w:val="00DA0E0E"/>
    <w:rsid w:val="00DB0C39"/>
    <w:rsid w:val="00DB7679"/>
    <w:rsid w:val="00DF1702"/>
    <w:rsid w:val="00DF4DD8"/>
    <w:rsid w:val="00DF668E"/>
    <w:rsid w:val="00E04826"/>
    <w:rsid w:val="00E14D2B"/>
    <w:rsid w:val="00E20DBA"/>
    <w:rsid w:val="00E6524A"/>
    <w:rsid w:val="00E660D6"/>
    <w:rsid w:val="00E76E4B"/>
    <w:rsid w:val="00E771AB"/>
    <w:rsid w:val="00EA796F"/>
    <w:rsid w:val="00EB077B"/>
    <w:rsid w:val="00EC50B9"/>
    <w:rsid w:val="00ED26A0"/>
    <w:rsid w:val="00F1727A"/>
    <w:rsid w:val="00F34764"/>
    <w:rsid w:val="00F54E3C"/>
    <w:rsid w:val="00F7225E"/>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link w:val="H1GAChar"/>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H1GAChar">
    <w:name w:val="_ H_1_GA Char"/>
    <w:link w:val="H1GA"/>
    <w:rsid w:val="006F2A95"/>
    <w:rPr>
      <w:rFonts w:cs="Traditional Arabic"/>
      <w:b/>
      <w:bCs/>
      <w:sz w:val="24"/>
      <w:szCs w:val="3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11</Pages>
  <Words>3171</Words>
  <Characters>18079</Characters>
  <Application>Microsoft Office Word</Application>
  <DocSecurity>4</DocSecurity>
  <Lines>150</Lines>
  <Paragraphs>42</Paragraphs>
  <ScaleCrop>false</ScaleCrop>
  <HeadingPairs>
    <vt:vector size="2" baseType="variant">
      <vt:variant>
        <vt:lpstr>العنوان</vt:lpstr>
      </vt:variant>
      <vt:variant>
        <vt:i4>1</vt:i4>
      </vt:variant>
    </vt:vector>
  </HeadingPairs>
  <TitlesOfParts>
    <vt:vector size="1" baseType="lpstr">
      <vt:lpstr>CAT/C/KWT/CO/2</vt:lpstr>
    </vt:vector>
  </TitlesOfParts>
  <Company>CSD</Company>
  <LinksUpToDate>false</LinksUpToDate>
  <CharactersWithSpaces>21208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CAT/C/KWT/CO/2</dc:title>
  <dc:subject/>
  <dc:creator>Ghada</dc:creator>
  <cp:keywords/>
  <dc:description/>
  <cp:lastModifiedBy>Ghada</cp:lastModifiedBy>
  <cp:revision>2</cp:revision>
  <cp:lastPrinted>2011-07-14T12:44:00Z</cp:lastPrinted>
  <dcterms:created xsi:type="dcterms:W3CDTF">2011-07-14T12:44:00Z</dcterms:created>
  <dcterms:modified xsi:type="dcterms:W3CDTF">2011-07-14T12:44:00Z</dcterms:modified>
</cp:coreProperties>
</file>