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F13D2D" w:rsidTr="008F7EA5">
        <w:trPr>
          <w:trHeight w:hRule="exact" w:val="851"/>
        </w:trPr>
        <w:tc>
          <w:tcPr>
            <w:tcW w:w="1276" w:type="dxa"/>
            <w:tcBorders>
              <w:bottom w:val="single" w:sz="4" w:space="0" w:color="auto"/>
            </w:tcBorders>
          </w:tcPr>
          <w:p w:rsidR="00060E82" w:rsidRPr="00F13D2D" w:rsidRDefault="00060E82" w:rsidP="008F7EA5"/>
        </w:tc>
        <w:tc>
          <w:tcPr>
            <w:tcW w:w="2268" w:type="dxa"/>
            <w:tcBorders>
              <w:bottom w:val="single" w:sz="4" w:space="0" w:color="auto"/>
            </w:tcBorders>
            <w:vAlign w:val="bottom"/>
          </w:tcPr>
          <w:p w:rsidR="00060E82" w:rsidRPr="00F13D2D" w:rsidRDefault="00060E82" w:rsidP="008F7EA5">
            <w:pPr>
              <w:spacing w:after="80" w:line="300" w:lineRule="exact"/>
              <w:rPr>
                <w:sz w:val="28"/>
              </w:rPr>
            </w:pPr>
            <w:r w:rsidRPr="00F13D2D">
              <w:rPr>
                <w:sz w:val="28"/>
              </w:rPr>
              <w:t>Nations Unies</w:t>
            </w:r>
          </w:p>
        </w:tc>
        <w:tc>
          <w:tcPr>
            <w:tcW w:w="6095" w:type="dxa"/>
            <w:gridSpan w:val="2"/>
            <w:tcBorders>
              <w:bottom w:val="single" w:sz="4" w:space="0" w:color="auto"/>
            </w:tcBorders>
            <w:vAlign w:val="bottom"/>
          </w:tcPr>
          <w:p w:rsidR="00060E82" w:rsidRPr="00F13D2D" w:rsidRDefault="00E819C1" w:rsidP="005907E4">
            <w:pPr>
              <w:jc w:val="right"/>
            </w:pPr>
            <w:r w:rsidRPr="00F13D2D">
              <w:rPr>
                <w:sz w:val="40"/>
              </w:rPr>
              <w:t>CRC</w:t>
            </w:r>
            <w:r w:rsidRPr="00F13D2D">
              <w:t>/C/MRT/3-</w:t>
            </w:r>
            <w:r w:rsidR="005907E4" w:rsidRPr="00F13D2D">
              <w:t>4</w:t>
            </w:r>
          </w:p>
        </w:tc>
      </w:tr>
      <w:tr w:rsidR="00060E82" w:rsidRPr="00F13D2D" w:rsidTr="008F7EA5">
        <w:trPr>
          <w:trHeight w:hRule="exact" w:val="2835"/>
        </w:trPr>
        <w:tc>
          <w:tcPr>
            <w:tcW w:w="1276" w:type="dxa"/>
            <w:tcBorders>
              <w:top w:val="single" w:sz="4" w:space="0" w:color="auto"/>
              <w:bottom w:val="single" w:sz="12" w:space="0" w:color="auto"/>
            </w:tcBorders>
          </w:tcPr>
          <w:p w:rsidR="00060E82" w:rsidRPr="00F13D2D" w:rsidRDefault="000F084D" w:rsidP="008F7EA5">
            <w:pPr>
              <w:spacing w:before="120"/>
              <w:jc w:val="center"/>
            </w:pPr>
            <w:r w:rsidRPr="000E17DF">
              <w:rPr>
                <w:noProof/>
                <w:lang w:eastAsia="fr-CH"/>
              </w:rPr>
              <w:drawing>
                <wp:inline distT="0" distB="0" distL="0" distR="0" wp14:anchorId="095A4F06" wp14:editId="689645C3">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0E82" w:rsidRPr="00F13D2D" w:rsidRDefault="00060E82" w:rsidP="008F7EA5">
            <w:pPr>
              <w:spacing w:before="120" w:line="460" w:lineRule="exact"/>
              <w:rPr>
                <w:b/>
                <w:sz w:val="40"/>
                <w:szCs w:val="40"/>
              </w:rPr>
            </w:pPr>
            <w:r w:rsidRPr="00F13D2D">
              <w:rPr>
                <w:b/>
                <w:sz w:val="40"/>
                <w:szCs w:val="40"/>
              </w:rPr>
              <w:t>Convention relative</w:t>
            </w:r>
            <w:r w:rsidRPr="00F13D2D">
              <w:rPr>
                <w:b/>
                <w:sz w:val="40"/>
                <w:szCs w:val="40"/>
              </w:rPr>
              <w:br/>
              <w:t>aux droits de l’enfant</w:t>
            </w:r>
          </w:p>
        </w:tc>
        <w:tc>
          <w:tcPr>
            <w:tcW w:w="2835" w:type="dxa"/>
            <w:tcBorders>
              <w:top w:val="single" w:sz="4" w:space="0" w:color="auto"/>
              <w:bottom w:val="single" w:sz="12" w:space="0" w:color="auto"/>
            </w:tcBorders>
          </w:tcPr>
          <w:p w:rsidR="00060E82" w:rsidRPr="00F13D2D" w:rsidRDefault="00E819C1" w:rsidP="00E819C1">
            <w:pPr>
              <w:spacing w:before="240" w:line="240" w:lineRule="exact"/>
            </w:pPr>
            <w:proofErr w:type="spellStart"/>
            <w:r w:rsidRPr="00F13D2D">
              <w:t>Distr</w:t>
            </w:r>
            <w:proofErr w:type="spellEnd"/>
            <w:r w:rsidRPr="00F13D2D">
              <w:t>. générale</w:t>
            </w:r>
          </w:p>
          <w:p w:rsidR="00E819C1" w:rsidRPr="00F13D2D" w:rsidRDefault="008D0F45" w:rsidP="00E819C1">
            <w:pPr>
              <w:spacing w:line="240" w:lineRule="exact"/>
            </w:pPr>
            <w:r w:rsidRPr="00F13D2D">
              <w:t>1</w:t>
            </w:r>
            <w:r w:rsidR="00AA7A93">
              <w:t>7</w:t>
            </w:r>
            <w:r w:rsidRPr="00F13D2D">
              <w:t xml:space="preserve"> novembre</w:t>
            </w:r>
            <w:r w:rsidR="00E819C1" w:rsidRPr="00F13D2D">
              <w:t xml:space="preserve"> 2017</w:t>
            </w:r>
          </w:p>
          <w:p w:rsidR="00E819C1" w:rsidRPr="00F13D2D" w:rsidRDefault="00E819C1" w:rsidP="00E819C1">
            <w:pPr>
              <w:spacing w:line="240" w:lineRule="exact"/>
            </w:pPr>
          </w:p>
          <w:p w:rsidR="00E819C1" w:rsidRPr="00F13D2D" w:rsidRDefault="00E819C1" w:rsidP="00E819C1">
            <w:pPr>
              <w:spacing w:line="240" w:lineRule="exact"/>
            </w:pPr>
            <w:r w:rsidRPr="00F13D2D">
              <w:t>Original</w:t>
            </w:r>
            <w:r w:rsidR="004A157C" w:rsidRPr="00F13D2D">
              <w:t> </w:t>
            </w:r>
            <w:r w:rsidR="00FC0832">
              <w:t>:</w:t>
            </w:r>
            <w:r w:rsidRPr="00F13D2D">
              <w:t xml:space="preserve"> français</w:t>
            </w:r>
          </w:p>
          <w:p w:rsidR="00551F3F" w:rsidRPr="00F13D2D" w:rsidRDefault="00551F3F" w:rsidP="00E819C1">
            <w:pPr>
              <w:spacing w:line="240" w:lineRule="exact"/>
            </w:pPr>
            <w:r w:rsidRPr="00F13D2D">
              <w:t>Anglais, espagnol et français seulement</w:t>
            </w:r>
          </w:p>
        </w:tc>
      </w:tr>
    </w:tbl>
    <w:p w:rsidR="00F066E5" w:rsidRPr="00F13D2D" w:rsidRDefault="00F066E5" w:rsidP="00F066E5">
      <w:pPr>
        <w:spacing w:before="120"/>
        <w:rPr>
          <w:b/>
          <w:sz w:val="24"/>
          <w:szCs w:val="24"/>
        </w:rPr>
      </w:pPr>
      <w:r w:rsidRPr="00F13D2D">
        <w:rPr>
          <w:b/>
          <w:sz w:val="24"/>
          <w:szCs w:val="24"/>
        </w:rPr>
        <w:t>Comité des droits de l’enfant</w:t>
      </w:r>
    </w:p>
    <w:p w:rsidR="00F066E5" w:rsidRPr="00F13D2D" w:rsidRDefault="00FF4D98" w:rsidP="00F066E5">
      <w:pPr>
        <w:pStyle w:val="HMG"/>
      </w:pPr>
      <w:r>
        <w:tab/>
      </w:r>
      <w:r>
        <w:tab/>
        <w:t>Rapport valant troisième</w:t>
      </w:r>
      <w:r w:rsidR="00F066E5" w:rsidRPr="00F13D2D">
        <w:t xml:space="preserve"> </w:t>
      </w:r>
      <w:r w:rsidR="005907E4" w:rsidRPr="00F13D2D">
        <w:t>et</w:t>
      </w:r>
      <w:r w:rsidR="00F066E5" w:rsidRPr="00F13D2D">
        <w:t xml:space="preserve"> </w:t>
      </w:r>
      <w:r>
        <w:t>quatrième</w:t>
      </w:r>
      <w:r w:rsidR="00F066E5" w:rsidRPr="00F13D2D">
        <w:t xml:space="preserve"> rapports périodiques soumis par la Mauritanie en application de l’article 44 de la Convention, </w:t>
      </w:r>
      <w:bookmarkStart w:id="0" w:name="_GoBack"/>
      <w:bookmarkEnd w:id="0"/>
      <w:r w:rsidR="00F066E5" w:rsidRPr="00F13D2D">
        <w:t>attendu en 2013</w:t>
      </w:r>
      <w:r w:rsidR="00F066E5" w:rsidRPr="00AA7A93">
        <w:rPr>
          <w:rStyle w:val="Appelnotedebasdep"/>
          <w:b w:val="0"/>
          <w:sz w:val="20"/>
          <w:vertAlign w:val="baseline"/>
        </w:rPr>
        <w:footnoteReference w:customMarkFollows="1" w:id="2"/>
        <w:t>*</w:t>
      </w:r>
    </w:p>
    <w:p w:rsidR="00F066E5" w:rsidRPr="00F13D2D" w:rsidRDefault="00F066E5" w:rsidP="00F066E5">
      <w:pPr>
        <w:pStyle w:val="SingleTxtG"/>
        <w:jc w:val="right"/>
      </w:pPr>
      <w:r w:rsidRPr="00F13D2D">
        <w:t>[Date de réception</w:t>
      </w:r>
      <w:r w:rsidR="00FC0832">
        <w:t> :</w:t>
      </w:r>
      <w:r w:rsidRPr="00F13D2D">
        <w:t xml:space="preserve"> 10 janvier 2017]</w:t>
      </w:r>
    </w:p>
    <w:p w:rsidR="008911AF" w:rsidRPr="00F13D2D" w:rsidRDefault="00E819C1" w:rsidP="008911AF">
      <w:pPr>
        <w:spacing w:after="120"/>
        <w:rPr>
          <w:sz w:val="28"/>
        </w:rPr>
      </w:pPr>
      <w:r w:rsidRPr="00F13D2D">
        <w:br w:type="page"/>
      </w:r>
      <w:bookmarkStart w:id="1" w:name="_Toc454388694"/>
      <w:r w:rsidR="008911AF" w:rsidRPr="00F13D2D">
        <w:rPr>
          <w:sz w:val="28"/>
        </w:rPr>
        <w:lastRenderedPageBreak/>
        <w:t>Table des matières</w:t>
      </w:r>
    </w:p>
    <w:p w:rsidR="008911AF" w:rsidRDefault="008911AF" w:rsidP="008911AF">
      <w:pPr>
        <w:tabs>
          <w:tab w:val="right" w:pos="9638"/>
        </w:tabs>
        <w:spacing w:after="120"/>
        <w:ind w:left="283"/>
        <w:rPr>
          <w:i/>
          <w:sz w:val="18"/>
        </w:rPr>
      </w:pPr>
      <w:r w:rsidRPr="00F13D2D">
        <w:rPr>
          <w:i/>
          <w:sz w:val="18"/>
        </w:rPr>
        <w:tab/>
        <w:t>Page</w:t>
      </w:r>
    </w:p>
    <w:p w:rsidR="008911AF" w:rsidRPr="00F13D2D" w:rsidRDefault="008911AF" w:rsidP="00AA7A93">
      <w:pPr>
        <w:tabs>
          <w:tab w:val="right" w:pos="850"/>
          <w:tab w:val="left" w:pos="1134"/>
          <w:tab w:val="left" w:pos="1559"/>
          <w:tab w:val="left" w:pos="1984"/>
          <w:tab w:val="left" w:leader="dot" w:pos="8929"/>
          <w:tab w:val="right" w:pos="9638"/>
        </w:tabs>
        <w:spacing w:after="120"/>
      </w:pPr>
      <w:r w:rsidRPr="00F13D2D">
        <w:tab/>
      </w:r>
      <w:r w:rsidR="00B959FA" w:rsidRPr="00F13D2D">
        <w:tab/>
      </w:r>
      <w:r w:rsidRPr="00F13D2D">
        <w:t>Abréviations</w:t>
      </w:r>
      <w:r w:rsidRPr="00F13D2D">
        <w:tab/>
      </w:r>
      <w:r w:rsidRPr="00F13D2D">
        <w:tab/>
        <w:t>3</w:t>
      </w:r>
    </w:p>
    <w:p w:rsidR="008911AF" w:rsidRPr="00F13D2D" w:rsidRDefault="008911AF" w:rsidP="00AA7A93">
      <w:pPr>
        <w:tabs>
          <w:tab w:val="right" w:pos="850"/>
          <w:tab w:val="left" w:pos="1134"/>
          <w:tab w:val="left" w:pos="1559"/>
          <w:tab w:val="left" w:pos="1984"/>
          <w:tab w:val="left" w:leader="dot" w:pos="8929"/>
          <w:tab w:val="right" w:pos="9638"/>
        </w:tabs>
        <w:spacing w:after="120"/>
      </w:pPr>
      <w:r w:rsidRPr="00F13D2D">
        <w:tab/>
      </w:r>
      <w:r w:rsidRPr="00F13D2D">
        <w:tab/>
        <w:t>Introduction</w:t>
      </w:r>
      <w:r w:rsidRPr="00F13D2D">
        <w:tab/>
      </w:r>
      <w:r w:rsidRPr="00F13D2D">
        <w:tab/>
      </w:r>
      <w:r w:rsidR="00D86EE6" w:rsidRPr="00F13D2D">
        <w:t>5</w:t>
      </w:r>
    </w:p>
    <w:p w:rsidR="008911AF" w:rsidRPr="00F13D2D" w:rsidRDefault="008911AF" w:rsidP="00AA7A93">
      <w:pPr>
        <w:tabs>
          <w:tab w:val="right" w:pos="850"/>
          <w:tab w:val="left" w:pos="1134"/>
          <w:tab w:val="left" w:pos="1559"/>
          <w:tab w:val="left" w:pos="1984"/>
          <w:tab w:val="left" w:leader="dot" w:pos="8929"/>
          <w:tab w:val="right" w:pos="9638"/>
        </w:tabs>
        <w:spacing w:after="120"/>
      </w:pPr>
      <w:r w:rsidRPr="00F13D2D">
        <w:tab/>
      </w:r>
      <w:r w:rsidRPr="00F13D2D">
        <w:tab/>
      </w:r>
      <w:r w:rsidR="00B959FA" w:rsidRPr="00F13D2D">
        <w:t>Première partie </w:t>
      </w:r>
      <w:r w:rsidR="00FC0832">
        <w:t>:</w:t>
      </w:r>
      <w:r w:rsidR="00B959FA" w:rsidRPr="00F13D2D">
        <w:t xml:space="preserve"> </w:t>
      </w:r>
      <w:r w:rsidR="00B57070" w:rsidRPr="00F13D2D">
        <w:t xml:space="preserve">Données </w:t>
      </w:r>
      <w:r w:rsidR="00B959FA" w:rsidRPr="00F13D2D">
        <w:t>générales</w:t>
      </w:r>
      <w:r w:rsidRPr="00F13D2D">
        <w:tab/>
      </w:r>
      <w:r w:rsidRPr="00F13D2D">
        <w:tab/>
      </w:r>
      <w:r w:rsidR="00F066E5" w:rsidRPr="00F13D2D">
        <w:t>5</w:t>
      </w:r>
    </w:p>
    <w:p w:rsidR="00B959FA" w:rsidRPr="00F13D2D" w:rsidRDefault="00B959FA" w:rsidP="00AA7A93">
      <w:pPr>
        <w:tabs>
          <w:tab w:val="right" w:pos="850"/>
          <w:tab w:val="left" w:pos="1134"/>
          <w:tab w:val="left" w:pos="1559"/>
          <w:tab w:val="left" w:pos="1984"/>
          <w:tab w:val="left" w:leader="dot" w:pos="8929"/>
          <w:tab w:val="right" w:pos="9638"/>
        </w:tabs>
        <w:spacing w:after="120"/>
        <w:rPr>
          <w:b/>
          <w:bCs/>
          <w:i/>
          <w:iCs/>
          <w:u w:val="single"/>
          <w:lang w:val="fr-FR"/>
        </w:rPr>
      </w:pPr>
      <w:r w:rsidRPr="00F13D2D">
        <w:rPr>
          <w:lang w:val="fr-FR"/>
        </w:rPr>
        <w:tab/>
      </w:r>
      <w:r w:rsidRPr="00F13D2D">
        <w:rPr>
          <w:lang w:val="fr-FR"/>
        </w:rPr>
        <w:tab/>
      </w:r>
      <w:hyperlink w:anchor="_Toc454388738" w:history="1">
        <w:r w:rsidRPr="00F13D2D">
          <w:rPr>
            <w:rStyle w:val="Lienhypertexte"/>
            <w:lang w:val="fr-FR"/>
          </w:rPr>
          <w:t>Deuxième</w:t>
        </w:r>
        <w:r w:rsidR="006C160E" w:rsidRPr="00F13D2D">
          <w:rPr>
            <w:rStyle w:val="Lienhypertexte"/>
            <w:lang w:val="fr-FR"/>
          </w:rPr>
          <w:t xml:space="preserve"> </w:t>
        </w:r>
        <w:r w:rsidRPr="00F13D2D">
          <w:rPr>
            <w:rStyle w:val="Lienhypertexte"/>
            <w:lang w:val="fr-FR"/>
          </w:rPr>
          <w:t>partie</w:t>
        </w:r>
        <w:r w:rsidR="00FC0832">
          <w:rPr>
            <w:rStyle w:val="Lienhypertexte"/>
            <w:lang w:val="fr-FR"/>
          </w:rPr>
          <w:t> :</w:t>
        </w:r>
        <w:r w:rsidRPr="00F13D2D">
          <w:rPr>
            <w:rStyle w:val="Lienhypertexte"/>
            <w:lang w:val="fr-FR"/>
          </w:rPr>
          <w:t xml:space="preserve"> Mise en œuvre des dispositions de la </w:t>
        </w:r>
        <w:r w:rsidR="00F6627D" w:rsidRPr="00F13D2D">
          <w:rPr>
            <w:rStyle w:val="Lienhypertexte"/>
            <w:lang w:val="fr-FR"/>
          </w:rPr>
          <w:t>Convention</w:t>
        </w:r>
        <w:r w:rsidRPr="00F13D2D">
          <w:rPr>
            <w:rStyle w:val="Lienhypertexte"/>
            <w:lang w:val="fr-FR"/>
          </w:rPr>
          <w:tab/>
        </w:r>
        <w:r w:rsidRPr="00F13D2D">
          <w:rPr>
            <w:rStyle w:val="Lienhypertexte"/>
            <w:webHidden/>
            <w:lang w:val="fr-FR"/>
          </w:rPr>
          <w:tab/>
        </w:r>
        <w:r w:rsidRPr="00E06F1B">
          <w:rPr>
            <w:rStyle w:val="Lienhypertexte"/>
            <w:b/>
            <w:bCs/>
            <w:i/>
            <w:iCs/>
            <w:webHidden/>
            <w:lang w:val="fr-FR"/>
          </w:rPr>
          <w:fldChar w:fldCharType="begin"/>
        </w:r>
        <w:r w:rsidRPr="00F13D2D">
          <w:rPr>
            <w:rStyle w:val="Lienhypertexte"/>
            <w:webHidden/>
            <w:lang w:val="fr-FR"/>
          </w:rPr>
          <w:instrText xml:space="preserve"> PAGEREF _Toc454388738 \h </w:instrText>
        </w:r>
        <w:r w:rsidRPr="00E06F1B">
          <w:rPr>
            <w:rStyle w:val="Lienhypertexte"/>
            <w:b/>
            <w:bCs/>
            <w:i/>
            <w:iCs/>
            <w:webHidden/>
            <w:lang w:val="fr-FR"/>
          </w:rPr>
        </w:r>
        <w:r w:rsidRPr="00E06F1B">
          <w:rPr>
            <w:rStyle w:val="Lienhypertexte"/>
            <w:b/>
            <w:bCs/>
            <w:i/>
            <w:iCs/>
            <w:webHidden/>
            <w:lang w:val="fr-FR"/>
          </w:rPr>
          <w:fldChar w:fldCharType="separate"/>
        </w:r>
        <w:r w:rsidR="00127F32">
          <w:rPr>
            <w:rStyle w:val="Lienhypertexte"/>
            <w:noProof/>
            <w:webHidden/>
            <w:lang w:val="fr-FR"/>
          </w:rPr>
          <w:t>20</w:t>
        </w:r>
        <w:r w:rsidRPr="00E06F1B">
          <w:rPr>
            <w:rStyle w:val="Lienhypertexte"/>
            <w:webHidden/>
          </w:rPr>
          <w:fldChar w:fldCharType="end"/>
        </w:r>
      </w:hyperlink>
      <w:r w:rsidR="00EC746D">
        <w:rPr>
          <w:rStyle w:val="Lienhypertexte"/>
        </w:rPr>
        <w:t>0</w:t>
      </w:r>
    </w:p>
    <w:p w:rsidR="008911AF" w:rsidRPr="00F13D2D" w:rsidRDefault="008911AF" w:rsidP="00AA7A93">
      <w:pPr>
        <w:tabs>
          <w:tab w:val="right" w:pos="850"/>
          <w:tab w:val="left" w:pos="1134"/>
          <w:tab w:val="left" w:pos="1559"/>
          <w:tab w:val="left" w:pos="1984"/>
          <w:tab w:val="left" w:leader="dot" w:pos="8929"/>
          <w:tab w:val="right" w:pos="9638"/>
        </w:tabs>
        <w:spacing w:after="120"/>
      </w:pPr>
      <w:r w:rsidRPr="00F13D2D">
        <w:tab/>
      </w:r>
      <w:r w:rsidRPr="00F13D2D">
        <w:tab/>
      </w:r>
      <w:r w:rsidR="00B959FA" w:rsidRPr="00F13D2D">
        <w:tab/>
        <w:t>Première sous-partie</w:t>
      </w:r>
      <w:r w:rsidR="00FC0832">
        <w:t> :</w:t>
      </w:r>
      <w:r w:rsidR="00B959FA" w:rsidRPr="00F13D2D">
        <w:t xml:space="preserve"> Mesures d’application</w:t>
      </w:r>
      <w:r w:rsidR="006C160E" w:rsidRPr="00F13D2D">
        <w:t xml:space="preserve"> </w:t>
      </w:r>
      <w:r w:rsidR="00B959FA" w:rsidRPr="00F13D2D">
        <w:t>générale</w:t>
      </w:r>
      <w:r w:rsidR="00A620CC">
        <w:t xml:space="preserve"> </w:t>
      </w:r>
      <w:r w:rsidR="00A620CC" w:rsidRPr="00F13D2D">
        <w:t>(</w:t>
      </w:r>
      <w:r w:rsidR="00A620CC">
        <w:t>a</w:t>
      </w:r>
      <w:r w:rsidR="00A620CC" w:rsidRPr="00F13D2D">
        <w:t>rt</w:t>
      </w:r>
      <w:r w:rsidR="00A620CC">
        <w:t>. </w:t>
      </w:r>
      <w:r w:rsidR="00A620CC" w:rsidRPr="00F13D2D">
        <w:t>4, 42 et 44, par.</w:t>
      </w:r>
      <w:r w:rsidR="00A620CC">
        <w:t> </w:t>
      </w:r>
      <w:r w:rsidR="00A620CC" w:rsidRPr="00F13D2D">
        <w:t>6)</w:t>
      </w:r>
      <w:r w:rsidRPr="00F13D2D">
        <w:tab/>
      </w:r>
      <w:r w:rsidRPr="00F13D2D">
        <w:tab/>
      </w:r>
      <w:r w:rsidR="00EC746D">
        <w:t>20</w:t>
      </w:r>
    </w:p>
    <w:p w:rsidR="00B959FA" w:rsidRPr="00F13D2D" w:rsidRDefault="00B959FA" w:rsidP="00AA7A93">
      <w:pPr>
        <w:tabs>
          <w:tab w:val="right" w:pos="850"/>
          <w:tab w:val="left" w:pos="1134"/>
          <w:tab w:val="left" w:pos="1559"/>
          <w:tab w:val="left" w:pos="1984"/>
          <w:tab w:val="left" w:leader="dot" w:pos="8929"/>
          <w:tab w:val="right" w:pos="9638"/>
        </w:tabs>
        <w:spacing w:after="120"/>
      </w:pPr>
      <w:r w:rsidRPr="00F13D2D">
        <w:tab/>
      </w:r>
      <w:r w:rsidRPr="00F13D2D">
        <w:tab/>
      </w:r>
      <w:r w:rsidRPr="00F13D2D">
        <w:tab/>
        <w:t>Deuxième sous</w:t>
      </w:r>
      <w:r w:rsidR="00FF07F9">
        <w:t>-</w:t>
      </w:r>
      <w:r w:rsidRPr="00F13D2D">
        <w:t>partie</w:t>
      </w:r>
      <w:r w:rsidR="00FC0832">
        <w:t> :</w:t>
      </w:r>
      <w:r w:rsidRPr="00F13D2D">
        <w:t xml:space="preserve"> </w:t>
      </w:r>
      <w:r w:rsidR="00B57070" w:rsidRPr="00F13D2D">
        <w:t xml:space="preserve">Définition </w:t>
      </w:r>
      <w:r w:rsidRPr="00F13D2D">
        <w:t>de l’enfant</w:t>
      </w:r>
      <w:r w:rsidRPr="00F13D2D">
        <w:tab/>
      </w:r>
      <w:r w:rsidRPr="00F13D2D">
        <w:tab/>
      </w:r>
      <w:r w:rsidR="00F066E5" w:rsidRPr="00F13D2D">
        <w:t>2</w:t>
      </w:r>
      <w:r w:rsidR="00A620CC">
        <w:t>5</w:t>
      </w:r>
    </w:p>
    <w:p w:rsidR="00B959FA" w:rsidRPr="00F13D2D" w:rsidRDefault="00B959FA" w:rsidP="00AA7A93">
      <w:pPr>
        <w:tabs>
          <w:tab w:val="right" w:pos="850"/>
          <w:tab w:val="left" w:pos="1134"/>
          <w:tab w:val="left" w:pos="1559"/>
          <w:tab w:val="left" w:pos="1984"/>
          <w:tab w:val="left" w:leader="dot" w:pos="8929"/>
          <w:tab w:val="right" w:pos="9638"/>
        </w:tabs>
        <w:spacing w:after="120"/>
      </w:pPr>
      <w:r w:rsidRPr="00F13D2D">
        <w:tab/>
      </w:r>
      <w:r w:rsidRPr="00F13D2D">
        <w:tab/>
      </w:r>
      <w:r w:rsidRPr="00F13D2D">
        <w:tab/>
        <w:t>Troisième sous</w:t>
      </w:r>
      <w:r w:rsidR="00FF07F9">
        <w:t>-</w:t>
      </w:r>
      <w:r w:rsidRPr="00F13D2D">
        <w:t>partie</w:t>
      </w:r>
      <w:r w:rsidR="00FC0832">
        <w:t> :</w:t>
      </w:r>
      <w:r w:rsidRPr="00F13D2D">
        <w:t xml:space="preserve"> </w:t>
      </w:r>
      <w:r w:rsidR="00B57070" w:rsidRPr="00F13D2D">
        <w:t xml:space="preserve">Principes </w:t>
      </w:r>
      <w:r w:rsidRPr="00F13D2D">
        <w:t>généraux</w:t>
      </w:r>
      <w:r w:rsidRPr="00F13D2D">
        <w:tab/>
      </w:r>
      <w:r w:rsidRPr="00F13D2D">
        <w:tab/>
      </w:r>
      <w:r w:rsidR="00F066E5" w:rsidRPr="00F13D2D">
        <w:t>2</w:t>
      </w:r>
      <w:r w:rsidR="00A620CC">
        <w:t>5</w:t>
      </w:r>
    </w:p>
    <w:p w:rsidR="00B959FA" w:rsidRPr="00F13D2D" w:rsidRDefault="00B959FA" w:rsidP="00AA7A93">
      <w:pPr>
        <w:tabs>
          <w:tab w:val="right" w:pos="850"/>
          <w:tab w:val="left" w:pos="1134"/>
          <w:tab w:val="left" w:pos="1559"/>
          <w:tab w:val="left" w:pos="1984"/>
          <w:tab w:val="left" w:leader="dot" w:pos="8929"/>
          <w:tab w:val="right" w:pos="9638"/>
        </w:tabs>
        <w:spacing w:after="120"/>
      </w:pPr>
      <w:r w:rsidRPr="00F13D2D">
        <w:tab/>
      </w:r>
      <w:r w:rsidRPr="00F13D2D">
        <w:tab/>
      </w:r>
      <w:r w:rsidRPr="00F13D2D">
        <w:tab/>
        <w:t>Quatrième sous</w:t>
      </w:r>
      <w:r w:rsidR="00FF07F9">
        <w:t>-</w:t>
      </w:r>
      <w:r w:rsidRPr="00F13D2D">
        <w:t>partie</w:t>
      </w:r>
      <w:r w:rsidR="00FC0832">
        <w:t> :</w:t>
      </w:r>
      <w:r w:rsidRPr="00F13D2D">
        <w:t xml:space="preserve"> </w:t>
      </w:r>
      <w:r w:rsidR="00B57070" w:rsidRPr="00F13D2D">
        <w:t xml:space="preserve">Libertés </w:t>
      </w:r>
      <w:r w:rsidRPr="00F13D2D">
        <w:t>et droits civils</w:t>
      </w:r>
      <w:r w:rsidRPr="00F13D2D">
        <w:tab/>
      </w:r>
      <w:r w:rsidRPr="00F13D2D">
        <w:tab/>
      </w:r>
      <w:r w:rsidR="00F066E5" w:rsidRPr="00F13D2D">
        <w:t>2</w:t>
      </w:r>
      <w:r w:rsidRPr="00F13D2D">
        <w:t>7</w:t>
      </w:r>
    </w:p>
    <w:p w:rsidR="00B959FA" w:rsidRPr="00F13D2D" w:rsidRDefault="00B959FA" w:rsidP="00AA7A93">
      <w:pPr>
        <w:tabs>
          <w:tab w:val="right" w:pos="850"/>
          <w:tab w:val="left" w:pos="1134"/>
          <w:tab w:val="left" w:pos="1559"/>
          <w:tab w:val="left" w:pos="1984"/>
          <w:tab w:val="left" w:leader="dot" w:pos="8929"/>
          <w:tab w:val="right" w:pos="9638"/>
        </w:tabs>
        <w:spacing w:after="120"/>
      </w:pPr>
      <w:r w:rsidRPr="00F13D2D">
        <w:tab/>
      </w:r>
      <w:r w:rsidRPr="00F13D2D">
        <w:tab/>
      </w:r>
      <w:r w:rsidRPr="00F13D2D">
        <w:tab/>
        <w:t>Cinquième sous</w:t>
      </w:r>
      <w:r w:rsidR="00FF07F9">
        <w:t>-</w:t>
      </w:r>
      <w:r w:rsidRPr="00F13D2D">
        <w:t>partie</w:t>
      </w:r>
      <w:r w:rsidR="00FC0832">
        <w:t> :</w:t>
      </w:r>
      <w:r w:rsidRPr="00F13D2D">
        <w:t xml:space="preserve"> </w:t>
      </w:r>
      <w:r w:rsidR="00B57070" w:rsidRPr="00F13D2D">
        <w:t xml:space="preserve">Milieu </w:t>
      </w:r>
      <w:r w:rsidRPr="00F13D2D">
        <w:t>familial et protection de remplacement</w:t>
      </w:r>
      <w:r w:rsidRPr="00F13D2D">
        <w:tab/>
      </w:r>
      <w:r w:rsidR="00D86EE6" w:rsidRPr="00F13D2D">
        <w:tab/>
      </w:r>
      <w:r w:rsidR="00F066E5" w:rsidRPr="00F13D2D">
        <w:t>2</w:t>
      </w:r>
      <w:r w:rsidR="00A620CC">
        <w:t>8</w:t>
      </w:r>
    </w:p>
    <w:p w:rsidR="00B959FA" w:rsidRPr="00F13D2D" w:rsidRDefault="00B959FA" w:rsidP="00AA7A93">
      <w:pPr>
        <w:tabs>
          <w:tab w:val="right" w:pos="850"/>
          <w:tab w:val="left" w:pos="1134"/>
          <w:tab w:val="left" w:pos="1559"/>
          <w:tab w:val="left" w:pos="1984"/>
          <w:tab w:val="left" w:leader="dot" w:pos="8929"/>
          <w:tab w:val="right" w:pos="9638"/>
        </w:tabs>
        <w:spacing w:after="120"/>
      </w:pPr>
      <w:r w:rsidRPr="00F13D2D">
        <w:tab/>
      </w:r>
      <w:r w:rsidRPr="00F13D2D">
        <w:tab/>
      </w:r>
      <w:r w:rsidRPr="00F13D2D">
        <w:tab/>
        <w:t>Sixième sous</w:t>
      </w:r>
      <w:r w:rsidR="00FF07F9">
        <w:t>-</w:t>
      </w:r>
      <w:r w:rsidRPr="00F13D2D">
        <w:t>partie</w:t>
      </w:r>
      <w:r w:rsidR="00FC0832">
        <w:t> :</w:t>
      </w:r>
      <w:r w:rsidRPr="00F13D2D">
        <w:t xml:space="preserve"> </w:t>
      </w:r>
      <w:r w:rsidR="00B57070" w:rsidRPr="00F13D2D">
        <w:t xml:space="preserve">Santé </w:t>
      </w:r>
      <w:r w:rsidRPr="00F13D2D">
        <w:t>et bien-être</w:t>
      </w:r>
      <w:r w:rsidRPr="00F13D2D">
        <w:tab/>
      </w:r>
      <w:r w:rsidRPr="00F13D2D">
        <w:tab/>
        <w:t>3</w:t>
      </w:r>
      <w:r w:rsidR="00F066E5" w:rsidRPr="00F13D2D">
        <w:t>2</w:t>
      </w:r>
    </w:p>
    <w:p w:rsidR="00B959FA" w:rsidRPr="00F13D2D" w:rsidRDefault="00B959FA" w:rsidP="00AA7A93">
      <w:pPr>
        <w:tabs>
          <w:tab w:val="right" w:pos="850"/>
          <w:tab w:val="left" w:pos="1134"/>
          <w:tab w:val="left" w:pos="1559"/>
          <w:tab w:val="left" w:pos="1984"/>
          <w:tab w:val="left" w:leader="dot" w:pos="8929"/>
          <w:tab w:val="right" w:pos="9638"/>
        </w:tabs>
        <w:spacing w:after="120"/>
      </w:pPr>
      <w:r w:rsidRPr="00F13D2D">
        <w:tab/>
      </w:r>
      <w:r w:rsidRPr="00F13D2D">
        <w:tab/>
      </w:r>
      <w:r w:rsidRPr="00F13D2D">
        <w:tab/>
        <w:t>Septième sous</w:t>
      </w:r>
      <w:r w:rsidR="00FF07F9">
        <w:t>-</w:t>
      </w:r>
      <w:r w:rsidRPr="00F13D2D">
        <w:t>partie</w:t>
      </w:r>
      <w:r w:rsidR="00FC0832">
        <w:t> :</w:t>
      </w:r>
      <w:r w:rsidRPr="00F13D2D">
        <w:t xml:space="preserve"> </w:t>
      </w:r>
      <w:r w:rsidR="00B57070" w:rsidRPr="00F13D2D">
        <w:t>Éducation</w:t>
      </w:r>
      <w:r w:rsidRPr="00F13D2D">
        <w:t>, loisirs et activités culturelles</w:t>
      </w:r>
      <w:r w:rsidRPr="00F13D2D">
        <w:tab/>
      </w:r>
      <w:r w:rsidRPr="00F13D2D">
        <w:tab/>
        <w:t>3</w:t>
      </w:r>
      <w:r w:rsidR="00D66815">
        <w:t>5</w:t>
      </w:r>
    </w:p>
    <w:p w:rsidR="00B959FA" w:rsidRPr="00F13D2D" w:rsidRDefault="00B959FA" w:rsidP="00AA7A93">
      <w:pPr>
        <w:tabs>
          <w:tab w:val="right" w:pos="850"/>
          <w:tab w:val="left" w:pos="1134"/>
          <w:tab w:val="left" w:pos="1559"/>
          <w:tab w:val="left" w:pos="1984"/>
          <w:tab w:val="left" w:leader="dot" w:pos="8929"/>
          <w:tab w:val="right" w:pos="9638"/>
        </w:tabs>
        <w:spacing w:after="120"/>
      </w:pPr>
      <w:r w:rsidRPr="00F13D2D">
        <w:tab/>
      </w:r>
      <w:r w:rsidRPr="00F13D2D">
        <w:tab/>
      </w:r>
      <w:r w:rsidRPr="00F13D2D">
        <w:tab/>
        <w:t>Huitième sous</w:t>
      </w:r>
      <w:r w:rsidR="00FF07F9">
        <w:t>-</w:t>
      </w:r>
      <w:r w:rsidRPr="00F13D2D">
        <w:t>partie</w:t>
      </w:r>
      <w:r w:rsidR="00FC0832">
        <w:t> :</w:t>
      </w:r>
      <w:r w:rsidRPr="00F13D2D">
        <w:t xml:space="preserve"> </w:t>
      </w:r>
      <w:r w:rsidR="00B57070" w:rsidRPr="00F13D2D">
        <w:t xml:space="preserve">Mesures </w:t>
      </w:r>
      <w:r w:rsidRPr="00F13D2D">
        <w:t>spéciales de protection de l’enfance</w:t>
      </w:r>
      <w:r w:rsidRPr="00F13D2D">
        <w:tab/>
      </w:r>
      <w:r w:rsidRPr="00F13D2D">
        <w:tab/>
        <w:t>3</w:t>
      </w:r>
      <w:r w:rsidR="00F066E5" w:rsidRPr="00F13D2D">
        <w:t>8</w:t>
      </w:r>
    </w:p>
    <w:p w:rsidR="00B959FA" w:rsidRPr="00F13D2D" w:rsidRDefault="00B959FA" w:rsidP="00AA7A93">
      <w:pPr>
        <w:tabs>
          <w:tab w:val="right" w:pos="850"/>
          <w:tab w:val="left" w:pos="1134"/>
          <w:tab w:val="left" w:pos="1559"/>
          <w:tab w:val="left" w:pos="1984"/>
          <w:tab w:val="left" w:leader="dot" w:pos="8929"/>
          <w:tab w:val="right" w:pos="9638"/>
        </w:tabs>
        <w:spacing w:after="120"/>
      </w:pPr>
      <w:r w:rsidRPr="00F13D2D">
        <w:tab/>
      </w:r>
      <w:r w:rsidRPr="00F13D2D">
        <w:tab/>
        <w:t>Conclusion</w:t>
      </w:r>
      <w:r w:rsidRPr="00F13D2D">
        <w:tab/>
      </w:r>
      <w:r w:rsidRPr="00F13D2D">
        <w:tab/>
        <w:t>4</w:t>
      </w:r>
      <w:r w:rsidR="00F066E5" w:rsidRPr="00F13D2D">
        <w:t>2</w:t>
      </w:r>
    </w:p>
    <w:p w:rsidR="008911AF" w:rsidRPr="00F13D2D" w:rsidRDefault="008911AF" w:rsidP="008911AF">
      <w:pPr>
        <w:pStyle w:val="HChG"/>
      </w:pPr>
      <w:r w:rsidRPr="00F13D2D">
        <w:br w:type="page"/>
      </w:r>
      <w:bookmarkStart w:id="2" w:name="_Toc454386588"/>
      <w:bookmarkStart w:id="3" w:name="_Toc454386657"/>
      <w:bookmarkStart w:id="4" w:name="_Toc454388693"/>
      <w:r w:rsidR="000009C1" w:rsidRPr="00F13D2D">
        <w:lastRenderedPageBreak/>
        <w:tab/>
      </w:r>
      <w:r w:rsidR="000009C1" w:rsidRPr="00F13D2D">
        <w:tab/>
      </w:r>
      <w:r w:rsidRPr="00F13D2D">
        <w:t>Abréviations</w:t>
      </w:r>
      <w:bookmarkEnd w:id="2"/>
      <w:bookmarkEnd w:id="3"/>
      <w:bookmarkEnd w:id="4"/>
      <w:r w:rsidRPr="00F13D2D">
        <w:t xml:space="preserve"> </w:t>
      </w:r>
    </w:p>
    <w:p w:rsidR="008911AF" w:rsidRPr="00F13D2D" w:rsidRDefault="008911AF" w:rsidP="00AA7A93">
      <w:pPr>
        <w:pStyle w:val="SingleTxtG"/>
        <w:tabs>
          <w:tab w:val="left" w:pos="2552"/>
        </w:tabs>
        <w:ind w:right="0"/>
        <w:jc w:val="left"/>
      </w:pPr>
      <w:r w:rsidRPr="00F13D2D">
        <w:rPr>
          <w:bCs/>
        </w:rPr>
        <w:t>AACID </w:t>
      </w:r>
      <w:r w:rsidRPr="00F13D2D">
        <w:tab/>
        <w:t xml:space="preserve">Agence Andalouse de Coopération Internationale pour le </w:t>
      </w:r>
      <w:r w:rsidR="00BF4E72" w:rsidRPr="00A6081D">
        <w:t>Développement</w:t>
      </w:r>
    </w:p>
    <w:p w:rsidR="008911AF" w:rsidRPr="00F13D2D" w:rsidRDefault="008911AF" w:rsidP="00AA7A93">
      <w:pPr>
        <w:pStyle w:val="SingleTxtG"/>
        <w:tabs>
          <w:tab w:val="left" w:pos="2552"/>
        </w:tabs>
        <w:ind w:right="0"/>
        <w:jc w:val="left"/>
        <w:rPr>
          <w:bCs/>
          <w:color w:val="333333"/>
          <w:lang w:eastAsia="fr-FR"/>
        </w:rPr>
      </w:pPr>
      <w:r w:rsidRPr="00F13D2D">
        <w:rPr>
          <w:bCs/>
        </w:rPr>
        <w:t>APT</w:t>
      </w:r>
      <w:r w:rsidRPr="00F13D2D">
        <w:rPr>
          <w:bCs/>
        </w:rPr>
        <w:tab/>
      </w:r>
      <w:r w:rsidRPr="00F13D2D">
        <w:t>Association pour la Prévention de la Torture</w:t>
      </w:r>
    </w:p>
    <w:p w:rsidR="008911AF" w:rsidRPr="00F13D2D" w:rsidRDefault="008911AF" w:rsidP="00AA7A93">
      <w:pPr>
        <w:pStyle w:val="SingleTxtG"/>
        <w:tabs>
          <w:tab w:val="left" w:pos="2552"/>
        </w:tabs>
        <w:ind w:right="0"/>
        <w:jc w:val="left"/>
        <w:rPr>
          <w:color w:val="333333"/>
          <w:lang w:eastAsia="fr-FR"/>
        </w:rPr>
      </w:pPr>
      <w:r w:rsidRPr="00F13D2D">
        <w:rPr>
          <w:bCs/>
          <w:color w:val="333333"/>
          <w:lang w:eastAsia="fr-FR"/>
        </w:rPr>
        <w:t>BHCNUDH</w:t>
      </w:r>
      <w:r w:rsidRPr="00F13D2D">
        <w:rPr>
          <w:bCs/>
          <w:color w:val="333333"/>
          <w:lang w:eastAsia="fr-FR"/>
        </w:rPr>
        <w:tab/>
      </w:r>
      <w:r w:rsidRPr="00F13D2D">
        <w:rPr>
          <w:color w:val="333333"/>
          <w:lang w:eastAsia="fr-FR"/>
        </w:rPr>
        <w:t xml:space="preserve">Bureau du </w:t>
      </w:r>
      <w:r w:rsidR="00B959FA" w:rsidRPr="00F13D2D">
        <w:rPr>
          <w:color w:val="333333"/>
          <w:lang w:eastAsia="fr-FR"/>
        </w:rPr>
        <w:t>Haut-Commissariat</w:t>
      </w:r>
      <w:r w:rsidRPr="00F13D2D">
        <w:rPr>
          <w:color w:val="333333"/>
          <w:lang w:eastAsia="fr-FR"/>
        </w:rPr>
        <w:t xml:space="preserve"> des Nations Unies pour les Droits de l</w:t>
      </w:r>
      <w:r w:rsidR="006C160E" w:rsidRPr="00F13D2D">
        <w:rPr>
          <w:color w:val="333333"/>
          <w:lang w:eastAsia="fr-FR"/>
        </w:rPr>
        <w:t>’</w:t>
      </w:r>
      <w:r w:rsidRPr="00F13D2D">
        <w:rPr>
          <w:color w:val="333333"/>
          <w:lang w:eastAsia="fr-FR"/>
        </w:rPr>
        <w:t>Homme</w:t>
      </w:r>
    </w:p>
    <w:p w:rsidR="008911AF" w:rsidRPr="00F13D2D" w:rsidRDefault="008911AF" w:rsidP="00AA7A93">
      <w:pPr>
        <w:pStyle w:val="SingleTxtG"/>
        <w:tabs>
          <w:tab w:val="left" w:pos="2552"/>
        </w:tabs>
        <w:ind w:right="0"/>
        <w:jc w:val="left"/>
        <w:rPr>
          <w:color w:val="333333"/>
          <w:lang w:eastAsia="fr-FR"/>
        </w:rPr>
      </w:pPr>
      <w:r w:rsidRPr="00F13D2D">
        <w:rPr>
          <w:bCs/>
          <w:color w:val="333333"/>
          <w:lang w:eastAsia="fr-FR"/>
        </w:rPr>
        <w:t>BSCM </w:t>
      </w:r>
      <w:r w:rsidRPr="00F13D2D">
        <w:rPr>
          <w:color w:val="333333"/>
          <w:lang w:eastAsia="fr-FR"/>
        </w:rPr>
        <w:tab/>
        <w:t xml:space="preserve">Brigade Spéciale Chargée des Mineurs </w:t>
      </w:r>
    </w:p>
    <w:p w:rsidR="008911AF" w:rsidRPr="00F13D2D" w:rsidRDefault="008911AF" w:rsidP="00AA7A93">
      <w:pPr>
        <w:pStyle w:val="SingleTxtG"/>
        <w:tabs>
          <w:tab w:val="left" w:pos="2552"/>
        </w:tabs>
        <w:ind w:right="0"/>
        <w:jc w:val="left"/>
      </w:pPr>
      <w:r w:rsidRPr="00F13D2D">
        <w:rPr>
          <w:bCs/>
        </w:rPr>
        <w:t>CADBE</w:t>
      </w:r>
      <w:r w:rsidRPr="00F13D2D">
        <w:t> </w:t>
      </w:r>
      <w:r w:rsidRPr="00F13D2D">
        <w:tab/>
        <w:t xml:space="preserve">Charte Africaine des Droits et du </w:t>
      </w:r>
      <w:r w:rsidR="00B959FA" w:rsidRPr="00F13D2D">
        <w:t>Bien-être</w:t>
      </w:r>
      <w:r w:rsidRPr="00F13D2D">
        <w:t xml:space="preserve"> de l’Enfant</w:t>
      </w:r>
    </w:p>
    <w:p w:rsidR="008911AF" w:rsidRPr="00F13D2D" w:rsidRDefault="008911AF" w:rsidP="00AA7A93">
      <w:pPr>
        <w:pStyle w:val="SingleTxtG"/>
        <w:tabs>
          <w:tab w:val="left" w:pos="2552"/>
        </w:tabs>
        <w:ind w:right="0"/>
        <w:jc w:val="left"/>
      </w:pPr>
      <w:r w:rsidRPr="00F13D2D">
        <w:rPr>
          <w:bCs/>
        </w:rPr>
        <w:t>CAC</w:t>
      </w:r>
      <w:r w:rsidRPr="00F13D2D">
        <w:t> </w:t>
      </w:r>
      <w:r w:rsidRPr="00F13D2D">
        <w:tab/>
        <w:t xml:space="preserve">Centre d’Alimentation Communautaire </w:t>
      </w:r>
    </w:p>
    <w:p w:rsidR="008911AF" w:rsidRPr="00F13D2D" w:rsidRDefault="008911AF" w:rsidP="00AA7A93">
      <w:pPr>
        <w:pStyle w:val="SingleTxtG"/>
        <w:tabs>
          <w:tab w:val="left" w:pos="2552"/>
        </w:tabs>
        <w:ind w:right="0"/>
        <w:jc w:val="left"/>
      </w:pPr>
      <w:r w:rsidRPr="00F13D2D">
        <w:rPr>
          <w:bCs/>
        </w:rPr>
        <w:t>CADHP</w:t>
      </w:r>
      <w:r w:rsidRPr="00F13D2D">
        <w:tab/>
        <w:t>Charte Africaine des Droits de l’Homme et des Peuples</w:t>
      </w:r>
    </w:p>
    <w:p w:rsidR="008911AF" w:rsidRPr="00F13D2D" w:rsidRDefault="008911AF" w:rsidP="00AA7A93">
      <w:pPr>
        <w:pStyle w:val="SingleTxtG"/>
        <w:tabs>
          <w:tab w:val="left" w:pos="2552"/>
        </w:tabs>
        <w:ind w:right="0"/>
        <w:jc w:val="left"/>
      </w:pPr>
      <w:r w:rsidRPr="00F13D2D">
        <w:rPr>
          <w:bCs/>
        </w:rPr>
        <w:t>SCA</w:t>
      </w:r>
      <w:r w:rsidRPr="00F13D2D">
        <w:t> </w:t>
      </w:r>
      <w:r w:rsidRPr="00F13D2D">
        <w:tab/>
      </w:r>
      <w:r w:rsidR="00B959FA" w:rsidRPr="00F13D2D">
        <w:t>Sous-Comité</w:t>
      </w:r>
      <w:r w:rsidRPr="00F13D2D">
        <w:t xml:space="preserve"> d’Accréditation </w:t>
      </w:r>
    </w:p>
    <w:p w:rsidR="008911AF" w:rsidRPr="00F13D2D" w:rsidRDefault="008911AF" w:rsidP="00AA7A93">
      <w:pPr>
        <w:pStyle w:val="SingleTxtG"/>
        <w:tabs>
          <w:tab w:val="left" w:pos="2552"/>
        </w:tabs>
        <w:ind w:right="0"/>
        <w:jc w:val="left"/>
      </w:pPr>
      <w:r w:rsidRPr="00F13D2D">
        <w:rPr>
          <w:bCs/>
        </w:rPr>
        <w:t>CSLP</w:t>
      </w:r>
      <w:r w:rsidRPr="00F13D2D">
        <w:t> </w:t>
      </w:r>
      <w:r w:rsidRPr="00F13D2D">
        <w:tab/>
        <w:t>Cadre Stratégique de Lutte contre la Pauvreté</w:t>
      </w:r>
    </w:p>
    <w:p w:rsidR="008911AF" w:rsidRPr="00F13D2D" w:rsidRDefault="008911AF" w:rsidP="00AA7A93">
      <w:pPr>
        <w:pStyle w:val="SingleTxtG"/>
        <w:tabs>
          <w:tab w:val="left" w:pos="2552"/>
        </w:tabs>
        <w:ind w:right="0"/>
        <w:jc w:val="left"/>
      </w:pPr>
      <w:r w:rsidRPr="00F13D2D">
        <w:rPr>
          <w:bCs/>
        </w:rPr>
        <w:t>CDE</w:t>
      </w:r>
      <w:r w:rsidRPr="00F13D2D">
        <w:t> </w:t>
      </w:r>
      <w:r w:rsidRPr="00F13D2D">
        <w:tab/>
        <w:t>Convention des Nations Unies relative aux Droits de l’Enfant</w:t>
      </w:r>
    </w:p>
    <w:p w:rsidR="008911AF" w:rsidRPr="00F13D2D" w:rsidRDefault="008911AF" w:rsidP="00AA7A93">
      <w:pPr>
        <w:pStyle w:val="SingleTxtG"/>
        <w:tabs>
          <w:tab w:val="left" w:pos="2552"/>
        </w:tabs>
        <w:ind w:right="0"/>
        <w:jc w:val="left"/>
        <w:rPr>
          <w:color w:val="333333"/>
          <w:lang w:eastAsia="fr-FR"/>
        </w:rPr>
      </w:pPr>
      <w:r w:rsidRPr="00F13D2D">
        <w:rPr>
          <w:bCs/>
          <w:color w:val="333333"/>
          <w:lang w:eastAsia="fr-FR"/>
        </w:rPr>
        <w:t>CARSEC</w:t>
      </w:r>
      <w:r w:rsidRPr="00F13D2D">
        <w:rPr>
          <w:color w:val="333333"/>
          <w:lang w:eastAsia="fr-FR"/>
        </w:rPr>
        <w:t> </w:t>
      </w:r>
      <w:r w:rsidRPr="00F13D2D">
        <w:rPr>
          <w:color w:val="333333"/>
          <w:lang w:eastAsia="fr-FR"/>
        </w:rPr>
        <w:tab/>
        <w:t xml:space="preserve">Centre d’Accueil et de Réinsertion Sociale des Enfants en Conflit avec </w:t>
      </w:r>
      <w:r w:rsidR="00BF4E72" w:rsidRPr="00A6081D">
        <w:rPr>
          <w:color w:val="333333"/>
          <w:lang w:eastAsia="fr-FR"/>
        </w:rPr>
        <w:t>la loi</w:t>
      </w:r>
    </w:p>
    <w:p w:rsidR="008911AF" w:rsidRPr="00F13D2D" w:rsidRDefault="008911AF" w:rsidP="00AA7A93">
      <w:pPr>
        <w:pStyle w:val="SingleTxtG"/>
        <w:tabs>
          <w:tab w:val="left" w:pos="2552"/>
        </w:tabs>
        <w:ind w:right="0"/>
        <w:jc w:val="left"/>
      </w:pPr>
      <w:r w:rsidRPr="00F13D2D">
        <w:rPr>
          <w:bCs/>
        </w:rPr>
        <w:t>CDMT</w:t>
      </w:r>
      <w:r w:rsidRPr="00F13D2D">
        <w:t> </w:t>
      </w:r>
      <w:r w:rsidRPr="00F13D2D">
        <w:tab/>
      </w:r>
      <w:r w:rsidRPr="00F13D2D">
        <w:rPr>
          <w:color w:val="333333"/>
          <w:lang w:eastAsia="fr-FR"/>
        </w:rPr>
        <w:t>Cadre</w:t>
      </w:r>
      <w:r w:rsidRPr="00F13D2D">
        <w:t xml:space="preserve"> de Dépenses à Moyen Terme </w:t>
      </w:r>
    </w:p>
    <w:p w:rsidR="008911AF" w:rsidRPr="00F13D2D" w:rsidRDefault="008911AF" w:rsidP="00AA7A93">
      <w:pPr>
        <w:pStyle w:val="SingleTxtG"/>
        <w:tabs>
          <w:tab w:val="left" w:pos="2552"/>
        </w:tabs>
        <w:ind w:right="0"/>
        <w:jc w:val="left"/>
        <w:rPr>
          <w:color w:val="333333"/>
          <w:lang w:eastAsia="fr-FR"/>
        </w:rPr>
      </w:pPr>
      <w:r w:rsidRPr="00F13D2D">
        <w:rPr>
          <w:bCs/>
        </w:rPr>
        <w:t>CPISE</w:t>
      </w:r>
      <w:r w:rsidRPr="00F13D2D">
        <w:t> </w:t>
      </w:r>
      <w:r w:rsidRPr="00F13D2D">
        <w:tab/>
        <w:t>Centre de Protection et d’Intégration Sociale des Enfants</w:t>
      </w:r>
    </w:p>
    <w:p w:rsidR="008911AF" w:rsidRPr="00F13D2D" w:rsidRDefault="008911AF" w:rsidP="00AA7A93">
      <w:pPr>
        <w:pStyle w:val="SingleTxtG"/>
        <w:tabs>
          <w:tab w:val="left" w:pos="2552"/>
        </w:tabs>
        <w:ind w:right="0"/>
        <w:jc w:val="left"/>
      </w:pPr>
      <w:r w:rsidRPr="00F13D2D">
        <w:rPr>
          <w:bCs/>
          <w:color w:val="333333"/>
          <w:lang w:eastAsia="fr-FR"/>
        </w:rPr>
        <w:t>CFPE</w:t>
      </w:r>
      <w:r w:rsidRPr="00F13D2D">
        <w:rPr>
          <w:color w:val="333333"/>
          <w:lang w:eastAsia="fr-FR"/>
        </w:rPr>
        <w:tab/>
        <w:t>Centre de Formation pour la Petite Enfance</w:t>
      </w:r>
    </w:p>
    <w:p w:rsidR="008911AF" w:rsidRPr="00F13D2D" w:rsidRDefault="008911AF" w:rsidP="00AA7A93">
      <w:pPr>
        <w:pStyle w:val="SingleTxtG"/>
        <w:tabs>
          <w:tab w:val="left" w:pos="2552"/>
        </w:tabs>
        <w:ind w:right="0"/>
        <w:jc w:val="left"/>
        <w:rPr>
          <w:color w:val="333333"/>
          <w:lang w:eastAsia="fr-FR"/>
        </w:rPr>
      </w:pPr>
      <w:r w:rsidRPr="00F13D2D">
        <w:rPr>
          <w:bCs/>
          <w:color w:val="333333"/>
          <w:lang w:eastAsia="fr-FR"/>
        </w:rPr>
        <w:t>CFPF</w:t>
      </w:r>
      <w:r w:rsidRPr="00F13D2D">
        <w:rPr>
          <w:color w:val="333333"/>
          <w:lang w:eastAsia="fr-FR"/>
        </w:rPr>
        <w:t> </w:t>
      </w:r>
      <w:r w:rsidR="000009C1" w:rsidRPr="00F13D2D">
        <w:rPr>
          <w:color w:val="333333"/>
          <w:lang w:eastAsia="fr-FR"/>
        </w:rPr>
        <w:tab/>
      </w:r>
      <w:r w:rsidRPr="00F13D2D">
        <w:rPr>
          <w:color w:val="333333"/>
          <w:lang w:eastAsia="fr-FR"/>
        </w:rPr>
        <w:t xml:space="preserve">Centre de Formation pour la Promotion Féminine </w:t>
      </w:r>
    </w:p>
    <w:p w:rsidR="008911AF" w:rsidRPr="00F13D2D" w:rsidRDefault="008911AF" w:rsidP="00AA7A93">
      <w:pPr>
        <w:pStyle w:val="SingleTxtG"/>
        <w:tabs>
          <w:tab w:val="left" w:pos="2552"/>
        </w:tabs>
        <w:ind w:right="0"/>
        <w:jc w:val="left"/>
      </w:pPr>
      <w:r w:rsidRPr="00F13D2D">
        <w:rPr>
          <w:bCs/>
        </w:rPr>
        <w:t>CIDE</w:t>
      </w:r>
      <w:r w:rsidRPr="00F13D2D">
        <w:t> </w:t>
      </w:r>
      <w:r w:rsidRPr="00F13D2D">
        <w:tab/>
        <w:t>Comité International des Droits de l’Enfant</w:t>
      </w:r>
    </w:p>
    <w:p w:rsidR="008911AF" w:rsidRPr="00F13D2D" w:rsidRDefault="008911AF" w:rsidP="00AA7A93">
      <w:pPr>
        <w:pStyle w:val="SingleTxtG"/>
        <w:tabs>
          <w:tab w:val="left" w:pos="2552"/>
        </w:tabs>
        <w:ind w:right="0"/>
        <w:jc w:val="left"/>
      </w:pPr>
      <w:r w:rsidRPr="00F13D2D">
        <w:rPr>
          <w:bCs/>
        </w:rPr>
        <w:t>CNDH</w:t>
      </w:r>
      <w:r w:rsidRPr="00F13D2D">
        <w:t> </w:t>
      </w:r>
      <w:r w:rsidRPr="00F13D2D">
        <w:tab/>
        <w:t xml:space="preserve">Commission Nationale des Droits de l’Homme </w:t>
      </w:r>
    </w:p>
    <w:p w:rsidR="008911AF" w:rsidRPr="00F13D2D" w:rsidRDefault="008911AF" w:rsidP="00AA7A93">
      <w:pPr>
        <w:pStyle w:val="SingleTxtG"/>
        <w:tabs>
          <w:tab w:val="left" w:pos="2552"/>
        </w:tabs>
        <w:ind w:right="0"/>
        <w:jc w:val="left"/>
      </w:pPr>
      <w:r w:rsidRPr="00F13D2D">
        <w:rPr>
          <w:bCs/>
        </w:rPr>
        <w:t>SNIG </w:t>
      </w:r>
      <w:r w:rsidRPr="00F13D2D">
        <w:tab/>
        <w:t xml:space="preserve">Stratégie Nationale d’Institutionnalisation du Genre </w:t>
      </w:r>
    </w:p>
    <w:p w:rsidR="008911AF" w:rsidRPr="00F13D2D" w:rsidRDefault="008911AF" w:rsidP="00AA7A93">
      <w:pPr>
        <w:pStyle w:val="SingleTxtG"/>
        <w:tabs>
          <w:tab w:val="left" w:pos="2552"/>
        </w:tabs>
        <w:ind w:right="0"/>
        <w:jc w:val="left"/>
      </w:pPr>
      <w:r w:rsidRPr="00F13D2D">
        <w:rPr>
          <w:bCs/>
        </w:rPr>
        <w:t>CNLS</w:t>
      </w:r>
      <w:r w:rsidRPr="00F13D2D">
        <w:t> </w:t>
      </w:r>
      <w:r w:rsidRPr="00F13D2D">
        <w:tab/>
        <w:t xml:space="preserve">Comité National de Lutte contre le Sida </w:t>
      </w:r>
    </w:p>
    <w:p w:rsidR="008911AF" w:rsidRPr="00F13D2D" w:rsidRDefault="008911AF" w:rsidP="00AA7A93">
      <w:pPr>
        <w:pStyle w:val="SingleTxtG"/>
        <w:tabs>
          <w:tab w:val="left" w:pos="2552"/>
        </w:tabs>
        <w:ind w:right="0"/>
        <w:jc w:val="left"/>
      </w:pPr>
      <w:r w:rsidRPr="00F13D2D">
        <w:rPr>
          <w:bCs/>
        </w:rPr>
        <w:t>CNUPDTM</w:t>
      </w:r>
      <w:r w:rsidRPr="00F13D2D">
        <w:t> </w:t>
      </w:r>
      <w:r w:rsidRPr="00F13D2D">
        <w:tab/>
        <w:t xml:space="preserve">Convention internationale sur la Protection des Droits </w:t>
      </w:r>
      <w:r w:rsidR="00BF4E72">
        <w:br/>
      </w:r>
      <w:r w:rsidR="00BF4E72">
        <w:tab/>
      </w:r>
      <w:r w:rsidRPr="00F13D2D">
        <w:t xml:space="preserve">de tous les Travailleurs Migrants et des Membres de leur Famille </w:t>
      </w:r>
    </w:p>
    <w:p w:rsidR="008911AF" w:rsidRPr="00F13D2D" w:rsidRDefault="008911AF" w:rsidP="00AA7A93">
      <w:pPr>
        <w:pStyle w:val="SingleTxtG"/>
        <w:tabs>
          <w:tab w:val="left" w:pos="2552"/>
        </w:tabs>
        <w:ind w:right="0"/>
        <w:jc w:val="left"/>
      </w:pPr>
      <w:r w:rsidRPr="00F13D2D">
        <w:rPr>
          <w:bCs/>
          <w:lang w:eastAsia="fr-FR"/>
        </w:rPr>
        <w:t>CSA</w:t>
      </w:r>
      <w:r w:rsidRPr="00F13D2D">
        <w:rPr>
          <w:bCs/>
          <w:lang w:eastAsia="fr-FR"/>
        </w:rPr>
        <w:tab/>
      </w:r>
      <w:r w:rsidRPr="00F13D2D">
        <w:rPr>
          <w:lang w:eastAsia="fr-FR"/>
        </w:rPr>
        <w:t xml:space="preserve">Commissariat à la Sécurité Alimentaire </w:t>
      </w:r>
    </w:p>
    <w:p w:rsidR="008911AF" w:rsidRPr="00F13D2D" w:rsidRDefault="008911AF" w:rsidP="00AA7A93">
      <w:pPr>
        <w:pStyle w:val="SingleTxtG"/>
        <w:tabs>
          <w:tab w:val="left" w:pos="2552"/>
        </w:tabs>
        <w:ind w:right="0"/>
        <w:jc w:val="left"/>
      </w:pPr>
      <w:r w:rsidRPr="00F13D2D">
        <w:rPr>
          <w:bCs/>
        </w:rPr>
        <w:t>CSP </w:t>
      </w:r>
      <w:r w:rsidRPr="00F13D2D">
        <w:rPr>
          <w:bCs/>
        </w:rPr>
        <w:tab/>
      </w:r>
      <w:r w:rsidRPr="00F13D2D">
        <w:t>Code du Statut Personnel</w:t>
      </w:r>
    </w:p>
    <w:p w:rsidR="008911AF" w:rsidRPr="00F13D2D" w:rsidRDefault="008911AF" w:rsidP="00AA7A93">
      <w:pPr>
        <w:pStyle w:val="SingleTxtG"/>
        <w:tabs>
          <w:tab w:val="left" w:pos="2552"/>
        </w:tabs>
        <w:ind w:right="0"/>
        <w:jc w:val="left"/>
      </w:pPr>
      <w:r w:rsidRPr="00F13D2D">
        <w:rPr>
          <w:bCs/>
        </w:rPr>
        <w:t>DE </w:t>
      </w:r>
      <w:r w:rsidRPr="00F13D2D">
        <w:tab/>
        <w:t xml:space="preserve">Direction de l’Enfance </w:t>
      </w:r>
    </w:p>
    <w:p w:rsidR="008911AF" w:rsidRPr="00F13D2D" w:rsidRDefault="008911AF" w:rsidP="00AA7A93">
      <w:pPr>
        <w:pStyle w:val="SingleTxtG"/>
        <w:tabs>
          <w:tab w:val="left" w:pos="2552"/>
        </w:tabs>
        <w:ind w:right="0"/>
        <w:jc w:val="left"/>
      </w:pPr>
      <w:r w:rsidRPr="00F13D2D">
        <w:rPr>
          <w:bCs/>
        </w:rPr>
        <w:t>DH </w:t>
      </w:r>
      <w:r w:rsidRPr="00F13D2D">
        <w:tab/>
        <w:t xml:space="preserve">Droits de l’Homme </w:t>
      </w:r>
    </w:p>
    <w:p w:rsidR="008911AF" w:rsidRPr="00F13D2D" w:rsidRDefault="008911AF" w:rsidP="00AA7A93">
      <w:pPr>
        <w:pStyle w:val="SingleTxtG"/>
        <w:tabs>
          <w:tab w:val="left" w:pos="2552"/>
        </w:tabs>
        <w:ind w:right="0"/>
        <w:jc w:val="left"/>
      </w:pPr>
      <w:r w:rsidRPr="00F13D2D">
        <w:rPr>
          <w:bCs/>
          <w:color w:val="333333"/>
          <w:lang w:eastAsia="fr-FR"/>
        </w:rPr>
        <w:t>DPJE </w:t>
      </w:r>
      <w:r w:rsidRPr="00F13D2D">
        <w:rPr>
          <w:color w:val="333333"/>
          <w:lang w:eastAsia="fr-FR"/>
        </w:rPr>
        <w:tab/>
        <w:t xml:space="preserve">Direction de la Protection Judiciaire de l’Enfant </w:t>
      </w:r>
    </w:p>
    <w:p w:rsidR="008911AF" w:rsidRPr="00F13D2D" w:rsidRDefault="008911AF" w:rsidP="00AA7A93">
      <w:pPr>
        <w:pStyle w:val="SingleTxtG"/>
        <w:tabs>
          <w:tab w:val="left" w:pos="2552"/>
        </w:tabs>
        <w:ind w:right="0"/>
        <w:jc w:val="left"/>
        <w:rPr>
          <w:lang w:eastAsia="fr-FR"/>
        </w:rPr>
      </w:pPr>
      <w:r w:rsidRPr="00F13D2D">
        <w:rPr>
          <w:bCs/>
          <w:lang w:eastAsia="fr-FR"/>
        </w:rPr>
        <w:t>ENVEF2011 </w:t>
      </w:r>
      <w:r w:rsidR="000009C1" w:rsidRPr="00F13D2D">
        <w:rPr>
          <w:lang w:eastAsia="fr-FR"/>
        </w:rPr>
        <w:tab/>
      </w:r>
      <w:r w:rsidRPr="00F13D2D">
        <w:rPr>
          <w:lang w:eastAsia="fr-FR"/>
        </w:rPr>
        <w:t>Enquête Nationale sur la Violence à l’</w:t>
      </w:r>
      <w:proofErr w:type="spellStart"/>
      <w:r w:rsidRPr="00F13D2D">
        <w:rPr>
          <w:lang w:eastAsia="fr-FR"/>
        </w:rPr>
        <w:t>Egard</w:t>
      </w:r>
      <w:proofErr w:type="spellEnd"/>
      <w:r w:rsidRPr="00F13D2D">
        <w:rPr>
          <w:lang w:eastAsia="fr-FR"/>
        </w:rPr>
        <w:t xml:space="preserve"> des Femmes en </w:t>
      </w:r>
      <w:r w:rsidR="00BF4E72" w:rsidRPr="00A6081D">
        <w:rPr>
          <w:lang w:eastAsia="fr-FR"/>
        </w:rPr>
        <w:t>Mauritanie 2011</w:t>
      </w:r>
    </w:p>
    <w:p w:rsidR="008911AF" w:rsidRPr="00F13D2D" w:rsidRDefault="008911AF" w:rsidP="00AA7A93">
      <w:pPr>
        <w:pStyle w:val="SingleTxtG"/>
        <w:tabs>
          <w:tab w:val="left" w:pos="2552"/>
        </w:tabs>
        <w:ind w:right="0"/>
        <w:jc w:val="left"/>
        <w:rPr>
          <w:lang w:eastAsia="fr-FR"/>
        </w:rPr>
      </w:pPr>
      <w:r w:rsidRPr="00F13D2D">
        <w:rPr>
          <w:bCs/>
          <w:lang w:eastAsia="fr-FR"/>
        </w:rPr>
        <w:t>EPCV</w:t>
      </w:r>
      <w:r w:rsidR="000009C1" w:rsidRPr="00F13D2D">
        <w:rPr>
          <w:lang w:eastAsia="fr-FR"/>
        </w:rPr>
        <w:tab/>
      </w:r>
      <w:r w:rsidRPr="00F13D2D">
        <w:rPr>
          <w:lang w:eastAsia="fr-FR"/>
        </w:rPr>
        <w:t>Enquête Permanente sur les Conditions de Vie des Ménages</w:t>
      </w:r>
    </w:p>
    <w:p w:rsidR="008911AF" w:rsidRPr="00F13D2D" w:rsidRDefault="008911AF" w:rsidP="00AA7A93">
      <w:pPr>
        <w:pStyle w:val="SingleTxtG"/>
        <w:tabs>
          <w:tab w:val="left" w:pos="2552"/>
        </w:tabs>
        <w:ind w:right="0"/>
        <w:jc w:val="left"/>
        <w:rPr>
          <w:lang w:eastAsia="fr-FR"/>
        </w:rPr>
      </w:pPr>
      <w:r w:rsidRPr="00F13D2D">
        <w:rPr>
          <w:bCs/>
          <w:lang w:eastAsia="fr-FR"/>
        </w:rPr>
        <w:t>EPT </w:t>
      </w:r>
      <w:r w:rsidRPr="00F13D2D">
        <w:rPr>
          <w:lang w:eastAsia="fr-FR"/>
        </w:rPr>
        <w:tab/>
      </w:r>
      <w:proofErr w:type="spellStart"/>
      <w:r w:rsidRPr="00F13D2D">
        <w:rPr>
          <w:lang w:eastAsia="fr-FR"/>
        </w:rPr>
        <w:t>Education</w:t>
      </w:r>
      <w:proofErr w:type="spellEnd"/>
      <w:r w:rsidRPr="00F13D2D">
        <w:rPr>
          <w:lang w:eastAsia="fr-FR"/>
        </w:rPr>
        <w:t xml:space="preserve"> Pour Tous </w:t>
      </w:r>
    </w:p>
    <w:p w:rsidR="008911AF" w:rsidRPr="00F13D2D" w:rsidRDefault="008911AF" w:rsidP="00AA7A93">
      <w:pPr>
        <w:pStyle w:val="SingleTxtG"/>
        <w:tabs>
          <w:tab w:val="left" w:pos="2552"/>
        </w:tabs>
        <w:ind w:right="0"/>
        <w:jc w:val="left"/>
        <w:rPr>
          <w:lang w:eastAsia="fr-FR"/>
        </w:rPr>
      </w:pPr>
      <w:r w:rsidRPr="00F13D2D">
        <w:rPr>
          <w:bCs/>
          <w:lang w:eastAsia="fr-FR"/>
        </w:rPr>
        <w:t>GSG </w:t>
      </w:r>
      <w:r w:rsidRPr="00F13D2D">
        <w:rPr>
          <w:lang w:eastAsia="fr-FR"/>
        </w:rPr>
        <w:tab/>
        <w:t xml:space="preserve">Groupe de Suivi Genre </w:t>
      </w:r>
    </w:p>
    <w:p w:rsidR="008911AF" w:rsidRPr="00F13D2D" w:rsidRDefault="008911AF" w:rsidP="00AA7A93">
      <w:pPr>
        <w:pStyle w:val="SingleTxtG"/>
        <w:tabs>
          <w:tab w:val="left" w:pos="2552"/>
        </w:tabs>
        <w:ind w:right="0"/>
        <w:jc w:val="left"/>
      </w:pPr>
      <w:r w:rsidRPr="00F13D2D">
        <w:rPr>
          <w:bCs/>
        </w:rPr>
        <w:t>MGF </w:t>
      </w:r>
      <w:r w:rsidRPr="00F13D2D">
        <w:tab/>
        <w:t xml:space="preserve">Mutilations Génitales Féminines </w:t>
      </w:r>
    </w:p>
    <w:p w:rsidR="008911AF" w:rsidRPr="00F13D2D" w:rsidRDefault="008911AF" w:rsidP="00AA7A93">
      <w:pPr>
        <w:pStyle w:val="SingleTxtG"/>
        <w:tabs>
          <w:tab w:val="left" w:pos="2552"/>
        </w:tabs>
        <w:ind w:right="0"/>
        <w:jc w:val="left"/>
      </w:pPr>
      <w:r w:rsidRPr="00F13D2D">
        <w:rPr>
          <w:bCs/>
        </w:rPr>
        <w:t>NEPAD </w:t>
      </w:r>
      <w:r w:rsidR="00B959FA" w:rsidRPr="00F13D2D">
        <w:tab/>
      </w:r>
      <w:r w:rsidRPr="00F13D2D">
        <w:t xml:space="preserve">Partenariat Nouveau pour le Développement en Afrique </w:t>
      </w:r>
    </w:p>
    <w:p w:rsidR="008911AF" w:rsidRPr="00F13D2D" w:rsidRDefault="008911AF" w:rsidP="00AA7A93">
      <w:pPr>
        <w:pStyle w:val="SingleTxtG"/>
        <w:tabs>
          <w:tab w:val="left" w:pos="2552"/>
        </w:tabs>
        <w:ind w:right="0"/>
        <w:jc w:val="left"/>
      </w:pPr>
      <w:r w:rsidRPr="00F13D2D">
        <w:rPr>
          <w:bCs/>
        </w:rPr>
        <w:t>NU </w:t>
      </w:r>
      <w:r w:rsidR="00B959FA" w:rsidRPr="00F13D2D">
        <w:tab/>
      </w:r>
      <w:r w:rsidRPr="00F13D2D">
        <w:t>Nations Unies</w:t>
      </w:r>
    </w:p>
    <w:p w:rsidR="008911AF" w:rsidRPr="00F13D2D" w:rsidRDefault="008911AF" w:rsidP="00AA7A93">
      <w:pPr>
        <w:pStyle w:val="SingleTxtG"/>
        <w:tabs>
          <w:tab w:val="left" w:pos="2552"/>
        </w:tabs>
        <w:ind w:right="0"/>
        <w:jc w:val="left"/>
      </w:pPr>
      <w:r w:rsidRPr="00F13D2D">
        <w:rPr>
          <w:bCs/>
        </w:rPr>
        <w:t>RGPH</w:t>
      </w:r>
      <w:r w:rsidR="00B959FA" w:rsidRPr="00F13D2D">
        <w:rPr>
          <w:bCs/>
        </w:rPr>
        <w:tab/>
      </w:r>
      <w:r w:rsidRPr="00F13D2D">
        <w:t>Recensement Général de la Population et de l</w:t>
      </w:r>
      <w:r w:rsidR="006C160E" w:rsidRPr="00F13D2D">
        <w:t>’</w:t>
      </w:r>
      <w:r w:rsidRPr="00F13D2D">
        <w:t>Habitat</w:t>
      </w:r>
    </w:p>
    <w:p w:rsidR="008911AF" w:rsidRPr="00F13D2D" w:rsidRDefault="008911AF" w:rsidP="00AA7A93">
      <w:pPr>
        <w:pStyle w:val="SingleTxtG"/>
        <w:tabs>
          <w:tab w:val="left" w:pos="2552"/>
        </w:tabs>
        <w:ind w:right="0"/>
        <w:jc w:val="left"/>
      </w:pPr>
      <w:r w:rsidRPr="00F13D2D">
        <w:rPr>
          <w:bCs/>
        </w:rPr>
        <w:t>RIM</w:t>
      </w:r>
      <w:r w:rsidR="00B959FA" w:rsidRPr="00F13D2D">
        <w:tab/>
      </w:r>
      <w:r w:rsidRPr="00F13D2D">
        <w:t>République Islamique de Mauritanie</w:t>
      </w:r>
    </w:p>
    <w:p w:rsidR="008911AF" w:rsidRPr="00F13D2D" w:rsidRDefault="008911AF" w:rsidP="00AA7A93">
      <w:pPr>
        <w:pStyle w:val="SingleTxtG"/>
        <w:tabs>
          <w:tab w:val="left" w:pos="2552"/>
        </w:tabs>
        <w:ind w:right="0"/>
        <w:jc w:val="left"/>
      </w:pPr>
      <w:r w:rsidRPr="00F13D2D">
        <w:rPr>
          <w:bCs/>
        </w:rPr>
        <w:t>OIT </w:t>
      </w:r>
      <w:r w:rsidR="00B959FA" w:rsidRPr="00F13D2D">
        <w:rPr>
          <w:bCs/>
        </w:rPr>
        <w:tab/>
      </w:r>
      <w:r w:rsidRPr="00F13D2D">
        <w:t xml:space="preserve">Organisation Internationale du Travail </w:t>
      </w:r>
    </w:p>
    <w:p w:rsidR="008911AF" w:rsidRPr="00F13D2D" w:rsidRDefault="008911AF" w:rsidP="00AA7A93">
      <w:pPr>
        <w:pStyle w:val="SingleTxtG"/>
        <w:tabs>
          <w:tab w:val="left" w:pos="2552"/>
        </w:tabs>
        <w:ind w:right="0"/>
        <w:jc w:val="left"/>
      </w:pPr>
      <w:r w:rsidRPr="00F13D2D">
        <w:rPr>
          <w:bCs/>
        </w:rPr>
        <w:t>OMD </w:t>
      </w:r>
      <w:r w:rsidR="00B959FA" w:rsidRPr="00F13D2D">
        <w:tab/>
      </w:r>
      <w:r w:rsidRPr="00F13D2D">
        <w:t>Objectifs du Millénaire pour le Développement</w:t>
      </w:r>
    </w:p>
    <w:p w:rsidR="008911AF" w:rsidRPr="00F13D2D" w:rsidRDefault="008911AF" w:rsidP="00AA7A93">
      <w:pPr>
        <w:pStyle w:val="SingleTxtG"/>
        <w:tabs>
          <w:tab w:val="left" w:pos="2552"/>
        </w:tabs>
        <w:ind w:right="0"/>
        <w:jc w:val="left"/>
      </w:pPr>
      <w:r w:rsidRPr="00F13D2D">
        <w:rPr>
          <w:bCs/>
        </w:rPr>
        <w:t>ONG </w:t>
      </w:r>
      <w:r w:rsidR="00B959FA" w:rsidRPr="00F13D2D">
        <w:tab/>
      </w:r>
      <w:r w:rsidRPr="00F13D2D">
        <w:t xml:space="preserve">Organisations Non Gouvernementales </w:t>
      </w:r>
    </w:p>
    <w:p w:rsidR="008911AF" w:rsidRPr="00F13D2D" w:rsidRDefault="008911AF" w:rsidP="00AA7A93">
      <w:pPr>
        <w:pStyle w:val="SingleTxtG"/>
        <w:tabs>
          <w:tab w:val="left" w:pos="2552"/>
        </w:tabs>
        <w:ind w:right="0"/>
        <w:jc w:val="left"/>
      </w:pPr>
      <w:r w:rsidRPr="00F13D2D">
        <w:rPr>
          <w:bCs/>
        </w:rPr>
        <w:lastRenderedPageBreak/>
        <w:t>ONS </w:t>
      </w:r>
      <w:r w:rsidR="00B959FA" w:rsidRPr="00F13D2D">
        <w:tab/>
      </w:r>
      <w:r w:rsidRPr="00F13D2D">
        <w:t>Office National de la Statistique</w:t>
      </w:r>
    </w:p>
    <w:p w:rsidR="008911AF" w:rsidRPr="00F13D2D" w:rsidRDefault="008911AF" w:rsidP="00AA7A93">
      <w:pPr>
        <w:pStyle w:val="SingleTxtG"/>
        <w:tabs>
          <w:tab w:val="left" w:pos="2552"/>
        </w:tabs>
        <w:ind w:right="0"/>
        <w:jc w:val="left"/>
      </w:pPr>
      <w:r w:rsidRPr="00F13D2D">
        <w:rPr>
          <w:bCs/>
        </w:rPr>
        <w:t>OPPE </w:t>
      </w:r>
      <w:r w:rsidR="00B959FA" w:rsidRPr="00F13D2D">
        <w:tab/>
      </w:r>
      <w:r w:rsidRPr="00F13D2D">
        <w:t xml:space="preserve">Ordonnance Portant Protection Pénale de l’Enfant </w:t>
      </w:r>
    </w:p>
    <w:p w:rsidR="008911AF" w:rsidRPr="00F13D2D" w:rsidRDefault="008911AF" w:rsidP="00AA7A93">
      <w:pPr>
        <w:pStyle w:val="SingleTxtG"/>
        <w:tabs>
          <w:tab w:val="left" w:pos="2552"/>
        </w:tabs>
        <w:ind w:right="0"/>
        <w:jc w:val="left"/>
      </w:pPr>
      <w:r w:rsidRPr="00F13D2D">
        <w:rPr>
          <w:bCs/>
        </w:rPr>
        <w:t>PESE </w:t>
      </w:r>
      <w:r w:rsidR="00B959FA" w:rsidRPr="00F13D2D">
        <w:rPr>
          <w:bCs/>
        </w:rPr>
        <w:tab/>
      </w:r>
      <w:r w:rsidRPr="00F13D2D">
        <w:t>Programme d’</w:t>
      </w:r>
      <w:proofErr w:type="spellStart"/>
      <w:r w:rsidRPr="00F13D2D">
        <w:t>Eradication</w:t>
      </w:r>
      <w:proofErr w:type="spellEnd"/>
      <w:r w:rsidR="006C160E" w:rsidRPr="00F13D2D">
        <w:t xml:space="preserve"> </w:t>
      </w:r>
      <w:r w:rsidRPr="00F13D2D">
        <w:t>des Séquelles</w:t>
      </w:r>
      <w:r w:rsidR="006C160E" w:rsidRPr="00F13D2D">
        <w:t xml:space="preserve"> </w:t>
      </w:r>
      <w:r w:rsidRPr="00F13D2D">
        <w:t xml:space="preserve">de l’Esclavage </w:t>
      </w:r>
    </w:p>
    <w:p w:rsidR="008911AF" w:rsidRPr="00F13D2D" w:rsidRDefault="008911AF" w:rsidP="00AA7A93">
      <w:pPr>
        <w:pStyle w:val="SingleTxtG"/>
        <w:tabs>
          <w:tab w:val="left" w:pos="2552"/>
        </w:tabs>
        <w:ind w:right="0"/>
        <w:jc w:val="left"/>
      </w:pPr>
      <w:r w:rsidRPr="00F13D2D">
        <w:rPr>
          <w:bCs/>
        </w:rPr>
        <w:t>PIDESC </w:t>
      </w:r>
      <w:r w:rsidR="00B959FA" w:rsidRPr="00F13D2D">
        <w:rPr>
          <w:bCs/>
        </w:rPr>
        <w:tab/>
      </w:r>
      <w:r w:rsidRPr="00F13D2D">
        <w:t xml:space="preserve">Pacte International relatif aux Droits </w:t>
      </w:r>
      <w:proofErr w:type="spellStart"/>
      <w:r w:rsidRPr="00F13D2D">
        <w:t>Economiques</w:t>
      </w:r>
      <w:proofErr w:type="spellEnd"/>
      <w:r w:rsidRPr="00F13D2D">
        <w:t xml:space="preserve">, Sociaux et Culturels </w:t>
      </w:r>
    </w:p>
    <w:p w:rsidR="008911AF" w:rsidRPr="00F13D2D" w:rsidRDefault="008911AF" w:rsidP="00AA7A93">
      <w:pPr>
        <w:pStyle w:val="SingleTxtG"/>
        <w:tabs>
          <w:tab w:val="left" w:pos="2552"/>
        </w:tabs>
        <w:ind w:right="0"/>
        <w:jc w:val="left"/>
      </w:pPr>
      <w:r w:rsidRPr="00F13D2D">
        <w:rPr>
          <w:bCs/>
        </w:rPr>
        <w:t>PIDCP </w:t>
      </w:r>
      <w:r w:rsidR="00B959FA" w:rsidRPr="00F13D2D">
        <w:rPr>
          <w:bCs/>
        </w:rPr>
        <w:tab/>
      </w:r>
      <w:r w:rsidRPr="00F13D2D">
        <w:t xml:space="preserve">Pacte International relatif aux Droits Civils et Politiques </w:t>
      </w:r>
    </w:p>
    <w:p w:rsidR="008911AF" w:rsidRPr="00F13D2D" w:rsidRDefault="008911AF" w:rsidP="00AA7A93">
      <w:pPr>
        <w:pStyle w:val="SingleTxtG"/>
        <w:tabs>
          <w:tab w:val="left" w:pos="2552"/>
        </w:tabs>
        <w:ind w:right="0"/>
        <w:jc w:val="left"/>
      </w:pPr>
      <w:r w:rsidRPr="00F13D2D">
        <w:rPr>
          <w:bCs/>
        </w:rPr>
        <w:t>PNDSE </w:t>
      </w:r>
      <w:r w:rsidR="00B959FA" w:rsidRPr="00F13D2D">
        <w:tab/>
      </w:r>
      <w:r w:rsidRPr="00F13D2D">
        <w:t xml:space="preserve">Programme National de Développement du Secteur </w:t>
      </w:r>
      <w:proofErr w:type="spellStart"/>
      <w:r w:rsidRPr="00F13D2D">
        <w:t>Educatif</w:t>
      </w:r>
      <w:proofErr w:type="spellEnd"/>
      <w:r w:rsidRPr="00F13D2D">
        <w:t xml:space="preserve"> </w:t>
      </w:r>
    </w:p>
    <w:p w:rsidR="008911AF" w:rsidRPr="00F13D2D" w:rsidRDefault="008911AF" w:rsidP="00AA7A93">
      <w:pPr>
        <w:pStyle w:val="SingleTxtG"/>
        <w:tabs>
          <w:tab w:val="left" w:pos="2552"/>
        </w:tabs>
        <w:ind w:right="0"/>
        <w:jc w:val="left"/>
      </w:pPr>
      <w:r w:rsidRPr="00F13D2D">
        <w:rPr>
          <w:bCs/>
        </w:rPr>
        <w:t>PP </w:t>
      </w:r>
      <w:r w:rsidR="00B959FA" w:rsidRPr="00F13D2D">
        <w:tab/>
      </w:r>
      <w:r w:rsidRPr="00F13D2D">
        <w:t>Pouvoirs Publics</w:t>
      </w:r>
    </w:p>
    <w:p w:rsidR="008911AF" w:rsidRPr="00F13D2D" w:rsidRDefault="008911AF" w:rsidP="00AA7A93">
      <w:pPr>
        <w:pStyle w:val="SingleTxtG"/>
        <w:tabs>
          <w:tab w:val="left" w:pos="2552"/>
        </w:tabs>
        <w:ind w:right="0"/>
        <w:jc w:val="left"/>
      </w:pPr>
      <w:r w:rsidRPr="00F13D2D">
        <w:rPr>
          <w:bCs/>
        </w:rPr>
        <w:t>PTF </w:t>
      </w:r>
      <w:r w:rsidR="00B959FA" w:rsidRPr="00F13D2D">
        <w:tab/>
      </w:r>
      <w:r w:rsidRPr="00F13D2D">
        <w:t>Partenaires Techniques et Financiers</w:t>
      </w:r>
    </w:p>
    <w:p w:rsidR="008911AF" w:rsidRPr="00F13D2D" w:rsidRDefault="008911AF" w:rsidP="00AA7A93">
      <w:pPr>
        <w:pStyle w:val="SingleTxtG"/>
        <w:tabs>
          <w:tab w:val="left" w:pos="2552"/>
        </w:tabs>
        <w:ind w:right="0"/>
        <w:jc w:val="left"/>
      </w:pPr>
      <w:r w:rsidRPr="00F13D2D">
        <w:rPr>
          <w:bCs/>
        </w:rPr>
        <w:t>SC </w:t>
      </w:r>
      <w:r w:rsidR="00B959FA" w:rsidRPr="00F13D2D">
        <w:tab/>
      </w:r>
      <w:r w:rsidRPr="00F13D2D">
        <w:t xml:space="preserve">Société Civile </w:t>
      </w:r>
    </w:p>
    <w:p w:rsidR="008911AF" w:rsidRPr="00F13D2D" w:rsidRDefault="00B959FA" w:rsidP="00AA7A93">
      <w:pPr>
        <w:pStyle w:val="SingleTxtG"/>
        <w:tabs>
          <w:tab w:val="left" w:pos="2552"/>
        </w:tabs>
        <w:ind w:right="0"/>
        <w:jc w:val="left"/>
      </w:pPr>
      <w:r w:rsidRPr="00F13D2D">
        <w:rPr>
          <w:bCs/>
        </w:rPr>
        <w:t>SCAPP</w:t>
      </w:r>
      <w:r w:rsidRPr="00F13D2D">
        <w:rPr>
          <w:bCs/>
        </w:rPr>
        <w:tab/>
      </w:r>
      <w:r w:rsidR="008911AF" w:rsidRPr="00F13D2D">
        <w:t>Stratégie de Croissance</w:t>
      </w:r>
      <w:r w:rsidR="006C160E" w:rsidRPr="00F13D2D">
        <w:t xml:space="preserve"> </w:t>
      </w:r>
      <w:r w:rsidR="008911AF" w:rsidRPr="00F13D2D">
        <w:t>Accélérée et</w:t>
      </w:r>
      <w:r w:rsidR="006C160E" w:rsidRPr="00F13D2D">
        <w:t xml:space="preserve"> </w:t>
      </w:r>
      <w:r w:rsidR="008911AF" w:rsidRPr="00F13D2D">
        <w:t xml:space="preserve">de Prospérité Partagée </w:t>
      </w:r>
    </w:p>
    <w:p w:rsidR="008911AF" w:rsidRPr="00F13D2D" w:rsidRDefault="008911AF" w:rsidP="00AA7A93">
      <w:pPr>
        <w:pStyle w:val="SingleTxtG"/>
        <w:tabs>
          <w:tab w:val="left" w:pos="2552"/>
        </w:tabs>
        <w:ind w:right="0"/>
        <w:jc w:val="left"/>
      </w:pPr>
      <w:r w:rsidRPr="00F13D2D">
        <w:rPr>
          <w:bCs/>
        </w:rPr>
        <w:t>SENLS </w:t>
      </w:r>
      <w:r w:rsidR="00B959FA" w:rsidRPr="00F13D2D">
        <w:tab/>
      </w:r>
      <w:r w:rsidRPr="00F13D2D">
        <w:t xml:space="preserve">Secrétariat Exécutif National de Lutte contre le Sida </w:t>
      </w:r>
    </w:p>
    <w:p w:rsidR="008911AF" w:rsidRPr="00F13D2D" w:rsidRDefault="008911AF" w:rsidP="00AA7A93">
      <w:pPr>
        <w:pStyle w:val="SingleTxtG"/>
        <w:tabs>
          <w:tab w:val="left" w:pos="2552"/>
        </w:tabs>
        <w:ind w:right="0"/>
        <w:jc w:val="left"/>
      </w:pPr>
      <w:r w:rsidRPr="00F13D2D">
        <w:rPr>
          <w:bCs/>
        </w:rPr>
        <w:t>SNGM </w:t>
      </w:r>
      <w:r w:rsidR="00B959FA" w:rsidRPr="00F13D2D">
        <w:rPr>
          <w:bCs/>
        </w:rPr>
        <w:tab/>
      </w:r>
      <w:r w:rsidRPr="00F13D2D">
        <w:t xml:space="preserve">Stratégie Nationale de Gestion de la Migration </w:t>
      </w:r>
    </w:p>
    <w:p w:rsidR="008911AF" w:rsidRPr="00F13D2D" w:rsidRDefault="008911AF" w:rsidP="00AA7A93">
      <w:pPr>
        <w:pStyle w:val="SingleTxtG"/>
        <w:tabs>
          <w:tab w:val="left" w:pos="2552"/>
        </w:tabs>
        <w:ind w:right="0"/>
        <w:jc w:val="left"/>
      </w:pPr>
      <w:r w:rsidRPr="00F13D2D">
        <w:rPr>
          <w:bCs/>
        </w:rPr>
        <w:t>SNPS </w:t>
      </w:r>
      <w:r w:rsidR="00B959FA" w:rsidRPr="00F13D2D">
        <w:tab/>
      </w:r>
      <w:r w:rsidRPr="00F13D2D">
        <w:t>Stratégie</w:t>
      </w:r>
      <w:r w:rsidR="006C160E" w:rsidRPr="00F13D2D">
        <w:t xml:space="preserve"> </w:t>
      </w:r>
      <w:r w:rsidRPr="00F13D2D">
        <w:t xml:space="preserve">Nationale de Protection Sociale </w:t>
      </w:r>
    </w:p>
    <w:p w:rsidR="008911AF" w:rsidRPr="00F13D2D" w:rsidRDefault="008911AF" w:rsidP="00AA7A93">
      <w:pPr>
        <w:pStyle w:val="SingleTxtG"/>
        <w:tabs>
          <w:tab w:val="left" w:pos="2552"/>
        </w:tabs>
        <w:ind w:right="0"/>
        <w:jc w:val="left"/>
      </w:pPr>
      <w:r w:rsidRPr="00F13D2D">
        <w:rPr>
          <w:bCs/>
        </w:rPr>
        <w:t>SOPS </w:t>
      </w:r>
      <w:r w:rsidR="00B959FA" w:rsidRPr="00F13D2D">
        <w:tab/>
      </w:r>
      <w:r w:rsidRPr="00F13D2D">
        <w:t xml:space="preserve">Système Opérationnel des Procédures Standard de lutte contre les violences </w:t>
      </w:r>
    </w:p>
    <w:p w:rsidR="008911AF" w:rsidRPr="00F13D2D" w:rsidRDefault="008911AF" w:rsidP="00AA7A93">
      <w:pPr>
        <w:pStyle w:val="SingleTxtG"/>
        <w:tabs>
          <w:tab w:val="left" w:pos="2552"/>
        </w:tabs>
        <w:ind w:right="0"/>
        <w:jc w:val="left"/>
      </w:pPr>
      <w:r w:rsidRPr="00F13D2D">
        <w:rPr>
          <w:bCs/>
        </w:rPr>
        <w:t>SCPE </w:t>
      </w:r>
      <w:r w:rsidR="00B959FA" w:rsidRPr="00F13D2D">
        <w:tab/>
      </w:r>
      <w:r w:rsidRPr="00F13D2D">
        <w:t xml:space="preserve">Systèmes Communaux de Protection des Enfants </w:t>
      </w:r>
    </w:p>
    <w:p w:rsidR="008911AF" w:rsidRPr="00F13D2D" w:rsidRDefault="008911AF" w:rsidP="00AA7A93">
      <w:pPr>
        <w:pStyle w:val="SingleTxtG"/>
        <w:tabs>
          <w:tab w:val="left" w:pos="2552"/>
        </w:tabs>
        <w:ind w:right="0"/>
        <w:jc w:val="left"/>
      </w:pPr>
      <w:r w:rsidRPr="00F13D2D">
        <w:rPr>
          <w:bCs/>
        </w:rPr>
        <w:t>UNICEF </w:t>
      </w:r>
      <w:r w:rsidR="00B959FA" w:rsidRPr="00F13D2D">
        <w:tab/>
      </w:r>
      <w:r w:rsidRPr="00F13D2D">
        <w:t>Fonds des Nations Unies pour l’Enfance</w:t>
      </w:r>
    </w:p>
    <w:p w:rsidR="008911AF" w:rsidRPr="00F13D2D" w:rsidRDefault="008911AF" w:rsidP="00AA7A93">
      <w:pPr>
        <w:pStyle w:val="SingleTxtG"/>
        <w:tabs>
          <w:tab w:val="left" w:pos="2552"/>
        </w:tabs>
        <w:ind w:right="0"/>
        <w:jc w:val="left"/>
        <w:rPr>
          <w:u w:val="single"/>
        </w:rPr>
      </w:pPr>
      <w:r w:rsidRPr="00F13D2D">
        <w:rPr>
          <w:bCs/>
        </w:rPr>
        <w:t>VBG </w:t>
      </w:r>
      <w:r w:rsidR="00B959FA" w:rsidRPr="00F13D2D">
        <w:tab/>
      </w:r>
      <w:r w:rsidRPr="00F13D2D">
        <w:t>Violences Basées sur le Genre</w:t>
      </w:r>
    </w:p>
    <w:p w:rsidR="00E819C1" w:rsidRPr="00F13D2D" w:rsidRDefault="008911AF" w:rsidP="00E819C1">
      <w:pPr>
        <w:pStyle w:val="HChG"/>
      </w:pPr>
      <w:r w:rsidRPr="00F13D2D">
        <w:br w:type="page"/>
      </w:r>
      <w:r w:rsidR="00E819C1" w:rsidRPr="00F13D2D">
        <w:lastRenderedPageBreak/>
        <w:tab/>
      </w:r>
      <w:r w:rsidR="00E819C1" w:rsidRPr="00F13D2D">
        <w:tab/>
        <w:t>Introduction</w:t>
      </w:r>
      <w:bookmarkEnd w:id="1"/>
    </w:p>
    <w:p w:rsidR="00E819C1" w:rsidRPr="00F13D2D" w:rsidRDefault="0055270C" w:rsidP="0055270C">
      <w:pPr>
        <w:pStyle w:val="SingleTxtG"/>
        <w:rPr>
          <w:rFonts w:eastAsia="Calibri"/>
          <w:lang w:val="fr-FR"/>
        </w:rPr>
      </w:pPr>
      <w:r w:rsidRPr="00F13D2D">
        <w:rPr>
          <w:rFonts w:eastAsia="Calibri"/>
          <w:lang w:val="fr-FR"/>
        </w:rPr>
        <w:t>1.</w:t>
      </w:r>
      <w:r w:rsidRPr="00F13D2D">
        <w:rPr>
          <w:rFonts w:eastAsia="Calibri"/>
          <w:lang w:val="fr-FR"/>
        </w:rPr>
        <w:tab/>
      </w:r>
      <w:r w:rsidR="00E819C1" w:rsidRPr="00F13D2D">
        <w:rPr>
          <w:rFonts w:eastAsia="Calibri"/>
          <w:lang w:val="fr-FR"/>
        </w:rPr>
        <w:t>Le présent rapport sur les mesures prises par la Mauritanie en application</w:t>
      </w:r>
      <w:r w:rsidR="006C160E" w:rsidRPr="00F13D2D">
        <w:rPr>
          <w:rFonts w:eastAsia="Calibri"/>
          <w:lang w:val="fr-FR"/>
        </w:rPr>
        <w:t xml:space="preserve"> </w:t>
      </w:r>
      <w:r w:rsidR="00E819C1" w:rsidRPr="00F13D2D">
        <w:rPr>
          <w:rFonts w:eastAsia="Calibri"/>
          <w:lang w:val="fr-FR"/>
        </w:rPr>
        <w:t xml:space="preserve">des dispositions de la </w:t>
      </w:r>
      <w:r w:rsidR="003D0AAF" w:rsidRPr="00F13D2D">
        <w:rPr>
          <w:rFonts w:eastAsia="Calibri"/>
          <w:lang w:val="fr-FR"/>
        </w:rPr>
        <w:t>Convention</w:t>
      </w:r>
      <w:r w:rsidR="00E819C1" w:rsidRPr="00F13D2D">
        <w:rPr>
          <w:rFonts w:eastAsia="Calibri"/>
          <w:lang w:val="fr-FR"/>
        </w:rPr>
        <w:t>, a été élaboré conformément aux dispositions du paragraphe 1</w:t>
      </w:r>
      <w:r w:rsidR="003D0AAF">
        <w:rPr>
          <w:rFonts w:eastAsia="Calibri"/>
          <w:lang w:val="fr-FR"/>
        </w:rPr>
        <w:t> </w:t>
      </w:r>
      <w:r w:rsidR="00E819C1" w:rsidRPr="00F13D2D">
        <w:rPr>
          <w:rFonts w:eastAsia="Calibri"/>
          <w:lang w:val="fr-FR"/>
        </w:rPr>
        <w:t>b)</w:t>
      </w:r>
      <w:r w:rsidR="006C160E" w:rsidRPr="00F13D2D">
        <w:rPr>
          <w:rFonts w:eastAsia="Calibri"/>
          <w:lang w:val="fr-FR"/>
        </w:rPr>
        <w:t xml:space="preserve"> </w:t>
      </w:r>
      <w:r w:rsidR="00E819C1" w:rsidRPr="00F13D2D">
        <w:rPr>
          <w:rFonts w:eastAsia="Calibri"/>
          <w:lang w:val="fr-FR"/>
        </w:rPr>
        <w:t xml:space="preserve">de l’article 44 de la </w:t>
      </w:r>
      <w:r w:rsidR="003D0AAF" w:rsidRPr="00F13D2D">
        <w:rPr>
          <w:rFonts w:eastAsia="Calibri"/>
          <w:lang w:val="fr-FR"/>
        </w:rPr>
        <w:t>Convention</w:t>
      </w:r>
      <w:r w:rsidR="00E819C1" w:rsidRPr="00F13D2D">
        <w:rPr>
          <w:rFonts w:eastAsia="Calibri"/>
          <w:lang w:val="fr-FR"/>
        </w:rPr>
        <w:t>. Il est établi</w:t>
      </w:r>
      <w:r w:rsidR="006C160E" w:rsidRPr="00F13D2D">
        <w:rPr>
          <w:rFonts w:eastAsia="Calibri"/>
          <w:lang w:val="fr-FR"/>
        </w:rPr>
        <w:t xml:space="preserve"> </w:t>
      </w:r>
      <w:r w:rsidR="00E819C1" w:rsidRPr="00F13D2D">
        <w:rPr>
          <w:rFonts w:eastAsia="Calibri"/>
          <w:lang w:val="fr-FR"/>
        </w:rPr>
        <w:t>conformément aux directives générales relatives à la forme et au fond des rapports adoptés par le Comité des droits de l’</w:t>
      </w:r>
      <w:r w:rsidR="00B959FA" w:rsidRPr="00F13D2D">
        <w:rPr>
          <w:rFonts w:eastAsia="Calibri"/>
          <w:lang w:val="fr-FR"/>
        </w:rPr>
        <w:t xml:space="preserve">enfant le 31 janvier 2014 à sa </w:t>
      </w:r>
      <w:r w:rsidR="00E819C1" w:rsidRPr="00F13D2D">
        <w:rPr>
          <w:rFonts w:eastAsia="Calibri"/>
          <w:lang w:val="fr-FR"/>
        </w:rPr>
        <w:t>soixante cinquième session.</w:t>
      </w:r>
    </w:p>
    <w:p w:rsidR="00E819C1" w:rsidRPr="00F13D2D" w:rsidRDefault="0055270C" w:rsidP="0055270C">
      <w:pPr>
        <w:pStyle w:val="SingleTxtG"/>
        <w:rPr>
          <w:rFonts w:eastAsia="Calibri"/>
          <w:lang w:val="fr-FR"/>
        </w:rPr>
      </w:pPr>
      <w:r w:rsidRPr="00F13D2D">
        <w:rPr>
          <w:rFonts w:eastAsia="Calibri"/>
          <w:lang w:val="fr-FR"/>
        </w:rPr>
        <w:t>2.</w:t>
      </w:r>
      <w:r w:rsidRPr="00F13D2D">
        <w:rPr>
          <w:rFonts w:eastAsia="Calibri"/>
          <w:lang w:val="fr-FR"/>
        </w:rPr>
        <w:tab/>
      </w:r>
      <w:r w:rsidR="00E819C1" w:rsidRPr="00F13D2D">
        <w:rPr>
          <w:rFonts w:eastAsia="Calibri"/>
          <w:lang w:val="fr-FR"/>
        </w:rPr>
        <w:t>Il constitue les 3</w:t>
      </w:r>
      <w:r w:rsidR="00E819C1" w:rsidRPr="00AA7A93">
        <w:rPr>
          <w:rFonts w:eastAsia="Calibri"/>
          <w:vertAlign w:val="superscript"/>
          <w:lang w:val="fr-FR"/>
        </w:rPr>
        <w:t>ème</w:t>
      </w:r>
      <w:r w:rsidR="00E819C1" w:rsidRPr="00F13D2D">
        <w:rPr>
          <w:rFonts w:eastAsia="Calibri"/>
          <w:lang w:val="fr-FR"/>
        </w:rPr>
        <w:t>, 4</w:t>
      </w:r>
      <w:r w:rsidR="00E819C1" w:rsidRPr="00AA7A93">
        <w:rPr>
          <w:rFonts w:eastAsia="Calibri"/>
          <w:vertAlign w:val="superscript"/>
          <w:lang w:val="fr-FR"/>
        </w:rPr>
        <w:t>ème</w:t>
      </w:r>
      <w:r w:rsidR="00E819C1" w:rsidRPr="00F13D2D">
        <w:rPr>
          <w:rFonts w:eastAsia="Calibri"/>
          <w:lang w:val="fr-FR"/>
        </w:rPr>
        <w:t xml:space="preserve"> et 5</w:t>
      </w:r>
      <w:r w:rsidR="00E819C1" w:rsidRPr="00AA7A93">
        <w:rPr>
          <w:rFonts w:eastAsia="Calibri"/>
          <w:vertAlign w:val="superscript"/>
          <w:lang w:val="fr-FR"/>
        </w:rPr>
        <w:t>ème</w:t>
      </w:r>
      <w:r w:rsidR="00E819C1" w:rsidRPr="00F13D2D">
        <w:rPr>
          <w:rFonts w:eastAsia="Calibri"/>
          <w:lang w:val="fr-FR"/>
        </w:rPr>
        <w:t xml:space="preserve"> rapports de la République Islamique de Mauritanie (RIM) sur la mise en œuvre</w:t>
      </w:r>
      <w:r w:rsidR="006C160E" w:rsidRPr="00F13D2D">
        <w:rPr>
          <w:rFonts w:eastAsia="Calibri"/>
          <w:lang w:val="fr-FR"/>
        </w:rPr>
        <w:t xml:space="preserve"> </w:t>
      </w:r>
      <w:r w:rsidR="00E819C1" w:rsidRPr="00F13D2D">
        <w:rPr>
          <w:rFonts w:eastAsia="Calibri"/>
          <w:lang w:val="fr-FR"/>
        </w:rPr>
        <w:t xml:space="preserve">de la </w:t>
      </w:r>
      <w:r w:rsidR="003D0AAF" w:rsidRPr="00F13D2D">
        <w:rPr>
          <w:rFonts w:eastAsia="Calibri"/>
          <w:lang w:val="fr-FR"/>
        </w:rPr>
        <w:t>Convention</w:t>
      </w:r>
      <w:r w:rsidR="00E819C1" w:rsidRPr="00F13D2D">
        <w:rPr>
          <w:rFonts w:eastAsia="Calibri"/>
          <w:lang w:val="fr-FR"/>
        </w:rPr>
        <w:t>, met en exergue les avancées enregistrées et les difficultés qui</w:t>
      </w:r>
      <w:r w:rsidR="006C160E" w:rsidRPr="00F13D2D">
        <w:rPr>
          <w:rFonts w:eastAsia="Calibri"/>
          <w:lang w:val="fr-FR"/>
        </w:rPr>
        <w:t xml:space="preserve"> </w:t>
      </w:r>
      <w:r w:rsidR="00E819C1" w:rsidRPr="00F13D2D">
        <w:rPr>
          <w:rFonts w:eastAsia="Calibri"/>
          <w:lang w:val="fr-FR"/>
        </w:rPr>
        <w:t>freinent</w:t>
      </w:r>
      <w:r w:rsidR="006C160E" w:rsidRPr="00F13D2D">
        <w:rPr>
          <w:rFonts w:eastAsia="Calibri"/>
          <w:lang w:val="fr-FR"/>
        </w:rPr>
        <w:t xml:space="preserve"> </w:t>
      </w:r>
      <w:r w:rsidR="00E819C1" w:rsidRPr="00F13D2D">
        <w:rPr>
          <w:rFonts w:eastAsia="Calibri"/>
          <w:lang w:val="fr-FR"/>
        </w:rPr>
        <w:t>encore</w:t>
      </w:r>
      <w:r w:rsidR="006C160E" w:rsidRPr="00F13D2D">
        <w:rPr>
          <w:rFonts w:eastAsia="Calibri"/>
          <w:lang w:val="fr-FR"/>
        </w:rPr>
        <w:t xml:space="preserve"> </w:t>
      </w:r>
      <w:r w:rsidR="00E819C1" w:rsidRPr="00F13D2D">
        <w:rPr>
          <w:rFonts w:eastAsia="Calibri"/>
          <w:lang w:val="fr-FR"/>
        </w:rPr>
        <w:t>l’effectivité</w:t>
      </w:r>
      <w:r w:rsidR="006C160E" w:rsidRPr="00F13D2D">
        <w:rPr>
          <w:rFonts w:eastAsia="Calibri"/>
          <w:lang w:val="fr-FR"/>
        </w:rPr>
        <w:t xml:space="preserve"> </w:t>
      </w:r>
      <w:r w:rsidR="00E819C1" w:rsidRPr="00F13D2D">
        <w:rPr>
          <w:rFonts w:eastAsia="Calibri"/>
          <w:lang w:val="fr-FR"/>
        </w:rPr>
        <w:t>de</w:t>
      </w:r>
      <w:r w:rsidR="006C160E" w:rsidRPr="00F13D2D">
        <w:rPr>
          <w:rFonts w:eastAsia="Calibri"/>
          <w:lang w:val="fr-FR"/>
        </w:rPr>
        <w:t xml:space="preserve"> </w:t>
      </w:r>
      <w:r w:rsidR="00E819C1" w:rsidRPr="00F13D2D">
        <w:rPr>
          <w:rFonts w:eastAsia="Calibri"/>
          <w:lang w:val="fr-FR"/>
        </w:rPr>
        <w:t>certains obligations</w:t>
      </w:r>
      <w:r w:rsidR="006C160E" w:rsidRPr="00F13D2D">
        <w:rPr>
          <w:rFonts w:eastAsia="Calibri"/>
          <w:lang w:val="fr-FR"/>
        </w:rPr>
        <w:t xml:space="preserve"> </w:t>
      </w:r>
      <w:r w:rsidR="00E819C1" w:rsidRPr="00F13D2D">
        <w:rPr>
          <w:rFonts w:eastAsia="Calibri"/>
          <w:lang w:val="fr-FR"/>
        </w:rPr>
        <w:t>prévues</w:t>
      </w:r>
      <w:r w:rsidR="006C160E" w:rsidRPr="00F13D2D">
        <w:rPr>
          <w:rFonts w:eastAsia="Calibri"/>
          <w:lang w:val="fr-FR"/>
        </w:rPr>
        <w:t xml:space="preserve"> </w:t>
      </w:r>
      <w:r w:rsidR="00E819C1" w:rsidRPr="00F13D2D">
        <w:rPr>
          <w:rFonts w:eastAsia="Calibri"/>
          <w:lang w:val="fr-FR"/>
        </w:rPr>
        <w:t xml:space="preserve">par la </w:t>
      </w:r>
      <w:r w:rsidR="003D0AAF" w:rsidRPr="00F13D2D">
        <w:rPr>
          <w:rFonts w:eastAsia="Calibri"/>
          <w:lang w:val="fr-FR"/>
        </w:rPr>
        <w:t>Convention</w:t>
      </w:r>
      <w:r w:rsidR="00E819C1" w:rsidRPr="00F13D2D">
        <w:rPr>
          <w:rFonts w:eastAsia="Calibri"/>
          <w:lang w:val="fr-FR"/>
        </w:rPr>
        <w:t xml:space="preserve">. </w:t>
      </w:r>
    </w:p>
    <w:p w:rsidR="00E819C1" w:rsidRPr="00F13D2D" w:rsidRDefault="0055270C" w:rsidP="0055270C">
      <w:pPr>
        <w:pStyle w:val="SingleTxtG"/>
        <w:rPr>
          <w:rFonts w:eastAsia="Calibri"/>
          <w:lang w:val="fr-FR"/>
        </w:rPr>
      </w:pPr>
      <w:r w:rsidRPr="00F13D2D">
        <w:rPr>
          <w:rFonts w:eastAsia="Calibri"/>
          <w:lang w:val="fr-FR"/>
        </w:rPr>
        <w:t>3.</w:t>
      </w:r>
      <w:r w:rsidRPr="00F13D2D">
        <w:rPr>
          <w:rFonts w:eastAsia="Calibri"/>
          <w:lang w:val="fr-FR"/>
        </w:rPr>
        <w:tab/>
      </w:r>
      <w:r w:rsidR="00E819C1" w:rsidRPr="00F13D2D">
        <w:rPr>
          <w:rFonts w:eastAsia="Calibri"/>
          <w:lang w:val="fr-FR"/>
        </w:rPr>
        <w:t>Le rapport contient des mesures en application des</w:t>
      </w:r>
      <w:r w:rsidR="006C160E" w:rsidRPr="00F13D2D">
        <w:rPr>
          <w:rFonts w:eastAsia="Calibri"/>
          <w:lang w:val="fr-FR"/>
        </w:rPr>
        <w:t xml:space="preserve"> </w:t>
      </w:r>
      <w:r w:rsidR="00E819C1" w:rsidRPr="00F13D2D">
        <w:rPr>
          <w:rFonts w:eastAsia="Calibri"/>
          <w:lang w:val="fr-FR"/>
        </w:rPr>
        <w:t>observations et recommandations faites par le Comité des Droits de l’Enfant (CIDE) (CRC/C/MRT/2) à l’issue de l’examen du deuxième rapport périodique de la Mauritanie à sa séance, tenue le</w:t>
      </w:r>
      <w:r w:rsidR="003D0AAF">
        <w:rPr>
          <w:rFonts w:eastAsia="Calibri"/>
          <w:lang w:val="fr-FR"/>
        </w:rPr>
        <w:t xml:space="preserve"> </w:t>
      </w:r>
      <w:r w:rsidR="00E819C1" w:rsidRPr="00F13D2D">
        <w:rPr>
          <w:rFonts w:eastAsia="Calibri"/>
          <w:lang w:val="fr-FR"/>
        </w:rPr>
        <w:t>12 juin 2009 (CRC/C/SR.1405 et CRC/C/SR.1406). Les informations qu’il contient couvrent les mesures prises par la Mauritanie à partir de septembre 2007, date de dépôt de son 2</w:t>
      </w:r>
      <w:r w:rsidR="00E819C1" w:rsidRPr="00AA7A93">
        <w:rPr>
          <w:rFonts w:eastAsia="Calibri"/>
          <w:vertAlign w:val="superscript"/>
          <w:lang w:val="fr-FR"/>
        </w:rPr>
        <w:t>ème</w:t>
      </w:r>
      <w:r w:rsidR="00E819C1" w:rsidRPr="00F13D2D">
        <w:rPr>
          <w:rFonts w:eastAsia="Calibri"/>
          <w:lang w:val="fr-FR"/>
        </w:rPr>
        <w:t xml:space="preserve"> rapport périodique.</w:t>
      </w:r>
    </w:p>
    <w:p w:rsidR="00E819C1" w:rsidRPr="00F13D2D" w:rsidRDefault="0055270C" w:rsidP="0055270C">
      <w:pPr>
        <w:pStyle w:val="SingleTxtG"/>
        <w:rPr>
          <w:rFonts w:eastAsia="Calibri"/>
          <w:lang w:val="fr-FR"/>
        </w:rPr>
      </w:pPr>
      <w:r w:rsidRPr="00F13D2D">
        <w:rPr>
          <w:rFonts w:eastAsia="Calibri"/>
          <w:lang w:val="fr-FR"/>
        </w:rPr>
        <w:t>4.</w:t>
      </w:r>
      <w:r w:rsidRPr="00F13D2D">
        <w:rPr>
          <w:rFonts w:eastAsia="Calibri"/>
          <w:lang w:val="fr-FR"/>
        </w:rPr>
        <w:tab/>
      </w:r>
      <w:r w:rsidR="00E819C1" w:rsidRPr="00F13D2D">
        <w:rPr>
          <w:rFonts w:eastAsia="Calibri"/>
          <w:lang w:val="fr-FR"/>
        </w:rPr>
        <w:t>La première partie du rapport</w:t>
      </w:r>
      <w:r w:rsidR="006C160E" w:rsidRPr="00F13D2D">
        <w:rPr>
          <w:rFonts w:eastAsia="Calibri"/>
          <w:lang w:val="fr-FR"/>
        </w:rPr>
        <w:t xml:space="preserve"> </w:t>
      </w:r>
      <w:r w:rsidR="00E819C1" w:rsidRPr="00F13D2D">
        <w:rPr>
          <w:rFonts w:eastAsia="Calibri"/>
          <w:lang w:val="fr-FR"/>
        </w:rPr>
        <w:t xml:space="preserve">est relative à la présentation générale du pays, la deuxième partie met en exergue les mesures d’application de la </w:t>
      </w:r>
      <w:r w:rsidR="003D0AAF" w:rsidRPr="00F13D2D">
        <w:rPr>
          <w:rFonts w:eastAsia="Calibri"/>
          <w:lang w:val="fr-FR"/>
        </w:rPr>
        <w:t>Convention</w:t>
      </w:r>
      <w:r w:rsidR="00E819C1" w:rsidRPr="00F13D2D">
        <w:rPr>
          <w:rFonts w:eastAsia="Calibri"/>
          <w:lang w:val="fr-FR"/>
        </w:rPr>
        <w:t>.</w:t>
      </w:r>
      <w:r w:rsidR="006C160E" w:rsidRPr="00F13D2D">
        <w:rPr>
          <w:rFonts w:eastAsia="Calibri"/>
          <w:lang w:val="fr-FR"/>
        </w:rPr>
        <w:t xml:space="preserve">  </w:t>
      </w:r>
    </w:p>
    <w:p w:rsidR="00E819C1" w:rsidRPr="00F13D2D" w:rsidRDefault="00525A47" w:rsidP="00525A47">
      <w:pPr>
        <w:pStyle w:val="HChG"/>
      </w:pPr>
      <w:bookmarkStart w:id="5" w:name="_Toc453672855"/>
      <w:bookmarkStart w:id="6" w:name="_Toc454388695"/>
      <w:r w:rsidRPr="00F13D2D">
        <w:tab/>
      </w:r>
      <w:r w:rsidRPr="00F13D2D">
        <w:tab/>
      </w:r>
      <w:r w:rsidR="00E819C1" w:rsidRPr="00F13D2D">
        <w:t>Première partie </w:t>
      </w:r>
      <w:r w:rsidR="00FC0832">
        <w:t>:</w:t>
      </w:r>
      <w:r w:rsidR="00E819C1" w:rsidRPr="00F13D2D">
        <w:t xml:space="preserve"> </w:t>
      </w:r>
      <w:r w:rsidR="004D2A06" w:rsidRPr="00F13D2D">
        <w:t xml:space="preserve">Données </w:t>
      </w:r>
      <w:r w:rsidR="00E819C1" w:rsidRPr="00F13D2D">
        <w:t>générales</w:t>
      </w:r>
      <w:bookmarkEnd w:id="5"/>
      <w:bookmarkEnd w:id="6"/>
    </w:p>
    <w:p w:rsidR="00E819C1" w:rsidRPr="00F13D2D" w:rsidRDefault="00E819C1" w:rsidP="00E819C1">
      <w:pPr>
        <w:pStyle w:val="H1G"/>
      </w:pPr>
      <w:bookmarkStart w:id="7" w:name="_Toc453672856"/>
      <w:bookmarkStart w:id="8" w:name="_Toc454388696"/>
      <w:r w:rsidRPr="00F13D2D">
        <w:tab/>
        <w:t>A.</w:t>
      </w:r>
      <w:r w:rsidRPr="00F13D2D">
        <w:tab/>
        <w:t xml:space="preserve">Caractéristiques démographiques et </w:t>
      </w:r>
      <w:proofErr w:type="spellStart"/>
      <w:r w:rsidRPr="00F13D2D">
        <w:t>socioéconomiques</w:t>
      </w:r>
      <w:bookmarkEnd w:id="7"/>
      <w:bookmarkEnd w:id="8"/>
      <w:proofErr w:type="spellEnd"/>
    </w:p>
    <w:p w:rsidR="00E819C1" w:rsidRPr="00F13D2D" w:rsidRDefault="00E819C1" w:rsidP="00E819C1">
      <w:pPr>
        <w:pStyle w:val="H23G"/>
      </w:pPr>
      <w:bookmarkStart w:id="9" w:name="_Toc453672857"/>
      <w:r w:rsidRPr="00F13D2D">
        <w:tab/>
        <w:t>1</w:t>
      </w:r>
      <w:r w:rsidRPr="00F13D2D">
        <w:rPr>
          <w:rFonts w:eastAsia="Calibri"/>
        </w:rPr>
        <w:t>.</w:t>
      </w:r>
      <w:r w:rsidRPr="00F13D2D">
        <w:rPr>
          <w:rFonts w:eastAsia="Calibri"/>
        </w:rPr>
        <w:tab/>
        <w:t>Données démographiques</w:t>
      </w:r>
      <w:bookmarkEnd w:id="9"/>
      <w:r w:rsidRPr="00F13D2D">
        <w:t xml:space="preserve"> </w:t>
      </w:r>
    </w:p>
    <w:p w:rsidR="00E819C1" w:rsidRPr="00F13D2D" w:rsidRDefault="0055270C" w:rsidP="0055270C">
      <w:pPr>
        <w:pStyle w:val="SingleTxtG"/>
        <w:rPr>
          <w:rFonts w:eastAsia="Calibri"/>
          <w:lang w:val="fr-FR"/>
        </w:rPr>
      </w:pPr>
      <w:r w:rsidRPr="00F13D2D">
        <w:rPr>
          <w:rFonts w:eastAsia="Calibri"/>
          <w:lang w:val="fr-FR"/>
        </w:rPr>
        <w:t>5.</w:t>
      </w:r>
      <w:r w:rsidRPr="00F13D2D">
        <w:rPr>
          <w:rFonts w:eastAsia="Calibri"/>
          <w:lang w:val="fr-FR"/>
        </w:rPr>
        <w:tab/>
      </w:r>
      <w:r w:rsidR="00E819C1" w:rsidRPr="00F13D2D">
        <w:rPr>
          <w:rFonts w:eastAsia="Calibri"/>
          <w:lang w:val="fr-FR"/>
        </w:rPr>
        <w:t xml:space="preserve">La Mauritanie est un pays </w:t>
      </w:r>
      <w:proofErr w:type="spellStart"/>
      <w:r w:rsidR="00E819C1" w:rsidRPr="00F13D2D">
        <w:rPr>
          <w:rFonts w:eastAsia="Calibri"/>
          <w:lang w:val="fr-FR"/>
        </w:rPr>
        <w:t>multiethnique</w:t>
      </w:r>
      <w:proofErr w:type="spellEnd"/>
      <w:r w:rsidR="00E819C1" w:rsidRPr="00F13D2D">
        <w:rPr>
          <w:rFonts w:eastAsia="Calibri"/>
          <w:lang w:val="fr-FR"/>
        </w:rPr>
        <w:t xml:space="preserve"> et multiculturel. Sa population est à majorité arabe. Elle compte des minorités </w:t>
      </w:r>
      <w:proofErr w:type="spellStart"/>
      <w:r w:rsidR="00E819C1" w:rsidRPr="00F13D2D">
        <w:rPr>
          <w:rFonts w:eastAsia="Calibri"/>
          <w:lang w:val="fr-FR"/>
        </w:rPr>
        <w:t>pulaars</w:t>
      </w:r>
      <w:proofErr w:type="spellEnd"/>
      <w:r w:rsidR="00E819C1" w:rsidRPr="00F13D2D">
        <w:rPr>
          <w:rFonts w:eastAsia="Calibri"/>
          <w:lang w:val="fr-FR"/>
        </w:rPr>
        <w:t>, soninkés et wolofs. Sa population s</w:t>
      </w:r>
      <w:r w:rsidR="006C160E" w:rsidRPr="00F13D2D">
        <w:rPr>
          <w:rFonts w:eastAsia="Calibri"/>
          <w:lang w:val="fr-FR"/>
        </w:rPr>
        <w:t>’</w:t>
      </w:r>
      <w:r w:rsidR="00E819C1" w:rsidRPr="00F13D2D">
        <w:rPr>
          <w:rFonts w:eastAsia="Calibri"/>
          <w:lang w:val="fr-FR"/>
        </w:rPr>
        <w:t>élève à 3</w:t>
      </w:r>
      <w:r w:rsidR="006348D2">
        <w:rPr>
          <w:rFonts w:eastAsia="Calibri"/>
          <w:lang w:val="fr-FR"/>
        </w:rPr>
        <w:t> </w:t>
      </w:r>
      <w:r w:rsidR="00E819C1" w:rsidRPr="00F13D2D">
        <w:rPr>
          <w:rFonts w:eastAsia="Calibri"/>
          <w:lang w:val="fr-FR"/>
        </w:rPr>
        <w:t>537</w:t>
      </w:r>
      <w:r w:rsidR="006348D2">
        <w:rPr>
          <w:rFonts w:eastAsia="Calibri"/>
          <w:lang w:val="fr-FR"/>
        </w:rPr>
        <w:t> </w:t>
      </w:r>
      <w:r w:rsidR="00E819C1" w:rsidRPr="00F13D2D">
        <w:rPr>
          <w:rFonts w:eastAsia="Calibri"/>
          <w:lang w:val="fr-FR"/>
        </w:rPr>
        <w:t>628 habitants (RGPH 2013) dont 27,1</w:t>
      </w:r>
      <w:r w:rsidR="006348D2">
        <w:rPr>
          <w:rFonts w:eastAsia="Calibri"/>
          <w:lang w:val="fr-FR"/>
        </w:rPr>
        <w:t> %</w:t>
      </w:r>
      <w:r w:rsidR="00E819C1" w:rsidRPr="00F13D2D">
        <w:rPr>
          <w:rFonts w:eastAsia="Calibri"/>
          <w:lang w:val="fr-FR"/>
        </w:rPr>
        <w:t xml:space="preserve"> résident à Nouakchott, capitale du pays</w:t>
      </w:r>
      <w:r w:rsidR="00E819C1" w:rsidRPr="00AA7A93">
        <w:rPr>
          <w:rStyle w:val="Appelnotedebasdep"/>
          <w:rFonts w:eastAsia="Calibri"/>
        </w:rPr>
        <w:footnoteReference w:id="3"/>
      </w:r>
      <w:r w:rsidR="00AF0206" w:rsidRPr="00F13D2D">
        <w:rPr>
          <w:rFonts w:eastAsia="Calibri"/>
          <w:lang w:val="fr-FR"/>
        </w:rPr>
        <w:t>.</w:t>
      </w:r>
    </w:p>
    <w:p w:rsidR="00E819C1" w:rsidRPr="00F13D2D" w:rsidRDefault="00E819C1" w:rsidP="00AA7A93">
      <w:pPr>
        <w:pStyle w:val="H23G"/>
        <w:ind w:left="0" w:right="0" w:firstLine="0"/>
        <w:rPr>
          <w:rFonts w:eastAsia="Calibri"/>
          <w:lang w:val="fr-FR"/>
        </w:rPr>
      </w:pPr>
      <w:r w:rsidRPr="00080608">
        <w:rPr>
          <w:rFonts w:eastAsia="Calibri"/>
          <w:b w:val="0"/>
          <w:lang w:val="fr-FR"/>
        </w:rPr>
        <w:t>Tableau n</w:t>
      </w:r>
      <w:r w:rsidR="00837D86" w:rsidRPr="00AA7A93">
        <w:rPr>
          <w:rFonts w:eastAsia="Calibri"/>
          <w:b w:val="0"/>
          <w:vertAlign w:val="superscript"/>
          <w:lang w:val="fr-FR"/>
        </w:rPr>
        <w:t>o</w:t>
      </w:r>
      <w:r w:rsidR="00837D86">
        <w:rPr>
          <w:rFonts w:eastAsia="Calibri"/>
          <w:b w:val="0"/>
          <w:lang w:val="fr-FR"/>
        </w:rPr>
        <w:t> </w:t>
      </w:r>
      <w:r w:rsidRPr="00080608">
        <w:rPr>
          <w:rFonts w:eastAsia="Calibri"/>
          <w:b w:val="0"/>
          <w:lang w:val="fr-FR"/>
        </w:rPr>
        <w:t>1</w:t>
      </w:r>
      <w:r w:rsidR="00080608" w:rsidRPr="00080608">
        <w:rPr>
          <w:rFonts w:eastAsia="Calibri"/>
          <w:b w:val="0"/>
          <w:lang w:val="fr-FR"/>
        </w:rPr>
        <w:br/>
      </w:r>
      <w:r w:rsidRPr="00F13D2D">
        <w:rPr>
          <w:rFonts w:eastAsia="Calibri"/>
          <w:lang w:val="fr-FR"/>
        </w:rPr>
        <w:t>Répartition de la population totale, selon le sexe et le groupe d’âge</w:t>
      </w:r>
    </w:p>
    <w:tbl>
      <w:tblPr>
        <w:tblW w:w="0" w:type="auto"/>
        <w:tblLayout w:type="fixed"/>
        <w:tblCellMar>
          <w:left w:w="0" w:type="dxa"/>
          <w:right w:w="0" w:type="dxa"/>
        </w:tblCellMar>
        <w:tblLook w:val="04A0" w:firstRow="1" w:lastRow="0" w:firstColumn="1" w:lastColumn="0" w:noHBand="0" w:noVBand="1"/>
      </w:tblPr>
      <w:tblGrid>
        <w:gridCol w:w="794"/>
        <w:gridCol w:w="737"/>
        <w:gridCol w:w="737"/>
        <w:gridCol w:w="737"/>
        <w:gridCol w:w="737"/>
        <w:gridCol w:w="737"/>
        <w:gridCol w:w="737"/>
        <w:gridCol w:w="737"/>
        <w:gridCol w:w="737"/>
        <w:gridCol w:w="737"/>
        <w:gridCol w:w="737"/>
        <w:gridCol w:w="737"/>
        <w:gridCol w:w="737"/>
      </w:tblGrid>
      <w:tr w:rsidR="005C4207" w:rsidRPr="00117270" w:rsidTr="005C4207">
        <w:trPr>
          <w:tblHeader/>
        </w:trPr>
        <w:tc>
          <w:tcPr>
            <w:tcW w:w="794" w:type="dxa"/>
            <w:vMerge w:val="restart"/>
            <w:tcBorders>
              <w:top w:val="single" w:sz="4" w:space="0" w:color="000000" w:themeColor="text1"/>
            </w:tcBorders>
            <w:shd w:val="clear" w:color="auto" w:fill="auto"/>
            <w:noWrap/>
            <w:vAlign w:val="bottom"/>
          </w:tcPr>
          <w:p w:rsidR="005C4207" w:rsidRPr="00117270" w:rsidRDefault="005C4207" w:rsidP="005C4207">
            <w:pPr>
              <w:spacing w:before="40" w:after="40" w:line="220" w:lineRule="exact"/>
              <w:rPr>
                <w:rFonts w:eastAsia="Calibri"/>
                <w:sz w:val="16"/>
                <w:szCs w:val="16"/>
                <w:lang w:val="fr-FR"/>
              </w:rPr>
            </w:pPr>
            <w:r w:rsidRPr="00117270">
              <w:rPr>
                <w:rFonts w:eastAsia="Calibri"/>
                <w:bCs/>
                <w:i/>
                <w:sz w:val="14"/>
                <w:szCs w:val="14"/>
                <w:lang w:val="fr-FR"/>
              </w:rPr>
              <w:t>Groupe d’âge</w:t>
            </w:r>
          </w:p>
        </w:tc>
        <w:tc>
          <w:tcPr>
            <w:tcW w:w="2211" w:type="dxa"/>
            <w:gridSpan w:val="3"/>
            <w:tcBorders>
              <w:top w:val="single" w:sz="4" w:space="0" w:color="000000" w:themeColor="text1"/>
              <w:bottom w:val="single" w:sz="4" w:space="0" w:color="000000" w:themeColor="text1"/>
              <w:right w:val="single" w:sz="24" w:space="0" w:color="FFFFFF" w:themeColor="background1"/>
            </w:tcBorders>
            <w:shd w:val="clear" w:color="auto" w:fill="auto"/>
            <w:vAlign w:val="bottom"/>
          </w:tcPr>
          <w:p w:rsidR="005C4207" w:rsidRPr="00117270" w:rsidRDefault="005C4207" w:rsidP="005C4207">
            <w:pPr>
              <w:suppressAutoHyphens w:val="0"/>
              <w:spacing w:before="80" w:after="80" w:line="200" w:lineRule="exact"/>
              <w:jc w:val="center"/>
              <w:rPr>
                <w:rFonts w:eastAsia="Calibri"/>
                <w:bCs/>
                <w:i/>
                <w:sz w:val="14"/>
                <w:szCs w:val="14"/>
                <w:lang w:val="fr-FR"/>
              </w:rPr>
            </w:pPr>
            <w:r>
              <w:rPr>
                <w:rFonts w:eastAsia="Calibri"/>
                <w:bCs/>
                <w:i/>
                <w:sz w:val="14"/>
                <w:szCs w:val="14"/>
                <w:lang w:val="fr-FR"/>
              </w:rPr>
              <w:t>1977</w:t>
            </w:r>
          </w:p>
        </w:tc>
        <w:tc>
          <w:tcPr>
            <w:tcW w:w="2211" w:type="dxa"/>
            <w:gridSpan w:val="3"/>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vAlign w:val="bottom"/>
          </w:tcPr>
          <w:p w:rsidR="005C4207" w:rsidRPr="00117270" w:rsidRDefault="005C4207" w:rsidP="005C4207">
            <w:pPr>
              <w:suppressAutoHyphens w:val="0"/>
              <w:spacing w:before="80" w:after="80" w:line="200" w:lineRule="exact"/>
              <w:jc w:val="center"/>
              <w:rPr>
                <w:rFonts w:eastAsia="Calibri"/>
                <w:bCs/>
                <w:i/>
                <w:sz w:val="14"/>
                <w:szCs w:val="14"/>
                <w:lang w:val="fr-FR"/>
              </w:rPr>
            </w:pPr>
            <w:r w:rsidRPr="00117270">
              <w:rPr>
                <w:rFonts w:eastAsia="Calibri"/>
                <w:bCs/>
                <w:i/>
                <w:sz w:val="14"/>
                <w:szCs w:val="14"/>
                <w:lang w:val="fr-FR"/>
              </w:rPr>
              <w:t>1988</w:t>
            </w:r>
          </w:p>
        </w:tc>
        <w:tc>
          <w:tcPr>
            <w:tcW w:w="2211" w:type="dxa"/>
            <w:gridSpan w:val="3"/>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rsidR="005C4207" w:rsidRPr="00117270" w:rsidRDefault="005C4207" w:rsidP="005C4207">
            <w:pPr>
              <w:suppressAutoHyphens w:val="0"/>
              <w:spacing w:before="80" w:after="80" w:line="200" w:lineRule="exact"/>
              <w:jc w:val="center"/>
              <w:rPr>
                <w:rFonts w:eastAsia="Calibri"/>
                <w:bCs/>
                <w:i/>
                <w:sz w:val="14"/>
                <w:szCs w:val="14"/>
                <w:lang w:val="fr-FR"/>
              </w:rPr>
            </w:pPr>
            <w:r w:rsidRPr="00117270">
              <w:rPr>
                <w:rFonts w:eastAsia="Calibri"/>
                <w:bCs/>
                <w:i/>
                <w:sz w:val="14"/>
                <w:szCs w:val="14"/>
                <w:lang w:val="fr-FR"/>
              </w:rPr>
              <w:t>2000</w:t>
            </w:r>
          </w:p>
        </w:tc>
        <w:tc>
          <w:tcPr>
            <w:tcW w:w="2211" w:type="dxa"/>
            <w:gridSpan w:val="3"/>
            <w:tcBorders>
              <w:top w:val="single" w:sz="4" w:space="0" w:color="000000" w:themeColor="text1"/>
              <w:left w:val="single" w:sz="24" w:space="0" w:color="FFFFFF" w:themeColor="background1"/>
              <w:bottom w:val="single" w:sz="4" w:space="0" w:color="000000" w:themeColor="text1"/>
            </w:tcBorders>
            <w:shd w:val="clear" w:color="auto" w:fill="auto"/>
            <w:vAlign w:val="bottom"/>
          </w:tcPr>
          <w:p w:rsidR="005C4207" w:rsidRPr="00117270" w:rsidRDefault="005C4207" w:rsidP="005C4207">
            <w:pPr>
              <w:suppressAutoHyphens w:val="0"/>
              <w:spacing w:before="80" w:after="80" w:line="200" w:lineRule="exact"/>
              <w:jc w:val="center"/>
              <w:rPr>
                <w:rFonts w:eastAsia="Calibri"/>
                <w:bCs/>
                <w:i/>
                <w:sz w:val="14"/>
                <w:szCs w:val="14"/>
                <w:lang w:val="fr-FR"/>
              </w:rPr>
            </w:pPr>
            <w:r w:rsidRPr="00117270">
              <w:rPr>
                <w:rFonts w:eastAsia="Calibri"/>
                <w:bCs/>
                <w:i/>
                <w:sz w:val="14"/>
                <w:szCs w:val="14"/>
                <w:lang w:val="fr-FR"/>
              </w:rPr>
              <w:t>2013</w:t>
            </w:r>
          </w:p>
        </w:tc>
      </w:tr>
      <w:tr w:rsidR="005C4207" w:rsidRPr="00117270" w:rsidTr="005C4207">
        <w:trPr>
          <w:tblHeader/>
        </w:trPr>
        <w:tc>
          <w:tcPr>
            <w:tcW w:w="794" w:type="dxa"/>
            <w:vMerge/>
            <w:tcBorders>
              <w:bottom w:val="single" w:sz="12" w:space="0" w:color="000000" w:themeColor="text1"/>
            </w:tcBorders>
            <w:shd w:val="clear" w:color="auto" w:fill="auto"/>
            <w:noWrap/>
          </w:tcPr>
          <w:p w:rsidR="005C4207" w:rsidRPr="00117270" w:rsidRDefault="005C4207" w:rsidP="005C4207">
            <w:pPr>
              <w:suppressAutoHyphens w:val="0"/>
              <w:spacing w:before="40" w:after="40" w:line="220" w:lineRule="exact"/>
              <w:rPr>
                <w:rFonts w:eastAsia="Calibri"/>
                <w:sz w:val="16"/>
                <w:szCs w:val="16"/>
                <w:lang w:val="fr-FR"/>
              </w:rPr>
            </w:pPr>
          </w:p>
        </w:tc>
        <w:tc>
          <w:tcPr>
            <w:tcW w:w="737" w:type="dxa"/>
            <w:tcBorders>
              <w:top w:val="single" w:sz="4" w:space="0" w:color="000000" w:themeColor="text1"/>
              <w:bottom w:val="single" w:sz="12" w:space="0" w:color="000000" w:themeColor="text1"/>
            </w:tcBorders>
            <w:shd w:val="clear" w:color="auto" w:fill="auto"/>
            <w:vAlign w:val="bottom"/>
          </w:tcPr>
          <w:p w:rsidR="005C4207" w:rsidRPr="00117270" w:rsidRDefault="005C4207" w:rsidP="005C4207">
            <w:pPr>
              <w:suppressAutoHyphens w:val="0"/>
              <w:spacing w:before="80" w:after="80" w:line="200" w:lineRule="exact"/>
              <w:jc w:val="right"/>
              <w:rPr>
                <w:rFonts w:eastAsia="Calibri"/>
                <w:bCs/>
                <w:i/>
                <w:sz w:val="14"/>
                <w:szCs w:val="14"/>
                <w:lang w:val="fr-FR"/>
              </w:rPr>
            </w:pPr>
            <w:r w:rsidRPr="00117270">
              <w:rPr>
                <w:rFonts w:eastAsia="Calibri"/>
                <w:bCs/>
                <w:i/>
                <w:sz w:val="14"/>
                <w:szCs w:val="14"/>
                <w:lang w:val="fr-FR"/>
              </w:rPr>
              <w:t>Masculin</w:t>
            </w:r>
          </w:p>
        </w:tc>
        <w:tc>
          <w:tcPr>
            <w:tcW w:w="737" w:type="dxa"/>
            <w:tcBorders>
              <w:top w:val="single" w:sz="4" w:space="0" w:color="000000" w:themeColor="text1"/>
              <w:bottom w:val="single" w:sz="12" w:space="0" w:color="000000" w:themeColor="text1"/>
            </w:tcBorders>
            <w:shd w:val="clear" w:color="auto" w:fill="auto"/>
            <w:vAlign w:val="bottom"/>
          </w:tcPr>
          <w:p w:rsidR="005C4207" w:rsidRPr="00117270" w:rsidRDefault="005C4207" w:rsidP="005C4207">
            <w:pPr>
              <w:suppressAutoHyphens w:val="0"/>
              <w:spacing w:before="80" w:after="80" w:line="200" w:lineRule="exact"/>
              <w:jc w:val="right"/>
              <w:rPr>
                <w:rFonts w:eastAsia="Calibri"/>
                <w:bCs/>
                <w:i/>
                <w:sz w:val="14"/>
                <w:szCs w:val="14"/>
                <w:lang w:val="fr-FR"/>
              </w:rPr>
            </w:pPr>
            <w:r w:rsidRPr="00117270">
              <w:rPr>
                <w:rFonts w:eastAsia="Calibri"/>
                <w:bCs/>
                <w:i/>
                <w:sz w:val="14"/>
                <w:szCs w:val="14"/>
                <w:lang w:val="fr-FR"/>
              </w:rPr>
              <w:t>Féminin</w:t>
            </w:r>
          </w:p>
        </w:tc>
        <w:tc>
          <w:tcPr>
            <w:tcW w:w="737"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rsidR="005C4207" w:rsidRPr="00117270" w:rsidRDefault="005C4207" w:rsidP="005C4207">
            <w:pPr>
              <w:suppressAutoHyphens w:val="0"/>
              <w:spacing w:before="80" w:after="80" w:line="200" w:lineRule="exact"/>
              <w:jc w:val="right"/>
              <w:rPr>
                <w:rFonts w:eastAsia="Calibri"/>
                <w:bCs/>
                <w:i/>
                <w:sz w:val="14"/>
                <w:szCs w:val="14"/>
                <w:lang w:val="fr-FR"/>
              </w:rPr>
            </w:pPr>
            <w:r w:rsidRPr="00117270">
              <w:rPr>
                <w:rFonts w:eastAsia="Calibri"/>
                <w:bCs/>
                <w:i/>
                <w:sz w:val="14"/>
                <w:szCs w:val="14"/>
                <w:lang w:val="fr-FR"/>
              </w:rPr>
              <w:t>Ensemble</w:t>
            </w:r>
          </w:p>
        </w:tc>
        <w:tc>
          <w:tcPr>
            <w:tcW w:w="737" w:type="dxa"/>
            <w:tcBorders>
              <w:top w:val="single" w:sz="4" w:space="0" w:color="000000" w:themeColor="text1"/>
              <w:left w:val="single" w:sz="24" w:space="0" w:color="FFFFFF" w:themeColor="background1"/>
              <w:bottom w:val="single" w:sz="12" w:space="0" w:color="000000" w:themeColor="text1"/>
            </w:tcBorders>
            <w:shd w:val="clear" w:color="auto" w:fill="auto"/>
            <w:noWrap/>
            <w:vAlign w:val="bottom"/>
          </w:tcPr>
          <w:p w:rsidR="005C4207" w:rsidRPr="00117270" w:rsidRDefault="005C4207" w:rsidP="005C4207">
            <w:pPr>
              <w:suppressAutoHyphens w:val="0"/>
              <w:spacing w:before="80" w:after="80" w:line="200" w:lineRule="exact"/>
              <w:jc w:val="right"/>
              <w:rPr>
                <w:rFonts w:eastAsia="Calibri"/>
                <w:bCs/>
                <w:i/>
                <w:sz w:val="14"/>
                <w:szCs w:val="14"/>
                <w:lang w:val="fr-FR"/>
              </w:rPr>
            </w:pPr>
            <w:r w:rsidRPr="00117270">
              <w:rPr>
                <w:rFonts w:eastAsia="Calibri"/>
                <w:bCs/>
                <w:i/>
                <w:sz w:val="14"/>
                <w:szCs w:val="14"/>
                <w:lang w:val="fr-FR"/>
              </w:rPr>
              <w:t>Masculin</w:t>
            </w:r>
          </w:p>
        </w:tc>
        <w:tc>
          <w:tcPr>
            <w:tcW w:w="737" w:type="dxa"/>
            <w:tcBorders>
              <w:top w:val="single" w:sz="4" w:space="0" w:color="000000" w:themeColor="text1"/>
              <w:bottom w:val="single" w:sz="12" w:space="0" w:color="000000" w:themeColor="text1"/>
            </w:tcBorders>
            <w:shd w:val="clear" w:color="auto" w:fill="auto"/>
            <w:noWrap/>
            <w:vAlign w:val="bottom"/>
          </w:tcPr>
          <w:p w:rsidR="005C4207" w:rsidRPr="00117270" w:rsidRDefault="005C4207" w:rsidP="005C4207">
            <w:pPr>
              <w:suppressAutoHyphens w:val="0"/>
              <w:spacing w:before="80" w:after="80" w:line="200" w:lineRule="exact"/>
              <w:jc w:val="right"/>
              <w:rPr>
                <w:rFonts w:eastAsia="Calibri"/>
                <w:bCs/>
                <w:i/>
                <w:sz w:val="14"/>
                <w:szCs w:val="14"/>
                <w:lang w:val="fr-FR"/>
              </w:rPr>
            </w:pPr>
            <w:r w:rsidRPr="00117270">
              <w:rPr>
                <w:rFonts w:eastAsia="Calibri"/>
                <w:bCs/>
                <w:i/>
                <w:sz w:val="14"/>
                <w:szCs w:val="14"/>
                <w:lang w:val="fr-FR"/>
              </w:rPr>
              <w:t>Féminin</w:t>
            </w:r>
          </w:p>
        </w:tc>
        <w:tc>
          <w:tcPr>
            <w:tcW w:w="737" w:type="dxa"/>
            <w:tcBorders>
              <w:top w:val="single" w:sz="4" w:space="0" w:color="000000" w:themeColor="text1"/>
              <w:bottom w:val="single" w:sz="12" w:space="0" w:color="000000" w:themeColor="text1"/>
              <w:right w:val="single" w:sz="24" w:space="0" w:color="FFFFFF" w:themeColor="background1"/>
            </w:tcBorders>
            <w:shd w:val="clear" w:color="auto" w:fill="auto"/>
            <w:noWrap/>
            <w:vAlign w:val="bottom"/>
          </w:tcPr>
          <w:p w:rsidR="005C4207" w:rsidRPr="00117270" w:rsidRDefault="005C4207" w:rsidP="005C4207">
            <w:pPr>
              <w:suppressAutoHyphens w:val="0"/>
              <w:spacing w:before="80" w:after="80" w:line="200" w:lineRule="exact"/>
              <w:jc w:val="right"/>
              <w:rPr>
                <w:rFonts w:eastAsia="Calibri"/>
                <w:bCs/>
                <w:i/>
                <w:sz w:val="14"/>
                <w:szCs w:val="14"/>
                <w:lang w:val="fr-FR"/>
              </w:rPr>
            </w:pPr>
            <w:r w:rsidRPr="00117270">
              <w:rPr>
                <w:rFonts w:eastAsia="Calibri"/>
                <w:bCs/>
                <w:i/>
                <w:sz w:val="14"/>
                <w:szCs w:val="14"/>
                <w:lang w:val="fr-FR"/>
              </w:rPr>
              <w:t>Ensemble</w:t>
            </w:r>
          </w:p>
        </w:tc>
        <w:tc>
          <w:tcPr>
            <w:tcW w:w="737"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rsidR="005C4207" w:rsidRPr="00117270" w:rsidRDefault="005C4207" w:rsidP="005C4207">
            <w:pPr>
              <w:suppressAutoHyphens w:val="0"/>
              <w:spacing w:before="80" w:after="80" w:line="200" w:lineRule="exact"/>
              <w:jc w:val="right"/>
              <w:rPr>
                <w:rFonts w:eastAsia="Calibri"/>
                <w:bCs/>
                <w:i/>
                <w:sz w:val="14"/>
                <w:szCs w:val="14"/>
                <w:lang w:val="fr-FR"/>
              </w:rPr>
            </w:pPr>
            <w:r w:rsidRPr="00117270">
              <w:rPr>
                <w:rFonts w:eastAsia="Calibri"/>
                <w:bCs/>
                <w:i/>
                <w:sz w:val="14"/>
                <w:szCs w:val="14"/>
                <w:lang w:val="fr-FR"/>
              </w:rPr>
              <w:t>Masculin</w:t>
            </w:r>
          </w:p>
        </w:tc>
        <w:tc>
          <w:tcPr>
            <w:tcW w:w="737" w:type="dxa"/>
            <w:tcBorders>
              <w:top w:val="single" w:sz="4" w:space="0" w:color="000000" w:themeColor="text1"/>
              <w:bottom w:val="single" w:sz="12" w:space="0" w:color="000000" w:themeColor="text1"/>
            </w:tcBorders>
            <w:shd w:val="clear" w:color="auto" w:fill="auto"/>
            <w:vAlign w:val="bottom"/>
          </w:tcPr>
          <w:p w:rsidR="005C4207" w:rsidRPr="00117270" w:rsidRDefault="005C4207" w:rsidP="005C4207">
            <w:pPr>
              <w:suppressAutoHyphens w:val="0"/>
              <w:spacing w:before="80" w:after="80" w:line="200" w:lineRule="exact"/>
              <w:jc w:val="right"/>
              <w:rPr>
                <w:rFonts w:eastAsia="Calibri"/>
                <w:bCs/>
                <w:i/>
                <w:sz w:val="14"/>
                <w:szCs w:val="14"/>
                <w:lang w:val="fr-FR"/>
              </w:rPr>
            </w:pPr>
            <w:r w:rsidRPr="00117270">
              <w:rPr>
                <w:rFonts w:eastAsia="Calibri"/>
                <w:bCs/>
                <w:i/>
                <w:sz w:val="14"/>
                <w:szCs w:val="14"/>
                <w:lang w:val="fr-FR"/>
              </w:rPr>
              <w:t>Féminin</w:t>
            </w:r>
          </w:p>
        </w:tc>
        <w:tc>
          <w:tcPr>
            <w:tcW w:w="737"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rsidR="005C4207" w:rsidRPr="00117270" w:rsidRDefault="005C4207" w:rsidP="005C4207">
            <w:pPr>
              <w:suppressAutoHyphens w:val="0"/>
              <w:spacing w:before="80" w:after="80" w:line="200" w:lineRule="exact"/>
              <w:jc w:val="right"/>
              <w:rPr>
                <w:rFonts w:eastAsia="Calibri"/>
                <w:bCs/>
                <w:i/>
                <w:sz w:val="14"/>
                <w:szCs w:val="14"/>
                <w:lang w:val="fr-FR"/>
              </w:rPr>
            </w:pPr>
            <w:r w:rsidRPr="00117270">
              <w:rPr>
                <w:rFonts w:eastAsia="Calibri"/>
                <w:bCs/>
                <w:i/>
                <w:sz w:val="14"/>
                <w:szCs w:val="14"/>
                <w:lang w:val="fr-FR"/>
              </w:rPr>
              <w:t>Ensemble</w:t>
            </w:r>
          </w:p>
        </w:tc>
        <w:tc>
          <w:tcPr>
            <w:tcW w:w="737"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rsidR="005C4207" w:rsidRPr="00117270" w:rsidRDefault="005C4207" w:rsidP="005C4207">
            <w:pPr>
              <w:suppressAutoHyphens w:val="0"/>
              <w:spacing w:before="80" w:after="80" w:line="200" w:lineRule="exact"/>
              <w:jc w:val="right"/>
              <w:rPr>
                <w:rFonts w:eastAsia="Calibri"/>
                <w:bCs/>
                <w:i/>
                <w:sz w:val="14"/>
                <w:szCs w:val="14"/>
                <w:lang w:val="fr-FR"/>
              </w:rPr>
            </w:pPr>
            <w:r w:rsidRPr="00117270">
              <w:rPr>
                <w:rFonts w:eastAsia="Calibri"/>
                <w:bCs/>
                <w:i/>
                <w:sz w:val="14"/>
                <w:szCs w:val="14"/>
                <w:lang w:val="fr-FR"/>
              </w:rPr>
              <w:t>Masculin</w:t>
            </w:r>
          </w:p>
        </w:tc>
        <w:tc>
          <w:tcPr>
            <w:tcW w:w="737" w:type="dxa"/>
            <w:tcBorders>
              <w:top w:val="single" w:sz="4" w:space="0" w:color="000000" w:themeColor="text1"/>
              <w:bottom w:val="single" w:sz="12" w:space="0" w:color="000000" w:themeColor="text1"/>
            </w:tcBorders>
            <w:shd w:val="clear" w:color="auto" w:fill="auto"/>
            <w:vAlign w:val="bottom"/>
          </w:tcPr>
          <w:p w:rsidR="005C4207" w:rsidRPr="00117270" w:rsidRDefault="005C4207" w:rsidP="005C4207">
            <w:pPr>
              <w:suppressAutoHyphens w:val="0"/>
              <w:spacing w:before="80" w:after="80" w:line="200" w:lineRule="exact"/>
              <w:jc w:val="right"/>
              <w:rPr>
                <w:rFonts w:eastAsia="Calibri"/>
                <w:bCs/>
                <w:i/>
                <w:sz w:val="14"/>
                <w:szCs w:val="14"/>
                <w:lang w:val="fr-FR"/>
              </w:rPr>
            </w:pPr>
            <w:r w:rsidRPr="00117270">
              <w:rPr>
                <w:rFonts w:eastAsia="Calibri"/>
                <w:bCs/>
                <w:i/>
                <w:sz w:val="14"/>
                <w:szCs w:val="14"/>
                <w:lang w:val="fr-FR"/>
              </w:rPr>
              <w:t>Féminin</w:t>
            </w:r>
          </w:p>
        </w:tc>
        <w:tc>
          <w:tcPr>
            <w:tcW w:w="737" w:type="dxa"/>
            <w:tcBorders>
              <w:top w:val="single" w:sz="4" w:space="0" w:color="000000" w:themeColor="text1"/>
              <w:bottom w:val="single" w:sz="12" w:space="0" w:color="000000" w:themeColor="text1"/>
            </w:tcBorders>
            <w:shd w:val="clear" w:color="auto" w:fill="auto"/>
            <w:vAlign w:val="bottom"/>
          </w:tcPr>
          <w:p w:rsidR="005C4207" w:rsidRPr="00117270" w:rsidRDefault="005C4207" w:rsidP="005C4207">
            <w:pPr>
              <w:suppressAutoHyphens w:val="0"/>
              <w:spacing w:before="80" w:after="80" w:line="200" w:lineRule="exact"/>
              <w:jc w:val="right"/>
              <w:rPr>
                <w:rFonts w:eastAsia="Calibri"/>
                <w:bCs/>
                <w:i/>
                <w:sz w:val="14"/>
                <w:szCs w:val="14"/>
                <w:lang w:val="fr-FR"/>
              </w:rPr>
            </w:pPr>
            <w:r w:rsidRPr="00117270">
              <w:rPr>
                <w:rFonts w:eastAsia="Calibri"/>
                <w:bCs/>
                <w:i/>
                <w:sz w:val="14"/>
                <w:szCs w:val="14"/>
                <w:lang w:val="fr-FR"/>
              </w:rPr>
              <w:t>Ensemble</w:t>
            </w:r>
          </w:p>
        </w:tc>
      </w:tr>
      <w:tr w:rsidR="005C4207" w:rsidRPr="00117270" w:rsidTr="005C4207">
        <w:tc>
          <w:tcPr>
            <w:tcW w:w="794" w:type="dxa"/>
            <w:tcBorders>
              <w:top w:val="single" w:sz="12" w:space="0" w:color="000000" w:themeColor="text1"/>
            </w:tcBorders>
            <w:shd w:val="clear" w:color="auto" w:fill="auto"/>
            <w:noWrap/>
          </w:tcPr>
          <w:p w:rsidR="005C4207" w:rsidRPr="00117270" w:rsidRDefault="005C4207" w:rsidP="005C4207">
            <w:pPr>
              <w:suppressAutoHyphens w:val="0"/>
              <w:spacing w:before="40" w:after="40" w:line="220" w:lineRule="exact"/>
              <w:rPr>
                <w:rFonts w:eastAsia="Calibri"/>
                <w:sz w:val="16"/>
                <w:szCs w:val="16"/>
                <w:lang w:val="fr-FR"/>
              </w:rPr>
            </w:pPr>
            <w:r w:rsidRPr="00117270">
              <w:rPr>
                <w:rFonts w:eastAsia="Calibri"/>
                <w:sz w:val="16"/>
                <w:szCs w:val="16"/>
                <w:lang w:val="fr-FR"/>
              </w:rPr>
              <w:t>00 - 04</w:t>
            </w:r>
          </w:p>
        </w:tc>
        <w:tc>
          <w:tcPr>
            <w:tcW w:w="737" w:type="dxa"/>
            <w:tcBorders>
              <w:top w:val="single" w:sz="12" w:space="0" w:color="000000" w:themeColor="text1"/>
            </w:tcBorders>
            <w:shd w:val="clear" w:color="auto" w:fill="auto"/>
            <w:vAlign w:val="bottom"/>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110 261</w:t>
            </w:r>
          </w:p>
        </w:tc>
        <w:tc>
          <w:tcPr>
            <w:tcW w:w="737" w:type="dxa"/>
            <w:tcBorders>
              <w:top w:val="single" w:sz="12" w:space="0" w:color="000000" w:themeColor="text1"/>
            </w:tcBorders>
            <w:shd w:val="clear" w:color="auto" w:fill="auto"/>
            <w:vAlign w:val="bottom"/>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106 526</w:t>
            </w:r>
          </w:p>
        </w:tc>
        <w:tc>
          <w:tcPr>
            <w:tcW w:w="737" w:type="dxa"/>
            <w:tcBorders>
              <w:top w:val="single" w:sz="12" w:space="0" w:color="000000" w:themeColor="text1"/>
            </w:tcBorders>
            <w:shd w:val="clear" w:color="auto" w:fill="auto"/>
            <w:vAlign w:val="bottom"/>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216 787</w:t>
            </w:r>
          </w:p>
        </w:tc>
        <w:tc>
          <w:tcPr>
            <w:tcW w:w="737" w:type="dxa"/>
            <w:tcBorders>
              <w:top w:val="single" w:sz="12" w:space="0" w:color="000000" w:themeColor="text1"/>
            </w:tcBorders>
            <w:shd w:val="clear" w:color="auto" w:fill="auto"/>
            <w:noWrap/>
            <w:vAlign w:val="bottom"/>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154 808</w:t>
            </w:r>
          </w:p>
        </w:tc>
        <w:tc>
          <w:tcPr>
            <w:tcW w:w="737" w:type="dxa"/>
            <w:tcBorders>
              <w:top w:val="single" w:sz="12" w:space="0" w:color="000000" w:themeColor="text1"/>
            </w:tcBorders>
            <w:shd w:val="clear" w:color="auto" w:fill="auto"/>
            <w:noWrap/>
            <w:vAlign w:val="bottom"/>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150 305</w:t>
            </w:r>
          </w:p>
        </w:tc>
        <w:tc>
          <w:tcPr>
            <w:tcW w:w="737" w:type="dxa"/>
            <w:tcBorders>
              <w:top w:val="single" w:sz="12" w:space="0" w:color="000000" w:themeColor="text1"/>
            </w:tcBorders>
            <w:shd w:val="clear" w:color="auto" w:fill="auto"/>
            <w:noWrap/>
            <w:vAlign w:val="bottom"/>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305 113</w:t>
            </w:r>
          </w:p>
        </w:tc>
        <w:tc>
          <w:tcPr>
            <w:tcW w:w="737" w:type="dxa"/>
            <w:tcBorders>
              <w:top w:val="single" w:sz="12" w:space="0" w:color="000000" w:themeColor="text1"/>
            </w:tcBorders>
            <w:shd w:val="clear" w:color="auto" w:fill="auto"/>
            <w:vAlign w:val="bottom"/>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218 087</w:t>
            </w:r>
          </w:p>
        </w:tc>
        <w:tc>
          <w:tcPr>
            <w:tcW w:w="737" w:type="dxa"/>
            <w:tcBorders>
              <w:top w:val="single" w:sz="12" w:space="0" w:color="000000" w:themeColor="text1"/>
            </w:tcBorders>
            <w:shd w:val="clear" w:color="auto" w:fill="auto"/>
            <w:vAlign w:val="bottom"/>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208 370</w:t>
            </w:r>
          </w:p>
        </w:tc>
        <w:tc>
          <w:tcPr>
            <w:tcW w:w="737" w:type="dxa"/>
            <w:tcBorders>
              <w:top w:val="single" w:sz="12" w:space="0" w:color="000000" w:themeColor="text1"/>
            </w:tcBorders>
            <w:shd w:val="clear" w:color="auto" w:fill="auto"/>
            <w:vAlign w:val="bottom"/>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426 457</w:t>
            </w:r>
          </w:p>
        </w:tc>
        <w:tc>
          <w:tcPr>
            <w:tcW w:w="737" w:type="dxa"/>
            <w:tcBorders>
              <w:top w:val="single" w:sz="12" w:space="0" w:color="000000" w:themeColor="text1"/>
            </w:tcBorders>
            <w:shd w:val="clear" w:color="auto" w:fill="auto"/>
            <w:vAlign w:val="bottom"/>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316 217</w:t>
            </w:r>
          </w:p>
        </w:tc>
        <w:tc>
          <w:tcPr>
            <w:tcW w:w="737" w:type="dxa"/>
            <w:tcBorders>
              <w:top w:val="single" w:sz="12" w:space="0" w:color="000000" w:themeColor="text1"/>
            </w:tcBorders>
            <w:shd w:val="clear" w:color="auto" w:fill="auto"/>
            <w:vAlign w:val="bottom"/>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298 475</w:t>
            </w:r>
          </w:p>
        </w:tc>
        <w:tc>
          <w:tcPr>
            <w:tcW w:w="737" w:type="dxa"/>
            <w:tcBorders>
              <w:top w:val="single" w:sz="12" w:space="0" w:color="000000" w:themeColor="text1"/>
            </w:tcBorders>
            <w:shd w:val="clear" w:color="auto" w:fill="auto"/>
            <w:vAlign w:val="bottom"/>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614 692</w:t>
            </w:r>
          </w:p>
        </w:tc>
      </w:tr>
      <w:tr w:rsidR="005C4207" w:rsidRPr="00117270" w:rsidTr="00AA7A93">
        <w:tc>
          <w:tcPr>
            <w:tcW w:w="794" w:type="dxa"/>
            <w:shd w:val="clear" w:color="auto" w:fill="auto"/>
            <w:noWrap/>
            <w:hideMark/>
          </w:tcPr>
          <w:p w:rsidR="005C4207" w:rsidRPr="00117270" w:rsidRDefault="005C4207" w:rsidP="005C4207">
            <w:pPr>
              <w:suppressAutoHyphens w:val="0"/>
              <w:spacing w:before="40" w:after="40" w:line="220" w:lineRule="exact"/>
              <w:rPr>
                <w:rFonts w:eastAsia="Calibri"/>
                <w:sz w:val="16"/>
                <w:szCs w:val="16"/>
                <w:lang w:val="fr-FR"/>
              </w:rPr>
            </w:pPr>
            <w:r w:rsidRPr="00117270">
              <w:rPr>
                <w:rFonts w:eastAsia="Calibri"/>
                <w:sz w:val="16"/>
                <w:szCs w:val="16"/>
                <w:lang w:val="fr-FR"/>
              </w:rPr>
              <w:t>05 - 09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113 809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105 397</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219 206</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154 546</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144 263</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298 809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186 741</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175 736</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362 477</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263 263</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256 839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520 102</w:t>
            </w:r>
          </w:p>
        </w:tc>
      </w:tr>
      <w:tr w:rsidR="005C4207" w:rsidRPr="00117270" w:rsidTr="00AA7A93">
        <w:tc>
          <w:tcPr>
            <w:tcW w:w="794" w:type="dxa"/>
            <w:shd w:val="clear" w:color="auto" w:fill="auto"/>
            <w:noWrap/>
            <w:hideMark/>
          </w:tcPr>
          <w:p w:rsidR="005C4207" w:rsidRPr="00117270" w:rsidRDefault="005C4207" w:rsidP="005C4207">
            <w:pPr>
              <w:suppressAutoHyphens w:val="0"/>
              <w:spacing w:before="40" w:after="40" w:line="220" w:lineRule="exact"/>
              <w:rPr>
                <w:rFonts w:eastAsia="Calibri"/>
                <w:sz w:val="16"/>
                <w:szCs w:val="16"/>
                <w:lang w:val="fr-FR"/>
              </w:rPr>
            </w:pPr>
            <w:r w:rsidRPr="00117270">
              <w:rPr>
                <w:rFonts w:eastAsia="Calibri"/>
                <w:sz w:val="16"/>
                <w:szCs w:val="16"/>
                <w:lang w:val="fr-FR"/>
              </w:rPr>
              <w:t>10 - 14</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81 141</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71 524</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152 665</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114 455</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104 288</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218 743</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154 508</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148 164</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302 672</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212 838</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216 667</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429 505</w:t>
            </w:r>
          </w:p>
        </w:tc>
      </w:tr>
      <w:tr w:rsidR="005C4207" w:rsidRPr="00117270" w:rsidTr="00AA7A93">
        <w:tc>
          <w:tcPr>
            <w:tcW w:w="794" w:type="dxa"/>
            <w:shd w:val="clear" w:color="auto" w:fill="auto"/>
            <w:noWrap/>
            <w:hideMark/>
          </w:tcPr>
          <w:p w:rsidR="005C4207" w:rsidRPr="00117270" w:rsidRDefault="005C4207" w:rsidP="005C4207">
            <w:pPr>
              <w:suppressAutoHyphens w:val="0"/>
              <w:spacing w:before="40" w:after="40" w:line="220" w:lineRule="exact"/>
              <w:rPr>
                <w:rFonts w:eastAsia="Calibri"/>
                <w:sz w:val="16"/>
                <w:szCs w:val="16"/>
                <w:lang w:val="fr-FR"/>
              </w:rPr>
            </w:pPr>
            <w:r w:rsidRPr="00117270">
              <w:rPr>
                <w:rFonts w:eastAsia="Calibri"/>
                <w:sz w:val="16"/>
                <w:szCs w:val="16"/>
                <w:lang w:val="fr-FR"/>
              </w:rPr>
              <w:t>15 - 19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67 504</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70 770</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138 274</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92 683</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96 807</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189 490</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131 240</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138 512</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269 752</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176 116</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185 288</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361 404</w:t>
            </w:r>
          </w:p>
        </w:tc>
      </w:tr>
      <w:tr w:rsidR="005C4207" w:rsidRPr="00117270" w:rsidTr="00AA7A93">
        <w:tc>
          <w:tcPr>
            <w:tcW w:w="794" w:type="dxa"/>
            <w:shd w:val="clear" w:color="auto" w:fill="auto"/>
            <w:noWrap/>
            <w:hideMark/>
          </w:tcPr>
          <w:p w:rsidR="005C4207" w:rsidRPr="00117270" w:rsidRDefault="005C4207" w:rsidP="005C4207">
            <w:pPr>
              <w:suppressAutoHyphens w:val="0"/>
              <w:spacing w:before="40" w:after="40" w:line="220" w:lineRule="exact"/>
              <w:rPr>
                <w:rFonts w:eastAsia="Calibri"/>
                <w:sz w:val="16"/>
                <w:szCs w:val="16"/>
                <w:lang w:val="fr-FR"/>
              </w:rPr>
            </w:pPr>
            <w:r w:rsidRPr="00117270">
              <w:rPr>
                <w:rFonts w:eastAsia="Calibri"/>
                <w:sz w:val="16"/>
                <w:szCs w:val="16"/>
                <w:lang w:val="fr-FR"/>
              </w:rPr>
              <w:t>20 - 24</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52 776</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58 542</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111 318</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74 901</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86 562</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161 463</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100 667</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114 292</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214 959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144 478</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157 962</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302 440</w:t>
            </w:r>
          </w:p>
        </w:tc>
      </w:tr>
      <w:tr w:rsidR="005C4207" w:rsidRPr="00117270" w:rsidTr="00AA7A93">
        <w:tc>
          <w:tcPr>
            <w:tcW w:w="794" w:type="dxa"/>
            <w:shd w:val="clear" w:color="auto" w:fill="auto"/>
            <w:noWrap/>
            <w:hideMark/>
          </w:tcPr>
          <w:p w:rsidR="005C4207" w:rsidRPr="00117270" w:rsidRDefault="005C4207" w:rsidP="005C4207">
            <w:pPr>
              <w:suppressAutoHyphens w:val="0"/>
              <w:spacing w:before="40" w:after="40" w:line="220" w:lineRule="exact"/>
              <w:rPr>
                <w:rFonts w:eastAsia="Calibri"/>
                <w:sz w:val="16"/>
                <w:szCs w:val="16"/>
                <w:lang w:val="fr-FR"/>
              </w:rPr>
            </w:pPr>
            <w:r w:rsidRPr="00117270">
              <w:rPr>
                <w:rFonts w:eastAsia="Calibri"/>
                <w:sz w:val="16"/>
                <w:szCs w:val="16"/>
                <w:lang w:val="fr-FR"/>
              </w:rPr>
              <w:t>25 - 29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40 969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48 060</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89 029</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67 126</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77 870</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144 996</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86 990</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100 554</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187 544</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121 586</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135 767</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257 353</w:t>
            </w:r>
          </w:p>
        </w:tc>
      </w:tr>
      <w:tr w:rsidR="005C4207" w:rsidRPr="00117270" w:rsidTr="00AA7A93">
        <w:tc>
          <w:tcPr>
            <w:tcW w:w="794" w:type="dxa"/>
            <w:shd w:val="clear" w:color="auto" w:fill="auto"/>
            <w:noWrap/>
            <w:hideMark/>
          </w:tcPr>
          <w:p w:rsidR="005C4207" w:rsidRPr="00117270" w:rsidRDefault="005C4207" w:rsidP="005C4207">
            <w:pPr>
              <w:suppressAutoHyphens w:val="0"/>
              <w:spacing w:before="40" w:after="40" w:line="220" w:lineRule="exact"/>
              <w:rPr>
                <w:rFonts w:eastAsia="Calibri"/>
                <w:sz w:val="16"/>
                <w:szCs w:val="16"/>
                <w:lang w:val="fr-FR"/>
              </w:rPr>
            </w:pPr>
            <w:r w:rsidRPr="00117270">
              <w:rPr>
                <w:rFonts w:eastAsia="Calibri"/>
                <w:sz w:val="16"/>
                <w:szCs w:val="16"/>
                <w:lang w:val="fr-FR"/>
              </w:rPr>
              <w:t>30 - 34</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33 043</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40 681</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73 724</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56 457</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60 691</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117 148</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72 906</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81 525</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154 431</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99 834</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113 691</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213 525</w:t>
            </w:r>
          </w:p>
        </w:tc>
      </w:tr>
      <w:tr w:rsidR="005C4207" w:rsidRPr="00117270" w:rsidTr="00AA7A93">
        <w:tc>
          <w:tcPr>
            <w:tcW w:w="794" w:type="dxa"/>
            <w:shd w:val="clear" w:color="auto" w:fill="auto"/>
            <w:noWrap/>
            <w:hideMark/>
          </w:tcPr>
          <w:p w:rsidR="005C4207" w:rsidRPr="00117270" w:rsidRDefault="005C4207" w:rsidP="005C4207">
            <w:pPr>
              <w:suppressAutoHyphens w:val="0"/>
              <w:spacing w:before="40" w:after="40" w:line="220" w:lineRule="exact"/>
              <w:rPr>
                <w:rFonts w:eastAsia="Calibri"/>
                <w:sz w:val="16"/>
                <w:szCs w:val="16"/>
                <w:lang w:val="fr-FR"/>
              </w:rPr>
            </w:pPr>
            <w:r w:rsidRPr="00117270">
              <w:rPr>
                <w:rFonts w:eastAsia="Calibri"/>
                <w:sz w:val="16"/>
                <w:szCs w:val="16"/>
                <w:lang w:val="fr-FR"/>
              </w:rPr>
              <w:t>35 - 39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28 905</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32 804</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61 709</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44 513</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45 159</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89 672</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64 465</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70 887</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135 352</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83 578</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95 379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178 957</w:t>
            </w:r>
          </w:p>
        </w:tc>
      </w:tr>
      <w:tr w:rsidR="005C4207" w:rsidRPr="00117270" w:rsidTr="00AA7A93">
        <w:tc>
          <w:tcPr>
            <w:tcW w:w="794" w:type="dxa"/>
            <w:shd w:val="clear" w:color="auto" w:fill="auto"/>
            <w:noWrap/>
            <w:hideMark/>
          </w:tcPr>
          <w:p w:rsidR="005C4207" w:rsidRPr="00117270" w:rsidRDefault="005C4207" w:rsidP="005C4207">
            <w:pPr>
              <w:suppressAutoHyphens w:val="0"/>
              <w:spacing w:before="40" w:after="40" w:line="220" w:lineRule="exact"/>
              <w:rPr>
                <w:rFonts w:eastAsia="Calibri"/>
                <w:sz w:val="16"/>
                <w:szCs w:val="16"/>
                <w:lang w:val="fr-FR"/>
              </w:rPr>
            </w:pPr>
            <w:r w:rsidRPr="00117270">
              <w:rPr>
                <w:rFonts w:eastAsia="Calibri"/>
                <w:sz w:val="16"/>
                <w:szCs w:val="16"/>
                <w:lang w:val="fr-FR"/>
              </w:rPr>
              <w:t>40 - 44</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32 665</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36 021</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68 686</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34 802</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38 077</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72 879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53 010</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53 129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106 139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72 108</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79 228</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151 336</w:t>
            </w:r>
          </w:p>
        </w:tc>
      </w:tr>
      <w:tr w:rsidR="005C4207" w:rsidRPr="00117270" w:rsidTr="00AA7A93">
        <w:tc>
          <w:tcPr>
            <w:tcW w:w="794" w:type="dxa"/>
            <w:shd w:val="clear" w:color="auto" w:fill="auto"/>
            <w:noWrap/>
            <w:hideMark/>
          </w:tcPr>
          <w:p w:rsidR="005C4207" w:rsidRPr="00117270" w:rsidRDefault="005C4207" w:rsidP="005C4207">
            <w:pPr>
              <w:suppressAutoHyphens w:val="0"/>
              <w:spacing w:before="40" w:after="40" w:line="220" w:lineRule="exact"/>
              <w:rPr>
                <w:rFonts w:eastAsia="Calibri"/>
                <w:sz w:val="16"/>
                <w:szCs w:val="16"/>
                <w:lang w:val="fr-FR"/>
              </w:rPr>
            </w:pPr>
            <w:r w:rsidRPr="00117270">
              <w:rPr>
                <w:rFonts w:eastAsia="Calibri"/>
                <w:sz w:val="16"/>
                <w:szCs w:val="16"/>
                <w:lang w:val="fr-FR"/>
              </w:rPr>
              <w:t>45 - 49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23 807</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24 036</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47 843</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27 593</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28 108</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55 701</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48 653</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50 408</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99 061</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60 297</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64 516</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124 813</w:t>
            </w:r>
          </w:p>
        </w:tc>
      </w:tr>
      <w:tr w:rsidR="005C4207" w:rsidRPr="00117270" w:rsidTr="00AA7A93">
        <w:tc>
          <w:tcPr>
            <w:tcW w:w="794" w:type="dxa"/>
            <w:shd w:val="clear" w:color="auto" w:fill="auto"/>
            <w:noWrap/>
            <w:hideMark/>
          </w:tcPr>
          <w:p w:rsidR="005C4207" w:rsidRPr="00117270" w:rsidRDefault="005C4207" w:rsidP="005C4207">
            <w:pPr>
              <w:suppressAutoHyphens w:val="0"/>
              <w:spacing w:before="40" w:after="40" w:line="220" w:lineRule="exact"/>
              <w:rPr>
                <w:rFonts w:eastAsia="Calibri"/>
                <w:sz w:val="16"/>
                <w:szCs w:val="16"/>
                <w:lang w:val="fr-FR"/>
              </w:rPr>
            </w:pPr>
            <w:r w:rsidRPr="00117270">
              <w:rPr>
                <w:rFonts w:eastAsia="Calibri"/>
                <w:sz w:val="16"/>
                <w:szCs w:val="16"/>
                <w:lang w:val="fr-FR"/>
              </w:rPr>
              <w:t>50 - 54</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22 688</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24 432</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47 120</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30 023</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31 908</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61 931</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32 649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33 165</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65 814</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50 739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51 751</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102 490</w:t>
            </w:r>
          </w:p>
        </w:tc>
      </w:tr>
      <w:tr w:rsidR="005C4207" w:rsidRPr="00117270" w:rsidTr="00AA7A93">
        <w:tc>
          <w:tcPr>
            <w:tcW w:w="794" w:type="dxa"/>
            <w:shd w:val="clear" w:color="auto" w:fill="auto"/>
            <w:noWrap/>
            <w:hideMark/>
          </w:tcPr>
          <w:p w:rsidR="005C4207" w:rsidRPr="00117270" w:rsidRDefault="005C4207" w:rsidP="005C4207">
            <w:pPr>
              <w:suppressAutoHyphens w:val="0"/>
              <w:spacing w:before="40" w:after="40" w:line="220" w:lineRule="exact"/>
              <w:rPr>
                <w:rFonts w:eastAsia="Calibri"/>
                <w:sz w:val="16"/>
                <w:szCs w:val="16"/>
                <w:lang w:val="fr-FR"/>
              </w:rPr>
            </w:pPr>
            <w:r w:rsidRPr="00117270">
              <w:rPr>
                <w:rFonts w:eastAsia="Calibri"/>
                <w:sz w:val="16"/>
                <w:szCs w:val="16"/>
                <w:lang w:val="fr-FR"/>
              </w:rPr>
              <w:t>55 - 59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16 911</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17 487</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34 398</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16 847</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14 875</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31 722</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23 010</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21 638</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44 648</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41 075</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40 645</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81 720</w:t>
            </w:r>
          </w:p>
        </w:tc>
      </w:tr>
      <w:tr w:rsidR="005C4207" w:rsidRPr="00117270" w:rsidTr="00AA7A93">
        <w:tc>
          <w:tcPr>
            <w:tcW w:w="794" w:type="dxa"/>
            <w:shd w:val="clear" w:color="auto" w:fill="auto"/>
            <w:noWrap/>
            <w:hideMark/>
          </w:tcPr>
          <w:p w:rsidR="005C4207" w:rsidRPr="00117270" w:rsidRDefault="005C4207" w:rsidP="005C4207">
            <w:pPr>
              <w:suppressAutoHyphens w:val="0"/>
              <w:spacing w:before="40" w:after="40" w:line="220" w:lineRule="exact"/>
              <w:rPr>
                <w:rFonts w:eastAsia="Calibri"/>
                <w:sz w:val="16"/>
                <w:szCs w:val="16"/>
                <w:lang w:val="fr-FR"/>
              </w:rPr>
            </w:pPr>
            <w:r w:rsidRPr="00117270">
              <w:rPr>
                <w:rFonts w:eastAsia="Calibri"/>
                <w:sz w:val="16"/>
                <w:szCs w:val="16"/>
                <w:lang w:val="fr-FR"/>
              </w:rPr>
              <w:t>60 - 64</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12 754</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14 508</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27 262</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20 190</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20 603</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40 793</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25 093</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24 467</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49 560</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31 660</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30 459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62 119</w:t>
            </w:r>
          </w:p>
        </w:tc>
      </w:tr>
      <w:tr w:rsidR="005C4207" w:rsidRPr="00117270" w:rsidTr="00AA7A93">
        <w:tc>
          <w:tcPr>
            <w:tcW w:w="794" w:type="dxa"/>
            <w:shd w:val="clear" w:color="auto" w:fill="auto"/>
            <w:noWrap/>
            <w:hideMark/>
          </w:tcPr>
          <w:p w:rsidR="005C4207" w:rsidRPr="00117270" w:rsidRDefault="005C4207" w:rsidP="005C4207">
            <w:pPr>
              <w:suppressAutoHyphens w:val="0"/>
              <w:spacing w:before="40" w:after="40" w:line="220" w:lineRule="exact"/>
              <w:rPr>
                <w:rFonts w:eastAsia="Calibri"/>
                <w:sz w:val="16"/>
                <w:szCs w:val="16"/>
                <w:lang w:val="fr-FR"/>
              </w:rPr>
            </w:pPr>
            <w:r w:rsidRPr="00117270">
              <w:rPr>
                <w:rFonts w:eastAsia="Calibri"/>
                <w:sz w:val="16"/>
                <w:szCs w:val="16"/>
                <w:lang w:val="fr-FR"/>
              </w:rPr>
              <w:lastRenderedPageBreak/>
              <w:t>65 - 69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6 979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7 593</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14 572</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11 518</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11 131</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22 649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16 062</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15 582</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31 644</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24 120</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23 055</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47 175</w:t>
            </w:r>
          </w:p>
        </w:tc>
      </w:tr>
      <w:tr w:rsidR="005C4207" w:rsidRPr="00117270" w:rsidTr="00AA7A93">
        <w:tc>
          <w:tcPr>
            <w:tcW w:w="794" w:type="dxa"/>
            <w:shd w:val="clear" w:color="auto" w:fill="auto"/>
            <w:noWrap/>
            <w:hideMark/>
          </w:tcPr>
          <w:p w:rsidR="005C4207" w:rsidRPr="00117270" w:rsidRDefault="005C4207" w:rsidP="005C4207">
            <w:pPr>
              <w:suppressAutoHyphens w:val="0"/>
              <w:spacing w:before="40" w:after="40" w:line="220" w:lineRule="exact"/>
              <w:rPr>
                <w:rFonts w:eastAsia="Calibri"/>
                <w:sz w:val="16"/>
                <w:szCs w:val="16"/>
                <w:lang w:val="fr-FR"/>
              </w:rPr>
            </w:pPr>
            <w:r w:rsidRPr="00117270">
              <w:rPr>
                <w:rFonts w:eastAsia="Calibri"/>
                <w:sz w:val="16"/>
                <w:szCs w:val="16"/>
                <w:lang w:val="fr-FR"/>
              </w:rPr>
              <w:t>70 - 74</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7 708</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10 706</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18 414</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10 812</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12 968</w:t>
            </w:r>
          </w:p>
        </w:tc>
        <w:tc>
          <w:tcPr>
            <w:tcW w:w="737" w:type="dxa"/>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23 780</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13 773</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13 425</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27 198</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18 167</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17 129</w:t>
            </w:r>
          </w:p>
        </w:tc>
        <w:tc>
          <w:tcPr>
            <w:tcW w:w="737" w:type="dxa"/>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35 296</w:t>
            </w:r>
          </w:p>
        </w:tc>
      </w:tr>
      <w:tr w:rsidR="005C4207" w:rsidRPr="00117270" w:rsidTr="00AA7A93">
        <w:tc>
          <w:tcPr>
            <w:tcW w:w="794" w:type="dxa"/>
            <w:tcBorders>
              <w:bottom w:val="single" w:sz="4" w:space="0" w:color="auto"/>
            </w:tcBorders>
            <w:shd w:val="clear" w:color="auto" w:fill="auto"/>
            <w:noWrap/>
            <w:hideMark/>
          </w:tcPr>
          <w:p w:rsidR="005C4207" w:rsidRPr="00117270" w:rsidRDefault="005C4207" w:rsidP="005C4207">
            <w:pPr>
              <w:suppressAutoHyphens w:val="0"/>
              <w:spacing w:before="40" w:after="40" w:line="220" w:lineRule="exact"/>
              <w:rPr>
                <w:rFonts w:eastAsia="Calibri"/>
                <w:sz w:val="16"/>
                <w:szCs w:val="16"/>
                <w:lang w:val="fr-FR"/>
              </w:rPr>
            </w:pPr>
            <w:r w:rsidRPr="00117270">
              <w:rPr>
                <w:rFonts w:eastAsia="Calibri"/>
                <w:sz w:val="16"/>
                <w:szCs w:val="16"/>
                <w:lang w:val="fr-FR"/>
              </w:rPr>
              <w:t>75 ou plus</w:t>
            </w:r>
          </w:p>
        </w:tc>
        <w:tc>
          <w:tcPr>
            <w:tcW w:w="737" w:type="dxa"/>
            <w:tcBorders>
              <w:bottom w:val="single" w:sz="4" w:space="0" w:color="auto"/>
            </w:tcBorders>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6 441</w:t>
            </w:r>
          </w:p>
        </w:tc>
        <w:tc>
          <w:tcPr>
            <w:tcW w:w="737" w:type="dxa"/>
            <w:tcBorders>
              <w:bottom w:val="single" w:sz="4" w:space="0" w:color="auto"/>
            </w:tcBorders>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11 382</w:t>
            </w:r>
          </w:p>
        </w:tc>
        <w:tc>
          <w:tcPr>
            <w:tcW w:w="737" w:type="dxa"/>
            <w:tcBorders>
              <w:bottom w:val="single" w:sz="4" w:space="0" w:color="auto"/>
            </w:tcBorders>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17 823</w:t>
            </w:r>
          </w:p>
        </w:tc>
        <w:tc>
          <w:tcPr>
            <w:tcW w:w="737" w:type="dxa"/>
            <w:tcBorders>
              <w:bottom w:val="single" w:sz="4" w:space="0" w:color="auto"/>
            </w:tcBorders>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11 901</w:t>
            </w:r>
          </w:p>
        </w:tc>
        <w:tc>
          <w:tcPr>
            <w:tcW w:w="737" w:type="dxa"/>
            <w:tcBorders>
              <w:bottom w:val="single" w:sz="4" w:space="0" w:color="auto"/>
            </w:tcBorders>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17 446</w:t>
            </w:r>
          </w:p>
        </w:tc>
        <w:tc>
          <w:tcPr>
            <w:tcW w:w="737" w:type="dxa"/>
            <w:tcBorders>
              <w:bottom w:val="single" w:sz="4" w:space="0" w:color="auto"/>
            </w:tcBorders>
            <w:shd w:val="clear" w:color="auto" w:fill="auto"/>
            <w:noWrap/>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29 347</w:t>
            </w:r>
          </w:p>
        </w:tc>
        <w:tc>
          <w:tcPr>
            <w:tcW w:w="737" w:type="dxa"/>
            <w:tcBorders>
              <w:bottom w:val="single" w:sz="4" w:space="0" w:color="auto"/>
            </w:tcBorders>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13 858</w:t>
            </w:r>
          </w:p>
        </w:tc>
        <w:tc>
          <w:tcPr>
            <w:tcW w:w="737" w:type="dxa"/>
            <w:tcBorders>
              <w:bottom w:val="single" w:sz="4" w:space="0" w:color="auto"/>
            </w:tcBorders>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16 593</w:t>
            </w:r>
          </w:p>
        </w:tc>
        <w:tc>
          <w:tcPr>
            <w:tcW w:w="737" w:type="dxa"/>
            <w:tcBorders>
              <w:bottom w:val="single" w:sz="4" w:space="0" w:color="auto"/>
            </w:tcBorders>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30 451</w:t>
            </w:r>
          </w:p>
        </w:tc>
        <w:tc>
          <w:tcPr>
            <w:tcW w:w="737" w:type="dxa"/>
            <w:tcBorders>
              <w:bottom w:val="single" w:sz="4" w:space="0" w:color="auto"/>
            </w:tcBorders>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26 998</w:t>
            </w:r>
          </w:p>
        </w:tc>
        <w:tc>
          <w:tcPr>
            <w:tcW w:w="737" w:type="dxa"/>
            <w:tcBorders>
              <w:bottom w:val="single" w:sz="4" w:space="0" w:color="auto"/>
            </w:tcBorders>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27 443</w:t>
            </w:r>
          </w:p>
        </w:tc>
        <w:tc>
          <w:tcPr>
            <w:tcW w:w="737" w:type="dxa"/>
            <w:tcBorders>
              <w:bottom w:val="single" w:sz="4" w:space="0" w:color="auto"/>
            </w:tcBorders>
            <w:shd w:val="clear" w:color="auto" w:fill="auto"/>
            <w:vAlign w:val="bottom"/>
            <w:hideMark/>
          </w:tcPr>
          <w:p w:rsidR="005C4207" w:rsidRPr="00117270" w:rsidRDefault="005C4207" w:rsidP="005C4207">
            <w:pPr>
              <w:suppressAutoHyphens w:val="0"/>
              <w:spacing w:before="40" w:after="40" w:line="220" w:lineRule="exact"/>
              <w:jc w:val="right"/>
              <w:rPr>
                <w:rFonts w:eastAsia="Calibri"/>
                <w:sz w:val="16"/>
                <w:szCs w:val="16"/>
                <w:lang w:val="fr-FR"/>
              </w:rPr>
            </w:pPr>
            <w:r w:rsidRPr="00117270">
              <w:rPr>
                <w:rFonts w:eastAsia="Calibri"/>
                <w:sz w:val="16"/>
                <w:szCs w:val="16"/>
                <w:lang w:val="fr-FR"/>
              </w:rPr>
              <w:t>54 441</w:t>
            </w:r>
          </w:p>
        </w:tc>
      </w:tr>
      <w:tr w:rsidR="005C4207" w:rsidRPr="00117270" w:rsidTr="00AA7A93">
        <w:tc>
          <w:tcPr>
            <w:tcW w:w="794" w:type="dxa"/>
            <w:tcBorders>
              <w:top w:val="single" w:sz="4" w:space="0" w:color="auto"/>
              <w:bottom w:val="single" w:sz="12" w:space="0" w:color="auto"/>
            </w:tcBorders>
            <w:shd w:val="clear" w:color="auto" w:fill="auto"/>
            <w:noWrap/>
            <w:hideMark/>
          </w:tcPr>
          <w:p w:rsidR="005C4207" w:rsidRPr="00117270" w:rsidRDefault="005C4207" w:rsidP="005C4207">
            <w:pPr>
              <w:suppressAutoHyphens w:val="0"/>
              <w:spacing w:before="80" w:after="80" w:line="220" w:lineRule="exact"/>
              <w:ind w:left="227"/>
              <w:rPr>
                <w:rFonts w:eastAsia="Calibri"/>
                <w:b/>
                <w:bCs/>
                <w:sz w:val="16"/>
                <w:szCs w:val="16"/>
                <w:lang w:val="fr-FR"/>
              </w:rPr>
            </w:pPr>
            <w:r w:rsidRPr="00117270">
              <w:rPr>
                <w:rFonts w:eastAsia="Calibri"/>
                <w:b/>
                <w:bCs/>
                <w:sz w:val="16"/>
                <w:szCs w:val="16"/>
                <w:lang w:val="fr-FR"/>
              </w:rPr>
              <w:t>Total</w:t>
            </w:r>
          </w:p>
        </w:tc>
        <w:tc>
          <w:tcPr>
            <w:tcW w:w="737" w:type="dxa"/>
            <w:tcBorders>
              <w:top w:val="single" w:sz="4" w:space="0" w:color="auto"/>
              <w:bottom w:val="single" w:sz="12" w:space="0" w:color="auto"/>
            </w:tcBorders>
            <w:shd w:val="clear" w:color="auto" w:fill="auto"/>
            <w:vAlign w:val="bottom"/>
            <w:hideMark/>
          </w:tcPr>
          <w:p w:rsidR="005C4207" w:rsidRPr="00117270" w:rsidRDefault="005C4207" w:rsidP="005C4207">
            <w:pPr>
              <w:suppressAutoHyphens w:val="0"/>
              <w:spacing w:before="80" w:after="80" w:line="220" w:lineRule="exact"/>
              <w:jc w:val="right"/>
              <w:rPr>
                <w:rFonts w:eastAsia="Calibri"/>
                <w:b/>
                <w:bCs/>
                <w:sz w:val="16"/>
                <w:szCs w:val="16"/>
                <w:lang w:val="fr-FR"/>
              </w:rPr>
            </w:pPr>
            <w:r w:rsidRPr="00117270">
              <w:rPr>
                <w:rFonts w:eastAsia="Calibri"/>
                <w:b/>
                <w:bCs/>
                <w:sz w:val="16"/>
                <w:szCs w:val="16"/>
                <w:lang w:val="fr-FR"/>
              </w:rPr>
              <w:t>658 361</w:t>
            </w:r>
          </w:p>
        </w:tc>
        <w:tc>
          <w:tcPr>
            <w:tcW w:w="737" w:type="dxa"/>
            <w:tcBorders>
              <w:top w:val="single" w:sz="4" w:space="0" w:color="auto"/>
              <w:bottom w:val="single" w:sz="12" w:space="0" w:color="auto"/>
            </w:tcBorders>
            <w:shd w:val="clear" w:color="auto" w:fill="auto"/>
            <w:vAlign w:val="bottom"/>
            <w:hideMark/>
          </w:tcPr>
          <w:p w:rsidR="005C4207" w:rsidRPr="00117270" w:rsidRDefault="005C4207" w:rsidP="005C4207">
            <w:pPr>
              <w:suppressAutoHyphens w:val="0"/>
              <w:spacing w:before="80" w:after="80" w:line="220" w:lineRule="exact"/>
              <w:jc w:val="right"/>
              <w:rPr>
                <w:rFonts w:eastAsia="Calibri"/>
                <w:b/>
                <w:bCs/>
                <w:sz w:val="16"/>
                <w:szCs w:val="16"/>
                <w:lang w:val="fr-FR"/>
              </w:rPr>
            </w:pPr>
            <w:r w:rsidRPr="00117270">
              <w:rPr>
                <w:rFonts w:eastAsia="Calibri"/>
                <w:b/>
                <w:bCs/>
                <w:sz w:val="16"/>
                <w:szCs w:val="16"/>
                <w:lang w:val="fr-FR"/>
              </w:rPr>
              <w:t>680 469</w:t>
            </w:r>
          </w:p>
        </w:tc>
        <w:tc>
          <w:tcPr>
            <w:tcW w:w="737" w:type="dxa"/>
            <w:tcBorders>
              <w:top w:val="single" w:sz="4" w:space="0" w:color="auto"/>
              <w:bottom w:val="single" w:sz="12" w:space="0" w:color="auto"/>
            </w:tcBorders>
            <w:shd w:val="clear" w:color="auto" w:fill="auto"/>
            <w:vAlign w:val="bottom"/>
            <w:hideMark/>
          </w:tcPr>
          <w:p w:rsidR="005C4207" w:rsidRPr="00117270" w:rsidRDefault="005C4207" w:rsidP="005C4207">
            <w:pPr>
              <w:suppressAutoHyphens w:val="0"/>
              <w:spacing w:before="80" w:after="80" w:line="220" w:lineRule="exact"/>
              <w:jc w:val="right"/>
              <w:rPr>
                <w:rFonts w:eastAsia="Calibri"/>
                <w:b/>
                <w:bCs/>
                <w:sz w:val="16"/>
                <w:szCs w:val="16"/>
                <w:lang w:val="fr-FR"/>
              </w:rPr>
            </w:pPr>
            <w:r w:rsidRPr="00117270">
              <w:rPr>
                <w:rFonts w:eastAsia="Calibri"/>
                <w:b/>
                <w:bCs/>
                <w:sz w:val="16"/>
                <w:szCs w:val="16"/>
                <w:lang w:val="fr-FR"/>
              </w:rPr>
              <w:t>1 338 830</w:t>
            </w:r>
          </w:p>
        </w:tc>
        <w:tc>
          <w:tcPr>
            <w:tcW w:w="737" w:type="dxa"/>
            <w:tcBorders>
              <w:top w:val="single" w:sz="4" w:space="0" w:color="auto"/>
              <w:bottom w:val="single" w:sz="12" w:space="0" w:color="auto"/>
            </w:tcBorders>
            <w:shd w:val="clear" w:color="auto" w:fill="auto"/>
            <w:noWrap/>
            <w:vAlign w:val="bottom"/>
            <w:hideMark/>
          </w:tcPr>
          <w:p w:rsidR="005C4207" w:rsidRPr="00117270" w:rsidRDefault="005C4207" w:rsidP="005C4207">
            <w:pPr>
              <w:suppressAutoHyphens w:val="0"/>
              <w:spacing w:before="80" w:after="80" w:line="220" w:lineRule="exact"/>
              <w:jc w:val="right"/>
              <w:rPr>
                <w:rFonts w:eastAsia="Calibri"/>
                <w:b/>
                <w:bCs/>
                <w:sz w:val="16"/>
                <w:szCs w:val="16"/>
                <w:lang w:val="fr-FR"/>
              </w:rPr>
            </w:pPr>
            <w:r w:rsidRPr="00117270">
              <w:rPr>
                <w:rFonts w:eastAsia="Calibri"/>
                <w:b/>
                <w:bCs/>
                <w:sz w:val="16"/>
                <w:szCs w:val="16"/>
                <w:lang w:val="fr-FR"/>
              </w:rPr>
              <w:t>923 175</w:t>
            </w:r>
          </w:p>
        </w:tc>
        <w:tc>
          <w:tcPr>
            <w:tcW w:w="737" w:type="dxa"/>
            <w:tcBorders>
              <w:top w:val="single" w:sz="4" w:space="0" w:color="auto"/>
              <w:bottom w:val="single" w:sz="12" w:space="0" w:color="auto"/>
            </w:tcBorders>
            <w:shd w:val="clear" w:color="auto" w:fill="auto"/>
            <w:noWrap/>
            <w:vAlign w:val="bottom"/>
            <w:hideMark/>
          </w:tcPr>
          <w:p w:rsidR="005C4207" w:rsidRPr="00117270" w:rsidRDefault="005C4207" w:rsidP="005C4207">
            <w:pPr>
              <w:suppressAutoHyphens w:val="0"/>
              <w:spacing w:before="80" w:after="80" w:line="220" w:lineRule="exact"/>
              <w:jc w:val="right"/>
              <w:rPr>
                <w:rFonts w:eastAsia="Calibri"/>
                <w:b/>
                <w:bCs/>
                <w:sz w:val="16"/>
                <w:szCs w:val="16"/>
                <w:lang w:val="fr-FR"/>
              </w:rPr>
            </w:pPr>
            <w:r w:rsidRPr="00117270">
              <w:rPr>
                <w:rFonts w:eastAsia="Calibri"/>
                <w:b/>
                <w:bCs/>
                <w:sz w:val="16"/>
                <w:szCs w:val="16"/>
                <w:lang w:val="fr-FR"/>
              </w:rPr>
              <w:t>941 061</w:t>
            </w:r>
          </w:p>
        </w:tc>
        <w:tc>
          <w:tcPr>
            <w:tcW w:w="737" w:type="dxa"/>
            <w:tcBorders>
              <w:top w:val="single" w:sz="4" w:space="0" w:color="auto"/>
              <w:bottom w:val="single" w:sz="12" w:space="0" w:color="auto"/>
            </w:tcBorders>
            <w:shd w:val="clear" w:color="auto" w:fill="auto"/>
            <w:noWrap/>
            <w:vAlign w:val="bottom"/>
            <w:hideMark/>
          </w:tcPr>
          <w:p w:rsidR="005C4207" w:rsidRPr="00117270" w:rsidRDefault="005C4207" w:rsidP="005C4207">
            <w:pPr>
              <w:suppressAutoHyphens w:val="0"/>
              <w:spacing w:before="80" w:after="80" w:line="220" w:lineRule="exact"/>
              <w:jc w:val="right"/>
              <w:rPr>
                <w:rFonts w:eastAsia="Calibri"/>
                <w:b/>
                <w:bCs/>
                <w:sz w:val="16"/>
                <w:szCs w:val="16"/>
                <w:lang w:val="fr-FR"/>
              </w:rPr>
            </w:pPr>
            <w:r w:rsidRPr="00117270">
              <w:rPr>
                <w:rFonts w:eastAsia="Calibri"/>
                <w:b/>
                <w:bCs/>
                <w:sz w:val="16"/>
                <w:szCs w:val="16"/>
                <w:lang w:val="fr-FR"/>
              </w:rPr>
              <w:t>1 864 236</w:t>
            </w:r>
          </w:p>
        </w:tc>
        <w:tc>
          <w:tcPr>
            <w:tcW w:w="737" w:type="dxa"/>
            <w:tcBorders>
              <w:top w:val="single" w:sz="4" w:space="0" w:color="auto"/>
              <w:bottom w:val="single" w:sz="12" w:space="0" w:color="auto"/>
            </w:tcBorders>
            <w:shd w:val="clear" w:color="auto" w:fill="auto"/>
            <w:vAlign w:val="bottom"/>
            <w:hideMark/>
          </w:tcPr>
          <w:p w:rsidR="005C4207" w:rsidRPr="00117270" w:rsidRDefault="005C4207" w:rsidP="005C4207">
            <w:pPr>
              <w:suppressAutoHyphens w:val="0"/>
              <w:spacing w:before="80" w:after="80" w:line="220" w:lineRule="exact"/>
              <w:jc w:val="right"/>
              <w:rPr>
                <w:rFonts w:eastAsia="Calibri"/>
                <w:b/>
                <w:bCs/>
                <w:sz w:val="16"/>
                <w:szCs w:val="16"/>
                <w:lang w:val="fr-FR"/>
              </w:rPr>
            </w:pPr>
            <w:r w:rsidRPr="00117270">
              <w:rPr>
                <w:rFonts w:eastAsia="Calibri"/>
                <w:b/>
                <w:bCs/>
                <w:sz w:val="16"/>
                <w:szCs w:val="16"/>
                <w:lang w:val="fr-FR"/>
              </w:rPr>
              <w:t>1 241 712</w:t>
            </w:r>
          </w:p>
        </w:tc>
        <w:tc>
          <w:tcPr>
            <w:tcW w:w="737" w:type="dxa"/>
            <w:tcBorders>
              <w:top w:val="single" w:sz="4" w:space="0" w:color="auto"/>
              <w:bottom w:val="single" w:sz="12" w:space="0" w:color="auto"/>
            </w:tcBorders>
            <w:shd w:val="clear" w:color="auto" w:fill="auto"/>
            <w:vAlign w:val="bottom"/>
            <w:hideMark/>
          </w:tcPr>
          <w:p w:rsidR="005C4207" w:rsidRPr="00117270" w:rsidRDefault="005C4207" w:rsidP="005C4207">
            <w:pPr>
              <w:suppressAutoHyphens w:val="0"/>
              <w:spacing w:before="80" w:after="80" w:line="220" w:lineRule="exact"/>
              <w:jc w:val="right"/>
              <w:rPr>
                <w:rFonts w:eastAsia="Calibri"/>
                <w:b/>
                <w:bCs/>
                <w:sz w:val="16"/>
                <w:szCs w:val="16"/>
                <w:lang w:val="fr-FR"/>
              </w:rPr>
            </w:pPr>
            <w:r w:rsidRPr="00117270">
              <w:rPr>
                <w:rFonts w:eastAsia="Calibri"/>
                <w:b/>
                <w:bCs/>
                <w:sz w:val="16"/>
                <w:szCs w:val="16"/>
                <w:lang w:val="fr-FR"/>
              </w:rPr>
              <w:t>1 266 447</w:t>
            </w:r>
          </w:p>
        </w:tc>
        <w:tc>
          <w:tcPr>
            <w:tcW w:w="737" w:type="dxa"/>
            <w:tcBorders>
              <w:top w:val="single" w:sz="4" w:space="0" w:color="auto"/>
              <w:bottom w:val="single" w:sz="12" w:space="0" w:color="auto"/>
            </w:tcBorders>
            <w:shd w:val="clear" w:color="auto" w:fill="auto"/>
            <w:vAlign w:val="bottom"/>
            <w:hideMark/>
          </w:tcPr>
          <w:p w:rsidR="005C4207" w:rsidRPr="00117270" w:rsidRDefault="005C4207" w:rsidP="005C4207">
            <w:pPr>
              <w:suppressAutoHyphens w:val="0"/>
              <w:spacing w:before="80" w:after="80" w:line="220" w:lineRule="exact"/>
              <w:jc w:val="right"/>
              <w:rPr>
                <w:rFonts w:eastAsia="Calibri"/>
                <w:b/>
                <w:bCs/>
                <w:sz w:val="16"/>
                <w:szCs w:val="16"/>
                <w:lang w:val="fr-FR"/>
              </w:rPr>
            </w:pPr>
            <w:r w:rsidRPr="00117270">
              <w:rPr>
                <w:rFonts w:eastAsia="Calibri"/>
                <w:b/>
                <w:bCs/>
                <w:sz w:val="16"/>
                <w:szCs w:val="16"/>
                <w:lang w:val="fr-FR"/>
              </w:rPr>
              <w:t>2 508 159</w:t>
            </w:r>
          </w:p>
        </w:tc>
        <w:tc>
          <w:tcPr>
            <w:tcW w:w="737" w:type="dxa"/>
            <w:tcBorders>
              <w:top w:val="single" w:sz="4" w:space="0" w:color="auto"/>
              <w:bottom w:val="single" w:sz="12" w:space="0" w:color="auto"/>
            </w:tcBorders>
            <w:shd w:val="clear" w:color="auto" w:fill="auto"/>
            <w:vAlign w:val="bottom"/>
            <w:hideMark/>
          </w:tcPr>
          <w:p w:rsidR="005C4207" w:rsidRPr="00117270" w:rsidRDefault="005C4207" w:rsidP="005C4207">
            <w:pPr>
              <w:suppressAutoHyphens w:val="0"/>
              <w:spacing w:before="80" w:after="80" w:line="220" w:lineRule="exact"/>
              <w:jc w:val="right"/>
              <w:rPr>
                <w:rFonts w:eastAsia="Calibri"/>
                <w:b/>
                <w:bCs/>
                <w:sz w:val="16"/>
                <w:szCs w:val="16"/>
                <w:lang w:val="fr-FR"/>
              </w:rPr>
            </w:pPr>
            <w:r w:rsidRPr="00117270">
              <w:rPr>
                <w:rFonts w:eastAsia="Calibri"/>
                <w:b/>
                <w:bCs/>
                <w:sz w:val="16"/>
                <w:szCs w:val="16"/>
                <w:lang w:val="fr-FR"/>
              </w:rPr>
              <w:t>1 743 074</w:t>
            </w:r>
          </w:p>
        </w:tc>
        <w:tc>
          <w:tcPr>
            <w:tcW w:w="737" w:type="dxa"/>
            <w:tcBorders>
              <w:top w:val="single" w:sz="4" w:space="0" w:color="auto"/>
              <w:bottom w:val="single" w:sz="12" w:space="0" w:color="auto"/>
            </w:tcBorders>
            <w:shd w:val="clear" w:color="auto" w:fill="auto"/>
            <w:vAlign w:val="bottom"/>
            <w:hideMark/>
          </w:tcPr>
          <w:p w:rsidR="005C4207" w:rsidRPr="00117270" w:rsidRDefault="005C4207" w:rsidP="005C4207">
            <w:pPr>
              <w:suppressAutoHyphens w:val="0"/>
              <w:spacing w:before="80" w:after="80" w:line="220" w:lineRule="exact"/>
              <w:jc w:val="right"/>
              <w:rPr>
                <w:rFonts w:eastAsia="Calibri"/>
                <w:b/>
                <w:bCs/>
                <w:sz w:val="16"/>
                <w:szCs w:val="16"/>
                <w:lang w:val="fr-FR"/>
              </w:rPr>
            </w:pPr>
            <w:r w:rsidRPr="00117270">
              <w:rPr>
                <w:rFonts w:eastAsia="Calibri"/>
                <w:b/>
                <w:bCs/>
                <w:sz w:val="16"/>
                <w:szCs w:val="16"/>
                <w:lang w:val="fr-FR"/>
              </w:rPr>
              <w:t>1 794 294</w:t>
            </w:r>
          </w:p>
        </w:tc>
        <w:tc>
          <w:tcPr>
            <w:tcW w:w="737" w:type="dxa"/>
            <w:tcBorders>
              <w:top w:val="single" w:sz="4" w:space="0" w:color="auto"/>
              <w:bottom w:val="single" w:sz="12" w:space="0" w:color="auto"/>
            </w:tcBorders>
            <w:shd w:val="clear" w:color="auto" w:fill="auto"/>
            <w:vAlign w:val="bottom"/>
            <w:hideMark/>
          </w:tcPr>
          <w:p w:rsidR="005C4207" w:rsidRPr="00117270" w:rsidRDefault="005C4207" w:rsidP="005C4207">
            <w:pPr>
              <w:suppressAutoHyphens w:val="0"/>
              <w:spacing w:before="80" w:after="80" w:line="220" w:lineRule="exact"/>
              <w:jc w:val="right"/>
              <w:rPr>
                <w:rFonts w:eastAsia="Calibri"/>
                <w:b/>
                <w:bCs/>
                <w:sz w:val="16"/>
                <w:szCs w:val="16"/>
                <w:lang w:val="fr-FR"/>
              </w:rPr>
            </w:pPr>
            <w:r w:rsidRPr="00117270">
              <w:rPr>
                <w:rFonts w:eastAsia="Calibri"/>
                <w:b/>
                <w:bCs/>
                <w:sz w:val="16"/>
                <w:szCs w:val="16"/>
                <w:lang w:val="fr-FR"/>
              </w:rPr>
              <w:t>3 537 368</w:t>
            </w:r>
          </w:p>
        </w:tc>
      </w:tr>
    </w:tbl>
    <w:p w:rsidR="00E819C1" w:rsidRPr="00F13D2D" w:rsidRDefault="00525A47" w:rsidP="00525A47">
      <w:pPr>
        <w:pStyle w:val="H23G"/>
      </w:pPr>
      <w:bookmarkStart w:id="10" w:name="_Toc453672858"/>
      <w:bookmarkStart w:id="11" w:name="_Toc454388697"/>
      <w:r w:rsidRPr="00F13D2D">
        <w:tab/>
        <w:t>2.</w:t>
      </w:r>
      <w:r w:rsidRPr="00F13D2D">
        <w:tab/>
      </w:r>
      <w:r w:rsidR="00E819C1" w:rsidRPr="00F13D2D">
        <w:t xml:space="preserve">Données </w:t>
      </w:r>
      <w:proofErr w:type="spellStart"/>
      <w:r w:rsidR="00E819C1" w:rsidRPr="00F13D2D">
        <w:t>socioéconomiques</w:t>
      </w:r>
      <w:bookmarkEnd w:id="10"/>
      <w:bookmarkEnd w:id="11"/>
      <w:proofErr w:type="spellEnd"/>
    </w:p>
    <w:p w:rsidR="00E819C1" w:rsidRPr="00F13D2D" w:rsidRDefault="0055270C" w:rsidP="0055270C">
      <w:pPr>
        <w:pStyle w:val="SingleTxtG"/>
        <w:rPr>
          <w:rFonts w:eastAsia="Calibri"/>
          <w:lang w:val="fr-FR"/>
        </w:rPr>
      </w:pPr>
      <w:r w:rsidRPr="00F13D2D">
        <w:rPr>
          <w:rFonts w:eastAsia="Calibri"/>
          <w:lang w:val="fr-FR"/>
        </w:rPr>
        <w:t>6.</w:t>
      </w:r>
      <w:r w:rsidRPr="00F13D2D">
        <w:rPr>
          <w:rFonts w:eastAsia="Calibri"/>
          <w:lang w:val="fr-FR"/>
        </w:rPr>
        <w:tab/>
      </w:r>
      <w:r w:rsidR="00E819C1" w:rsidRPr="00F13D2D">
        <w:rPr>
          <w:rFonts w:eastAsia="Calibri"/>
          <w:lang w:val="fr-FR"/>
        </w:rPr>
        <w:t>La Mauritanie a mis en place un Cadre Stratégique de Lutte contre la Pauvreté (CSLP) pour la période 2001-2015. La mise en œuvre du CSLP s</w:t>
      </w:r>
      <w:r w:rsidR="006C160E" w:rsidRPr="00F13D2D">
        <w:rPr>
          <w:rFonts w:eastAsia="Calibri"/>
          <w:lang w:val="fr-FR"/>
        </w:rPr>
        <w:t>’</w:t>
      </w:r>
      <w:r w:rsidR="00E819C1" w:rsidRPr="00F13D2D">
        <w:rPr>
          <w:rFonts w:eastAsia="Calibri"/>
          <w:lang w:val="fr-FR"/>
        </w:rPr>
        <w:t>est traduite par une diminution de la pauvreté qui est passée de 51</w:t>
      </w:r>
      <w:r w:rsidR="006348D2">
        <w:rPr>
          <w:rFonts w:eastAsia="Calibri"/>
          <w:lang w:val="fr-FR"/>
        </w:rPr>
        <w:t> %</w:t>
      </w:r>
      <w:r w:rsidR="00E819C1" w:rsidRPr="00F13D2D">
        <w:rPr>
          <w:rFonts w:eastAsia="Calibri"/>
          <w:lang w:val="fr-FR"/>
        </w:rPr>
        <w:t xml:space="preserve"> en 2001 à 31</w:t>
      </w:r>
      <w:r w:rsidR="006348D2">
        <w:rPr>
          <w:rFonts w:eastAsia="Calibri"/>
          <w:lang w:val="fr-FR"/>
        </w:rPr>
        <w:t> %</w:t>
      </w:r>
      <w:r w:rsidR="00E819C1" w:rsidRPr="00F13D2D">
        <w:rPr>
          <w:rFonts w:eastAsia="Calibri"/>
          <w:lang w:val="fr-FR"/>
        </w:rPr>
        <w:t xml:space="preserve"> en 2014. La croissance économique, enregistrée</w:t>
      </w:r>
      <w:r w:rsidR="006C160E" w:rsidRPr="00F13D2D">
        <w:rPr>
          <w:rFonts w:eastAsia="Calibri"/>
          <w:lang w:val="fr-FR"/>
        </w:rPr>
        <w:t xml:space="preserve"> </w:t>
      </w:r>
      <w:r w:rsidR="00E819C1" w:rsidRPr="00F13D2D">
        <w:rPr>
          <w:rFonts w:eastAsia="Calibri"/>
          <w:lang w:val="fr-FR"/>
        </w:rPr>
        <w:t>sur la même période,</w:t>
      </w:r>
      <w:r w:rsidR="006C160E" w:rsidRPr="00F13D2D">
        <w:rPr>
          <w:rFonts w:eastAsia="Calibri"/>
          <w:lang w:val="fr-FR"/>
        </w:rPr>
        <w:t xml:space="preserve"> </w:t>
      </w:r>
      <w:r w:rsidR="00E819C1" w:rsidRPr="00F13D2D">
        <w:rPr>
          <w:rFonts w:eastAsia="Calibri"/>
          <w:lang w:val="fr-FR"/>
        </w:rPr>
        <w:t>s</w:t>
      </w:r>
      <w:r w:rsidR="006C160E" w:rsidRPr="00F13D2D">
        <w:rPr>
          <w:rFonts w:eastAsia="Calibri"/>
          <w:lang w:val="fr-FR"/>
        </w:rPr>
        <w:t>’</w:t>
      </w:r>
      <w:r w:rsidR="00E819C1" w:rsidRPr="00F13D2D">
        <w:rPr>
          <w:rFonts w:eastAsia="Calibri"/>
          <w:lang w:val="fr-FR"/>
        </w:rPr>
        <w:t>élève à un taux moyen de 4,3</w:t>
      </w:r>
      <w:r w:rsidR="006348D2">
        <w:rPr>
          <w:rFonts w:eastAsia="Calibri"/>
          <w:lang w:val="fr-FR"/>
        </w:rPr>
        <w:t> %</w:t>
      </w:r>
      <w:r w:rsidR="00E819C1" w:rsidRPr="00F13D2D">
        <w:rPr>
          <w:rFonts w:eastAsia="Calibri"/>
          <w:lang w:val="fr-FR"/>
        </w:rPr>
        <w:t xml:space="preserve"> en dépit d</w:t>
      </w:r>
      <w:r w:rsidR="006C160E" w:rsidRPr="00F13D2D">
        <w:rPr>
          <w:rFonts w:eastAsia="Calibri"/>
          <w:lang w:val="fr-FR"/>
        </w:rPr>
        <w:t>’</w:t>
      </w:r>
      <w:r w:rsidR="00E819C1" w:rsidRPr="00F13D2D">
        <w:rPr>
          <w:rFonts w:eastAsia="Calibri"/>
          <w:lang w:val="fr-FR"/>
        </w:rPr>
        <w:t>une</w:t>
      </w:r>
      <w:r w:rsidR="006C160E" w:rsidRPr="00F13D2D">
        <w:rPr>
          <w:rFonts w:eastAsia="Calibri"/>
          <w:lang w:val="fr-FR"/>
        </w:rPr>
        <w:t xml:space="preserve"> </w:t>
      </w:r>
      <w:r w:rsidR="00E819C1" w:rsidRPr="00F13D2D">
        <w:rPr>
          <w:rFonts w:eastAsia="Calibri"/>
          <w:lang w:val="fr-FR"/>
        </w:rPr>
        <w:t>conjoncture internationale défavorable.</w:t>
      </w:r>
    </w:p>
    <w:p w:rsidR="00E819C1" w:rsidRPr="00F13D2D" w:rsidRDefault="0055270C" w:rsidP="0055270C">
      <w:pPr>
        <w:pStyle w:val="SingleTxtG"/>
        <w:rPr>
          <w:rFonts w:eastAsia="Calibri"/>
          <w:lang w:val="fr-FR"/>
        </w:rPr>
      </w:pPr>
      <w:r w:rsidRPr="00F13D2D">
        <w:rPr>
          <w:rFonts w:eastAsia="Calibri"/>
          <w:lang w:val="fr-FR"/>
        </w:rPr>
        <w:t>7.</w:t>
      </w:r>
      <w:r w:rsidRPr="00F13D2D">
        <w:rPr>
          <w:rFonts w:eastAsia="Calibri"/>
          <w:lang w:val="fr-FR"/>
        </w:rPr>
        <w:tab/>
      </w:r>
      <w:r w:rsidR="00E819C1" w:rsidRPr="00F13D2D">
        <w:rPr>
          <w:rFonts w:eastAsia="Calibri"/>
          <w:lang w:val="fr-FR"/>
        </w:rPr>
        <w:t>Malgré cette conjoncture, des efforts ont été déployés dans le cadre du développement des ressources humaines et de l’expansion des services de base. Dans le domaine de l’éducation et au niveau du fondamental</w:t>
      </w:r>
      <w:r w:rsidR="00FC0832">
        <w:rPr>
          <w:rFonts w:eastAsia="Calibri"/>
          <w:lang w:val="fr-FR"/>
        </w:rPr>
        <w:t> :</w:t>
      </w:r>
      <w:r w:rsidR="00E819C1" w:rsidRPr="00F13D2D">
        <w:rPr>
          <w:rFonts w:eastAsia="Calibri"/>
          <w:lang w:val="fr-FR"/>
        </w:rPr>
        <w:t xml:space="preserve"> (i) le taux brut de scolarisation (TBS), en 2012/13, est de 99,3</w:t>
      </w:r>
      <w:r w:rsidR="006348D2">
        <w:rPr>
          <w:rFonts w:eastAsia="Calibri"/>
          <w:lang w:val="fr-FR"/>
        </w:rPr>
        <w:t> %</w:t>
      </w:r>
      <w:r w:rsidR="00E819C1" w:rsidRPr="00F13D2D">
        <w:rPr>
          <w:rFonts w:eastAsia="Calibri"/>
          <w:lang w:val="fr-FR"/>
        </w:rPr>
        <w:t>, (ii) le TBS des filles, en 2012/13, est de 102,5</w:t>
      </w:r>
      <w:r w:rsidR="006348D2">
        <w:rPr>
          <w:rFonts w:eastAsia="Calibri"/>
          <w:lang w:val="fr-FR"/>
        </w:rPr>
        <w:t> %</w:t>
      </w:r>
      <w:r w:rsidR="00E819C1" w:rsidRPr="00F13D2D">
        <w:rPr>
          <w:rFonts w:eastAsia="Calibri"/>
          <w:lang w:val="fr-FR"/>
        </w:rPr>
        <w:t xml:space="preserve"> contre 95,9</w:t>
      </w:r>
      <w:r w:rsidR="006348D2">
        <w:rPr>
          <w:rFonts w:eastAsia="Calibri"/>
          <w:lang w:val="fr-FR"/>
        </w:rPr>
        <w:t> %</w:t>
      </w:r>
      <w:r w:rsidR="00E819C1" w:rsidRPr="00F13D2D">
        <w:rPr>
          <w:rFonts w:eastAsia="Calibri"/>
          <w:lang w:val="fr-FR"/>
        </w:rPr>
        <w:t xml:space="preserve"> pour les garçons, l’indice de parité se situant à 1,07 en 2012-2013. L’effort de scolarisation a plus profité, au cours de l</w:t>
      </w:r>
      <w:r w:rsidR="006C160E" w:rsidRPr="00F13D2D">
        <w:rPr>
          <w:rFonts w:eastAsia="Calibri"/>
          <w:lang w:val="fr-FR"/>
        </w:rPr>
        <w:t>’</w:t>
      </w:r>
      <w:r w:rsidR="00E819C1" w:rsidRPr="00F13D2D">
        <w:rPr>
          <w:rFonts w:eastAsia="Calibri"/>
          <w:lang w:val="fr-FR"/>
        </w:rPr>
        <w:t>année 2013, aux filles qu’aux garçons</w:t>
      </w:r>
      <w:r w:rsidR="00FC0832">
        <w:rPr>
          <w:rFonts w:eastAsia="Calibri"/>
          <w:lang w:val="fr-FR"/>
        </w:rPr>
        <w:t> ;</w:t>
      </w:r>
      <w:r w:rsidR="00E819C1" w:rsidRPr="00F13D2D">
        <w:rPr>
          <w:rFonts w:eastAsia="Calibri"/>
          <w:lang w:val="fr-FR"/>
        </w:rPr>
        <w:t xml:space="preserve"> (iii) le taux de rétention du fondamental, en 2012/13, est de 75</w:t>
      </w:r>
      <w:r w:rsidR="006348D2">
        <w:rPr>
          <w:rFonts w:eastAsia="Calibri"/>
          <w:lang w:val="fr-FR"/>
        </w:rPr>
        <w:t> %</w:t>
      </w:r>
      <w:r w:rsidR="00E819C1" w:rsidRPr="00F13D2D">
        <w:rPr>
          <w:rFonts w:eastAsia="Calibri"/>
          <w:lang w:val="fr-FR"/>
        </w:rPr>
        <w:t xml:space="preserve"> contre 67,4</w:t>
      </w:r>
      <w:r w:rsidR="006348D2">
        <w:rPr>
          <w:rFonts w:eastAsia="Calibri"/>
          <w:lang w:val="fr-FR"/>
        </w:rPr>
        <w:t> %</w:t>
      </w:r>
      <w:r w:rsidR="00E819C1" w:rsidRPr="00F13D2D">
        <w:rPr>
          <w:rFonts w:eastAsia="Calibri"/>
          <w:lang w:val="fr-FR"/>
        </w:rPr>
        <w:t xml:space="preserve"> en 2011/12, soit une augmentation consistante.</w:t>
      </w:r>
    </w:p>
    <w:p w:rsidR="00E819C1" w:rsidRPr="00F13D2D" w:rsidRDefault="0055270C" w:rsidP="0055270C">
      <w:pPr>
        <w:pStyle w:val="SingleTxtG"/>
        <w:rPr>
          <w:rFonts w:eastAsia="Calibri"/>
          <w:lang w:val="fr-FR"/>
        </w:rPr>
      </w:pPr>
      <w:r w:rsidRPr="00F13D2D">
        <w:rPr>
          <w:rFonts w:eastAsia="Calibri"/>
          <w:lang w:val="fr-FR"/>
        </w:rPr>
        <w:t>8.</w:t>
      </w:r>
      <w:r w:rsidRPr="00F13D2D">
        <w:rPr>
          <w:rFonts w:eastAsia="Calibri"/>
          <w:lang w:val="fr-FR"/>
        </w:rPr>
        <w:tab/>
      </w:r>
      <w:r w:rsidR="00E819C1" w:rsidRPr="00F13D2D">
        <w:rPr>
          <w:rFonts w:eastAsia="Calibri"/>
          <w:lang w:val="fr-FR"/>
        </w:rPr>
        <w:t>Quant au secondaire, (i) le TBS est passé de 24,9</w:t>
      </w:r>
      <w:r w:rsidR="006348D2">
        <w:rPr>
          <w:rFonts w:eastAsia="Calibri"/>
          <w:lang w:val="fr-FR"/>
        </w:rPr>
        <w:t> %</w:t>
      </w:r>
      <w:r w:rsidR="00E819C1" w:rsidRPr="00F13D2D">
        <w:rPr>
          <w:rFonts w:eastAsia="Calibri"/>
          <w:lang w:val="fr-FR"/>
        </w:rPr>
        <w:t xml:space="preserve"> en 2009/10 à 29.5</w:t>
      </w:r>
      <w:r w:rsidR="006348D2">
        <w:rPr>
          <w:rFonts w:eastAsia="Calibri"/>
          <w:lang w:val="fr-FR"/>
        </w:rPr>
        <w:t> %</w:t>
      </w:r>
      <w:r w:rsidR="00E819C1" w:rsidRPr="00F13D2D">
        <w:rPr>
          <w:rFonts w:eastAsia="Calibri"/>
          <w:lang w:val="fr-FR"/>
        </w:rPr>
        <w:t xml:space="preserve"> en 2012/13</w:t>
      </w:r>
      <w:r w:rsidR="00FC0832">
        <w:rPr>
          <w:rFonts w:eastAsia="Calibri"/>
          <w:lang w:val="fr-FR"/>
        </w:rPr>
        <w:t> ;</w:t>
      </w:r>
      <w:r w:rsidR="00E819C1" w:rsidRPr="00F13D2D">
        <w:rPr>
          <w:rFonts w:eastAsia="Calibri"/>
          <w:lang w:val="fr-FR"/>
        </w:rPr>
        <w:t xml:space="preserve"> (ii)</w:t>
      </w:r>
      <w:r w:rsidR="002A5875">
        <w:rPr>
          <w:rFonts w:eastAsia="Calibri"/>
          <w:lang w:val="fr-FR"/>
        </w:rPr>
        <w:t> </w:t>
      </w:r>
      <w:r w:rsidR="00E819C1" w:rsidRPr="00F13D2D">
        <w:rPr>
          <w:rFonts w:eastAsia="Calibri"/>
          <w:lang w:val="fr-FR"/>
        </w:rPr>
        <w:t>le taux de participation des filles se situe à 47,6</w:t>
      </w:r>
      <w:r w:rsidR="006348D2">
        <w:rPr>
          <w:rFonts w:eastAsia="Calibri"/>
          <w:lang w:val="fr-FR"/>
        </w:rPr>
        <w:t> %</w:t>
      </w:r>
      <w:r w:rsidR="00E819C1" w:rsidRPr="00F13D2D">
        <w:rPr>
          <w:rFonts w:eastAsia="Calibri"/>
          <w:lang w:val="fr-FR"/>
        </w:rPr>
        <w:t xml:space="preserve"> en 2012/2013</w:t>
      </w:r>
      <w:r w:rsidR="00FC0832">
        <w:rPr>
          <w:rFonts w:eastAsia="Calibri"/>
          <w:lang w:val="fr-FR"/>
        </w:rPr>
        <w:t> ;</w:t>
      </w:r>
      <w:r w:rsidR="00E819C1" w:rsidRPr="00F13D2D">
        <w:rPr>
          <w:rFonts w:eastAsia="Calibri"/>
          <w:lang w:val="fr-FR"/>
        </w:rPr>
        <w:t xml:space="preserve"> et (iii) le taux de transition se situe à 52,7</w:t>
      </w:r>
      <w:r w:rsidR="006348D2">
        <w:rPr>
          <w:rFonts w:eastAsia="Calibri"/>
          <w:lang w:val="fr-FR"/>
        </w:rPr>
        <w:t> %</w:t>
      </w:r>
      <w:r w:rsidR="00E819C1" w:rsidRPr="00F13D2D">
        <w:rPr>
          <w:rFonts w:eastAsia="Calibri"/>
          <w:lang w:val="fr-FR"/>
        </w:rPr>
        <w:t xml:space="preserve"> en 2012/13.</w:t>
      </w:r>
    </w:p>
    <w:p w:rsidR="00E819C1" w:rsidRPr="00F13D2D" w:rsidRDefault="0055270C" w:rsidP="0055270C">
      <w:pPr>
        <w:pStyle w:val="SingleTxtG"/>
        <w:rPr>
          <w:rFonts w:eastAsia="Calibri"/>
          <w:lang w:val="fr-FR"/>
        </w:rPr>
      </w:pPr>
      <w:r w:rsidRPr="00F13D2D">
        <w:rPr>
          <w:rFonts w:eastAsia="Calibri"/>
          <w:lang w:val="fr-FR"/>
        </w:rPr>
        <w:t>9.</w:t>
      </w:r>
      <w:r w:rsidRPr="00F13D2D">
        <w:rPr>
          <w:rFonts w:eastAsia="Calibri"/>
          <w:lang w:val="fr-FR"/>
        </w:rPr>
        <w:tab/>
      </w:r>
      <w:r w:rsidR="00E819C1" w:rsidRPr="00F13D2D">
        <w:rPr>
          <w:rFonts w:eastAsia="Calibri"/>
          <w:lang w:val="fr-FR"/>
        </w:rPr>
        <w:t>Dans le domaine de la santé, les efforts entrepris par le Gouvernement visant l’amélioration de l’état de santé de la population à travers l’amélioration de la qualité et de l’accessibilité des services de santé, ont permis</w:t>
      </w:r>
      <w:r w:rsidR="00FC0832">
        <w:rPr>
          <w:rFonts w:eastAsia="Calibri"/>
          <w:lang w:val="fr-FR"/>
        </w:rPr>
        <w:t> :</w:t>
      </w:r>
      <w:r w:rsidR="00E819C1" w:rsidRPr="00F13D2D">
        <w:rPr>
          <w:rFonts w:eastAsia="Calibri"/>
          <w:lang w:val="fr-FR"/>
        </w:rPr>
        <w:t xml:space="preserve"> (i) la construction, la réhabilitation et l</w:t>
      </w:r>
      <w:r w:rsidR="006C160E" w:rsidRPr="00F13D2D">
        <w:rPr>
          <w:rFonts w:eastAsia="Calibri"/>
          <w:lang w:val="fr-FR"/>
        </w:rPr>
        <w:t>’</w:t>
      </w:r>
      <w:r w:rsidR="00E819C1" w:rsidRPr="00F13D2D">
        <w:rPr>
          <w:rFonts w:eastAsia="Calibri"/>
          <w:lang w:val="fr-FR"/>
        </w:rPr>
        <w:t>équipement de centres de santé</w:t>
      </w:r>
      <w:r w:rsidR="00FC0832">
        <w:rPr>
          <w:rFonts w:eastAsia="Calibri"/>
          <w:lang w:val="fr-FR"/>
        </w:rPr>
        <w:t> ;</w:t>
      </w:r>
      <w:r w:rsidR="00E819C1" w:rsidRPr="00F13D2D">
        <w:rPr>
          <w:rFonts w:eastAsia="Calibri"/>
          <w:lang w:val="fr-FR"/>
        </w:rPr>
        <w:t xml:space="preserve"> (ii) la construction des écoles d’infirmiers</w:t>
      </w:r>
      <w:r w:rsidR="00FC0832">
        <w:rPr>
          <w:rFonts w:eastAsia="Calibri"/>
          <w:lang w:val="fr-FR"/>
        </w:rPr>
        <w:t> ;</w:t>
      </w:r>
      <w:r w:rsidR="00E819C1" w:rsidRPr="00F13D2D">
        <w:rPr>
          <w:rFonts w:eastAsia="Calibri"/>
          <w:lang w:val="fr-FR"/>
        </w:rPr>
        <w:t xml:space="preserve"> (iii)</w:t>
      </w:r>
      <w:r w:rsidR="002A5875">
        <w:rPr>
          <w:rFonts w:eastAsia="Calibri"/>
          <w:lang w:val="fr-FR"/>
        </w:rPr>
        <w:t> </w:t>
      </w:r>
      <w:r w:rsidR="00E819C1" w:rsidRPr="00F13D2D">
        <w:rPr>
          <w:rFonts w:eastAsia="Calibri"/>
          <w:lang w:val="fr-FR"/>
        </w:rPr>
        <w:t>l’acquisition des équipements médicaux</w:t>
      </w:r>
      <w:r w:rsidR="00FC0832">
        <w:rPr>
          <w:rFonts w:eastAsia="Calibri"/>
          <w:lang w:val="fr-FR"/>
        </w:rPr>
        <w:t> ;</w:t>
      </w:r>
      <w:r w:rsidR="00E819C1" w:rsidRPr="00F13D2D">
        <w:rPr>
          <w:rFonts w:eastAsia="Calibri"/>
          <w:lang w:val="fr-FR"/>
        </w:rPr>
        <w:t xml:space="preserve"> (iv) l’acquisition d</w:t>
      </w:r>
      <w:r w:rsidR="006C160E" w:rsidRPr="00F13D2D">
        <w:rPr>
          <w:rFonts w:eastAsia="Calibri"/>
          <w:lang w:val="fr-FR"/>
        </w:rPr>
        <w:t>’</w:t>
      </w:r>
      <w:r w:rsidR="00E819C1" w:rsidRPr="00F13D2D">
        <w:rPr>
          <w:rFonts w:eastAsia="Calibri"/>
          <w:lang w:val="fr-FR"/>
        </w:rPr>
        <w:t>ambulances et de motos à 4 roues </w:t>
      </w:r>
      <w:r w:rsidR="00FC0832">
        <w:rPr>
          <w:rFonts w:eastAsia="Calibri"/>
          <w:lang w:val="fr-FR"/>
        </w:rPr>
        <w:t>;</w:t>
      </w:r>
      <w:r w:rsidR="00E819C1" w:rsidRPr="00F13D2D">
        <w:rPr>
          <w:rFonts w:eastAsia="Calibri"/>
          <w:lang w:val="fr-FR"/>
        </w:rPr>
        <w:t xml:space="preserve"> (v)le recrutement de 582 unités (médecins et paramédicaux), la formation de 440 paramédicaux, la contractualisation avec 54 personnels médicaux étrangers.</w:t>
      </w:r>
    </w:p>
    <w:p w:rsidR="00E819C1" w:rsidRPr="00F13D2D" w:rsidRDefault="009D354D" w:rsidP="0055270C">
      <w:pPr>
        <w:pStyle w:val="SingleTxtG"/>
        <w:rPr>
          <w:rFonts w:eastAsia="Calibri"/>
          <w:rtl/>
          <w:lang w:val="fr-FR"/>
        </w:rPr>
      </w:pPr>
      <w:r>
        <w:rPr>
          <w:rFonts w:eastAsia="Calibri" w:hint="cs"/>
          <w:rtl/>
          <w:lang w:val="fr-FR"/>
        </w:rPr>
        <w:t>.</w:t>
      </w:r>
      <w:r w:rsidR="0055270C" w:rsidRPr="00F13D2D">
        <w:rPr>
          <w:rFonts w:eastAsia="Calibri"/>
          <w:rtl/>
          <w:lang w:val="fr-FR"/>
        </w:rPr>
        <w:t>1</w:t>
      </w:r>
      <w:r w:rsidR="00BA3FB1">
        <w:rPr>
          <w:rFonts w:eastAsia="Calibri" w:hint="cs"/>
          <w:rtl/>
          <w:lang w:val="fr-FR"/>
        </w:rPr>
        <w:t>0</w:t>
      </w:r>
      <w:r w:rsidR="0055270C" w:rsidRPr="00F13D2D">
        <w:rPr>
          <w:rFonts w:eastAsia="Calibri"/>
          <w:rtl/>
          <w:lang w:val="fr-FR"/>
        </w:rPr>
        <w:tab/>
      </w:r>
      <w:r w:rsidR="00E819C1" w:rsidRPr="00F13D2D">
        <w:rPr>
          <w:rFonts w:eastAsia="Calibri"/>
          <w:lang w:val="fr-FR"/>
        </w:rPr>
        <w:t>La situation des principaux indicateurs de santé se présente comme suit</w:t>
      </w:r>
      <w:r w:rsidR="00FC0832">
        <w:rPr>
          <w:rFonts w:eastAsia="Calibri"/>
          <w:lang w:val="fr-FR"/>
        </w:rPr>
        <w:t> :</w:t>
      </w:r>
      <w:r w:rsidR="00E819C1" w:rsidRPr="00F13D2D">
        <w:rPr>
          <w:rFonts w:eastAsia="Calibri"/>
          <w:lang w:val="fr-FR"/>
        </w:rPr>
        <w:t xml:space="preserve"> (i) la couverture sanitaire est de 74</w:t>
      </w:r>
      <w:r w:rsidR="006348D2">
        <w:rPr>
          <w:rFonts w:eastAsia="Calibri"/>
          <w:lang w:val="fr-FR"/>
        </w:rPr>
        <w:t> %</w:t>
      </w:r>
      <w:r w:rsidR="00E819C1" w:rsidRPr="00F13D2D">
        <w:rPr>
          <w:rFonts w:eastAsia="Calibri"/>
          <w:lang w:val="fr-FR"/>
        </w:rPr>
        <w:t xml:space="preserve"> dans un rayon de 5 km</w:t>
      </w:r>
      <w:r w:rsidR="00FC0832">
        <w:rPr>
          <w:rFonts w:eastAsia="Calibri"/>
          <w:lang w:val="fr-FR"/>
        </w:rPr>
        <w:t> ;</w:t>
      </w:r>
      <w:r w:rsidR="00E819C1" w:rsidRPr="00F13D2D">
        <w:rPr>
          <w:rFonts w:eastAsia="Calibri"/>
          <w:lang w:val="fr-FR"/>
        </w:rPr>
        <w:t xml:space="preserve"> (ii) le taux de mortalité des enfants de moins de 5 ans est de 114 pour 1</w:t>
      </w:r>
      <w:r w:rsidR="002A5875">
        <w:rPr>
          <w:rFonts w:eastAsia="Calibri"/>
          <w:lang w:val="fr-FR"/>
        </w:rPr>
        <w:t> </w:t>
      </w:r>
      <w:r w:rsidR="00E819C1" w:rsidRPr="00F13D2D">
        <w:rPr>
          <w:rFonts w:eastAsia="Calibri"/>
          <w:lang w:val="fr-FR"/>
        </w:rPr>
        <w:t>000 NV</w:t>
      </w:r>
      <w:r w:rsidR="00FC0832">
        <w:rPr>
          <w:rFonts w:eastAsia="Calibri"/>
          <w:lang w:val="fr-FR"/>
        </w:rPr>
        <w:t> ;</w:t>
      </w:r>
      <w:r w:rsidR="00E819C1" w:rsidRPr="00F13D2D">
        <w:rPr>
          <w:rFonts w:eastAsia="Calibri"/>
          <w:lang w:val="fr-FR"/>
        </w:rPr>
        <w:t xml:space="preserve"> (iii) la proportion d’enfants d’un an, vaccinés contre la rougeole a atteint 78</w:t>
      </w:r>
      <w:r w:rsidR="006348D2">
        <w:rPr>
          <w:rFonts w:eastAsia="Calibri"/>
          <w:lang w:val="fr-FR"/>
        </w:rPr>
        <w:t> %</w:t>
      </w:r>
      <w:r w:rsidR="00FC0832">
        <w:rPr>
          <w:rFonts w:eastAsia="Calibri"/>
          <w:lang w:val="fr-FR"/>
        </w:rPr>
        <w:t> ;</w:t>
      </w:r>
      <w:r w:rsidR="00E819C1" w:rsidRPr="00F13D2D">
        <w:rPr>
          <w:rFonts w:eastAsia="Calibri"/>
          <w:lang w:val="fr-FR"/>
        </w:rPr>
        <w:t xml:space="preserve"> (iv) le taux de mortalité maternelle (pour 100</w:t>
      </w:r>
      <w:r w:rsidR="002A5875">
        <w:rPr>
          <w:rFonts w:eastAsia="Calibri"/>
          <w:lang w:val="fr-FR"/>
        </w:rPr>
        <w:t> </w:t>
      </w:r>
      <w:r w:rsidR="00E819C1" w:rsidRPr="00F13D2D">
        <w:rPr>
          <w:rFonts w:eastAsia="Calibri"/>
          <w:lang w:val="fr-FR"/>
        </w:rPr>
        <w:t>000 naissances) est de 585</w:t>
      </w:r>
      <w:r w:rsidR="00FC0832">
        <w:rPr>
          <w:rFonts w:eastAsia="Calibri"/>
          <w:lang w:val="fr-FR"/>
        </w:rPr>
        <w:t> ;</w:t>
      </w:r>
      <w:r w:rsidR="00E819C1" w:rsidRPr="00F13D2D">
        <w:rPr>
          <w:rFonts w:eastAsia="Calibri"/>
          <w:lang w:val="fr-FR"/>
        </w:rPr>
        <w:t xml:space="preserve"> (v) le taux de contraception est de 11</w:t>
      </w:r>
      <w:r w:rsidR="004F2AF9">
        <w:rPr>
          <w:rFonts w:eastAsia="Calibri"/>
          <w:lang w:val="fr-FR"/>
        </w:rPr>
        <w:t>,</w:t>
      </w:r>
      <w:r w:rsidR="00E819C1" w:rsidRPr="00F13D2D">
        <w:rPr>
          <w:rFonts w:eastAsia="Calibri"/>
          <w:lang w:val="fr-FR"/>
        </w:rPr>
        <w:t>4</w:t>
      </w:r>
      <w:r w:rsidR="006348D2">
        <w:rPr>
          <w:rFonts w:eastAsia="Calibri"/>
          <w:lang w:val="fr-FR"/>
        </w:rPr>
        <w:t> %</w:t>
      </w:r>
      <w:r w:rsidR="00FC0832">
        <w:rPr>
          <w:rFonts w:eastAsia="Calibri"/>
          <w:lang w:val="fr-FR"/>
        </w:rPr>
        <w:t> ;</w:t>
      </w:r>
      <w:r w:rsidR="00E819C1" w:rsidRPr="00F13D2D">
        <w:rPr>
          <w:rFonts w:eastAsia="Calibri"/>
          <w:lang w:val="fr-FR"/>
        </w:rPr>
        <w:t xml:space="preserve"> (vi) la prévalence VIH/</w:t>
      </w:r>
      <w:r w:rsidR="00980831" w:rsidRPr="00F13D2D">
        <w:rPr>
          <w:rFonts w:eastAsia="Calibri"/>
          <w:lang w:val="fr-FR"/>
        </w:rPr>
        <w:t xml:space="preserve">sida </w:t>
      </w:r>
      <w:r w:rsidR="00E819C1" w:rsidRPr="00F13D2D">
        <w:rPr>
          <w:rFonts w:eastAsia="Calibri"/>
          <w:lang w:val="fr-FR"/>
        </w:rPr>
        <w:t>chez les 15 à 24 ans est de 0.7</w:t>
      </w:r>
      <w:r w:rsidR="006348D2">
        <w:rPr>
          <w:rFonts w:eastAsia="Calibri"/>
          <w:lang w:val="fr-FR"/>
        </w:rPr>
        <w:t> %</w:t>
      </w:r>
      <w:r w:rsidR="00E819C1" w:rsidRPr="00F13D2D">
        <w:rPr>
          <w:rFonts w:eastAsia="Calibri"/>
          <w:lang w:val="fr-FR"/>
        </w:rPr>
        <w:t>, maintenue à un niveau inférieur à 1</w:t>
      </w:r>
      <w:r w:rsidR="006348D2">
        <w:rPr>
          <w:rFonts w:eastAsia="Calibri"/>
          <w:lang w:val="fr-FR"/>
        </w:rPr>
        <w:t> %</w:t>
      </w:r>
      <w:r w:rsidR="00FC0832">
        <w:rPr>
          <w:rFonts w:eastAsia="Calibri"/>
          <w:lang w:val="fr-FR"/>
        </w:rPr>
        <w:t> ;</w:t>
      </w:r>
      <w:r w:rsidR="00E819C1" w:rsidRPr="00F13D2D">
        <w:rPr>
          <w:rFonts w:eastAsia="Calibri"/>
          <w:lang w:val="fr-FR"/>
        </w:rPr>
        <w:t xml:space="preserve"> et (vii) le nombre de décès parmi les enfants de moins de 5 </w:t>
      </w:r>
      <w:r w:rsidR="00AF733B">
        <w:rPr>
          <w:rFonts w:eastAsia="Calibri"/>
          <w:lang w:val="fr-FR"/>
        </w:rPr>
        <w:t>ans, dus au paludisme, est de 5,</w:t>
      </w:r>
      <w:r w:rsidR="00E819C1" w:rsidRPr="00F13D2D">
        <w:rPr>
          <w:rFonts w:eastAsia="Calibri"/>
          <w:lang w:val="fr-FR"/>
        </w:rPr>
        <w:t>1</w:t>
      </w:r>
      <w:r w:rsidR="006348D2">
        <w:rPr>
          <w:rFonts w:eastAsia="Calibri"/>
          <w:lang w:val="fr-FR"/>
        </w:rPr>
        <w:t> %</w:t>
      </w:r>
      <w:r w:rsidR="00E819C1" w:rsidRPr="00F13D2D">
        <w:rPr>
          <w:rFonts w:eastAsia="Calibri"/>
          <w:lang w:val="fr-FR"/>
        </w:rPr>
        <w:t xml:space="preserve">. </w:t>
      </w:r>
    </w:p>
    <w:p w:rsidR="00E819C1" w:rsidRPr="00F13D2D" w:rsidRDefault="0055270C" w:rsidP="0055270C">
      <w:pPr>
        <w:pStyle w:val="SingleTxtG"/>
        <w:rPr>
          <w:rFonts w:eastAsia="Calibri"/>
          <w:lang w:val="fr-FR"/>
        </w:rPr>
      </w:pPr>
      <w:r w:rsidRPr="00F13D2D">
        <w:rPr>
          <w:rFonts w:eastAsia="Calibri"/>
          <w:lang w:val="fr-FR"/>
        </w:rPr>
        <w:t>11.</w:t>
      </w:r>
      <w:r w:rsidRPr="00F13D2D">
        <w:rPr>
          <w:rFonts w:eastAsia="Calibri"/>
          <w:lang w:val="fr-FR"/>
        </w:rPr>
        <w:tab/>
      </w:r>
      <w:r w:rsidR="00E819C1" w:rsidRPr="00F13D2D">
        <w:rPr>
          <w:rFonts w:eastAsia="Calibri"/>
          <w:lang w:val="fr-FR"/>
        </w:rPr>
        <w:t>En matière d’accès à l’eau potable, les infrastructures réalisées en 2013 et en cours d’exécution permettent à 58</w:t>
      </w:r>
      <w:r w:rsidR="006348D2">
        <w:rPr>
          <w:rFonts w:eastAsia="Calibri"/>
          <w:lang w:val="fr-FR"/>
        </w:rPr>
        <w:t> %</w:t>
      </w:r>
      <w:r w:rsidR="00E819C1" w:rsidRPr="00F13D2D">
        <w:rPr>
          <w:rFonts w:eastAsia="Calibri"/>
          <w:lang w:val="fr-FR"/>
        </w:rPr>
        <w:t xml:space="preserve"> de la population un accès à une source d’eau potable améliorée, avec 48</w:t>
      </w:r>
      <w:r w:rsidR="006348D2">
        <w:rPr>
          <w:rFonts w:eastAsia="Calibri"/>
          <w:lang w:val="fr-FR"/>
        </w:rPr>
        <w:t> %</w:t>
      </w:r>
      <w:r w:rsidR="00E819C1" w:rsidRPr="00F13D2D">
        <w:rPr>
          <w:rFonts w:eastAsia="Calibri"/>
          <w:lang w:val="fr-FR"/>
        </w:rPr>
        <w:t xml:space="preserve"> en zone rurale et 60</w:t>
      </w:r>
      <w:r w:rsidR="006348D2">
        <w:rPr>
          <w:rFonts w:eastAsia="Calibri"/>
          <w:lang w:val="fr-FR"/>
        </w:rPr>
        <w:t> %</w:t>
      </w:r>
      <w:r w:rsidR="00E819C1" w:rsidRPr="00F13D2D">
        <w:rPr>
          <w:rFonts w:eastAsia="Calibri"/>
          <w:lang w:val="fr-FR"/>
        </w:rPr>
        <w:t xml:space="preserve"> en zone urbaine. Dans le cadre de l’assainissement, les réalisations ont permis de faire passer le taux d’accès des populations à un assainissement amélioré de 22</w:t>
      </w:r>
      <w:r w:rsidR="006348D2">
        <w:rPr>
          <w:rFonts w:eastAsia="Calibri"/>
          <w:lang w:val="fr-FR"/>
        </w:rPr>
        <w:t> %</w:t>
      </w:r>
      <w:r w:rsidR="00E819C1" w:rsidRPr="00F13D2D">
        <w:rPr>
          <w:rFonts w:eastAsia="Calibri"/>
          <w:lang w:val="fr-FR"/>
        </w:rPr>
        <w:t xml:space="preserve"> en 2010 à 34,5</w:t>
      </w:r>
      <w:r w:rsidR="006348D2">
        <w:rPr>
          <w:rFonts w:eastAsia="Calibri"/>
          <w:lang w:val="fr-FR"/>
        </w:rPr>
        <w:t> %</w:t>
      </w:r>
      <w:r w:rsidR="00E819C1" w:rsidRPr="00F13D2D">
        <w:rPr>
          <w:rFonts w:eastAsia="Calibri"/>
          <w:lang w:val="fr-FR"/>
        </w:rPr>
        <w:t xml:space="preserve"> en 2013. </w:t>
      </w:r>
    </w:p>
    <w:p w:rsidR="00E819C1" w:rsidRPr="00F13D2D" w:rsidRDefault="0055270C" w:rsidP="0055270C">
      <w:pPr>
        <w:pStyle w:val="SingleTxtG"/>
        <w:rPr>
          <w:rFonts w:eastAsia="Calibri"/>
          <w:lang w:val="fr-FR"/>
        </w:rPr>
      </w:pPr>
      <w:r w:rsidRPr="00F13D2D">
        <w:rPr>
          <w:rFonts w:eastAsia="Calibri"/>
          <w:lang w:val="fr-FR"/>
        </w:rPr>
        <w:t>12.</w:t>
      </w:r>
      <w:r w:rsidRPr="00F13D2D">
        <w:rPr>
          <w:rFonts w:eastAsia="Calibri"/>
          <w:lang w:val="fr-FR"/>
        </w:rPr>
        <w:tab/>
      </w:r>
      <w:r w:rsidR="00E819C1" w:rsidRPr="00F13D2D">
        <w:rPr>
          <w:rFonts w:eastAsia="Calibri"/>
          <w:lang w:val="fr-FR"/>
        </w:rPr>
        <w:t>En matière d</w:t>
      </w:r>
      <w:r w:rsidR="006C160E" w:rsidRPr="00F13D2D">
        <w:rPr>
          <w:rFonts w:eastAsia="Calibri"/>
          <w:lang w:val="fr-FR"/>
        </w:rPr>
        <w:t>’</w:t>
      </w:r>
      <w:r w:rsidR="00E819C1" w:rsidRPr="00F13D2D">
        <w:rPr>
          <w:rFonts w:eastAsia="Calibri"/>
          <w:lang w:val="fr-FR"/>
        </w:rPr>
        <w:t>accès universel aux services de base, le démarrage de projets d’électrification par kits solaires et d</w:t>
      </w:r>
      <w:r w:rsidR="006C160E" w:rsidRPr="00F13D2D">
        <w:rPr>
          <w:rFonts w:eastAsia="Calibri"/>
          <w:lang w:val="fr-FR"/>
        </w:rPr>
        <w:t>’</w:t>
      </w:r>
      <w:r w:rsidR="00E819C1" w:rsidRPr="00F13D2D">
        <w:rPr>
          <w:rFonts w:eastAsia="Calibri"/>
          <w:lang w:val="fr-FR"/>
        </w:rPr>
        <w:t>énergie renouvelable ont permis d</w:t>
      </w:r>
      <w:r w:rsidR="006C160E" w:rsidRPr="00F13D2D">
        <w:rPr>
          <w:rFonts w:eastAsia="Calibri"/>
          <w:lang w:val="fr-FR"/>
        </w:rPr>
        <w:t>’</w:t>
      </w:r>
      <w:r w:rsidR="00E819C1" w:rsidRPr="00F13D2D">
        <w:rPr>
          <w:rFonts w:eastAsia="Calibri"/>
          <w:lang w:val="fr-FR"/>
        </w:rPr>
        <w:t>améliorer sensiblement l</w:t>
      </w:r>
      <w:r w:rsidR="006C160E" w:rsidRPr="00F13D2D">
        <w:rPr>
          <w:rFonts w:eastAsia="Calibri"/>
          <w:lang w:val="fr-FR"/>
        </w:rPr>
        <w:t>’</w:t>
      </w:r>
      <w:r w:rsidR="00E819C1" w:rsidRPr="00F13D2D">
        <w:rPr>
          <w:rFonts w:eastAsia="Calibri"/>
          <w:lang w:val="fr-FR"/>
        </w:rPr>
        <w:t xml:space="preserve">accès à ces services. </w:t>
      </w:r>
    </w:p>
    <w:p w:rsidR="00E819C1" w:rsidRPr="00F13D2D" w:rsidRDefault="0055270C" w:rsidP="0055270C">
      <w:pPr>
        <w:pStyle w:val="SingleTxtG"/>
        <w:rPr>
          <w:rFonts w:eastAsia="Calibri"/>
          <w:lang w:val="fr-FR"/>
        </w:rPr>
      </w:pPr>
      <w:r w:rsidRPr="00F13D2D">
        <w:rPr>
          <w:rFonts w:eastAsia="Calibri"/>
          <w:lang w:val="fr-FR"/>
        </w:rPr>
        <w:t>13.</w:t>
      </w:r>
      <w:r w:rsidRPr="00F13D2D">
        <w:rPr>
          <w:rFonts w:eastAsia="Calibri"/>
          <w:lang w:val="fr-FR"/>
        </w:rPr>
        <w:tab/>
      </w:r>
      <w:r w:rsidR="00E819C1" w:rsidRPr="00F13D2D">
        <w:rPr>
          <w:rFonts w:eastAsia="Calibri"/>
          <w:lang w:val="fr-FR"/>
        </w:rPr>
        <w:t>Au terme du CSLP,</w:t>
      </w:r>
      <w:r w:rsidR="006C160E" w:rsidRPr="00F13D2D">
        <w:rPr>
          <w:rFonts w:eastAsia="Calibri"/>
          <w:lang w:val="fr-FR"/>
        </w:rPr>
        <w:t xml:space="preserve"> </w:t>
      </w:r>
      <w:r w:rsidR="00E819C1" w:rsidRPr="00F13D2D">
        <w:rPr>
          <w:rFonts w:eastAsia="Calibri"/>
          <w:lang w:val="fr-FR"/>
        </w:rPr>
        <w:t>le Gouvernement a décidé la mise en place d</w:t>
      </w:r>
      <w:r w:rsidR="006C160E" w:rsidRPr="00F13D2D">
        <w:rPr>
          <w:rFonts w:eastAsia="Calibri"/>
          <w:lang w:val="fr-FR"/>
        </w:rPr>
        <w:t>’</w:t>
      </w:r>
      <w:r w:rsidR="00E819C1" w:rsidRPr="00F13D2D">
        <w:rPr>
          <w:rFonts w:eastAsia="Calibri"/>
          <w:lang w:val="fr-FR"/>
        </w:rPr>
        <w:t>une nouvelle stratégie de croissance</w:t>
      </w:r>
      <w:r w:rsidR="006C160E" w:rsidRPr="00F13D2D">
        <w:rPr>
          <w:rFonts w:eastAsia="Calibri"/>
          <w:lang w:val="fr-FR"/>
        </w:rPr>
        <w:t xml:space="preserve"> </w:t>
      </w:r>
      <w:r w:rsidR="00E819C1" w:rsidRPr="00F13D2D">
        <w:rPr>
          <w:rFonts w:eastAsia="Calibri"/>
          <w:lang w:val="fr-FR"/>
        </w:rPr>
        <w:t>accélérée et</w:t>
      </w:r>
      <w:r w:rsidR="006C160E" w:rsidRPr="00F13D2D">
        <w:rPr>
          <w:rFonts w:eastAsia="Calibri"/>
          <w:lang w:val="fr-FR"/>
        </w:rPr>
        <w:t xml:space="preserve"> </w:t>
      </w:r>
      <w:r w:rsidR="00E819C1" w:rsidRPr="00F13D2D">
        <w:rPr>
          <w:rFonts w:eastAsia="Calibri"/>
          <w:lang w:val="fr-FR"/>
        </w:rPr>
        <w:t>de prospérité partagée (SCAPP) pour la période 2015-2030. Cette stratégie vise, entre autres, à favoriser une croissance économique diversifiée, inclusive verte et durable, réductrice des inégalités et orientée vers la création d</w:t>
      </w:r>
      <w:r w:rsidR="006C160E" w:rsidRPr="00F13D2D">
        <w:rPr>
          <w:rFonts w:eastAsia="Calibri"/>
          <w:lang w:val="fr-FR"/>
        </w:rPr>
        <w:t>’</w:t>
      </w:r>
      <w:r w:rsidR="00E819C1" w:rsidRPr="00F13D2D">
        <w:rPr>
          <w:rFonts w:eastAsia="Calibri"/>
          <w:lang w:val="fr-FR"/>
        </w:rPr>
        <w:t>emploi. Elle vise également à</w:t>
      </w:r>
      <w:r w:rsidR="006C160E" w:rsidRPr="00F13D2D">
        <w:rPr>
          <w:rFonts w:eastAsia="Calibri"/>
          <w:lang w:val="fr-FR"/>
        </w:rPr>
        <w:t xml:space="preserve"> </w:t>
      </w:r>
      <w:r w:rsidR="00E819C1" w:rsidRPr="00F13D2D">
        <w:rPr>
          <w:rFonts w:eastAsia="Calibri"/>
          <w:lang w:val="fr-FR"/>
        </w:rPr>
        <w:t>lutter contre le chômage à renforcer la</w:t>
      </w:r>
      <w:r w:rsidR="006C160E" w:rsidRPr="00F13D2D">
        <w:rPr>
          <w:rFonts w:eastAsia="Calibri"/>
          <w:lang w:val="fr-FR"/>
        </w:rPr>
        <w:t xml:space="preserve"> </w:t>
      </w:r>
      <w:r w:rsidR="00E819C1" w:rsidRPr="00F13D2D">
        <w:rPr>
          <w:rFonts w:eastAsia="Calibri"/>
          <w:lang w:val="fr-FR"/>
        </w:rPr>
        <w:t>résilience et à</w:t>
      </w:r>
      <w:r w:rsidR="006C160E" w:rsidRPr="00F13D2D">
        <w:rPr>
          <w:rFonts w:eastAsia="Calibri"/>
          <w:lang w:val="fr-FR"/>
        </w:rPr>
        <w:t xml:space="preserve"> </w:t>
      </w:r>
      <w:r w:rsidR="00E819C1" w:rsidRPr="00F13D2D">
        <w:rPr>
          <w:rFonts w:eastAsia="Calibri"/>
          <w:lang w:val="fr-FR"/>
        </w:rPr>
        <w:t>partager équitablement la prospérité.</w:t>
      </w:r>
    </w:p>
    <w:p w:rsidR="00E819C1" w:rsidRPr="00F13D2D" w:rsidRDefault="0055270C" w:rsidP="0055270C">
      <w:pPr>
        <w:pStyle w:val="SingleTxtG"/>
        <w:rPr>
          <w:rFonts w:eastAsia="Calibri"/>
          <w:lang w:val="fr-FR"/>
        </w:rPr>
      </w:pPr>
      <w:r w:rsidRPr="00F13D2D">
        <w:rPr>
          <w:rFonts w:eastAsia="Calibri"/>
          <w:lang w:val="fr-FR"/>
        </w:rPr>
        <w:lastRenderedPageBreak/>
        <w:t>14.</w:t>
      </w:r>
      <w:r w:rsidRPr="00F13D2D">
        <w:rPr>
          <w:rFonts w:eastAsia="Calibri"/>
          <w:lang w:val="fr-FR"/>
        </w:rPr>
        <w:tab/>
      </w:r>
      <w:r w:rsidR="00E819C1" w:rsidRPr="00F13D2D">
        <w:rPr>
          <w:rFonts w:eastAsia="Calibri"/>
          <w:lang w:val="fr-FR"/>
        </w:rPr>
        <w:t>Le Gouvernement a renforcé la gouvernance politique et démocratique, à travers</w:t>
      </w:r>
      <w:r w:rsidR="00FC0832">
        <w:rPr>
          <w:rFonts w:eastAsia="Calibri"/>
          <w:lang w:val="fr-FR"/>
        </w:rPr>
        <w:t> :</w:t>
      </w:r>
      <w:r w:rsidR="00E819C1" w:rsidRPr="00F13D2D">
        <w:rPr>
          <w:rFonts w:eastAsia="Calibri"/>
          <w:lang w:val="fr-FR"/>
        </w:rPr>
        <w:t xml:space="preserve"> (i)</w:t>
      </w:r>
      <w:r w:rsidR="004F2AF9">
        <w:rPr>
          <w:rFonts w:eastAsia="Calibri"/>
          <w:lang w:val="fr-FR"/>
        </w:rPr>
        <w:t> </w:t>
      </w:r>
      <w:r w:rsidR="00E819C1" w:rsidRPr="00F13D2D">
        <w:rPr>
          <w:rFonts w:eastAsia="Calibri"/>
          <w:lang w:val="fr-FR"/>
        </w:rPr>
        <w:t>la mise en place d</w:t>
      </w:r>
      <w:r w:rsidR="006C160E" w:rsidRPr="00F13D2D">
        <w:rPr>
          <w:rFonts w:eastAsia="Calibri"/>
          <w:lang w:val="fr-FR"/>
        </w:rPr>
        <w:t>’</w:t>
      </w:r>
      <w:r w:rsidR="00E819C1" w:rsidRPr="00F13D2D">
        <w:rPr>
          <w:rFonts w:eastAsia="Calibri"/>
          <w:lang w:val="fr-FR"/>
        </w:rPr>
        <w:t xml:space="preserve">une Commission </w:t>
      </w:r>
      <w:proofErr w:type="spellStart"/>
      <w:r w:rsidR="00E819C1" w:rsidRPr="00F13D2D">
        <w:rPr>
          <w:rFonts w:eastAsia="Calibri"/>
          <w:lang w:val="fr-FR"/>
        </w:rPr>
        <w:t>Electorale</w:t>
      </w:r>
      <w:proofErr w:type="spellEnd"/>
      <w:r w:rsidR="00E819C1" w:rsidRPr="00F13D2D">
        <w:rPr>
          <w:rFonts w:eastAsia="Calibri"/>
          <w:lang w:val="fr-FR"/>
        </w:rPr>
        <w:t xml:space="preserve"> Nationale Indépendante, (ii)</w:t>
      </w:r>
      <w:r w:rsidR="004F2AF9">
        <w:rPr>
          <w:rFonts w:eastAsia="Calibri"/>
          <w:lang w:val="fr-FR"/>
        </w:rPr>
        <w:t> </w:t>
      </w:r>
      <w:r w:rsidR="00E819C1" w:rsidRPr="00F13D2D">
        <w:rPr>
          <w:rFonts w:eastAsia="Calibri"/>
          <w:lang w:val="fr-FR"/>
        </w:rPr>
        <w:t>l</w:t>
      </w:r>
      <w:r w:rsidR="006C160E" w:rsidRPr="00F13D2D">
        <w:rPr>
          <w:rFonts w:eastAsia="Calibri"/>
          <w:lang w:val="fr-FR"/>
        </w:rPr>
        <w:t>’</w:t>
      </w:r>
      <w:r w:rsidR="00E819C1" w:rsidRPr="00F13D2D">
        <w:rPr>
          <w:rFonts w:eastAsia="Calibri"/>
          <w:lang w:val="fr-FR"/>
        </w:rPr>
        <w:t xml:space="preserve">organisation d’élections législatives et municipales libres et transparentes. </w:t>
      </w:r>
    </w:p>
    <w:p w:rsidR="00E819C1" w:rsidRPr="00F13D2D" w:rsidRDefault="00E819C1" w:rsidP="00E819C1">
      <w:pPr>
        <w:pStyle w:val="H1G"/>
      </w:pPr>
      <w:bookmarkStart w:id="12" w:name="_Toc453672859"/>
      <w:bookmarkStart w:id="13" w:name="_Toc454388698"/>
      <w:r w:rsidRPr="00F13D2D">
        <w:tab/>
        <w:t>B.</w:t>
      </w:r>
      <w:r w:rsidRPr="00F13D2D">
        <w:tab/>
        <w:t>Structures constitutionnelles et judiciaires</w:t>
      </w:r>
      <w:bookmarkEnd w:id="12"/>
      <w:bookmarkEnd w:id="13"/>
    </w:p>
    <w:p w:rsidR="00E819C1" w:rsidRPr="00F13D2D" w:rsidRDefault="00E819C1" w:rsidP="00E819C1">
      <w:pPr>
        <w:pStyle w:val="H23G"/>
      </w:pPr>
      <w:bookmarkStart w:id="14" w:name="_Toc453672860"/>
      <w:bookmarkStart w:id="15" w:name="_Toc454388699"/>
      <w:r w:rsidRPr="00F13D2D">
        <w:tab/>
        <w:t>1.</w:t>
      </w:r>
      <w:r w:rsidRPr="00F13D2D">
        <w:tab/>
        <w:t>Structures constitutionnelles</w:t>
      </w:r>
      <w:bookmarkEnd w:id="14"/>
      <w:bookmarkEnd w:id="15"/>
    </w:p>
    <w:p w:rsidR="00E819C1" w:rsidRPr="00F13D2D" w:rsidRDefault="0055270C" w:rsidP="0055270C">
      <w:pPr>
        <w:pStyle w:val="SingleTxtG"/>
        <w:rPr>
          <w:rFonts w:eastAsia="Calibri"/>
          <w:lang w:val="fr-FR"/>
        </w:rPr>
      </w:pPr>
      <w:r w:rsidRPr="00F13D2D">
        <w:rPr>
          <w:rFonts w:eastAsia="Calibri"/>
          <w:lang w:val="fr-FR"/>
        </w:rPr>
        <w:t>15.</w:t>
      </w:r>
      <w:r w:rsidRPr="00F13D2D">
        <w:rPr>
          <w:rFonts w:eastAsia="Calibri"/>
          <w:lang w:val="fr-FR"/>
        </w:rPr>
        <w:tab/>
      </w:r>
      <w:r w:rsidR="00E819C1" w:rsidRPr="00F13D2D">
        <w:rPr>
          <w:rFonts w:eastAsia="Calibri"/>
          <w:lang w:val="fr-FR"/>
        </w:rPr>
        <w:t xml:space="preserve">La </w:t>
      </w:r>
      <w:r w:rsidR="00400D35" w:rsidRPr="00F13D2D">
        <w:rPr>
          <w:rFonts w:eastAsia="Calibri"/>
          <w:lang w:val="fr-FR"/>
        </w:rPr>
        <w:t xml:space="preserve">Constitution </w:t>
      </w:r>
      <w:r w:rsidR="00E819C1" w:rsidRPr="00F13D2D">
        <w:rPr>
          <w:rFonts w:eastAsia="Calibri"/>
          <w:lang w:val="fr-FR"/>
        </w:rPr>
        <w:t>du 20 juillet 1991, modifiée en 2006 et en 2012 a mis en place plusieurs institutions,</w:t>
      </w:r>
      <w:r w:rsidR="006C160E" w:rsidRPr="00F13D2D">
        <w:rPr>
          <w:rFonts w:eastAsia="Calibri"/>
          <w:lang w:val="fr-FR"/>
        </w:rPr>
        <w:t xml:space="preserve"> </w:t>
      </w:r>
      <w:r w:rsidR="00E819C1" w:rsidRPr="00F13D2D">
        <w:rPr>
          <w:rFonts w:eastAsia="Calibri"/>
          <w:lang w:val="fr-FR"/>
        </w:rPr>
        <w:t xml:space="preserve">notamment le Conseil Constitutionnel, le Conseil </w:t>
      </w:r>
      <w:proofErr w:type="spellStart"/>
      <w:r w:rsidR="00E819C1" w:rsidRPr="00F13D2D">
        <w:rPr>
          <w:rFonts w:eastAsia="Calibri"/>
          <w:lang w:val="fr-FR"/>
        </w:rPr>
        <w:t>Economique</w:t>
      </w:r>
      <w:proofErr w:type="spellEnd"/>
      <w:r w:rsidR="00E819C1" w:rsidRPr="00F13D2D">
        <w:rPr>
          <w:rFonts w:eastAsia="Calibri"/>
          <w:lang w:val="fr-FR"/>
        </w:rPr>
        <w:t xml:space="preserve"> et Social, la Cour des Comptes</w:t>
      </w:r>
      <w:r w:rsidR="00FC0832">
        <w:rPr>
          <w:rFonts w:eastAsia="Calibri"/>
          <w:lang w:val="fr-FR"/>
        </w:rPr>
        <w:t> ;</w:t>
      </w:r>
      <w:r w:rsidR="00E819C1" w:rsidRPr="00F13D2D">
        <w:rPr>
          <w:rFonts w:eastAsia="Calibri"/>
          <w:lang w:val="fr-FR"/>
        </w:rPr>
        <w:t xml:space="preserve"> le Haut Conseil Islamique, la Commission Nationale des </w:t>
      </w:r>
      <w:r w:rsidR="00D9438A">
        <w:rPr>
          <w:rFonts w:eastAsia="Calibri"/>
          <w:lang w:val="fr-FR"/>
        </w:rPr>
        <w:t>d</w:t>
      </w:r>
      <w:r w:rsidR="00E819C1" w:rsidRPr="00F13D2D">
        <w:rPr>
          <w:rFonts w:eastAsia="Calibri"/>
          <w:lang w:val="fr-FR"/>
        </w:rPr>
        <w:t>roits de l’homme</w:t>
      </w:r>
      <w:r w:rsidR="00D9438A">
        <w:rPr>
          <w:rFonts w:eastAsia="Calibri"/>
          <w:lang w:val="fr-FR"/>
        </w:rPr>
        <w:t xml:space="preserve">, </w:t>
      </w:r>
      <w:r w:rsidR="00E819C1" w:rsidRPr="00F13D2D">
        <w:rPr>
          <w:rFonts w:eastAsia="Calibri"/>
          <w:lang w:val="fr-FR"/>
        </w:rPr>
        <w:t xml:space="preserve">… </w:t>
      </w:r>
    </w:p>
    <w:p w:rsidR="00E819C1" w:rsidRPr="00F13D2D" w:rsidRDefault="0055270C" w:rsidP="0055270C">
      <w:pPr>
        <w:pStyle w:val="SingleTxtG"/>
        <w:rPr>
          <w:rFonts w:eastAsia="Calibri"/>
          <w:lang w:val="fr-FR"/>
        </w:rPr>
      </w:pPr>
      <w:r w:rsidRPr="00F13D2D">
        <w:rPr>
          <w:rFonts w:eastAsia="Calibri"/>
          <w:lang w:val="fr-FR"/>
        </w:rPr>
        <w:t>16.</w:t>
      </w:r>
      <w:r w:rsidRPr="00F13D2D">
        <w:rPr>
          <w:rFonts w:eastAsia="Calibri"/>
          <w:lang w:val="fr-FR"/>
        </w:rPr>
        <w:tab/>
      </w:r>
      <w:r w:rsidR="00E819C1" w:rsidRPr="00F13D2D">
        <w:rPr>
          <w:rFonts w:eastAsia="Calibri"/>
          <w:lang w:val="fr-FR"/>
        </w:rPr>
        <w:t>L’article 1</w:t>
      </w:r>
      <w:r w:rsidR="00E819C1" w:rsidRPr="003B13CC">
        <w:rPr>
          <w:rFonts w:eastAsia="Calibri"/>
          <w:vertAlign w:val="superscript"/>
          <w:lang w:val="fr-FR"/>
        </w:rPr>
        <w:t>er</w:t>
      </w:r>
      <w:r w:rsidR="003B13CC">
        <w:rPr>
          <w:rFonts w:eastAsia="Calibri"/>
          <w:lang w:val="fr-FR"/>
        </w:rPr>
        <w:t xml:space="preserve"> </w:t>
      </w:r>
      <w:r w:rsidR="00E819C1" w:rsidRPr="00F13D2D">
        <w:rPr>
          <w:rFonts w:eastAsia="Calibri"/>
          <w:lang w:val="fr-FR"/>
        </w:rPr>
        <w:t>de</w:t>
      </w:r>
      <w:r w:rsidR="003B13CC">
        <w:rPr>
          <w:rFonts w:eastAsia="Calibri"/>
          <w:lang w:val="fr-FR"/>
        </w:rPr>
        <w:t xml:space="preserve"> la Constitution </w:t>
      </w:r>
      <w:r w:rsidR="00E819C1" w:rsidRPr="00F13D2D">
        <w:rPr>
          <w:rFonts w:eastAsia="Calibri"/>
          <w:lang w:val="fr-FR"/>
        </w:rPr>
        <w:t>dispose</w:t>
      </w:r>
      <w:r w:rsidR="00FC0832">
        <w:rPr>
          <w:rFonts w:eastAsia="Calibri"/>
          <w:lang w:val="fr-FR"/>
        </w:rPr>
        <w:t> :</w:t>
      </w:r>
      <w:r w:rsidR="00E819C1" w:rsidRPr="00F13D2D">
        <w:rPr>
          <w:rFonts w:eastAsia="Calibri"/>
          <w:lang w:val="fr-FR"/>
        </w:rPr>
        <w:t> « La Mauritanie est une République islamique, indivisible, démocratique et sociale.</w:t>
      </w:r>
      <w:r w:rsidR="006C160E" w:rsidRPr="00F13D2D">
        <w:rPr>
          <w:rFonts w:eastAsia="Calibri"/>
          <w:lang w:val="fr-FR"/>
        </w:rPr>
        <w:t xml:space="preserve"> </w:t>
      </w:r>
      <w:r w:rsidR="00E819C1" w:rsidRPr="00F13D2D">
        <w:rPr>
          <w:rFonts w:eastAsia="Calibri"/>
          <w:lang w:val="fr-FR"/>
        </w:rPr>
        <w:t>La République</w:t>
      </w:r>
      <w:r w:rsidR="006C160E" w:rsidRPr="00F13D2D">
        <w:rPr>
          <w:rFonts w:eastAsia="Calibri"/>
          <w:lang w:val="fr-FR"/>
        </w:rPr>
        <w:t xml:space="preserve"> </w:t>
      </w:r>
      <w:r w:rsidR="00E819C1" w:rsidRPr="00F13D2D">
        <w:rPr>
          <w:rFonts w:eastAsia="Calibri"/>
          <w:lang w:val="fr-FR"/>
        </w:rPr>
        <w:t>assure</w:t>
      </w:r>
      <w:r w:rsidR="006C160E" w:rsidRPr="00F13D2D">
        <w:rPr>
          <w:rFonts w:eastAsia="Calibri"/>
          <w:lang w:val="fr-FR"/>
        </w:rPr>
        <w:t xml:space="preserve"> </w:t>
      </w:r>
      <w:r w:rsidR="00E819C1" w:rsidRPr="00F13D2D">
        <w:rPr>
          <w:rFonts w:eastAsia="Calibri"/>
          <w:lang w:val="fr-FR"/>
        </w:rPr>
        <w:t>à tous les citoyens sans distinction d’origine, de race, de sexe ou de condition sociale l’égalité devant la loi ». L’article 3 consacre le principe de la démocratie</w:t>
      </w:r>
      <w:r w:rsidR="00FC0832">
        <w:rPr>
          <w:rFonts w:eastAsia="Calibri"/>
          <w:lang w:val="fr-FR"/>
        </w:rPr>
        <w:t> :</w:t>
      </w:r>
      <w:r w:rsidR="00E819C1" w:rsidRPr="00F13D2D">
        <w:rPr>
          <w:rFonts w:eastAsia="Calibri"/>
          <w:lang w:val="fr-FR"/>
        </w:rPr>
        <w:t xml:space="preserve"> «</w:t>
      </w:r>
      <w:r w:rsidR="004F2AF9">
        <w:rPr>
          <w:rFonts w:eastAsia="Calibri"/>
          <w:lang w:val="fr-FR"/>
        </w:rPr>
        <w:t> </w:t>
      </w:r>
      <w:r w:rsidR="003B13CC">
        <w:rPr>
          <w:rFonts w:eastAsia="Calibri"/>
          <w:lang w:val="fr-FR"/>
        </w:rPr>
        <w:t>L</w:t>
      </w:r>
      <w:r w:rsidR="00E819C1" w:rsidRPr="00F13D2D">
        <w:rPr>
          <w:rFonts w:eastAsia="Calibri"/>
          <w:lang w:val="fr-FR"/>
        </w:rPr>
        <w:t xml:space="preserve">a souveraineté appartient au peuple qui l’exerce par ses représentants ou par voie de </w:t>
      </w:r>
      <w:proofErr w:type="spellStart"/>
      <w:r w:rsidR="00E819C1" w:rsidRPr="00F13D2D">
        <w:rPr>
          <w:rFonts w:eastAsia="Calibri"/>
          <w:lang w:val="fr-FR"/>
        </w:rPr>
        <w:t>référendum</w:t>
      </w:r>
      <w:proofErr w:type="spellEnd"/>
      <w:r w:rsidR="004F2AF9">
        <w:rPr>
          <w:rFonts w:eastAsia="Calibri"/>
          <w:lang w:val="fr-FR"/>
        </w:rPr>
        <w:t> </w:t>
      </w:r>
      <w:r w:rsidR="00E819C1" w:rsidRPr="00F13D2D">
        <w:rPr>
          <w:rFonts w:eastAsia="Calibri"/>
          <w:lang w:val="fr-FR"/>
        </w:rPr>
        <w:t xml:space="preserve">». </w:t>
      </w:r>
    </w:p>
    <w:p w:rsidR="00E819C1" w:rsidRPr="00F13D2D" w:rsidRDefault="0055270C" w:rsidP="0055270C">
      <w:pPr>
        <w:pStyle w:val="SingleTxtG"/>
        <w:rPr>
          <w:rFonts w:eastAsia="Calibri"/>
          <w:lang w:val="fr-FR"/>
        </w:rPr>
      </w:pPr>
      <w:r w:rsidRPr="00F13D2D">
        <w:rPr>
          <w:rFonts w:eastAsia="Calibri"/>
          <w:lang w:val="fr-FR"/>
        </w:rPr>
        <w:t>17.</w:t>
      </w:r>
      <w:r w:rsidRPr="00F13D2D">
        <w:rPr>
          <w:rFonts w:eastAsia="Calibri"/>
          <w:lang w:val="fr-FR"/>
        </w:rPr>
        <w:tab/>
      </w:r>
      <w:r w:rsidR="00E819C1" w:rsidRPr="00F13D2D">
        <w:rPr>
          <w:rFonts w:eastAsia="Calibri"/>
          <w:lang w:val="fr-FR"/>
        </w:rPr>
        <w:t>La forme républicaine de l’</w:t>
      </w:r>
      <w:r w:rsidR="00AB4E57">
        <w:rPr>
          <w:rFonts w:eastAsia="Calibri"/>
          <w:lang w:val="fr-FR"/>
        </w:rPr>
        <w:t>État</w:t>
      </w:r>
      <w:r w:rsidR="00E819C1" w:rsidRPr="00F13D2D">
        <w:rPr>
          <w:rFonts w:eastAsia="Calibri"/>
          <w:lang w:val="fr-FR"/>
        </w:rPr>
        <w:t xml:space="preserve"> repose sur le principe de la séparation des pouvoirs. Le Président de la République est élu au suffrage universel direct pour un mandat de cinq ans renouvelable une fois. Il définit la politique de l</w:t>
      </w:r>
      <w:r w:rsidR="006C160E" w:rsidRPr="00F13D2D">
        <w:rPr>
          <w:rFonts w:eastAsia="Calibri"/>
          <w:lang w:val="fr-FR"/>
        </w:rPr>
        <w:t>’</w:t>
      </w:r>
      <w:r w:rsidR="00AB4E57">
        <w:rPr>
          <w:rFonts w:eastAsia="Calibri"/>
          <w:lang w:val="fr-FR"/>
        </w:rPr>
        <w:t>État</w:t>
      </w:r>
      <w:r w:rsidR="00E819C1" w:rsidRPr="00F13D2D">
        <w:rPr>
          <w:rFonts w:eastAsia="Calibri"/>
          <w:lang w:val="fr-FR"/>
        </w:rPr>
        <w:t xml:space="preserve"> mise en œuvre par le gouvernement, dirigé par un Premier Ministre.</w:t>
      </w:r>
    </w:p>
    <w:p w:rsidR="00E819C1" w:rsidRPr="00F13D2D" w:rsidRDefault="0055270C" w:rsidP="0055270C">
      <w:pPr>
        <w:pStyle w:val="SingleTxtG"/>
        <w:rPr>
          <w:rFonts w:eastAsia="Calibri"/>
          <w:lang w:val="fr-FR"/>
        </w:rPr>
      </w:pPr>
      <w:r w:rsidRPr="00F13D2D">
        <w:rPr>
          <w:rFonts w:eastAsia="Calibri"/>
          <w:lang w:val="fr-FR"/>
        </w:rPr>
        <w:t>18.</w:t>
      </w:r>
      <w:r w:rsidRPr="00F13D2D">
        <w:rPr>
          <w:rFonts w:eastAsia="Calibri"/>
          <w:lang w:val="fr-FR"/>
        </w:rPr>
        <w:tab/>
      </w:r>
      <w:r w:rsidR="00E819C1" w:rsidRPr="00F13D2D">
        <w:rPr>
          <w:rFonts w:eastAsia="Calibri"/>
          <w:lang w:val="fr-FR"/>
        </w:rPr>
        <w:t>Le Pouvoir législatif est exercé par le Parlement qui vote les lois et contrôle l’action gouvernementale. Le parlement comprend l’Assemblée Nationale et le Sénat.</w:t>
      </w:r>
    </w:p>
    <w:p w:rsidR="00E819C1" w:rsidRPr="00F13D2D" w:rsidRDefault="0055270C" w:rsidP="0055270C">
      <w:pPr>
        <w:pStyle w:val="SingleTxtG"/>
        <w:rPr>
          <w:rFonts w:eastAsia="Calibri"/>
          <w:lang w:val="fr-FR"/>
        </w:rPr>
      </w:pPr>
      <w:r w:rsidRPr="00F13D2D">
        <w:rPr>
          <w:rFonts w:eastAsia="Calibri"/>
          <w:lang w:val="fr-FR"/>
        </w:rPr>
        <w:t>19.</w:t>
      </w:r>
      <w:r w:rsidRPr="00F13D2D">
        <w:rPr>
          <w:rFonts w:eastAsia="Calibri"/>
          <w:lang w:val="fr-FR"/>
        </w:rPr>
        <w:tab/>
      </w:r>
      <w:r w:rsidR="00E819C1" w:rsidRPr="00F13D2D">
        <w:rPr>
          <w:rFonts w:eastAsia="Calibri"/>
          <w:lang w:val="fr-FR"/>
        </w:rPr>
        <w:t>L</w:t>
      </w:r>
      <w:r w:rsidR="006C160E" w:rsidRPr="00F13D2D">
        <w:rPr>
          <w:rFonts w:eastAsia="Calibri"/>
          <w:lang w:val="fr-FR"/>
        </w:rPr>
        <w:t>’</w:t>
      </w:r>
      <w:r w:rsidR="00E819C1" w:rsidRPr="00F13D2D">
        <w:rPr>
          <w:rFonts w:eastAsia="Calibri"/>
          <w:lang w:val="fr-FR"/>
        </w:rPr>
        <w:t xml:space="preserve">organisation administrative est décentralisée et déconcentrée. L’organisation territoriale comporte plusieurs niveaux administratifs, Wilayas (15), </w:t>
      </w:r>
      <w:proofErr w:type="spellStart"/>
      <w:r w:rsidR="00E819C1" w:rsidRPr="00F13D2D">
        <w:rPr>
          <w:rFonts w:eastAsia="Calibri"/>
          <w:lang w:val="fr-FR"/>
        </w:rPr>
        <w:t>Moughataas</w:t>
      </w:r>
      <w:proofErr w:type="spellEnd"/>
      <w:r w:rsidR="00E819C1" w:rsidRPr="00F13D2D">
        <w:rPr>
          <w:rFonts w:eastAsia="Calibri"/>
          <w:lang w:val="fr-FR"/>
        </w:rPr>
        <w:t xml:space="preserve"> (58) et communes (218). Les différents échelons de l’administration concourent au développement politique, économique et social du pays. </w:t>
      </w:r>
    </w:p>
    <w:p w:rsidR="00E819C1" w:rsidRPr="00F13D2D" w:rsidRDefault="00E819C1" w:rsidP="00E819C1">
      <w:pPr>
        <w:pStyle w:val="H23G"/>
      </w:pPr>
      <w:bookmarkStart w:id="16" w:name="_Toc453672861"/>
      <w:bookmarkStart w:id="17" w:name="_Toc454388700"/>
      <w:r w:rsidRPr="00F13D2D">
        <w:tab/>
        <w:t>2.</w:t>
      </w:r>
      <w:r w:rsidRPr="00F13D2D">
        <w:tab/>
        <w:t>Institutions judicaires</w:t>
      </w:r>
      <w:bookmarkEnd w:id="16"/>
      <w:bookmarkEnd w:id="17"/>
    </w:p>
    <w:p w:rsidR="00E819C1" w:rsidRPr="00F13D2D" w:rsidRDefault="0055270C" w:rsidP="0055270C">
      <w:pPr>
        <w:pStyle w:val="SingleTxtG"/>
        <w:rPr>
          <w:rFonts w:eastAsia="Calibri"/>
          <w:lang w:val="fr-FR"/>
        </w:rPr>
      </w:pPr>
      <w:r w:rsidRPr="00F13D2D">
        <w:rPr>
          <w:rFonts w:eastAsia="Calibri"/>
          <w:lang w:val="fr-FR"/>
        </w:rPr>
        <w:t>20.</w:t>
      </w:r>
      <w:r w:rsidRPr="00F13D2D">
        <w:rPr>
          <w:rFonts w:eastAsia="Calibri"/>
          <w:lang w:val="fr-FR"/>
        </w:rPr>
        <w:tab/>
      </w:r>
      <w:r w:rsidR="00E819C1" w:rsidRPr="00F13D2D">
        <w:rPr>
          <w:rFonts w:eastAsia="Calibri"/>
          <w:lang w:val="fr-FR"/>
        </w:rPr>
        <w:t>Le</w:t>
      </w:r>
      <w:r w:rsidR="006C160E" w:rsidRPr="00F13D2D">
        <w:rPr>
          <w:rFonts w:eastAsia="Calibri"/>
          <w:lang w:val="fr-FR"/>
        </w:rPr>
        <w:t xml:space="preserve"> </w:t>
      </w:r>
      <w:r w:rsidR="00E819C1" w:rsidRPr="00F13D2D">
        <w:rPr>
          <w:rFonts w:eastAsia="Calibri"/>
          <w:lang w:val="fr-FR"/>
        </w:rPr>
        <w:t xml:space="preserve">système judiciaire est fondé sur le principe du double degré de juridiction. Ce système comprend des tribunaux au niveau des </w:t>
      </w:r>
      <w:proofErr w:type="spellStart"/>
      <w:r w:rsidR="00E819C1" w:rsidRPr="00F13D2D">
        <w:rPr>
          <w:rFonts w:eastAsia="Calibri"/>
          <w:lang w:val="fr-FR"/>
        </w:rPr>
        <w:t>moughataa</w:t>
      </w:r>
      <w:proofErr w:type="spellEnd"/>
      <w:r w:rsidR="00E819C1" w:rsidRPr="00F13D2D">
        <w:rPr>
          <w:rFonts w:eastAsia="Calibri"/>
          <w:lang w:val="fr-FR"/>
        </w:rPr>
        <w:t>, des wilayas, des cours d’appel et une cour suprême.</w:t>
      </w:r>
      <w:r w:rsidR="006C160E" w:rsidRPr="00F13D2D">
        <w:rPr>
          <w:rFonts w:eastAsia="Calibri"/>
          <w:lang w:val="fr-FR"/>
        </w:rPr>
        <w:t xml:space="preserve"> </w:t>
      </w:r>
      <w:r w:rsidR="00E819C1" w:rsidRPr="00F13D2D">
        <w:rPr>
          <w:rFonts w:eastAsia="Calibri"/>
          <w:lang w:val="fr-FR"/>
        </w:rPr>
        <w:t>Une Haute Cour de Justice est chargée de juger les plus hautes autorités de l’</w:t>
      </w:r>
      <w:r w:rsidR="00AB4E57">
        <w:rPr>
          <w:rFonts w:eastAsia="Calibri"/>
          <w:lang w:val="fr-FR"/>
        </w:rPr>
        <w:t>État</w:t>
      </w:r>
      <w:r w:rsidR="00E819C1" w:rsidRPr="00F13D2D">
        <w:rPr>
          <w:rFonts w:eastAsia="Calibri"/>
          <w:lang w:val="fr-FR"/>
        </w:rPr>
        <w:t xml:space="preserve"> (Président de la République et les membres du gouvernement). La justice constitutionnelle est assurée par le Conseil Constitutionnel. </w:t>
      </w:r>
    </w:p>
    <w:p w:rsidR="00E819C1" w:rsidRPr="00F13D2D" w:rsidRDefault="0055270C" w:rsidP="0055270C">
      <w:pPr>
        <w:pStyle w:val="SingleTxtG"/>
      </w:pPr>
      <w:r w:rsidRPr="00F13D2D">
        <w:t>21.</w:t>
      </w:r>
      <w:r w:rsidRPr="00F13D2D">
        <w:tab/>
      </w:r>
      <w:r w:rsidR="00E819C1" w:rsidRPr="00F13D2D">
        <w:t>Un Haut Conseil de la fatwa et des recours gracieux permet d’orienter les usagers de la justice vers des solutions conformes au droit musulman.</w:t>
      </w:r>
    </w:p>
    <w:p w:rsidR="00E819C1" w:rsidRPr="00F13D2D" w:rsidRDefault="0055270C" w:rsidP="0055270C">
      <w:pPr>
        <w:pStyle w:val="SingleTxtG"/>
        <w:rPr>
          <w:rFonts w:eastAsia="Calibri"/>
          <w:lang w:val="fr-FR"/>
        </w:rPr>
      </w:pPr>
      <w:r w:rsidRPr="00F13D2D">
        <w:rPr>
          <w:rFonts w:eastAsia="Calibri"/>
          <w:lang w:val="fr-FR"/>
        </w:rPr>
        <w:t>22.</w:t>
      </w:r>
      <w:r w:rsidRPr="00F13D2D">
        <w:rPr>
          <w:rFonts w:eastAsia="Calibri"/>
          <w:lang w:val="fr-FR"/>
        </w:rPr>
        <w:tab/>
      </w:r>
      <w:r w:rsidR="00E819C1" w:rsidRPr="00F13D2D">
        <w:rPr>
          <w:rFonts w:eastAsia="Calibri"/>
          <w:lang w:val="fr-FR"/>
        </w:rPr>
        <w:t>Le Gouvernement a renforcé l’efficience de la justice en la rapprochant davantage des justiciables par la création de tribunaux</w:t>
      </w:r>
      <w:r w:rsidR="006C160E" w:rsidRPr="00F13D2D">
        <w:rPr>
          <w:rFonts w:eastAsia="Calibri"/>
          <w:lang w:val="fr-FR"/>
        </w:rPr>
        <w:t xml:space="preserve"> </w:t>
      </w:r>
      <w:r w:rsidR="00E819C1" w:rsidRPr="00F13D2D">
        <w:rPr>
          <w:rFonts w:eastAsia="Calibri"/>
          <w:lang w:val="fr-FR"/>
        </w:rPr>
        <w:t>dont une cour d’appel à Aleg, deux tribunaux régionaux à Nouakchott Nord et Sud et un tribunal de travail à Zouerate ainsi que trois cours criminelles spécialisées dans la lutte</w:t>
      </w:r>
      <w:r w:rsidR="006C160E" w:rsidRPr="00F13D2D">
        <w:rPr>
          <w:rFonts w:eastAsia="Calibri"/>
          <w:lang w:val="fr-FR"/>
        </w:rPr>
        <w:t xml:space="preserve"> </w:t>
      </w:r>
      <w:r w:rsidR="00E819C1" w:rsidRPr="00F13D2D">
        <w:rPr>
          <w:rFonts w:eastAsia="Calibri"/>
          <w:lang w:val="fr-FR"/>
        </w:rPr>
        <w:t>contre l</w:t>
      </w:r>
      <w:r w:rsidR="006C160E" w:rsidRPr="00F13D2D">
        <w:rPr>
          <w:rFonts w:eastAsia="Calibri"/>
          <w:lang w:val="fr-FR"/>
        </w:rPr>
        <w:t>’</w:t>
      </w:r>
      <w:r w:rsidR="00E819C1" w:rsidRPr="00F13D2D">
        <w:rPr>
          <w:rFonts w:eastAsia="Calibri"/>
          <w:lang w:val="fr-FR"/>
        </w:rPr>
        <w:t>esclavage. Par ailleurs, il a mis en place une stratégie nationale de lutte contre la corruption et des plans sectoriels de lutte contre ce phénomène sont appliqués par les départements publics en collaboration avec la société civile.</w:t>
      </w:r>
    </w:p>
    <w:p w:rsidR="004F2AF9" w:rsidRPr="0055270C" w:rsidRDefault="004F2AF9" w:rsidP="00AA7A93">
      <w:pPr>
        <w:keepNext/>
        <w:rPr>
          <w:rFonts w:eastAsia="MS Mincho"/>
          <w:b/>
          <w:lang w:val="fr-FR"/>
        </w:rPr>
      </w:pPr>
      <w:r>
        <w:rPr>
          <w:rFonts w:eastAsia="MS Mincho"/>
          <w:lang w:val="fr-FR"/>
        </w:rPr>
        <w:tab/>
      </w:r>
      <w:r>
        <w:rPr>
          <w:rFonts w:eastAsia="MS Mincho"/>
          <w:lang w:val="fr-FR"/>
        </w:rPr>
        <w:tab/>
      </w:r>
      <w:r w:rsidR="00E819C1" w:rsidRPr="00AA7A93">
        <w:rPr>
          <w:rFonts w:eastAsia="MS Mincho"/>
          <w:lang w:val="fr-FR"/>
        </w:rPr>
        <w:t>Tableau n</w:t>
      </w:r>
      <w:r w:rsidRPr="00AA7A93">
        <w:rPr>
          <w:rFonts w:eastAsia="MS Mincho"/>
          <w:b/>
          <w:vertAlign w:val="superscript"/>
          <w:lang w:val="fr-FR"/>
        </w:rPr>
        <w:t>o</w:t>
      </w:r>
      <w:r w:rsidRPr="004F2AF9">
        <w:rPr>
          <w:rFonts w:eastAsia="MS Mincho"/>
          <w:lang w:val="fr-FR"/>
        </w:rPr>
        <w:t> </w:t>
      </w:r>
      <w:r w:rsidR="00E819C1" w:rsidRPr="00AA7A93">
        <w:rPr>
          <w:rFonts w:eastAsia="MS Mincho"/>
          <w:lang w:val="fr-FR"/>
        </w:rPr>
        <w:t>2</w:t>
      </w:r>
      <w:r>
        <w:rPr>
          <w:rFonts w:eastAsia="MS Mincho"/>
          <w:lang w:val="fr-FR"/>
        </w:rPr>
        <w:br/>
      </w:r>
      <w:r>
        <w:rPr>
          <w:rFonts w:eastAsia="MS Mincho"/>
          <w:lang w:val="fr-FR"/>
        </w:rPr>
        <w:tab/>
      </w:r>
      <w:r>
        <w:rPr>
          <w:rFonts w:eastAsia="MS Mincho"/>
          <w:lang w:val="fr-FR"/>
        </w:rPr>
        <w:tab/>
      </w:r>
      <w:r w:rsidR="00E819C1" w:rsidRPr="0055270C">
        <w:rPr>
          <w:rFonts w:eastAsia="MS Mincho"/>
          <w:b/>
          <w:lang w:val="fr-FR"/>
        </w:rPr>
        <w:t>Activités des juridictions de premier degré (année 2014)</w:t>
      </w:r>
    </w:p>
    <w:p w:rsidR="00E819C1" w:rsidRPr="00F13D2D" w:rsidRDefault="004F2AF9" w:rsidP="0055270C">
      <w:pPr>
        <w:pStyle w:val="H23G"/>
        <w:spacing w:before="120"/>
        <w:rPr>
          <w:rFonts w:eastAsia="MS Mincho"/>
          <w:lang w:val="fr-FR"/>
        </w:rPr>
      </w:pPr>
      <w:r>
        <w:rPr>
          <w:rFonts w:eastAsia="MS Mincho"/>
          <w:lang w:val="fr-FR"/>
        </w:rPr>
        <w:tab/>
      </w:r>
      <w:r>
        <w:rPr>
          <w:rFonts w:eastAsia="MS Mincho"/>
          <w:lang w:val="fr-FR"/>
        </w:rPr>
        <w:tab/>
      </w:r>
      <w:r w:rsidR="00E819C1" w:rsidRPr="00F13D2D">
        <w:rPr>
          <w:rFonts w:eastAsia="MS Mincho"/>
          <w:lang w:val="fr-FR"/>
        </w:rPr>
        <w:t>Affaires civiles, commerciales et administratives</w:t>
      </w:r>
    </w:p>
    <w:tbl>
      <w:tblPr>
        <w:tblW w:w="0" w:type="auto"/>
        <w:tblInd w:w="1134" w:type="dxa"/>
        <w:tblLayout w:type="fixed"/>
        <w:tblCellMar>
          <w:left w:w="0" w:type="dxa"/>
          <w:right w:w="0" w:type="dxa"/>
        </w:tblCellMar>
        <w:tblLook w:val="04A0" w:firstRow="1" w:lastRow="0" w:firstColumn="1" w:lastColumn="0" w:noHBand="0" w:noVBand="1"/>
      </w:tblPr>
      <w:tblGrid>
        <w:gridCol w:w="5670"/>
        <w:gridCol w:w="1701"/>
      </w:tblGrid>
      <w:tr w:rsidR="00E819C1" w:rsidRPr="00F13D2D" w:rsidTr="00AA7A93">
        <w:trPr>
          <w:tblHeader/>
        </w:trPr>
        <w:tc>
          <w:tcPr>
            <w:tcW w:w="5670" w:type="dxa"/>
            <w:tcBorders>
              <w:top w:val="single" w:sz="4" w:space="0" w:color="auto"/>
              <w:bottom w:val="single" w:sz="12" w:space="0" w:color="auto"/>
            </w:tcBorders>
            <w:shd w:val="clear" w:color="auto" w:fill="auto"/>
            <w:vAlign w:val="bottom"/>
          </w:tcPr>
          <w:p w:rsidR="00E819C1" w:rsidRPr="00F13D2D" w:rsidRDefault="00E819C1" w:rsidP="00E819C1">
            <w:pPr>
              <w:shd w:val="clear" w:color="auto" w:fill="FFFFFF"/>
              <w:suppressAutoHyphens w:val="0"/>
              <w:spacing w:before="80" w:after="80" w:line="200" w:lineRule="exact"/>
              <w:textAlignment w:val="baseline"/>
              <w:rPr>
                <w:rFonts w:eastAsia="MS Mincho"/>
                <w:bCs/>
                <w:i/>
                <w:sz w:val="16"/>
                <w:szCs w:val="24"/>
                <w:lang w:val="fr-FR"/>
              </w:rPr>
            </w:pPr>
            <w:r w:rsidRPr="00F13D2D">
              <w:rPr>
                <w:rFonts w:eastAsia="MS Mincho"/>
                <w:bCs/>
                <w:i/>
                <w:sz w:val="16"/>
                <w:szCs w:val="24"/>
                <w:lang w:val="fr-FR"/>
              </w:rPr>
              <w:t>Nature</w:t>
            </w:r>
          </w:p>
        </w:tc>
        <w:tc>
          <w:tcPr>
            <w:tcW w:w="1701" w:type="dxa"/>
            <w:tcBorders>
              <w:top w:val="single" w:sz="4" w:space="0" w:color="auto"/>
              <w:bottom w:val="single" w:sz="12" w:space="0" w:color="auto"/>
            </w:tcBorders>
            <w:shd w:val="clear" w:color="auto" w:fill="auto"/>
            <w:vAlign w:val="bottom"/>
          </w:tcPr>
          <w:p w:rsidR="00E819C1" w:rsidRPr="00F13D2D" w:rsidRDefault="00E819C1" w:rsidP="00E819C1">
            <w:pPr>
              <w:shd w:val="clear" w:color="auto" w:fill="FFFFFF"/>
              <w:suppressAutoHyphens w:val="0"/>
              <w:spacing w:before="80" w:after="80" w:line="200" w:lineRule="exact"/>
              <w:jc w:val="right"/>
              <w:textAlignment w:val="baseline"/>
              <w:rPr>
                <w:rFonts w:eastAsia="MS Mincho"/>
                <w:bCs/>
                <w:i/>
                <w:sz w:val="16"/>
                <w:szCs w:val="24"/>
                <w:lang w:val="fr-FR"/>
              </w:rPr>
            </w:pPr>
            <w:r w:rsidRPr="00F13D2D">
              <w:rPr>
                <w:rFonts w:eastAsia="MS Mincho"/>
                <w:bCs/>
                <w:i/>
                <w:sz w:val="16"/>
                <w:szCs w:val="24"/>
                <w:lang w:val="fr-FR"/>
              </w:rPr>
              <w:t>Nombre</w:t>
            </w:r>
          </w:p>
        </w:tc>
      </w:tr>
      <w:tr w:rsidR="00E819C1" w:rsidRPr="00F13D2D" w:rsidTr="00AA7A93">
        <w:tc>
          <w:tcPr>
            <w:tcW w:w="5670" w:type="dxa"/>
            <w:tcBorders>
              <w:top w:val="single" w:sz="12" w:space="0" w:color="auto"/>
            </w:tcBorders>
            <w:shd w:val="clear" w:color="auto" w:fill="auto"/>
          </w:tcPr>
          <w:p w:rsidR="00E819C1" w:rsidRPr="00F13D2D" w:rsidRDefault="00E819C1" w:rsidP="005863AA">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t>Affaires introduites</w:t>
            </w:r>
          </w:p>
        </w:tc>
        <w:tc>
          <w:tcPr>
            <w:tcW w:w="1701" w:type="dxa"/>
            <w:tcBorders>
              <w:top w:val="single" w:sz="12" w:space="0" w:color="auto"/>
            </w:tcBorders>
            <w:shd w:val="clear" w:color="auto" w:fill="auto"/>
            <w:vAlign w:val="bottom"/>
          </w:tcPr>
          <w:p w:rsidR="00E819C1" w:rsidRPr="00F13D2D" w:rsidRDefault="00E819C1" w:rsidP="005863AA">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5</w:t>
            </w:r>
            <w:r w:rsidR="00E06F1B">
              <w:rPr>
                <w:rFonts w:eastAsia="MS Mincho"/>
                <w:sz w:val="18"/>
                <w:szCs w:val="24"/>
                <w:lang w:val="fr-FR"/>
              </w:rPr>
              <w:t xml:space="preserve"> </w:t>
            </w:r>
            <w:r w:rsidRPr="00F13D2D">
              <w:rPr>
                <w:rFonts w:eastAsia="MS Mincho"/>
                <w:sz w:val="18"/>
                <w:szCs w:val="24"/>
                <w:lang w:val="fr-FR"/>
              </w:rPr>
              <w:t>937</w:t>
            </w:r>
          </w:p>
        </w:tc>
      </w:tr>
      <w:tr w:rsidR="00E819C1" w:rsidRPr="00F13D2D" w:rsidTr="00AA7A93">
        <w:tc>
          <w:tcPr>
            <w:tcW w:w="5670" w:type="dxa"/>
            <w:shd w:val="clear" w:color="auto" w:fill="auto"/>
          </w:tcPr>
          <w:p w:rsidR="00E819C1" w:rsidRPr="00F13D2D" w:rsidRDefault="00E819C1" w:rsidP="005863AA">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t>Jugements rendus</w:t>
            </w:r>
          </w:p>
        </w:tc>
        <w:tc>
          <w:tcPr>
            <w:tcW w:w="1701" w:type="dxa"/>
            <w:shd w:val="clear" w:color="auto" w:fill="auto"/>
            <w:vAlign w:val="bottom"/>
          </w:tcPr>
          <w:p w:rsidR="00E819C1" w:rsidRPr="00F13D2D" w:rsidRDefault="00E819C1" w:rsidP="005863AA">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1</w:t>
            </w:r>
            <w:r w:rsidR="00E06F1B">
              <w:rPr>
                <w:rFonts w:eastAsia="MS Mincho"/>
                <w:sz w:val="18"/>
                <w:szCs w:val="24"/>
                <w:lang w:val="fr-FR"/>
              </w:rPr>
              <w:t xml:space="preserve"> </w:t>
            </w:r>
            <w:r w:rsidRPr="00F13D2D">
              <w:rPr>
                <w:rFonts w:eastAsia="MS Mincho"/>
                <w:sz w:val="18"/>
                <w:szCs w:val="24"/>
                <w:lang w:val="fr-FR"/>
              </w:rPr>
              <w:t>339</w:t>
            </w:r>
          </w:p>
        </w:tc>
      </w:tr>
      <w:tr w:rsidR="00E819C1" w:rsidRPr="00F13D2D" w:rsidTr="00AA7A93">
        <w:tc>
          <w:tcPr>
            <w:tcW w:w="5670" w:type="dxa"/>
            <w:shd w:val="clear" w:color="auto" w:fill="auto"/>
          </w:tcPr>
          <w:p w:rsidR="00E819C1" w:rsidRPr="00F13D2D" w:rsidRDefault="00E819C1" w:rsidP="005863AA">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t>Conciliations</w:t>
            </w:r>
          </w:p>
        </w:tc>
        <w:tc>
          <w:tcPr>
            <w:tcW w:w="1701" w:type="dxa"/>
            <w:shd w:val="clear" w:color="auto" w:fill="auto"/>
            <w:vAlign w:val="bottom"/>
          </w:tcPr>
          <w:p w:rsidR="00E819C1" w:rsidRPr="00F13D2D" w:rsidRDefault="00E819C1" w:rsidP="005863AA">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2</w:t>
            </w:r>
            <w:r w:rsidR="00E06F1B">
              <w:rPr>
                <w:rFonts w:eastAsia="MS Mincho"/>
                <w:sz w:val="18"/>
                <w:szCs w:val="24"/>
                <w:lang w:val="fr-FR"/>
              </w:rPr>
              <w:t xml:space="preserve"> </w:t>
            </w:r>
            <w:r w:rsidRPr="00F13D2D">
              <w:rPr>
                <w:rFonts w:eastAsia="MS Mincho"/>
                <w:sz w:val="18"/>
                <w:szCs w:val="24"/>
                <w:lang w:val="fr-FR"/>
              </w:rPr>
              <w:t>040</w:t>
            </w:r>
          </w:p>
        </w:tc>
      </w:tr>
      <w:tr w:rsidR="00E819C1" w:rsidRPr="00F13D2D" w:rsidTr="00AA7A93">
        <w:tc>
          <w:tcPr>
            <w:tcW w:w="5670" w:type="dxa"/>
            <w:shd w:val="clear" w:color="auto" w:fill="auto"/>
          </w:tcPr>
          <w:p w:rsidR="00E819C1" w:rsidRPr="00F13D2D" w:rsidRDefault="00E819C1" w:rsidP="005863AA">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t>Recours en appel</w:t>
            </w:r>
          </w:p>
        </w:tc>
        <w:tc>
          <w:tcPr>
            <w:tcW w:w="1701" w:type="dxa"/>
            <w:shd w:val="clear" w:color="auto" w:fill="auto"/>
            <w:vAlign w:val="bottom"/>
          </w:tcPr>
          <w:p w:rsidR="00E819C1" w:rsidRPr="00F13D2D" w:rsidRDefault="00E819C1" w:rsidP="005863AA">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984</w:t>
            </w:r>
          </w:p>
        </w:tc>
      </w:tr>
      <w:tr w:rsidR="00E819C1" w:rsidRPr="00F13D2D" w:rsidTr="00AA7A93">
        <w:tc>
          <w:tcPr>
            <w:tcW w:w="5670" w:type="dxa"/>
            <w:shd w:val="clear" w:color="auto" w:fill="auto"/>
          </w:tcPr>
          <w:p w:rsidR="00E819C1" w:rsidRPr="00F13D2D" w:rsidRDefault="00E819C1" w:rsidP="005863AA">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t>Pourvois</w:t>
            </w:r>
            <w:r w:rsidR="006C160E" w:rsidRPr="00F13D2D">
              <w:rPr>
                <w:rFonts w:eastAsia="MS Mincho"/>
                <w:sz w:val="18"/>
                <w:szCs w:val="24"/>
                <w:lang w:val="fr-FR"/>
              </w:rPr>
              <w:t xml:space="preserve"> </w:t>
            </w:r>
            <w:r w:rsidRPr="00F13D2D">
              <w:rPr>
                <w:rFonts w:eastAsia="MS Mincho"/>
                <w:sz w:val="18"/>
                <w:szCs w:val="24"/>
                <w:lang w:val="fr-FR"/>
              </w:rPr>
              <w:t>en cassation</w:t>
            </w:r>
          </w:p>
        </w:tc>
        <w:tc>
          <w:tcPr>
            <w:tcW w:w="1701" w:type="dxa"/>
            <w:shd w:val="clear" w:color="auto" w:fill="auto"/>
            <w:vAlign w:val="bottom"/>
          </w:tcPr>
          <w:p w:rsidR="00E819C1" w:rsidRPr="00F13D2D" w:rsidRDefault="00E819C1" w:rsidP="005863AA">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37</w:t>
            </w:r>
          </w:p>
        </w:tc>
      </w:tr>
      <w:tr w:rsidR="00E819C1" w:rsidRPr="00F13D2D" w:rsidTr="00AA7A93">
        <w:tc>
          <w:tcPr>
            <w:tcW w:w="5670" w:type="dxa"/>
            <w:shd w:val="clear" w:color="auto" w:fill="auto"/>
          </w:tcPr>
          <w:p w:rsidR="00E819C1" w:rsidRPr="00F13D2D" w:rsidRDefault="00E819C1" w:rsidP="005863AA">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lastRenderedPageBreak/>
              <w:t>Ordonnances</w:t>
            </w:r>
            <w:r w:rsidR="006C160E" w:rsidRPr="00F13D2D">
              <w:rPr>
                <w:rFonts w:eastAsia="MS Mincho"/>
                <w:sz w:val="18"/>
                <w:szCs w:val="24"/>
                <w:lang w:val="fr-FR"/>
              </w:rPr>
              <w:t xml:space="preserve"> </w:t>
            </w:r>
            <w:r w:rsidRPr="00F13D2D">
              <w:rPr>
                <w:rFonts w:eastAsia="MS Mincho"/>
                <w:sz w:val="18"/>
                <w:szCs w:val="24"/>
                <w:lang w:val="fr-FR"/>
              </w:rPr>
              <w:t>de référé</w:t>
            </w:r>
          </w:p>
        </w:tc>
        <w:tc>
          <w:tcPr>
            <w:tcW w:w="1701" w:type="dxa"/>
            <w:shd w:val="clear" w:color="auto" w:fill="auto"/>
            <w:vAlign w:val="bottom"/>
          </w:tcPr>
          <w:p w:rsidR="00E819C1" w:rsidRPr="00F13D2D" w:rsidRDefault="00E819C1" w:rsidP="005863AA">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4</w:t>
            </w:r>
            <w:r w:rsidR="00E06F1B">
              <w:rPr>
                <w:rFonts w:eastAsia="MS Mincho"/>
                <w:sz w:val="18"/>
                <w:szCs w:val="24"/>
                <w:lang w:val="fr-FR"/>
              </w:rPr>
              <w:t xml:space="preserve"> </w:t>
            </w:r>
            <w:r w:rsidRPr="00F13D2D">
              <w:rPr>
                <w:rFonts w:eastAsia="MS Mincho"/>
                <w:sz w:val="18"/>
                <w:szCs w:val="24"/>
                <w:lang w:val="fr-FR"/>
              </w:rPr>
              <w:t>601</w:t>
            </w:r>
          </w:p>
        </w:tc>
      </w:tr>
      <w:tr w:rsidR="00E819C1" w:rsidRPr="00F13D2D" w:rsidTr="00AA7A93">
        <w:tc>
          <w:tcPr>
            <w:tcW w:w="5670" w:type="dxa"/>
            <w:shd w:val="clear" w:color="auto" w:fill="auto"/>
          </w:tcPr>
          <w:p w:rsidR="00E819C1" w:rsidRPr="00F13D2D" w:rsidRDefault="00E819C1" w:rsidP="005863AA">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t>Recours en appel contre les ordonnances de référé</w:t>
            </w:r>
          </w:p>
        </w:tc>
        <w:tc>
          <w:tcPr>
            <w:tcW w:w="1701" w:type="dxa"/>
            <w:shd w:val="clear" w:color="auto" w:fill="auto"/>
            <w:vAlign w:val="bottom"/>
          </w:tcPr>
          <w:p w:rsidR="00E819C1" w:rsidRPr="00F13D2D" w:rsidRDefault="00E819C1" w:rsidP="005863AA">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323</w:t>
            </w:r>
          </w:p>
        </w:tc>
      </w:tr>
      <w:tr w:rsidR="00E819C1" w:rsidRPr="00F13D2D" w:rsidTr="00AA7A93">
        <w:tc>
          <w:tcPr>
            <w:tcW w:w="5670" w:type="dxa"/>
            <w:tcBorders>
              <w:bottom w:val="single" w:sz="12" w:space="0" w:color="auto"/>
            </w:tcBorders>
            <w:shd w:val="clear" w:color="auto" w:fill="auto"/>
          </w:tcPr>
          <w:p w:rsidR="00E819C1" w:rsidRPr="00F13D2D" w:rsidRDefault="00E819C1" w:rsidP="005863AA">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t>Recours</w:t>
            </w:r>
            <w:r w:rsidR="006C160E" w:rsidRPr="00F13D2D">
              <w:rPr>
                <w:rFonts w:eastAsia="MS Mincho"/>
                <w:sz w:val="18"/>
                <w:szCs w:val="24"/>
                <w:lang w:val="fr-FR"/>
              </w:rPr>
              <w:t xml:space="preserve"> </w:t>
            </w:r>
            <w:r w:rsidRPr="00F13D2D">
              <w:rPr>
                <w:rFonts w:eastAsia="MS Mincho"/>
                <w:sz w:val="18"/>
                <w:szCs w:val="24"/>
                <w:lang w:val="fr-FR"/>
              </w:rPr>
              <w:t>en opposition</w:t>
            </w:r>
          </w:p>
        </w:tc>
        <w:tc>
          <w:tcPr>
            <w:tcW w:w="1701" w:type="dxa"/>
            <w:tcBorders>
              <w:bottom w:val="single" w:sz="12" w:space="0" w:color="auto"/>
            </w:tcBorders>
            <w:shd w:val="clear" w:color="auto" w:fill="auto"/>
            <w:vAlign w:val="bottom"/>
          </w:tcPr>
          <w:p w:rsidR="00E819C1" w:rsidRPr="00F13D2D" w:rsidRDefault="00E819C1" w:rsidP="005863AA">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49</w:t>
            </w:r>
          </w:p>
        </w:tc>
      </w:tr>
    </w:tbl>
    <w:p w:rsidR="00E819C1" w:rsidRPr="00F13D2D" w:rsidRDefault="004F2AF9" w:rsidP="00AA7A93">
      <w:pPr>
        <w:pStyle w:val="H23G"/>
        <w:rPr>
          <w:rFonts w:eastAsia="MS Mincho"/>
          <w:lang w:val="fr-FR"/>
        </w:rPr>
      </w:pPr>
      <w:r>
        <w:rPr>
          <w:rFonts w:eastAsia="MS Mincho"/>
          <w:lang w:val="fr-FR"/>
        </w:rPr>
        <w:tab/>
      </w:r>
      <w:r>
        <w:rPr>
          <w:rFonts w:eastAsia="MS Mincho"/>
          <w:lang w:val="fr-FR"/>
        </w:rPr>
        <w:tab/>
      </w:r>
      <w:r w:rsidR="00E819C1" w:rsidRPr="00F13D2D">
        <w:rPr>
          <w:rFonts w:eastAsia="MS Mincho"/>
          <w:lang w:val="fr-FR"/>
        </w:rPr>
        <w:t>Activités des cours criminelles, chambres correctionnelles et chambres pour mineurs</w:t>
      </w:r>
    </w:p>
    <w:tbl>
      <w:tblPr>
        <w:tblW w:w="0" w:type="auto"/>
        <w:tblInd w:w="1134" w:type="dxa"/>
        <w:tblLayout w:type="fixed"/>
        <w:tblCellMar>
          <w:left w:w="0" w:type="dxa"/>
          <w:right w:w="0" w:type="dxa"/>
        </w:tblCellMar>
        <w:tblLook w:val="04A0" w:firstRow="1" w:lastRow="0" w:firstColumn="1" w:lastColumn="0" w:noHBand="0" w:noVBand="1"/>
      </w:tblPr>
      <w:tblGrid>
        <w:gridCol w:w="5670"/>
        <w:gridCol w:w="1701"/>
      </w:tblGrid>
      <w:tr w:rsidR="00E819C1" w:rsidRPr="00F13D2D" w:rsidTr="00AA7A93">
        <w:trPr>
          <w:tblHeader/>
        </w:trPr>
        <w:tc>
          <w:tcPr>
            <w:tcW w:w="5670" w:type="dxa"/>
            <w:tcBorders>
              <w:top w:val="single" w:sz="4" w:space="0" w:color="auto"/>
              <w:bottom w:val="single" w:sz="12" w:space="0" w:color="auto"/>
            </w:tcBorders>
            <w:shd w:val="clear" w:color="auto" w:fill="auto"/>
            <w:vAlign w:val="bottom"/>
          </w:tcPr>
          <w:p w:rsidR="00E819C1" w:rsidRPr="00F13D2D" w:rsidRDefault="00E819C1" w:rsidP="00E819C1">
            <w:pPr>
              <w:shd w:val="clear" w:color="auto" w:fill="FFFFFF"/>
              <w:suppressAutoHyphens w:val="0"/>
              <w:spacing w:before="80" w:after="80" w:line="200" w:lineRule="exact"/>
              <w:textAlignment w:val="baseline"/>
              <w:rPr>
                <w:rFonts w:eastAsia="MS Mincho"/>
                <w:bCs/>
                <w:i/>
                <w:sz w:val="16"/>
                <w:szCs w:val="24"/>
                <w:lang w:val="fr-FR"/>
              </w:rPr>
            </w:pPr>
            <w:r w:rsidRPr="00F13D2D">
              <w:rPr>
                <w:rFonts w:eastAsia="MS Mincho"/>
                <w:bCs/>
                <w:i/>
                <w:sz w:val="16"/>
                <w:szCs w:val="24"/>
                <w:lang w:val="fr-FR"/>
              </w:rPr>
              <w:t>Nature</w:t>
            </w:r>
          </w:p>
        </w:tc>
        <w:tc>
          <w:tcPr>
            <w:tcW w:w="1701" w:type="dxa"/>
            <w:tcBorders>
              <w:top w:val="single" w:sz="4" w:space="0" w:color="auto"/>
              <w:bottom w:val="single" w:sz="12" w:space="0" w:color="auto"/>
            </w:tcBorders>
            <w:shd w:val="clear" w:color="auto" w:fill="auto"/>
            <w:vAlign w:val="bottom"/>
          </w:tcPr>
          <w:p w:rsidR="00E819C1" w:rsidRPr="00F13D2D" w:rsidRDefault="00E819C1" w:rsidP="00E819C1">
            <w:pPr>
              <w:shd w:val="clear" w:color="auto" w:fill="FFFFFF"/>
              <w:suppressAutoHyphens w:val="0"/>
              <w:spacing w:before="80" w:after="80" w:line="200" w:lineRule="exact"/>
              <w:jc w:val="right"/>
              <w:textAlignment w:val="baseline"/>
              <w:rPr>
                <w:rFonts w:eastAsia="MS Mincho"/>
                <w:bCs/>
                <w:i/>
                <w:sz w:val="16"/>
                <w:szCs w:val="24"/>
                <w:lang w:val="fr-FR"/>
              </w:rPr>
            </w:pPr>
            <w:r w:rsidRPr="00F13D2D">
              <w:rPr>
                <w:rFonts w:eastAsia="MS Mincho"/>
                <w:bCs/>
                <w:i/>
                <w:sz w:val="16"/>
                <w:szCs w:val="24"/>
                <w:lang w:val="fr-FR"/>
              </w:rPr>
              <w:t>Nombre</w:t>
            </w:r>
          </w:p>
        </w:tc>
      </w:tr>
      <w:tr w:rsidR="00E819C1" w:rsidRPr="00F13D2D" w:rsidTr="00AA7A93">
        <w:tc>
          <w:tcPr>
            <w:tcW w:w="5670" w:type="dxa"/>
            <w:tcBorders>
              <w:top w:val="single" w:sz="12" w:space="0" w:color="auto"/>
            </w:tcBorders>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Affaires introduites</w:t>
            </w:r>
          </w:p>
        </w:tc>
        <w:tc>
          <w:tcPr>
            <w:tcW w:w="1701" w:type="dxa"/>
            <w:tcBorders>
              <w:top w:val="single" w:sz="12" w:space="0" w:color="auto"/>
            </w:tcBorders>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2</w:t>
            </w:r>
            <w:r w:rsidR="00E06F1B">
              <w:rPr>
                <w:rFonts w:eastAsia="MS Mincho"/>
                <w:sz w:val="18"/>
                <w:szCs w:val="24"/>
                <w:lang w:val="fr-FR"/>
              </w:rPr>
              <w:t xml:space="preserve"> </w:t>
            </w:r>
            <w:r w:rsidRPr="00F13D2D">
              <w:rPr>
                <w:rFonts w:eastAsia="MS Mincho"/>
                <w:sz w:val="18"/>
                <w:szCs w:val="24"/>
                <w:lang w:val="fr-FR"/>
              </w:rPr>
              <w:t>159</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Jugements rendus</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1</w:t>
            </w:r>
            <w:r w:rsidR="00E06F1B">
              <w:rPr>
                <w:rFonts w:eastAsia="MS Mincho"/>
                <w:sz w:val="18"/>
                <w:szCs w:val="24"/>
                <w:lang w:val="fr-FR"/>
              </w:rPr>
              <w:t xml:space="preserve"> </w:t>
            </w:r>
            <w:r w:rsidRPr="00F13D2D">
              <w:rPr>
                <w:rFonts w:eastAsia="MS Mincho"/>
                <w:sz w:val="18"/>
                <w:szCs w:val="24"/>
                <w:lang w:val="fr-FR"/>
              </w:rPr>
              <w:t>589</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Ordonnances</w:t>
            </w:r>
            <w:r w:rsidR="006C160E" w:rsidRPr="00F13D2D">
              <w:rPr>
                <w:rFonts w:eastAsia="MS Mincho"/>
                <w:sz w:val="18"/>
                <w:szCs w:val="24"/>
                <w:lang w:val="fr-FR"/>
              </w:rPr>
              <w:t xml:space="preserve"> </w:t>
            </w:r>
            <w:r w:rsidRPr="00F13D2D">
              <w:rPr>
                <w:rFonts w:eastAsia="MS Mincho"/>
                <w:sz w:val="18"/>
                <w:szCs w:val="24"/>
                <w:lang w:val="fr-FR"/>
              </w:rPr>
              <w:t>de référé</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565</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Recours en appel</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1</w:t>
            </w:r>
            <w:r w:rsidR="00E06F1B">
              <w:rPr>
                <w:rFonts w:eastAsia="MS Mincho"/>
                <w:sz w:val="18"/>
                <w:szCs w:val="24"/>
                <w:lang w:val="fr-FR"/>
              </w:rPr>
              <w:t xml:space="preserve"> </w:t>
            </w:r>
            <w:r w:rsidRPr="00F13D2D">
              <w:rPr>
                <w:rFonts w:eastAsia="MS Mincho"/>
                <w:sz w:val="18"/>
                <w:szCs w:val="24"/>
                <w:lang w:val="fr-FR"/>
              </w:rPr>
              <w:t>237</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Recours en appel contre les ordonnances de référé</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30</w:t>
            </w:r>
          </w:p>
        </w:tc>
      </w:tr>
      <w:tr w:rsidR="00E819C1" w:rsidRPr="00F13D2D" w:rsidTr="00AA7A93">
        <w:tc>
          <w:tcPr>
            <w:tcW w:w="5670" w:type="dxa"/>
            <w:tcBorders>
              <w:bottom w:val="single" w:sz="12" w:space="0" w:color="auto"/>
            </w:tcBorders>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Recours</w:t>
            </w:r>
            <w:r w:rsidR="006C160E" w:rsidRPr="00F13D2D">
              <w:rPr>
                <w:rFonts w:eastAsia="MS Mincho"/>
                <w:sz w:val="18"/>
                <w:szCs w:val="24"/>
                <w:lang w:val="fr-FR"/>
              </w:rPr>
              <w:t xml:space="preserve"> </w:t>
            </w:r>
            <w:r w:rsidRPr="00F13D2D">
              <w:rPr>
                <w:rFonts w:eastAsia="MS Mincho"/>
                <w:sz w:val="18"/>
                <w:szCs w:val="24"/>
                <w:lang w:val="fr-FR"/>
              </w:rPr>
              <w:t>en opposition</w:t>
            </w:r>
          </w:p>
        </w:tc>
        <w:tc>
          <w:tcPr>
            <w:tcW w:w="1701" w:type="dxa"/>
            <w:tcBorders>
              <w:bottom w:val="single" w:sz="12" w:space="0" w:color="auto"/>
            </w:tcBorders>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16</w:t>
            </w:r>
          </w:p>
        </w:tc>
      </w:tr>
    </w:tbl>
    <w:p w:rsidR="00E819C1" w:rsidRPr="00F13D2D" w:rsidRDefault="004F2AF9" w:rsidP="00AA7A93">
      <w:pPr>
        <w:pStyle w:val="H23G"/>
        <w:rPr>
          <w:rFonts w:eastAsia="MS Mincho"/>
          <w:lang w:val="fr-FR"/>
        </w:rPr>
      </w:pPr>
      <w:r>
        <w:rPr>
          <w:rFonts w:eastAsia="MS Mincho"/>
          <w:lang w:val="fr-FR"/>
        </w:rPr>
        <w:tab/>
      </w:r>
      <w:r>
        <w:rPr>
          <w:rFonts w:eastAsia="MS Mincho"/>
          <w:lang w:val="fr-FR"/>
        </w:rPr>
        <w:tab/>
      </w:r>
      <w:r w:rsidR="00E819C1" w:rsidRPr="00F13D2D">
        <w:rPr>
          <w:rFonts w:eastAsia="MS Mincho"/>
          <w:lang w:val="fr-FR"/>
        </w:rPr>
        <w:t>Activités des cabinets d’instruction (année 2014)</w:t>
      </w:r>
    </w:p>
    <w:tbl>
      <w:tblPr>
        <w:tblW w:w="0" w:type="auto"/>
        <w:tblInd w:w="1134" w:type="dxa"/>
        <w:tblLayout w:type="fixed"/>
        <w:tblCellMar>
          <w:left w:w="0" w:type="dxa"/>
          <w:right w:w="0" w:type="dxa"/>
        </w:tblCellMar>
        <w:tblLook w:val="04A0" w:firstRow="1" w:lastRow="0" w:firstColumn="1" w:lastColumn="0" w:noHBand="0" w:noVBand="1"/>
      </w:tblPr>
      <w:tblGrid>
        <w:gridCol w:w="5670"/>
        <w:gridCol w:w="1701"/>
      </w:tblGrid>
      <w:tr w:rsidR="00E819C1" w:rsidRPr="00F13D2D" w:rsidTr="00AA7A93">
        <w:trPr>
          <w:tblHeader/>
        </w:trPr>
        <w:tc>
          <w:tcPr>
            <w:tcW w:w="5670" w:type="dxa"/>
            <w:tcBorders>
              <w:top w:val="single" w:sz="4" w:space="0" w:color="auto"/>
              <w:bottom w:val="single" w:sz="12" w:space="0" w:color="auto"/>
            </w:tcBorders>
            <w:shd w:val="clear" w:color="auto" w:fill="auto"/>
            <w:vAlign w:val="bottom"/>
          </w:tcPr>
          <w:p w:rsidR="00E819C1" w:rsidRPr="00F13D2D" w:rsidRDefault="00E819C1" w:rsidP="00E819C1">
            <w:pPr>
              <w:shd w:val="clear" w:color="auto" w:fill="FFFFFF"/>
              <w:suppressAutoHyphens w:val="0"/>
              <w:spacing w:before="80" w:after="80" w:line="200" w:lineRule="exact"/>
              <w:textAlignment w:val="baseline"/>
              <w:rPr>
                <w:rFonts w:eastAsia="MS Mincho"/>
                <w:bCs/>
                <w:i/>
                <w:sz w:val="16"/>
                <w:szCs w:val="24"/>
                <w:lang w:val="fr-FR"/>
              </w:rPr>
            </w:pPr>
            <w:r w:rsidRPr="00F13D2D">
              <w:rPr>
                <w:rFonts w:eastAsia="MS Mincho"/>
                <w:bCs/>
                <w:i/>
                <w:sz w:val="16"/>
                <w:szCs w:val="24"/>
                <w:lang w:val="fr-FR"/>
              </w:rPr>
              <w:t xml:space="preserve">Nature </w:t>
            </w:r>
          </w:p>
        </w:tc>
        <w:tc>
          <w:tcPr>
            <w:tcW w:w="1701" w:type="dxa"/>
            <w:tcBorders>
              <w:top w:val="single" w:sz="4" w:space="0" w:color="auto"/>
              <w:bottom w:val="single" w:sz="12" w:space="0" w:color="auto"/>
            </w:tcBorders>
            <w:shd w:val="clear" w:color="auto" w:fill="auto"/>
            <w:vAlign w:val="bottom"/>
          </w:tcPr>
          <w:p w:rsidR="00E819C1" w:rsidRPr="00F13D2D" w:rsidRDefault="00E819C1" w:rsidP="00E819C1">
            <w:pPr>
              <w:shd w:val="clear" w:color="auto" w:fill="FFFFFF"/>
              <w:suppressAutoHyphens w:val="0"/>
              <w:spacing w:before="80" w:after="80" w:line="200" w:lineRule="exact"/>
              <w:jc w:val="right"/>
              <w:textAlignment w:val="baseline"/>
              <w:rPr>
                <w:rFonts w:eastAsia="MS Mincho"/>
                <w:bCs/>
                <w:i/>
                <w:sz w:val="16"/>
                <w:szCs w:val="24"/>
                <w:lang w:val="fr-FR"/>
              </w:rPr>
            </w:pPr>
            <w:r w:rsidRPr="00F13D2D">
              <w:rPr>
                <w:rFonts w:eastAsia="MS Mincho"/>
                <w:bCs/>
                <w:i/>
                <w:sz w:val="16"/>
                <w:szCs w:val="24"/>
                <w:lang w:val="fr-FR"/>
              </w:rPr>
              <w:t>Nombre</w:t>
            </w:r>
          </w:p>
        </w:tc>
      </w:tr>
      <w:tr w:rsidR="00E819C1" w:rsidRPr="00F13D2D" w:rsidTr="00AA7A93">
        <w:tc>
          <w:tcPr>
            <w:tcW w:w="5670" w:type="dxa"/>
            <w:tcBorders>
              <w:top w:val="single" w:sz="12" w:space="0" w:color="auto"/>
            </w:tcBorders>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Affaires introduites</w:t>
            </w:r>
          </w:p>
        </w:tc>
        <w:tc>
          <w:tcPr>
            <w:tcW w:w="1701" w:type="dxa"/>
            <w:tcBorders>
              <w:top w:val="single" w:sz="12" w:space="0" w:color="auto"/>
            </w:tcBorders>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2</w:t>
            </w:r>
            <w:r w:rsidR="00E06F1B">
              <w:rPr>
                <w:rFonts w:eastAsia="MS Mincho"/>
                <w:sz w:val="18"/>
                <w:szCs w:val="24"/>
                <w:lang w:val="fr-FR"/>
              </w:rPr>
              <w:t xml:space="preserve"> </w:t>
            </w:r>
            <w:r w:rsidRPr="00F13D2D">
              <w:rPr>
                <w:rFonts w:eastAsia="MS Mincho"/>
                <w:sz w:val="18"/>
                <w:szCs w:val="24"/>
                <w:lang w:val="fr-FR"/>
              </w:rPr>
              <w:t>414</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Prévenus</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3</w:t>
            </w:r>
            <w:r w:rsidR="00E06F1B">
              <w:rPr>
                <w:rFonts w:eastAsia="MS Mincho"/>
                <w:sz w:val="18"/>
                <w:szCs w:val="24"/>
                <w:lang w:val="fr-FR"/>
              </w:rPr>
              <w:t xml:space="preserve"> </w:t>
            </w:r>
            <w:r w:rsidRPr="00F13D2D">
              <w:rPr>
                <w:rFonts w:eastAsia="MS Mincho"/>
                <w:sz w:val="18"/>
                <w:szCs w:val="24"/>
                <w:lang w:val="fr-FR"/>
              </w:rPr>
              <w:t>962</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Affaires renvoyées devant la cour criminelle</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594</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Affaires renvoyées devant la chambre</w:t>
            </w:r>
            <w:r w:rsidR="006C160E" w:rsidRPr="00F13D2D">
              <w:rPr>
                <w:rFonts w:eastAsia="MS Mincho"/>
                <w:sz w:val="18"/>
                <w:szCs w:val="24"/>
                <w:lang w:val="fr-FR"/>
              </w:rPr>
              <w:t xml:space="preserve"> </w:t>
            </w:r>
            <w:r w:rsidRPr="00F13D2D">
              <w:rPr>
                <w:rFonts w:eastAsia="MS Mincho"/>
                <w:sz w:val="18"/>
                <w:szCs w:val="24"/>
                <w:lang w:val="fr-FR"/>
              </w:rPr>
              <w:t>correctionnelle</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757</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Affaires sanctionnées par la clôture de l</w:t>
            </w:r>
            <w:r w:rsidR="006C160E" w:rsidRPr="00F13D2D">
              <w:rPr>
                <w:rFonts w:eastAsia="MS Mincho"/>
                <w:sz w:val="18"/>
                <w:szCs w:val="24"/>
                <w:lang w:val="fr-FR"/>
              </w:rPr>
              <w:t>’</w:t>
            </w:r>
            <w:r w:rsidRPr="00F13D2D">
              <w:rPr>
                <w:rFonts w:eastAsia="MS Mincho"/>
                <w:sz w:val="18"/>
                <w:szCs w:val="24"/>
                <w:lang w:val="fr-FR"/>
              </w:rPr>
              <w:t>instruction</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1</w:t>
            </w:r>
            <w:r w:rsidR="00E06F1B">
              <w:rPr>
                <w:rFonts w:eastAsia="MS Mincho"/>
                <w:sz w:val="18"/>
                <w:szCs w:val="24"/>
                <w:lang w:val="fr-FR"/>
              </w:rPr>
              <w:t xml:space="preserve"> </w:t>
            </w:r>
            <w:r w:rsidRPr="00F13D2D">
              <w:rPr>
                <w:rFonts w:eastAsia="MS Mincho"/>
                <w:sz w:val="18"/>
                <w:szCs w:val="24"/>
                <w:lang w:val="fr-FR"/>
              </w:rPr>
              <w:t>395</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Mandats de dépôt</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1</w:t>
            </w:r>
            <w:r w:rsidR="00E06F1B">
              <w:rPr>
                <w:rFonts w:eastAsia="MS Mincho"/>
                <w:sz w:val="18"/>
                <w:szCs w:val="24"/>
                <w:lang w:val="fr-FR"/>
              </w:rPr>
              <w:t xml:space="preserve"> </w:t>
            </w:r>
            <w:r w:rsidRPr="00F13D2D">
              <w:rPr>
                <w:rFonts w:eastAsia="MS Mincho"/>
                <w:sz w:val="18"/>
                <w:szCs w:val="24"/>
                <w:lang w:val="fr-FR"/>
              </w:rPr>
              <w:t>579</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Ordonnances de mise en liberté</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421</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Ordonnance de mise sous contrôle judiciaire</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915</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 xml:space="preserve">Ordonnances de </w:t>
            </w:r>
            <w:r w:rsidR="008D0F45" w:rsidRPr="00F13D2D">
              <w:rPr>
                <w:rFonts w:eastAsia="MS Mincho"/>
                <w:sz w:val="18"/>
                <w:szCs w:val="24"/>
                <w:lang w:val="fr-FR"/>
              </w:rPr>
              <w:t>non-lieu</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140</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Procès-verbaux de conciliation</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364</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Cautions</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440</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Visites des prisons</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689</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Commissions rogatoires</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145</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Décision liberté sous caution</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43</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Expertises</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63</w:t>
            </w:r>
          </w:p>
        </w:tc>
      </w:tr>
      <w:tr w:rsidR="00E819C1" w:rsidRPr="00F13D2D" w:rsidTr="00AA7A93">
        <w:tc>
          <w:tcPr>
            <w:tcW w:w="5670" w:type="dxa"/>
            <w:tcBorders>
              <w:bottom w:val="single" w:sz="12" w:space="0" w:color="auto"/>
            </w:tcBorders>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Mandats d</w:t>
            </w:r>
            <w:r w:rsidR="006C160E" w:rsidRPr="00F13D2D">
              <w:rPr>
                <w:rFonts w:eastAsia="MS Mincho"/>
                <w:sz w:val="18"/>
                <w:szCs w:val="24"/>
                <w:lang w:val="fr-FR"/>
              </w:rPr>
              <w:t>’</w:t>
            </w:r>
            <w:r w:rsidRPr="00F13D2D">
              <w:rPr>
                <w:rFonts w:eastAsia="MS Mincho"/>
                <w:sz w:val="18"/>
                <w:szCs w:val="24"/>
                <w:lang w:val="fr-FR"/>
              </w:rPr>
              <w:t>arrêt,</w:t>
            </w:r>
          </w:p>
        </w:tc>
        <w:tc>
          <w:tcPr>
            <w:tcW w:w="1701" w:type="dxa"/>
            <w:tcBorders>
              <w:bottom w:val="single" w:sz="12" w:space="0" w:color="auto"/>
            </w:tcBorders>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297</w:t>
            </w:r>
          </w:p>
        </w:tc>
      </w:tr>
    </w:tbl>
    <w:p w:rsidR="00E819C1" w:rsidRPr="0055270C" w:rsidRDefault="004F2AF9" w:rsidP="0055270C">
      <w:pPr>
        <w:pStyle w:val="H23G"/>
        <w:rPr>
          <w:rFonts w:eastAsia="MS Mincho"/>
        </w:rPr>
      </w:pPr>
      <w:r w:rsidRPr="0055270C">
        <w:rPr>
          <w:rFonts w:eastAsia="MS Mincho"/>
        </w:rPr>
        <w:tab/>
      </w:r>
      <w:r w:rsidRPr="0055270C">
        <w:rPr>
          <w:rFonts w:eastAsia="MS Mincho"/>
        </w:rPr>
        <w:tab/>
      </w:r>
      <w:r w:rsidR="00E819C1" w:rsidRPr="0055270C">
        <w:rPr>
          <w:rFonts w:eastAsia="MS Mincho"/>
        </w:rPr>
        <w:t>Statistiques du parquet de Nouakchott (année 2012)</w:t>
      </w:r>
      <w:r w:rsidRPr="0055270C">
        <w:rPr>
          <w:rFonts w:eastAsia="MS Mincho"/>
        </w:rPr>
        <w:t>-</w:t>
      </w:r>
      <w:r w:rsidR="00E819C1" w:rsidRPr="0055270C">
        <w:rPr>
          <w:rFonts w:eastAsia="MS Mincho"/>
        </w:rPr>
        <w:t>Statistiques (Crimes, année 2012)</w:t>
      </w:r>
    </w:p>
    <w:tbl>
      <w:tblPr>
        <w:tblW w:w="0" w:type="auto"/>
        <w:tblInd w:w="1134" w:type="dxa"/>
        <w:tblLayout w:type="fixed"/>
        <w:tblCellMar>
          <w:left w:w="0" w:type="dxa"/>
          <w:right w:w="0" w:type="dxa"/>
        </w:tblCellMar>
        <w:tblLook w:val="04A0" w:firstRow="1" w:lastRow="0" w:firstColumn="1" w:lastColumn="0" w:noHBand="0" w:noVBand="1"/>
      </w:tblPr>
      <w:tblGrid>
        <w:gridCol w:w="5670"/>
        <w:gridCol w:w="1701"/>
      </w:tblGrid>
      <w:tr w:rsidR="00E819C1" w:rsidRPr="00F13D2D" w:rsidTr="00AA7A93">
        <w:trPr>
          <w:tblHeader/>
        </w:trPr>
        <w:tc>
          <w:tcPr>
            <w:tcW w:w="5670" w:type="dxa"/>
            <w:tcBorders>
              <w:top w:val="single" w:sz="4" w:space="0" w:color="auto"/>
              <w:bottom w:val="single" w:sz="12" w:space="0" w:color="auto"/>
            </w:tcBorders>
            <w:shd w:val="clear" w:color="auto" w:fill="auto"/>
            <w:vAlign w:val="bottom"/>
          </w:tcPr>
          <w:p w:rsidR="00E819C1" w:rsidRPr="00F13D2D" w:rsidRDefault="00E819C1" w:rsidP="00AA7A93">
            <w:pPr>
              <w:keepNext/>
              <w:shd w:val="clear" w:color="auto" w:fill="FFFFFF"/>
              <w:suppressAutoHyphens w:val="0"/>
              <w:spacing w:before="80" w:after="80" w:line="200" w:lineRule="exact"/>
              <w:textAlignment w:val="baseline"/>
              <w:rPr>
                <w:rFonts w:eastAsia="MS Mincho"/>
                <w:bCs/>
                <w:i/>
                <w:sz w:val="16"/>
                <w:szCs w:val="24"/>
                <w:lang w:val="fr-FR"/>
              </w:rPr>
            </w:pPr>
            <w:r w:rsidRPr="00F13D2D">
              <w:rPr>
                <w:rFonts w:eastAsia="MS Mincho"/>
                <w:bCs/>
                <w:i/>
                <w:sz w:val="16"/>
                <w:szCs w:val="24"/>
                <w:lang w:val="fr-FR"/>
              </w:rPr>
              <w:t>Qualifications</w:t>
            </w:r>
          </w:p>
        </w:tc>
        <w:tc>
          <w:tcPr>
            <w:tcW w:w="1701" w:type="dxa"/>
            <w:tcBorders>
              <w:top w:val="single" w:sz="4" w:space="0" w:color="auto"/>
              <w:bottom w:val="single" w:sz="12" w:space="0" w:color="auto"/>
            </w:tcBorders>
            <w:shd w:val="clear" w:color="auto" w:fill="auto"/>
            <w:vAlign w:val="bottom"/>
          </w:tcPr>
          <w:p w:rsidR="00E819C1" w:rsidRPr="00F13D2D" w:rsidRDefault="00E819C1" w:rsidP="00AA7A93">
            <w:pPr>
              <w:keepNext/>
              <w:shd w:val="clear" w:color="auto" w:fill="FFFFFF"/>
              <w:suppressAutoHyphens w:val="0"/>
              <w:spacing w:before="80" w:after="80" w:line="200" w:lineRule="exact"/>
              <w:jc w:val="right"/>
              <w:textAlignment w:val="baseline"/>
              <w:rPr>
                <w:rFonts w:eastAsia="MS Mincho"/>
                <w:bCs/>
                <w:i/>
                <w:sz w:val="16"/>
                <w:szCs w:val="24"/>
                <w:lang w:val="fr-FR"/>
              </w:rPr>
            </w:pPr>
            <w:r w:rsidRPr="00F13D2D">
              <w:rPr>
                <w:rFonts w:eastAsia="MS Mincho"/>
                <w:bCs/>
                <w:i/>
                <w:sz w:val="16"/>
                <w:szCs w:val="24"/>
                <w:lang w:val="fr-FR"/>
              </w:rPr>
              <w:t>Nombre</w:t>
            </w:r>
          </w:p>
        </w:tc>
      </w:tr>
      <w:tr w:rsidR="00E819C1" w:rsidRPr="00F13D2D" w:rsidTr="00AA7A93">
        <w:tc>
          <w:tcPr>
            <w:tcW w:w="5670" w:type="dxa"/>
            <w:tcBorders>
              <w:top w:val="single" w:sz="12" w:space="0" w:color="auto"/>
            </w:tcBorders>
            <w:shd w:val="clear" w:color="auto" w:fill="auto"/>
          </w:tcPr>
          <w:p w:rsidR="00E819C1" w:rsidRPr="00F13D2D" w:rsidRDefault="00E819C1" w:rsidP="00AA7A93">
            <w:pPr>
              <w:keepNext/>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Vols qualifiés</w:t>
            </w:r>
          </w:p>
        </w:tc>
        <w:tc>
          <w:tcPr>
            <w:tcW w:w="1701" w:type="dxa"/>
            <w:tcBorders>
              <w:top w:val="single" w:sz="12" w:space="0" w:color="auto"/>
            </w:tcBorders>
            <w:shd w:val="clear" w:color="auto" w:fill="auto"/>
            <w:vAlign w:val="bottom"/>
          </w:tcPr>
          <w:p w:rsidR="00E819C1" w:rsidRPr="00F13D2D" w:rsidRDefault="00E819C1" w:rsidP="00AA7A93">
            <w:pPr>
              <w:keepNext/>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156</w:t>
            </w:r>
          </w:p>
        </w:tc>
      </w:tr>
      <w:tr w:rsidR="00E819C1" w:rsidRPr="00F13D2D" w:rsidTr="00AA7A93">
        <w:tc>
          <w:tcPr>
            <w:tcW w:w="5670" w:type="dxa"/>
            <w:shd w:val="clear" w:color="auto" w:fill="auto"/>
          </w:tcPr>
          <w:p w:rsidR="00E819C1" w:rsidRPr="00F13D2D" w:rsidRDefault="00E819C1" w:rsidP="00AA7A93">
            <w:pPr>
              <w:keepNext/>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Viols</w:t>
            </w:r>
          </w:p>
        </w:tc>
        <w:tc>
          <w:tcPr>
            <w:tcW w:w="1701" w:type="dxa"/>
            <w:shd w:val="clear" w:color="auto" w:fill="auto"/>
            <w:vAlign w:val="bottom"/>
          </w:tcPr>
          <w:p w:rsidR="00E819C1" w:rsidRPr="00F13D2D" w:rsidRDefault="00E819C1" w:rsidP="00AA7A93">
            <w:pPr>
              <w:keepNext/>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49</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Possession, vente et importation de la drogue</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56</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Vente d’alcool</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52</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Zina</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12</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Homicide volontaire</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22</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Faux et usage de faux</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21</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Destruction des biens d’autrui</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36</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Menace de mort</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15</w:t>
            </w:r>
          </w:p>
        </w:tc>
      </w:tr>
      <w:tr w:rsidR="00E819C1" w:rsidRPr="00F13D2D" w:rsidTr="00AA7A93">
        <w:tc>
          <w:tcPr>
            <w:tcW w:w="5670" w:type="dxa"/>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Coups volontaires</w:t>
            </w:r>
          </w:p>
        </w:tc>
        <w:tc>
          <w:tcPr>
            <w:tcW w:w="1701" w:type="dxa"/>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47</w:t>
            </w:r>
          </w:p>
        </w:tc>
      </w:tr>
      <w:tr w:rsidR="00E819C1" w:rsidRPr="00F13D2D" w:rsidTr="00AA7A93">
        <w:tc>
          <w:tcPr>
            <w:tcW w:w="5670" w:type="dxa"/>
            <w:tcBorders>
              <w:bottom w:val="single" w:sz="12" w:space="0" w:color="auto"/>
            </w:tcBorders>
            <w:shd w:val="clear" w:color="auto" w:fill="auto"/>
          </w:tcPr>
          <w:p w:rsidR="00E819C1" w:rsidRPr="00F13D2D" w:rsidRDefault="00E819C1" w:rsidP="00E819C1">
            <w:pPr>
              <w:shd w:val="clear" w:color="auto" w:fill="FFFFFF"/>
              <w:suppressAutoHyphens w:val="0"/>
              <w:spacing w:before="40" w:after="40" w:line="220" w:lineRule="exact"/>
              <w:textAlignment w:val="baseline"/>
              <w:rPr>
                <w:rFonts w:eastAsia="MS Mincho"/>
                <w:sz w:val="18"/>
                <w:szCs w:val="24"/>
                <w:lang w:val="fr-FR"/>
              </w:rPr>
            </w:pPr>
            <w:r w:rsidRPr="00F13D2D">
              <w:rPr>
                <w:rFonts w:eastAsia="MS Mincho"/>
                <w:sz w:val="18"/>
                <w:szCs w:val="24"/>
                <w:lang w:val="fr-FR"/>
              </w:rPr>
              <w:t>Terrorisme</w:t>
            </w:r>
          </w:p>
        </w:tc>
        <w:tc>
          <w:tcPr>
            <w:tcW w:w="1701" w:type="dxa"/>
            <w:tcBorders>
              <w:bottom w:val="single" w:sz="12" w:space="0" w:color="auto"/>
            </w:tcBorders>
            <w:shd w:val="clear" w:color="auto" w:fill="auto"/>
            <w:vAlign w:val="bottom"/>
          </w:tcPr>
          <w:p w:rsidR="00E819C1" w:rsidRPr="00F13D2D" w:rsidRDefault="00E819C1" w:rsidP="00E819C1">
            <w:pPr>
              <w:shd w:val="clear" w:color="auto" w:fill="FFFFFF"/>
              <w:suppressAutoHyphens w:val="0"/>
              <w:spacing w:before="40" w:after="40" w:line="220" w:lineRule="exact"/>
              <w:jc w:val="right"/>
              <w:textAlignment w:val="baseline"/>
              <w:rPr>
                <w:rFonts w:eastAsia="MS Mincho"/>
                <w:sz w:val="18"/>
                <w:szCs w:val="24"/>
                <w:lang w:val="fr-FR"/>
              </w:rPr>
            </w:pPr>
            <w:r w:rsidRPr="00F13D2D">
              <w:rPr>
                <w:rFonts w:eastAsia="MS Mincho"/>
                <w:sz w:val="18"/>
                <w:szCs w:val="24"/>
                <w:lang w:val="fr-FR"/>
              </w:rPr>
              <w:t>7</w:t>
            </w:r>
          </w:p>
        </w:tc>
      </w:tr>
    </w:tbl>
    <w:p w:rsidR="00E819C1" w:rsidRPr="00F13D2D" w:rsidRDefault="001B66B2" w:rsidP="00AA7A93">
      <w:pPr>
        <w:pStyle w:val="H23G"/>
        <w:rPr>
          <w:rFonts w:eastAsia="MS Mincho"/>
          <w:lang w:val="fr-FR"/>
        </w:rPr>
      </w:pPr>
      <w:r>
        <w:rPr>
          <w:rFonts w:eastAsia="MS Mincho"/>
          <w:lang w:val="fr-FR"/>
        </w:rPr>
        <w:lastRenderedPageBreak/>
        <w:tab/>
      </w:r>
      <w:r>
        <w:rPr>
          <w:rFonts w:eastAsia="MS Mincho"/>
          <w:lang w:val="fr-FR"/>
        </w:rPr>
        <w:tab/>
        <w:t>D</w:t>
      </w:r>
      <w:r w:rsidR="00E819C1" w:rsidRPr="00F13D2D">
        <w:rPr>
          <w:rFonts w:eastAsia="MS Mincho"/>
          <w:lang w:val="fr-FR"/>
        </w:rPr>
        <w:t>élits</w:t>
      </w:r>
    </w:p>
    <w:tbl>
      <w:tblPr>
        <w:tblW w:w="0" w:type="auto"/>
        <w:tblInd w:w="1134" w:type="dxa"/>
        <w:tblLayout w:type="fixed"/>
        <w:tblCellMar>
          <w:left w:w="0" w:type="dxa"/>
          <w:right w:w="0" w:type="dxa"/>
        </w:tblCellMar>
        <w:tblLook w:val="04A0" w:firstRow="1" w:lastRow="0" w:firstColumn="1" w:lastColumn="0" w:noHBand="0" w:noVBand="1"/>
      </w:tblPr>
      <w:tblGrid>
        <w:gridCol w:w="5670"/>
        <w:gridCol w:w="1701"/>
      </w:tblGrid>
      <w:tr w:rsidR="00E819C1" w:rsidRPr="00F13D2D" w:rsidTr="00AA7A93">
        <w:trPr>
          <w:tblHeader/>
        </w:trPr>
        <w:tc>
          <w:tcPr>
            <w:tcW w:w="5670" w:type="dxa"/>
            <w:tcBorders>
              <w:top w:val="single" w:sz="4" w:space="0" w:color="auto"/>
              <w:bottom w:val="single" w:sz="12" w:space="0" w:color="auto"/>
            </w:tcBorders>
            <w:shd w:val="clear" w:color="auto" w:fill="auto"/>
            <w:vAlign w:val="bottom"/>
          </w:tcPr>
          <w:p w:rsidR="00E819C1" w:rsidRPr="00F13D2D" w:rsidRDefault="00E819C1" w:rsidP="00E819C1">
            <w:pPr>
              <w:shd w:val="clear" w:color="auto" w:fill="FFFFFF"/>
              <w:suppressAutoHyphens w:val="0"/>
              <w:spacing w:before="80" w:after="80" w:line="200" w:lineRule="exact"/>
              <w:textAlignment w:val="baseline"/>
              <w:rPr>
                <w:rFonts w:eastAsia="MS Mincho"/>
                <w:bCs/>
                <w:i/>
                <w:sz w:val="16"/>
                <w:szCs w:val="24"/>
                <w:lang w:val="fr-FR"/>
              </w:rPr>
            </w:pPr>
            <w:r w:rsidRPr="00F13D2D">
              <w:rPr>
                <w:rFonts w:eastAsia="MS Mincho"/>
                <w:bCs/>
                <w:i/>
                <w:sz w:val="16"/>
                <w:szCs w:val="24"/>
                <w:lang w:val="fr-FR"/>
              </w:rPr>
              <w:t>Qualifications</w:t>
            </w:r>
          </w:p>
        </w:tc>
        <w:tc>
          <w:tcPr>
            <w:tcW w:w="1701" w:type="dxa"/>
            <w:tcBorders>
              <w:top w:val="single" w:sz="4" w:space="0" w:color="auto"/>
              <w:bottom w:val="single" w:sz="12" w:space="0" w:color="auto"/>
            </w:tcBorders>
            <w:shd w:val="clear" w:color="auto" w:fill="auto"/>
            <w:vAlign w:val="bottom"/>
          </w:tcPr>
          <w:p w:rsidR="00E819C1" w:rsidRPr="00F13D2D" w:rsidRDefault="00E819C1" w:rsidP="00E819C1">
            <w:pPr>
              <w:shd w:val="clear" w:color="auto" w:fill="FFFFFF"/>
              <w:suppressAutoHyphens w:val="0"/>
              <w:spacing w:before="80" w:after="80" w:line="200" w:lineRule="exact"/>
              <w:jc w:val="right"/>
              <w:textAlignment w:val="baseline"/>
              <w:rPr>
                <w:rFonts w:eastAsia="MS Mincho"/>
                <w:bCs/>
                <w:i/>
                <w:sz w:val="16"/>
                <w:szCs w:val="24"/>
                <w:lang w:val="fr-FR"/>
              </w:rPr>
            </w:pPr>
            <w:r w:rsidRPr="00F13D2D">
              <w:rPr>
                <w:rFonts w:eastAsia="MS Mincho"/>
                <w:bCs/>
                <w:i/>
                <w:sz w:val="16"/>
                <w:szCs w:val="24"/>
                <w:lang w:val="fr-FR"/>
              </w:rPr>
              <w:t>Nombre</w:t>
            </w:r>
          </w:p>
        </w:tc>
      </w:tr>
      <w:tr w:rsidR="00E819C1" w:rsidRPr="00F13D2D" w:rsidTr="00AA7A93">
        <w:tc>
          <w:tcPr>
            <w:tcW w:w="5670" w:type="dxa"/>
            <w:tcBorders>
              <w:top w:val="single" w:sz="12" w:space="0" w:color="auto"/>
            </w:tcBorders>
            <w:shd w:val="clear" w:color="auto" w:fill="auto"/>
          </w:tcPr>
          <w:p w:rsidR="00E819C1" w:rsidRPr="00F13D2D" w:rsidRDefault="00E819C1" w:rsidP="007F1D55">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t>Vol</w:t>
            </w:r>
          </w:p>
        </w:tc>
        <w:tc>
          <w:tcPr>
            <w:tcW w:w="1701" w:type="dxa"/>
            <w:tcBorders>
              <w:top w:val="single" w:sz="12" w:space="0" w:color="auto"/>
            </w:tcBorders>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445</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t>Coups et blessures volontaires</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104</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t>Blessures involontaires</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105</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t>Homicides involontaires</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73</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t>Escroquerie</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89</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t>Abus de confiance</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67</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t>Consommation de drogue</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49</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t>Consommations de psychotropes</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65</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t xml:space="preserve">Faux et usage de faux </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21</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rFonts w:eastAsia="MS Mincho"/>
                <w:sz w:val="18"/>
                <w:szCs w:val="24"/>
                <w:lang w:val="fr-FR"/>
              </w:rPr>
            </w:pPr>
            <w:r w:rsidRPr="00F13D2D">
              <w:rPr>
                <w:rFonts w:eastAsia="MS Mincho"/>
                <w:sz w:val="18"/>
                <w:szCs w:val="24"/>
                <w:lang w:val="fr-FR"/>
              </w:rPr>
              <w:t>Chèque sans provision</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rFonts w:eastAsia="MS Mincho"/>
                <w:sz w:val="18"/>
                <w:szCs w:val="24"/>
                <w:lang w:val="fr-FR"/>
              </w:rPr>
            </w:pPr>
            <w:r w:rsidRPr="00F13D2D">
              <w:rPr>
                <w:rFonts w:eastAsia="MS Mincho"/>
                <w:sz w:val="18"/>
                <w:szCs w:val="24"/>
                <w:lang w:val="fr-FR"/>
              </w:rPr>
              <w:t>106</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sz w:val="18"/>
                <w:szCs w:val="24"/>
                <w:lang w:val="fr-FR" w:eastAsia="fr-FR"/>
              </w:rPr>
            </w:pPr>
            <w:r w:rsidRPr="00F13D2D">
              <w:rPr>
                <w:sz w:val="18"/>
                <w:szCs w:val="24"/>
                <w:lang w:val="fr-FR" w:eastAsia="fr-FR"/>
              </w:rPr>
              <w:t>Entrave à l’exécution des décisions de justice</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sz w:val="18"/>
                <w:szCs w:val="24"/>
                <w:lang w:val="fr-FR" w:eastAsia="fr-FR"/>
              </w:rPr>
            </w:pPr>
            <w:r w:rsidRPr="00F13D2D">
              <w:rPr>
                <w:sz w:val="18"/>
                <w:szCs w:val="24"/>
                <w:lang w:val="fr-FR" w:eastAsia="fr-FR"/>
              </w:rPr>
              <w:t>10</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sz w:val="18"/>
                <w:szCs w:val="24"/>
                <w:lang w:val="fr-FR" w:eastAsia="fr-FR"/>
              </w:rPr>
            </w:pPr>
            <w:r w:rsidRPr="00F13D2D">
              <w:rPr>
                <w:sz w:val="18"/>
                <w:szCs w:val="24"/>
                <w:lang w:val="fr-FR" w:eastAsia="fr-FR"/>
              </w:rPr>
              <w:t>Insubordination parentale</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sz w:val="18"/>
                <w:szCs w:val="24"/>
                <w:lang w:val="fr-FR" w:eastAsia="fr-FR"/>
              </w:rPr>
            </w:pPr>
            <w:r w:rsidRPr="00F13D2D">
              <w:rPr>
                <w:sz w:val="18"/>
                <w:szCs w:val="24"/>
                <w:lang w:val="fr-FR" w:eastAsia="fr-FR"/>
              </w:rPr>
              <w:t>12</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sz w:val="18"/>
                <w:szCs w:val="24"/>
                <w:lang w:val="fr-FR" w:eastAsia="fr-FR"/>
              </w:rPr>
            </w:pPr>
            <w:r w:rsidRPr="00F13D2D">
              <w:rPr>
                <w:sz w:val="18"/>
                <w:szCs w:val="24"/>
                <w:lang w:val="fr-FR" w:eastAsia="fr-FR"/>
              </w:rPr>
              <w:t>Atteinte aux mœurs</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sz w:val="18"/>
                <w:szCs w:val="24"/>
                <w:lang w:val="fr-FR" w:eastAsia="fr-FR"/>
              </w:rPr>
            </w:pPr>
            <w:r w:rsidRPr="00F13D2D">
              <w:rPr>
                <w:sz w:val="18"/>
                <w:szCs w:val="24"/>
                <w:lang w:val="fr-FR" w:eastAsia="fr-FR"/>
              </w:rPr>
              <w:t>22</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sz w:val="18"/>
                <w:szCs w:val="24"/>
                <w:lang w:val="fr-FR" w:eastAsia="fr-FR"/>
              </w:rPr>
            </w:pPr>
            <w:r w:rsidRPr="00F13D2D">
              <w:rPr>
                <w:sz w:val="18"/>
                <w:szCs w:val="24"/>
                <w:lang w:val="fr-FR" w:eastAsia="fr-FR"/>
              </w:rPr>
              <w:t>Corruption</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sz w:val="18"/>
                <w:szCs w:val="24"/>
                <w:lang w:val="fr-FR" w:eastAsia="fr-FR"/>
              </w:rPr>
            </w:pPr>
            <w:r w:rsidRPr="00F13D2D">
              <w:rPr>
                <w:sz w:val="18"/>
                <w:szCs w:val="24"/>
                <w:lang w:val="fr-FR" w:eastAsia="fr-FR"/>
              </w:rPr>
              <w:t>10</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sz w:val="18"/>
                <w:szCs w:val="24"/>
                <w:lang w:val="fr-FR" w:eastAsia="fr-FR"/>
              </w:rPr>
            </w:pPr>
            <w:r w:rsidRPr="00F13D2D">
              <w:rPr>
                <w:sz w:val="18"/>
                <w:szCs w:val="24"/>
                <w:lang w:val="fr-FR" w:eastAsia="fr-FR"/>
              </w:rPr>
              <w:t>Menace</w:t>
            </w:r>
            <w:r w:rsidR="006C160E" w:rsidRPr="00F13D2D">
              <w:rPr>
                <w:sz w:val="18"/>
                <w:szCs w:val="24"/>
                <w:lang w:val="fr-FR" w:eastAsia="fr-FR"/>
              </w:rPr>
              <w:t xml:space="preserve"> </w:t>
            </w:r>
            <w:r w:rsidRPr="00F13D2D">
              <w:rPr>
                <w:sz w:val="18"/>
                <w:szCs w:val="24"/>
                <w:lang w:val="fr-FR" w:eastAsia="fr-FR"/>
              </w:rPr>
              <w:t>d’agression</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sz w:val="18"/>
                <w:szCs w:val="24"/>
                <w:lang w:val="fr-FR" w:eastAsia="fr-FR"/>
              </w:rPr>
            </w:pPr>
            <w:r w:rsidRPr="00F13D2D">
              <w:rPr>
                <w:sz w:val="18"/>
                <w:szCs w:val="24"/>
                <w:lang w:val="fr-FR" w:eastAsia="fr-FR"/>
              </w:rPr>
              <w:t>15</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sz w:val="18"/>
                <w:szCs w:val="24"/>
                <w:lang w:val="fr-FR" w:eastAsia="fr-FR"/>
              </w:rPr>
            </w:pPr>
            <w:r w:rsidRPr="00F13D2D">
              <w:rPr>
                <w:sz w:val="18"/>
                <w:szCs w:val="24"/>
                <w:lang w:val="fr-FR" w:eastAsia="fr-FR"/>
              </w:rPr>
              <w:t>Sorcellerie et charlatanisme</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sz w:val="18"/>
                <w:szCs w:val="24"/>
                <w:lang w:val="fr-FR" w:eastAsia="fr-FR"/>
              </w:rPr>
            </w:pPr>
            <w:r w:rsidRPr="00F13D2D">
              <w:rPr>
                <w:sz w:val="18"/>
                <w:szCs w:val="24"/>
                <w:lang w:val="fr-FR" w:eastAsia="fr-FR"/>
              </w:rPr>
              <w:t>15</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sz w:val="18"/>
                <w:szCs w:val="24"/>
                <w:lang w:val="fr-FR" w:eastAsia="fr-FR"/>
              </w:rPr>
            </w:pPr>
            <w:r w:rsidRPr="00F13D2D">
              <w:rPr>
                <w:sz w:val="18"/>
                <w:szCs w:val="24"/>
                <w:lang w:val="fr-FR" w:eastAsia="fr-FR"/>
              </w:rPr>
              <w:t>Jeux de hasard</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sz w:val="18"/>
                <w:szCs w:val="24"/>
                <w:lang w:val="fr-FR" w:eastAsia="fr-FR"/>
              </w:rPr>
            </w:pPr>
            <w:r w:rsidRPr="00F13D2D">
              <w:rPr>
                <w:sz w:val="18"/>
                <w:szCs w:val="24"/>
                <w:lang w:val="fr-FR" w:eastAsia="fr-FR"/>
              </w:rPr>
              <w:t>4</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sz w:val="18"/>
                <w:szCs w:val="24"/>
                <w:lang w:val="fr-FR" w:eastAsia="fr-FR"/>
              </w:rPr>
            </w:pPr>
            <w:r w:rsidRPr="00F13D2D">
              <w:rPr>
                <w:sz w:val="18"/>
                <w:szCs w:val="24"/>
                <w:lang w:val="fr-FR" w:eastAsia="fr-FR"/>
              </w:rPr>
              <w:t>Kidnapping</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sz w:val="18"/>
                <w:szCs w:val="24"/>
                <w:lang w:val="fr-FR" w:eastAsia="fr-FR"/>
              </w:rPr>
            </w:pPr>
            <w:r w:rsidRPr="00F13D2D">
              <w:rPr>
                <w:sz w:val="18"/>
                <w:szCs w:val="24"/>
                <w:lang w:val="fr-FR" w:eastAsia="fr-FR"/>
              </w:rPr>
              <w:t>1</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sz w:val="18"/>
                <w:szCs w:val="24"/>
                <w:lang w:val="fr-FR" w:eastAsia="fr-FR"/>
              </w:rPr>
            </w:pPr>
            <w:r w:rsidRPr="00F13D2D">
              <w:rPr>
                <w:sz w:val="18"/>
                <w:szCs w:val="24"/>
                <w:lang w:val="fr-FR" w:eastAsia="fr-FR"/>
              </w:rPr>
              <w:t>Vagabondage</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sz w:val="18"/>
                <w:szCs w:val="24"/>
                <w:lang w:val="fr-FR" w:eastAsia="fr-FR"/>
              </w:rPr>
            </w:pPr>
            <w:r w:rsidRPr="00F13D2D">
              <w:rPr>
                <w:sz w:val="18"/>
                <w:szCs w:val="24"/>
                <w:lang w:val="fr-FR" w:eastAsia="fr-FR"/>
              </w:rPr>
              <w:t>3</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sz w:val="18"/>
                <w:szCs w:val="24"/>
                <w:lang w:val="fr-FR" w:eastAsia="fr-FR"/>
              </w:rPr>
            </w:pPr>
            <w:r w:rsidRPr="00F13D2D">
              <w:rPr>
                <w:sz w:val="18"/>
                <w:szCs w:val="24"/>
                <w:lang w:val="fr-FR" w:eastAsia="fr-FR"/>
              </w:rPr>
              <w:t>Importation d’armes</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sz w:val="18"/>
                <w:szCs w:val="24"/>
                <w:lang w:val="fr-FR" w:eastAsia="fr-FR"/>
              </w:rPr>
            </w:pPr>
            <w:r w:rsidRPr="00F13D2D">
              <w:rPr>
                <w:sz w:val="18"/>
                <w:szCs w:val="24"/>
                <w:lang w:val="fr-FR" w:eastAsia="fr-FR"/>
              </w:rPr>
              <w:t>2</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sz w:val="18"/>
                <w:szCs w:val="24"/>
                <w:lang w:val="fr-FR" w:eastAsia="fr-FR"/>
              </w:rPr>
            </w:pPr>
            <w:r w:rsidRPr="00F13D2D">
              <w:rPr>
                <w:sz w:val="18"/>
                <w:szCs w:val="24"/>
                <w:lang w:val="fr-FR" w:eastAsia="fr-FR"/>
              </w:rPr>
              <w:t>Conduite sans permis</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sz w:val="18"/>
                <w:szCs w:val="24"/>
                <w:lang w:val="fr-FR" w:eastAsia="fr-FR"/>
              </w:rPr>
            </w:pPr>
            <w:r w:rsidRPr="00F13D2D">
              <w:rPr>
                <w:sz w:val="18"/>
                <w:szCs w:val="24"/>
                <w:lang w:val="fr-FR" w:eastAsia="fr-FR"/>
              </w:rPr>
              <w:t>21</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sz w:val="18"/>
                <w:szCs w:val="24"/>
                <w:lang w:val="fr-FR" w:eastAsia="fr-FR"/>
              </w:rPr>
            </w:pPr>
            <w:r w:rsidRPr="00F13D2D">
              <w:rPr>
                <w:sz w:val="18"/>
                <w:szCs w:val="24"/>
                <w:lang w:val="fr-FR" w:eastAsia="fr-FR"/>
              </w:rPr>
              <w:t>Conduite sans assurance</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sz w:val="18"/>
                <w:szCs w:val="24"/>
                <w:lang w:val="fr-FR" w:eastAsia="fr-FR"/>
              </w:rPr>
            </w:pPr>
            <w:r w:rsidRPr="00F13D2D">
              <w:rPr>
                <w:sz w:val="18"/>
                <w:szCs w:val="24"/>
                <w:lang w:val="fr-FR" w:eastAsia="fr-FR"/>
              </w:rPr>
              <w:t>27</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sz w:val="18"/>
                <w:szCs w:val="24"/>
                <w:lang w:val="fr-FR" w:eastAsia="fr-FR"/>
              </w:rPr>
            </w:pPr>
            <w:r w:rsidRPr="00F13D2D">
              <w:rPr>
                <w:sz w:val="18"/>
                <w:szCs w:val="24"/>
                <w:lang w:val="fr-FR" w:eastAsia="fr-FR"/>
              </w:rPr>
              <w:t>Usage de fausse qualité</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sz w:val="18"/>
                <w:szCs w:val="24"/>
                <w:lang w:val="fr-FR" w:eastAsia="fr-FR"/>
              </w:rPr>
            </w:pPr>
            <w:r w:rsidRPr="00F13D2D">
              <w:rPr>
                <w:sz w:val="18"/>
                <w:szCs w:val="24"/>
                <w:lang w:val="fr-FR" w:eastAsia="fr-FR"/>
              </w:rPr>
              <w:t>13</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sz w:val="18"/>
                <w:szCs w:val="24"/>
                <w:lang w:val="fr-FR" w:eastAsia="fr-FR"/>
              </w:rPr>
            </w:pPr>
            <w:r w:rsidRPr="00F13D2D">
              <w:rPr>
                <w:sz w:val="18"/>
                <w:szCs w:val="24"/>
                <w:lang w:val="fr-FR" w:eastAsia="fr-FR"/>
              </w:rPr>
              <w:t>Désertion</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sz w:val="18"/>
                <w:szCs w:val="24"/>
                <w:lang w:val="fr-FR" w:eastAsia="fr-FR"/>
              </w:rPr>
            </w:pPr>
            <w:r w:rsidRPr="00F13D2D">
              <w:rPr>
                <w:sz w:val="18"/>
                <w:szCs w:val="24"/>
                <w:lang w:val="fr-FR" w:eastAsia="fr-FR"/>
              </w:rPr>
              <w:t>12</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sz w:val="18"/>
                <w:szCs w:val="24"/>
                <w:lang w:val="fr-FR" w:eastAsia="fr-FR"/>
              </w:rPr>
            </w:pPr>
            <w:proofErr w:type="spellStart"/>
            <w:r w:rsidRPr="00F13D2D">
              <w:rPr>
                <w:sz w:val="18"/>
                <w:szCs w:val="24"/>
                <w:lang w:val="fr-FR" w:eastAsia="fr-FR"/>
              </w:rPr>
              <w:t>Evasion</w:t>
            </w:r>
            <w:proofErr w:type="spellEnd"/>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sz w:val="18"/>
                <w:szCs w:val="24"/>
                <w:lang w:val="fr-FR" w:eastAsia="fr-FR"/>
              </w:rPr>
            </w:pPr>
            <w:r w:rsidRPr="00F13D2D">
              <w:rPr>
                <w:sz w:val="18"/>
                <w:szCs w:val="24"/>
                <w:lang w:val="fr-FR" w:eastAsia="fr-FR"/>
              </w:rPr>
              <w:t>4</w:t>
            </w:r>
          </w:p>
        </w:tc>
      </w:tr>
      <w:tr w:rsidR="00E819C1" w:rsidRPr="00F13D2D" w:rsidTr="00AA7A93">
        <w:tc>
          <w:tcPr>
            <w:tcW w:w="5670" w:type="dxa"/>
            <w:shd w:val="clear" w:color="auto" w:fill="auto"/>
          </w:tcPr>
          <w:p w:rsidR="00E819C1" w:rsidRPr="00F13D2D" w:rsidRDefault="00E819C1" w:rsidP="007F1D55">
            <w:pPr>
              <w:shd w:val="clear" w:color="auto" w:fill="FFFFFF"/>
              <w:suppressAutoHyphens w:val="0"/>
              <w:spacing w:before="40" w:after="40" w:line="200" w:lineRule="exact"/>
              <w:textAlignment w:val="baseline"/>
              <w:rPr>
                <w:sz w:val="18"/>
                <w:szCs w:val="24"/>
                <w:lang w:val="fr-FR" w:eastAsia="fr-FR"/>
              </w:rPr>
            </w:pPr>
            <w:r w:rsidRPr="00F13D2D">
              <w:rPr>
                <w:sz w:val="18"/>
                <w:szCs w:val="24"/>
                <w:lang w:val="fr-FR" w:eastAsia="fr-FR"/>
              </w:rPr>
              <w:t>Incendie</w:t>
            </w:r>
            <w:r w:rsidR="006C160E" w:rsidRPr="00F13D2D">
              <w:rPr>
                <w:sz w:val="18"/>
                <w:szCs w:val="24"/>
                <w:lang w:val="fr-FR" w:eastAsia="fr-FR"/>
              </w:rPr>
              <w:t xml:space="preserve"> </w:t>
            </w:r>
            <w:r w:rsidRPr="00F13D2D">
              <w:rPr>
                <w:sz w:val="18"/>
                <w:szCs w:val="24"/>
                <w:lang w:val="fr-FR" w:eastAsia="fr-FR"/>
              </w:rPr>
              <w:t>de domicile</w:t>
            </w:r>
          </w:p>
        </w:tc>
        <w:tc>
          <w:tcPr>
            <w:tcW w:w="1701" w:type="dxa"/>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sz w:val="18"/>
                <w:szCs w:val="24"/>
                <w:lang w:val="fr-FR" w:eastAsia="fr-FR"/>
              </w:rPr>
            </w:pPr>
            <w:r w:rsidRPr="00F13D2D">
              <w:rPr>
                <w:sz w:val="18"/>
                <w:szCs w:val="24"/>
                <w:lang w:val="fr-FR" w:eastAsia="fr-FR"/>
              </w:rPr>
              <w:t>1</w:t>
            </w:r>
          </w:p>
        </w:tc>
      </w:tr>
      <w:tr w:rsidR="00E819C1" w:rsidRPr="00F13D2D" w:rsidTr="00AA7A93">
        <w:tc>
          <w:tcPr>
            <w:tcW w:w="5670" w:type="dxa"/>
            <w:tcBorders>
              <w:bottom w:val="single" w:sz="12" w:space="0" w:color="auto"/>
            </w:tcBorders>
            <w:shd w:val="clear" w:color="auto" w:fill="auto"/>
          </w:tcPr>
          <w:p w:rsidR="00E819C1" w:rsidRPr="00F13D2D" w:rsidRDefault="00E819C1" w:rsidP="007F1D55">
            <w:pPr>
              <w:shd w:val="clear" w:color="auto" w:fill="FFFFFF"/>
              <w:suppressAutoHyphens w:val="0"/>
              <w:spacing w:before="40" w:after="40" w:line="200" w:lineRule="exact"/>
              <w:textAlignment w:val="baseline"/>
              <w:rPr>
                <w:sz w:val="18"/>
                <w:szCs w:val="24"/>
                <w:lang w:val="fr-FR" w:eastAsia="fr-FR"/>
              </w:rPr>
            </w:pPr>
            <w:r w:rsidRPr="00F13D2D">
              <w:rPr>
                <w:sz w:val="18"/>
                <w:szCs w:val="24"/>
                <w:lang w:val="fr-FR" w:eastAsia="fr-FR"/>
              </w:rPr>
              <w:t>Autres</w:t>
            </w:r>
            <w:r w:rsidR="006C160E" w:rsidRPr="00F13D2D">
              <w:rPr>
                <w:sz w:val="18"/>
                <w:szCs w:val="24"/>
                <w:lang w:val="fr-FR" w:eastAsia="fr-FR"/>
              </w:rPr>
              <w:t xml:space="preserve"> </w:t>
            </w:r>
            <w:r w:rsidRPr="00F13D2D">
              <w:rPr>
                <w:sz w:val="18"/>
                <w:szCs w:val="24"/>
                <w:lang w:val="fr-FR" w:eastAsia="fr-FR"/>
              </w:rPr>
              <w:t>délits</w:t>
            </w:r>
          </w:p>
        </w:tc>
        <w:tc>
          <w:tcPr>
            <w:tcW w:w="1701" w:type="dxa"/>
            <w:tcBorders>
              <w:bottom w:val="single" w:sz="12" w:space="0" w:color="auto"/>
            </w:tcBorders>
            <w:shd w:val="clear" w:color="auto" w:fill="auto"/>
            <w:vAlign w:val="bottom"/>
          </w:tcPr>
          <w:p w:rsidR="00E819C1" w:rsidRPr="00F13D2D" w:rsidRDefault="00E819C1" w:rsidP="007F1D55">
            <w:pPr>
              <w:shd w:val="clear" w:color="auto" w:fill="FFFFFF"/>
              <w:suppressAutoHyphens w:val="0"/>
              <w:spacing w:before="40" w:after="40" w:line="200" w:lineRule="exact"/>
              <w:jc w:val="right"/>
              <w:textAlignment w:val="baseline"/>
              <w:rPr>
                <w:sz w:val="18"/>
                <w:szCs w:val="24"/>
                <w:lang w:val="fr-FR" w:eastAsia="fr-FR"/>
              </w:rPr>
            </w:pPr>
            <w:r w:rsidRPr="00F13D2D">
              <w:rPr>
                <w:sz w:val="18"/>
                <w:szCs w:val="24"/>
                <w:lang w:val="fr-FR" w:eastAsia="fr-FR"/>
              </w:rPr>
              <w:t>16</w:t>
            </w:r>
          </w:p>
        </w:tc>
      </w:tr>
    </w:tbl>
    <w:p w:rsidR="00E819C1" w:rsidRPr="00F13D2D" w:rsidRDefault="00C35C62">
      <w:pPr>
        <w:pStyle w:val="H1G"/>
      </w:pPr>
      <w:bookmarkStart w:id="18" w:name="_Toc453672862"/>
      <w:bookmarkStart w:id="19" w:name="_Toc454388701"/>
      <w:r w:rsidRPr="00F13D2D">
        <w:tab/>
        <w:t>C.</w:t>
      </w:r>
      <w:r w:rsidRPr="00F13D2D">
        <w:tab/>
      </w:r>
      <w:r w:rsidR="00E819C1" w:rsidRPr="00F13D2D">
        <w:t>Cadre général de promotion et de protection des droits de l’homme</w:t>
      </w:r>
      <w:bookmarkEnd w:id="18"/>
      <w:bookmarkEnd w:id="19"/>
    </w:p>
    <w:p w:rsidR="00E819C1" w:rsidRPr="00F13D2D" w:rsidRDefault="00C35C62">
      <w:pPr>
        <w:pStyle w:val="H23G"/>
      </w:pPr>
      <w:bookmarkStart w:id="20" w:name="_Toc453672863"/>
      <w:r w:rsidRPr="00F13D2D">
        <w:rPr>
          <w:rFonts w:eastAsia="Calibri"/>
        </w:rPr>
        <w:tab/>
      </w:r>
      <w:r w:rsidR="00E819C1" w:rsidRPr="00F13D2D">
        <w:t>1</w:t>
      </w:r>
      <w:r w:rsidRPr="00F13D2D">
        <w:rPr>
          <w:rFonts w:eastAsia="Calibri"/>
        </w:rPr>
        <w:t>.</w:t>
      </w:r>
      <w:r w:rsidRPr="00F13D2D">
        <w:rPr>
          <w:rFonts w:eastAsia="Calibri"/>
        </w:rPr>
        <w:tab/>
      </w:r>
      <w:r w:rsidR="00E819C1" w:rsidRPr="00F13D2D">
        <w:rPr>
          <w:rFonts w:eastAsia="Calibri"/>
        </w:rPr>
        <w:t>Acceptation des normes internationales relatives aux droits de l’homme</w:t>
      </w:r>
      <w:bookmarkEnd w:id="20"/>
    </w:p>
    <w:p w:rsidR="00E819C1" w:rsidRPr="00F13D2D" w:rsidRDefault="001B66B2" w:rsidP="00AA7A93">
      <w:pPr>
        <w:pStyle w:val="H23G"/>
        <w:ind w:right="0"/>
        <w:rPr>
          <w:rFonts w:eastAsia="Calibri"/>
          <w:lang w:val="fr-FR"/>
        </w:rPr>
      </w:pPr>
      <w:r>
        <w:rPr>
          <w:rFonts w:eastAsia="Calibri"/>
          <w:lang w:val="fr-FR"/>
        </w:rPr>
        <w:tab/>
      </w:r>
      <w:r>
        <w:rPr>
          <w:rFonts w:eastAsia="Calibri"/>
          <w:lang w:val="fr-FR"/>
        </w:rPr>
        <w:tab/>
      </w:r>
      <w:r w:rsidR="00E819C1" w:rsidRPr="001B66B2">
        <w:rPr>
          <w:rFonts w:eastAsia="Calibri"/>
          <w:b w:val="0"/>
          <w:lang w:val="fr-FR"/>
        </w:rPr>
        <w:t>Tableau n</w:t>
      </w:r>
      <w:r w:rsidRPr="00AA7A93">
        <w:rPr>
          <w:rFonts w:eastAsia="Calibri"/>
          <w:b w:val="0"/>
          <w:vertAlign w:val="superscript"/>
          <w:lang w:val="fr-FR"/>
        </w:rPr>
        <w:t>o</w:t>
      </w:r>
      <w:r w:rsidRPr="001B66B2">
        <w:rPr>
          <w:rFonts w:eastAsia="Calibri"/>
          <w:b w:val="0"/>
          <w:lang w:val="fr-FR"/>
        </w:rPr>
        <w:t> </w:t>
      </w:r>
      <w:r w:rsidR="00E819C1" w:rsidRPr="001B66B2">
        <w:rPr>
          <w:rFonts w:eastAsia="Calibri"/>
          <w:b w:val="0"/>
          <w:lang w:val="fr-FR"/>
        </w:rPr>
        <w:t>3</w:t>
      </w:r>
      <w:r>
        <w:rPr>
          <w:rFonts w:eastAsia="Calibri"/>
          <w:lang w:val="fr-FR"/>
        </w:rPr>
        <w:br/>
        <w:t>P</w:t>
      </w:r>
      <w:r w:rsidR="00E819C1" w:rsidRPr="00F13D2D">
        <w:rPr>
          <w:rFonts w:eastAsia="Calibri"/>
          <w:lang w:val="fr-FR"/>
        </w:rPr>
        <w:t xml:space="preserve">rincipaux instruments internationaux des </w:t>
      </w:r>
      <w:r w:rsidR="00D9438A">
        <w:rPr>
          <w:rFonts w:eastAsia="Calibri"/>
          <w:lang w:val="fr-FR"/>
        </w:rPr>
        <w:t>d</w:t>
      </w:r>
      <w:r w:rsidR="00E819C1" w:rsidRPr="00F13D2D">
        <w:rPr>
          <w:rFonts w:eastAsia="Calibri"/>
          <w:lang w:val="fr-FR"/>
        </w:rPr>
        <w:t>roits de l’</w:t>
      </w:r>
      <w:r w:rsidR="00D9438A">
        <w:rPr>
          <w:rFonts w:eastAsia="Calibri"/>
          <w:lang w:val="fr-FR"/>
        </w:rPr>
        <w:t>h</w:t>
      </w:r>
      <w:r w:rsidR="00E819C1" w:rsidRPr="00F13D2D">
        <w:rPr>
          <w:rFonts w:eastAsia="Calibri"/>
          <w:lang w:val="fr-FR"/>
        </w:rPr>
        <w:t>omme ratifiés par la Mauritanie</w:t>
      </w:r>
    </w:p>
    <w:tbl>
      <w:tblPr>
        <w:tblW w:w="0" w:type="auto"/>
        <w:tblInd w:w="1134" w:type="dxa"/>
        <w:tblLayout w:type="fixed"/>
        <w:tblCellMar>
          <w:left w:w="0" w:type="dxa"/>
          <w:right w:w="0" w:type="dxa"/>
        </w:tblCellMar>
        <w:tblLook w:val="04A0" w:firstRow="1" w:lastRow="0" w:firstColumn="1" w:lastColumn="0" w:noHBand="0" w:noVBand="1"/>
      </w:tblPr>
      <w:tblGrid>
        <w:gridCol w:w="567"/>
        <w:gridCol w:w="2552"/>
        <w:gridCol w:w="1418"/>
        <w:gridCol w:w="1418"/>
        <w:gridCol w:w="2552"/>
      </w:tblGrid>
      <w:tr w:rsidR="00371B09" w:rsidRPr="00AA7A93" w:rsidTr="00AA7A93">
        <w:trPr>
          <w:tblHeader/>
        </w:trPr>
        <w:tc>
          <w:tcPr>
            <w:tcW w:w="567" w:type="dxa"/>
            <w:tcBorders>
              <w:top w:val="single" w:sz="4" w:space="0" w:color="auto"/>
              <w:bottom w:val="single" w:sz="12" w:space="0" w:color="auto"/>
            </w:tcBorders>
            <w:shd w:val="clear" w:color="auto" w:fill="auto"/>
            <w:vAlign w:val="bottom"/>
          </w:tcPr>
          <w:p w:rsidR="00E819C1" w:rsidRPr="00AA7A93" w:rsidRDefault="00E819C1" w:rsidP="00AA7A93">
            <w:pPr>
              <w:spacing w:before="80" w:after="80" w:line="200" w:lineRule="exact"/>
              <w:ind w:right="113"/>
              <w:rPr>
                <w:i/>
                <w:sz w:val="16"/>
                <w:szCs w:val="16"/>
                <w:lang w:val="fr-FR" w:eastAsia="fr-FR"/>
              </w:rPr>
            </w:pPr>
            <w:r w:rsidRPr="00AA7A93">
              <w:rPr>
                <w:i/>
                <w:sz w:val="16"/>
                <w:szCs w:val="16"/>
                <w:lang w:val="fr-FR" w:eastAsia="fr-FR"/>
              </w:rPr>
              <w:t>N°</w:t>
            </w:r>
          </w:p>
        </w:tc>
        <w:tc>
          <w:tcPr>
            <w:tcW w:w="2552" w:type="dxa"/>
            <w:tcBorders>
              <w:top w:val="single" w:sz="4" w:space="0" w:color="auto"/>
              <w:bottom w:val="single" w:sz="12" w:space="0" w:color="auto"/>
            </w:tcBorders>
            <w:shd w:val="clear" w:color="auto" w:fill="auto"/>
            <w:vAlign w:val="bottom"/>
          </w:tcPr>
          <w:p w:rsidR="00E819C1" w:rsidRPr="00AA7A93" w:rsidRDefault="00E819C1" w:rsidP="00AA7A93">
            <w:pPr>
              <w:spacing w:before="80" w:after="80" w:line="200" w:lineRule="exact"/>
              <w:ind w:right="113"/>
              <w:rPr>
                <w:i/>
                <w:sz w:val="16"/>
                <w:szCs w:val="16"/>
                <w:lang w:val="fr-FR" w:eastAsia="fr-FR"/>
              </w:rPr>
            </w:pPr>
            <w:r w:rsidRPr="00AA7A93">
              <w:rPr>
                <w:i/>
                <w:sz w:val="16"/>
                <w:szCs w:val="16"/>
                <w:lang w:val="fr-FR" w:eastAsia="fr-FR"/>
              </w:rPr>
              <w:t>Instruments</w:t>
            </w:r>
          </w:p>
        </w:tc>
        <w:tc>
          <w:tcPr>
            <w:tcW w:w="1418" w:type="dxa"/>
            <w:tcBorders>
              <w:top w:val="single" w:sz="4" w:space="0" w:color="auto"/>
              <w:bottom w:val="single" w:sz="12" w:space="0" w:color="auto"/>
            </w:tcBorders>
            <w:shd w:val="clear" w:color="auto" w:fill="auto"/>
            <w:vAlign w:val="bottom"/>
          </w:tcPr>
          <w:p w:rsidR="00E819C1" w:rsidRPr="00AA7A93" w:rsidRDefault="00E819C1" w:rsidP="00AA7A93">
            <w:pPr>
              <w:spacing w:before="80" w:after="80" w:line="200" w:lineRule="exact"/>
              <w:ind w:right="113"/>
              <w:rPr>
                <w:i/>
                <w:sz w:val="16"/>
                <w:szCs w:val="16"/>
                <w:lang w:val="fr-FR" w:eastAsia="fr-FR"/>
              </w:rPr>
            </w:pPr>
            <w:r w:rsidRPr="00AA7A93">
              <w:rPr>
                <w:i/>
                <w:sz w:val="16"/>
                <w:szCs w:val="16"/>
                <w:lang w:val="fr-FR" w:eastAsia="fr-FR"/>
              </w:rPr>
              <w:t xml:space="preserve">Date </w:t>
            </w:r>
            <w:r w:rsidR="001B66B2" w:rsidRPr="00AA7A93">
              <w:rPr>
                <w:i/>
                <w:sz w:val="16"/>
                <w:szCs w:val="16"/>
                <w:lang w:val="fr-FR" w:eastAsia="fr-FR"/>
              </w:rPr>
              <w:t>d’a</w:t>
            </w:r>
            <w:r w:rsidRPr="00AA7A93">
              <w:rPr>
                <w:i/>
                <w:sz w:val="16"/>
                <w:szCs w:val="16"/>
                <w:lang w:val="fr-FR" w:eastAsia="fr-FR"/>
              </w:rPr>
              <w:t>doption</w:t>
            </w:r>
          </w:p>
        </w:tc>
        <w:tc>
          <w:tcPr>
            <w:tcW w:w="1418" w:type="dxa"/>
            <w:tcBorders>
              <w:top w:val="single" w:sz="4" w:space="0" w:color="auto"/>
              <w:bottom w:val="single" w:sz="12" w:space="0" w:color="auto"/>
            </w:tcBorders>
            <w:shd w:val="clear" w:color="auto" w:fill="auto"/>
            <w:vAlign w:val="bottom"/>
          </w:tcPr>
          <w:p w:rsidR="00E819C1" w:rsidRPr="00AA7A93" w:rsidRDefault="00E819C1" w:rsidP="00AA7A93">
            <w:pPr>
              <w:spacing w:before="80" w:after="80" w:line="200" w:lineRule="exact"/>
              <w:ind w:right="113"/>
              <w:rPr>
                <w:i/>
                <w:sz w:val="16"/>
                <w:szCs w:val="16"/>
                <w:lang w:val="fr-FR" w:eastAsia="fr-FR"/>
              </w:rPr>
            </w:pPr>
            <w:r w:rsidRPr="00AA7A93">
              <w:rPr>
                <w:i/>
                <w:sz w:val="16"/>
                <w:szCs w:val="16"/>
                <w:lang w:val="fr-FR" w:eastAsia="fr-FR"/>
              </w:rPr>
              <w:t>Date</w:t>
            </w:r>
            <w:r w:rsidR="001B66B2" w:rsidRPr="00AA7A93">
              <w:rPr>
                <w:i/>
                <w:sz w:val="16"/>
                <w:szCs w:val="16"/>
                <w:lang w:val="fr-FR" w:eastAsia="fr-FR"/>
              </w:rPr>
              <w:t xml:space="preserve"> </w:t>
            </w:r>
            <w:r w:rsidRPr="00AA7A93">
              <w:rPr>
                <w:i/>
                <w:sz w:val="16"/>
                <w:szCs w:val="16"/>
                <w:lang w:val="fr-FR" w:eastAsia="fr-FR"/>
              </w:rPr>
              <w:t xml:space="preserve">de </w:t>
            </w:r>
            <w:r w:rsidR="001B66B2" w:rsidRPr="00AA7A93">
              <w:rPr>
                <w:i/>
                <w:sz w:val="16"/>
                <w:szCs w:val="16"/>
                <w:lang w:val="fr-FR" w:eastAsia="fr-FR"/>
              </w:rPr>
              <w:t>r</w:t>
            </w:r>
            <w:r w:rsidRPr="00AA7A93">
              <w:rPr>
                <w:i/>
                <w:sz w:val="16"/>
                <w:szCs w:val="16"/>
                <w:lang w:val="fr-FR" w:eastAsia="fr-FR"/>
              </w:rPr>
              <w:t>atification</w:t>
            </w:r>
          </w:p>
        </w:tc>
        <w:tc>
          <w:tcPr>
            <w:tcW w:w="2552" w:type="dxa"/>
            <w:tcBorders>
              <w:top w:val="single" w:sz="4" w:space="0" w:color="auto"/>
              <w:bottom w:val="single" w:sz="12" w:space="0" w:color="auto"/>
            </w:tcBorders>
            <w:shd w:val="clear" w:color="auto" w:fill="auto"/>
            <w:vAlign w:val="bottom"/>
          </w:tcPr>
          <w:p w:rsidR="00E819C1" w:rsidRPr="00AA7A93" w:rsidRDefault="00E819C1" w:rsidP="00AA7A93">
            <w:pPr>
              <w:spacing w:before="80" w:after="80" w:line="200" w:lineRule="exact"/>
              <w:ind w:right="113"/>
              <w:rPr>
                <w:i/>
                <w:sz w:val="16"/>
                <w:szCs w:val="16"/>
                <w:lang w:val="fr-FR" w:eastAsia="fr-FR"/>
              </w:rPr>
            </w:pPr>
            <w:r w:rsidRPr="00AA7A93">
              <w:rPr>
                <w:i/>
                <w:sz w:val="16"/>
                <w:szCs w:val="16"/>
                <w:lang w:val="fr-FR" w:eastAsia="fr-FR"/>
              </w:rPr>
              <w:t>Observations</w:t>
            </w:r>
          </w:p>
        </w:tc>
      </w:tr>
      <w:tr w:rsidR="00371B09" w:rsidRPr="00AA7A93" w:rsidTr="00AA7A93">
        <w:trPr>
          <w:trHeight w:hRule="exact" w:val="113"/>
          <w:tblHeader/>
        </w:trPr>
        <w:tc>
          <w:tcPr>
            <w:tcW w:w="567" w:type="dxa"/>
            <w:tcBorders>
              <w:top w:val="single" w:sz="12" w:space="0" w:color="auto"/>
            </w:tcBorders>
            <w:shd w:val="clear" w:color="auto" w:fill="auto"/>
          </w:tcPr>
          <w:p w:rsidR="00371B09" w:rsidRPr="00AA7A93" w:rsidRDefault="00371B09" w:rsidP="00AA7A93">
            <w:pPr>
              <w:spacing w:before="40" w:after="120"/>
              <w:ind w:right="113"/>
              <w:rPr>
                <w:sz w:val="18"/>
                <w:szCs w:val="18"/>
                <w:lang w:val="fr-FR" w:eastAsia="fr-FR"/>
              </w:rPr>
            </w:pPr>
          </w:p>
        </w:tc>
        <w:tc>
          <w:tcPr>
            <w:tcW w:w="2552" w:type="dxa"/>
            <w:tcBorders>
              <w:top w:val="single" w:sz="12" w:space="0" w:color="auto"/>
            </w:tcBorders>
            <w:shd w:val="clear" w:color="auto" w:fill="auto"/>
          </w:tcPr>
          <w:p w:rsidR="00371B09" w:rsidRPr="00AA7A93" w:rsidRDefault="00371B09" w:rsidP="00AA7A93">
            <w:pPr>
              <w:spacing w:before="40" w:after="120"/>
              <w:ind w:right="113"/>
              <w:rPr>
                <w:sz w:val="18"/>
                <w:szCs w:val="18"/>
                <w:lang w:val="fr-FR" w:eastAsia="fr-FR"/>
              </w:rPr>
            </w:pPr>
          </w:p>
        </w:tc>
        <w:tc>
          <w:tcPr>
            <w:tcW w:w="1418" w:type="dxa"/>
            <w:tcBorders>
              <w:top w:val="single" w:sz="12" w:space="0" w:color="auto"/>
            </w:tcBorders>
            <w:shd w:val="clear" w:color="auto" w:fill="auto"/>
          </w:tcPr>
          <w:p w:rsidR="00371B09" w:rsidRPr="00AA7A93" w:rsidRDefault="00371B09" w:rsidP="00AA7A93">
            <w:pPr>
              <w:spacing w:before="40" w:after="120"/>
              <w:ind w:right="113"/>
              <w:rPr>
                <w:sz w:val="18"/>
                <w:szCs w:val="18"/>
                <w:lang w:val="fr-FR" w:eastAsia="fr-FR"/>
              </w:rPr>
            </w:pPr>
          </w:p>
        </w:tc>
        <w:tc>
          <w:tcPr>
            <w:tcW w:w="1418" w:type="dxa"/>
            <w:tcBorders>
              <w:top w:val="single" w:sz="12" w:space="0" w:color="auto"/>
            </w:tcBorders>
            <w:shd w:val="clear" w:color="auto" w:fill="auto"/>
          </w:tcPr>
          <w:p w:rsidR="00371B09" w:rsidRPr="00AA7A93" w:rsidRDefault="00371B09" w:rsidP="00AA7A93">
            <w:pPr>
              <w:spacing w:before="40" w:after="120"/>
              <w:ind w:right="113"/>
              <w:rPr>
                <w:sz w:val="18"/>
                <w:szCs w:val="18"/>
                <w:lang w:val="fr-FR" w:eastAsia="fr-FR"/>
              </w:rPr>
            </w:pPr>
          </w:p>
        </w:tc>
        <w:tc>
          <w:tcPr>
            <w:tcW w:w="2552" w:type="dxa"/>
            <w:tcBorders>
              <w:top w:val="single" w:sz="12" w:space="0" w:color="auto"/>
            </w:tcBorders>
            <w:shd w:val="clear" w:color="auto" w:fill="auto"/>
          </w:tcPr>
          <w:p w:rsidR="00371B09" w:rsidRPr="00AA7A93" w:rsidRDefault="00371B09" w:rsidP="00AA7A93">
            <w:pPr>
              <w:spacing w:before="40" w:after="120"/>
              <w:ind w:right="113"/>
              <w:rPr>
                <w:sz w:val="18"/>
                <w:szCs w:val="18"/>
                <w:lang w:val="fr-FR" w:eastAsia="fr-FR"/>
              </w:rPr>
            </w:pPr>
          </w:p>
        </w:tc>
      </w:tr>
      <w:tr w:rsidR="00371B09" w:rsidRPr="00AA7A93" w:rsidTr="00AA7A93">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 xml:space="preserve">Déclaration </w:t>
            </w:r>
            <w:r w:rsidR="00D9438A">
              <w:rPr>
                <w:sz w:val="18"/>
                <w:szCs w:val="18"/>
                <w:lang w:val="fr-FR" w:eastAsia="fr-FR"/>
              </w:rPr>
              <w:t>u</w:t>
            </w:r>
            <w:r w:rsidRPr="00AA7A93">
              <w:rPr>
                <w:sz w:val="18"/>
                <w:szCs w:val="18"/>
                <w:lang w:val="fr-FR" w:eastAsia="fr-FR"/>
              </w:rPr>
              <w:t>niverselle des</w:t>
            </w:r>
            <w:r w:rsidR="00721E18" w:rsidRPr="00AA7A93">
              <w:rPr>
                <w:sz w:val="18"/>
                <w:szCs w:val="18"/>
                <w:lang w:val="fr-FR" w:eastAsia="fr-FR"/>
              </w:rPr>
              <w:t> </w:t>
            </w:r>
            <w:r w:rsidR="00D9438A">
              <w:rPr>
                <w:sz w:val="18"/>
                <w:szCs w:val="18"/>
                <w:lang w:val="fr-FR" w:eastAsia="fr-FR"/>
              </w:rPr>
              <w:t>d</w:t>
            </w:r>
            <w:r w:rsidRPr="00AA7A93">
              <w:rPr>
                <w:sz w:val="18"/>
                <w:szCs w:val="18"/>
                <w:lang w:val="fr-FR" w:eastAsia="fr-FR"/>
              </w:rPr>
              <w:t>roits de l’</w:t>
            </w:r>
            <w:r w:rsidR="00D9438A">
              <w:rPr>
                <w:sz w:val="18"/>
                <w:szCs w:val="18"/>
                <w:lang w:val="fr-FR" w:eastAsia="fr-FR"/>
              </w:rPr>
              <w:t>h</w:t>
            </w:r>
            <w:r w:rsidRPr="00AA7A93">
              <w:rPr>
                <w:sz w:val="18"/>
                <w:szCs w:val="18"/>
                <w:lang w:val="fr-FR" w:eastAsia="fr-FR"/>
              </w:rPr>
              <w:t>omme</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1948</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Le Préambule de la Constitution du 20</w:t>
            </w:r>
            <w:r w:rsidR="001B66B2" w:rsidRPr="00AA7A93">
              <w:rPr>
                <w:sz w:val="18"/>
                <w:szCs w:val="18"/>
                <w:lang w:val="fr-FR" w:eastAsia="fr-FR"/>
              </w:rPr>
              <w:t> </w:t>
            </w:r>
            <w:r w:rsidRPr="00AA7A93">
              <w:rPr>
                <w:sz w:val="18"/>
                <w:szCs w:val="18"/>
                <w:lang w:val="fr-FR" w:eastAsia="fr-FR"/>
              </w:rPr>
              <w:t>juillet 1991</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 xml:space="preserve">Incorporée dans le préambule de la </w:t>
            </w:r>
            <w:r w:rsidR="001B66B2" w:rsidRPr="00AA7A93">
              <w:rPr>
                <w:sz w:val="18"/>
                <w:szCs w:val="18"/>
                <w:lang w:val="fr-FR" w:eastAsia="fr-FR"/>
              </w:rPr>
              <w:t xml:space="preserve">Constitution </w:t>
            </w:r>
            <w:r w:rsidRPr="00AA7A93">
              <w:rPr>
                <w:sz w:val="18"/>
                <w:szCs w:val="18"/>
                <w:lang w:val="fr-FR" w:eastAsia="fr-FR"/>
              </w:rPr>
              <w:t>du 20 juillet 1991</w:t>
            </w:r>
          </w:p>
        </w:tc>
      </w:tr>
      <w:tr w:rsidR="00371B09" w:rsidRPr="00AA7A93" w:rsidTr="00371B09">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 xml:space="preserve">Convention des Nations Unies </w:t>
            </w:r>
            <w:r w:rsidR="000F755C">
              <w:rPr>
                <w:sz w:val="18"/>
                <w:szCs w:val="18"/>
                <w:lang w:val="fr-FR" w:eastAsia="fr-FR"/>
              </w:rPr>
              <w:t>c</w:t>
            </w:r>
            <w:r w:rsidRPr="00AA7A93">
              <w:rPr>
                <w:sz w:val="18"/>
                <w:szCs w:val="18"/>
                <w:lang w:val="fr-FR" w:eastAsia="fr-FR"/>
              </w:rPr>
              <w:t xml:space="preserve">ontre la </w:t>
            </w:r>
            <w:r w:rsidR="000F755C">
              <w:rPr>
                <w:sz w:val="18"/>
                <w:szCs w:val="18"/>
                <w:lang w:val="fr-FR" w:eastAsia="fr-FR"/>
              </w:rPr>
              <w:t>c</w:t>
            </w:r>
            <w:r w:rsidRPr="00AA7A93">
              <w:rPr>
                <w:sz w:val="18"/>
                <w:szCs w:val="18"/>
                <w:lang w:val="fr-FR" w:eastAsia="fr-FR"/>
              </w:rPr>
              <w:t>orruption</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2003</w:t>
            </w:r>
          </w:p>
        </w:tc>
        <w:tc>
          <w:tcPr>
            <w:tcW w:w="1418" w:type="dxa"/>
            <w:shd w:val="clear" w:color="auto" w:fill="auto"/>
          </w:tcPr>
          <w:p w:rsidR="00E819C1" w:rsidRPr="00AA7A93" w:rsidRDefault="00E819C1" w:rsidP="00AA7A93">
            <w:pPr>
              <w:spacing w:before="40" w:after="120"/>
              <w:ind w:right="113"/>
              <w:rPr>
                <w:sz w:val="18"/>
                <w:szCs w:val="18"/>
                <w:lang w:val="fr-FR" w:eastAsia="fr-FR"/>
              </w:rPr>
            </w:pPr>
          </w:p>
        </w:tc>
        <w:tc>
          <w:tcPr>
            <w:tcW w:w="2552" w:type="dxa"/>
            <w:shd w:val="clear" w:color="auto" w:fill="auto"/>
          </w:tcPr>
          <w:p w:rsidR="00E819C1" w:rsidRPr="00AA7A93" w:rsidRDefault="00E819C1" w:rsidP="00AA7A93">
            <w:pPr>
              <w:spacing w:before="40" w:after="120"/>
              <w:ind w:right="113"/>
              <w:rPr>
                <w:sz w:val="18"/>
                <w:szCs w:val="18"/>
                <w:lang w:val="fr-FR" w:eastAsia="fr-FR"/>
              </w:rPr>
            </w:pPr>
          </w:p>
        </w:tc>
      </w:tr>
      <w:tr w:rsidR="00371B09" w:rsidRPr="00AA7A93" w:rsidTr="00371B09">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3</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Convention internationale sur l’</w:t>
            </w:r>
            <w:r w:rsidR="000F755C">
              <w:rPr>
                <w:sz w:val="18"/>
                <w:szCs w:val="18"/>
                <w:lang w:val="fr-FR" w:eastAsia="fr-FR"/>
              </w:rPr>
              <w:t>é</w:t>
            </w:r>
            <w:r w:rsidRPr="00AA7A93">
              <w:rPr>
                <w:sz w:val="18"/>
                <w:szCs w:val="18"/>
                <w:lang w:val="fr-FR" w:eastAsia="fr-FR"/>
              </w:rPr>
              <w:t xml:space="preserve">limination de toutes les formes de </w:t>
            </w:r>
            <w:r w:rsidR="000F755C">
              <w:rPr>
                <w:sz w:val="18"/>
                <w:szCs w:val="18"/>
                <w:lang w:val="fr-FR" w:eastAsia="fr-FR"/>
              </w:rPr>
              <w:t>d</w:t>
            </w:r>
            <w:r w:rsidRPr="00AA7A93">
              <w:rPr>
                <w:sz w:val="18"/>
                <w:szCs w:val="18"/>
                <w:lang w:val="fr-FR" w:eastAsia="fr-FR"/>
              </w:rPr>
              <w:t xml:space="preserve">iscrimination </w:t>
            </w:r>
            <w:r w:rsidR="000F755C">
              <w:rPr>
                <w:sz w:val="18"/>
                <w:szCs w:val="18"/>
                <w:lang w:val="fr-FR" w:eastAsia="fr-FR"/>
              </w:rPr>
              <w:t>r</w:t>
            </w:r>
            <w:r w:rsidRPr="00AA7A93">
              <w:rPr>
                <w:sz w:val="18"/>
                <w:szCs w:val="18"/>
                <w:lang w:val="fr-FR" w:eastAsia="fr-FR"/>
              </w:rPr>
              <w:t>aciale</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1965</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1988</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Réserve </w:t>
            </w:r>
            <w:r w:rsidR="00FC0832" w:rsidRPr="00AA7A93">
              <w:rPr>
                <w:sz w:val="18"/>
                <w:szCs w:val="18"/>
                <w:lang w:val="fr-FR" w:eastAsia="fr-FR"/>
              </w:rPr>
              <w:t>:</w:t>
            </w:r>
            <w:r w:rsidRPr="00AA7A93">
              <w:rPr>
                <w:sz w:val="18"/>
                <w:szCs w:val="18"/>
                <w:lang w:val="fr-FR" w:eastAsia="fr-FR"/>
              </w:rPr>
              <w:t xml:space="preserve"> La Mauritanie n’a pas fait la déclaration au titre de l’article 14 de la </w:t>
            </w:r>
            <w:r w:rsidR="003D0AAF" w:rsidRPr="00AA7A93">
              <w:rPr>
                <w:sz w:val="18"/>
                <w:szCs w:val="18"/>
                <w:lang w:val="fr-FR" w:eastAsia="fr-FR"/>
              </w:rPr>
              <w:t xml:space="preserve">Convention </w:t>
            </w:r>
            <w:r w:rsidRPr="00AA7A93">
              <w:rPr>
                <w:sz w:val="18"/>
                <w:szCs w:val="18"/>
                <w:lang w:val="fr-FR" w:eastAsia="fr-FR"/>
              </w:rPr>
              <w:t>reconnaissant la compétence du comité pour recevoir les plaintes individuelles</w:t>
            </w:r>
          </w:p>
        </w:tc>
      </w:tr>
      <w:tr w:rsidR="00371B09" w:rsidRPr="00AA7A93" w:rsidTr="00371B09">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lastRenderedPageBreak/>
              <w:t>4</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Convention sur l’</w:t>
            </w:r>
            <w:proofErr w:type="spellStart"/>
            <w:r w:rsidRPr="00AA7A93">
              <w:rPr>
                <w:sz w:val="18"/>
                <w:szCs w:val="18"/>
                <w:lang w:val="fr-FR" w:eastAsia="fr-FR"/>
              </w:rPr>
              <w:t>Elimination</w:t>
            </w:r>
            <w:proofErr w:type="spellEnd"/>
            <w:r w:rsidRPr="00AA7A93">
              <w:rPr>
                <w:sz w:val="18"/>
                <w:szCs w:val="18"/>
                <w:lang w:val="fr-FR" w:eastAsia="fr-FR"/>
              </w:rPr>
              <w:t xml:space="preserve"> de</w:t>
            </w:r>
            <w:r w:rsidR="001B4B16" w:rsidRPr="00AA7A93">
              <w:rPr>
                <w:sz w:val="18"/>
                <w:szCs w:val="18"/>
                <w:lang w:val="fr-FR" w:eastAsia="fr-FR"/>
              </w:rPr>
              <w:t> </w:t>
            </w:r>
            <w:r w:rsidRPr="00AA7A93">
              <w:rPr>
                <w:sz w:val="18"/>
                <w:szCs w:val="18"/>
                <w:lang w:val="fr-FR" w:eastAsia="fr-FR"/>
              </w:rPr>
              <w:t>toutes les formes de Discrimination à l’</w:t>
            </w:r>
            <w:proofErr w:type="spellStart"/>
            <w:r w:rsidRPr="00AA7A93">
              <w:rPr>
                <w:sz w:val="18"/>
                <w:szCs w:val="18"/>
                <w:lang w:val="fr-FR" w:eastAsia="fr-FR"/>
              </w:rPr>
              <w:t>Egard</w:t>
            </w:r>
            <w:proofErr w:type="spellEnd"/>
            <w:r w:rsidRPr="00AA7A93">
              <w:rPr>
                <w:sz w:val="18"/>
                <w:szCs w:val="18"/>
                <w:lang w:val="fr-FR" w:eastAsia="fr-FR"/>
              </w:rPr>
              <w:t xml:space="preserve"> des</w:t>
            </w:r>
            <w:r w:rsidR="001B4B16" w:rsidRPr="00AA7A93">
              <w:rPr>
                <w:sz w:val="18"/>
                <w:szCs w:val="18"/>
                <w:lang w:val="fr-FR" w:eastAsia="fr-FR"/>
              </w:rPr>
              <w:t> </w:t>
            </w:r>
            <w:r w:rsidRPr="00AA7A93">
              <w:rPr>
                <w:sz w:val="18"/>
                <w:szCs w:val="18"/>
                <w:lang w:val="fr-FR" w:eastAsia="fr-FR"/>
              </w:rPr>
              <w:t>Femmes</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1979</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1990</w:t>
            </w:r>
          </w:p>
        </w:tc>
        <w:tc>
          <w:tcPr>
            <w:tcW w:w="2552" w:type="dxa"/>
            <w:shd w:val="clear" w:color="auto" w:fill="auto"/>
          </w:tcPr>
          <w:p w:rsidR="00E819C1" w:rsidRPr="00AA7A93" w:rsidRDefault="00E819C1" w:rsidP="00AA7A93">
            <w:pPr>
              <w:spacing w:before="40" w:after="120"/>
              <w:ind w:right="113"/>
              <w:rPr>
                <w:sz w:val="18"/>
                <w:szCs w:val="18"/>
                <w:lang w:val="en-US" w:eastAsia="fr-FR"/>
              </w:rPr>
            </w:pPr>
            <w:r w:rsidRPr="00AA7A93">
              <w:rPr>
                <w:sz w:val="18"/>
                <w:szCs w:val="18"/>
                <w:lang w:val="en-US" w:eastAsia="fr-FR"/>
              </w:rPr>
              <w:t>Reserve</w:t>
            </w:r>
          </w:p>
        </w:tc>
      </w:tr>
      <w:tr w:rsidR="00371B09" w:rsidRPr="00AA7A93" w:rsidTr="00371B09">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5</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Convention internationale sur la protection des droits de tous les travailleurs migrants et des membres de leur famille</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1990</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2003</w:t>
            </w:r>
          </w:p>
        </w:tc>
        <w:tc>
          <w:tcPr>
            <w:tcW w:w="2552" w:type="dxa"/>
            <w:shd w:val="clear" w:color="auto" w:fill="auto"/>
          </w:tcPr>
          <w:p w:rsidR="00E819C1" w:rsidRPr="00AA7A93" w:rsidRDefault="00E819C1" w:rsidP="00AA7A93">
            <w:pPr>
              <w:spacing w:before="40" w:after="120"/>
              <w:ind w:right="113"/>
              <w:rPr>
                <w:b/>
                <w:sz w:val="18"/>
                <w:szCs w:val="18"/>
                <w:lang w:val="fr-FR" w:eastAsia="fr-FR"/>
              </w:rPr>
            </w:pPr>
          </w:p>
        </w:tc>
      </w:tr>
      <w:tr w:rsidR="00371B09" w:rsidRPr="00AA7A93" w:rsidTr="00371B09">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6</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Convention relative aux droits de</w:t>
            </w:r>
            <w:r w:rsidR="001B4B16" w:rsidRPr="00AA7A93">
              <w:rPr>
                <w:sz w:val="18"/>
                <w:szCs w:val="18"/>
                <w:lang w:val="fr-FR" w:eastAsia="fr-FR"/>
              </w:rPr>
              <w:t> </w:t>
            </w:r>
            <w:r w:rsidRPr="00AA7A93">
              <w:rPr>
                <w:sz w:val="18"/>
                <w:szCs w:val="18"/>
                <w:lang w:val="fr-FR" w:eastAsia="fr-FR"/>
              </w:rPr>
              <w:t>l’enfant</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1989</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1990</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Réserves </w:t>
            </w:r>
          </w:p>
        </w:tc>
      </w:tr>
      <w:tr w:rsidR="00371B09" w:rsidRPr="00AA7A93" w:rsidTr="00371B09">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7</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Convention relative aux droits des personnes handicapées</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2006</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2010</w:t>
            </w:r>
          </w:p>
        </w:tc>
        <w:tc>
          <w:tcPr>
            <w:tcW w:w="2552" w:type="dxa"/>
            <w:shd w:val="clear" w:color="auto" w:fill="auto"/>
          </w:tcPr>
          <w:p w:rsidR="00E819C1" w:rsidRPr="00AA7A93" w:rsidRDefault="00E819C1" w:rsidP="00AA7A93">
            <w:pPr>
              <w:spacing w:before="40" w:after="120"/>
              <w:ind w:right="113"/>
              <w:rPr>
                <w:b/>
                <w:sz w:val="18"/>
                <w:szCs w:val="18"/>
                <w:lang w:val="fr-FR" w:eastAsia="fr-FR"/>
              </w:rPr>
            </w:pPr>
          </w:p>
        </w:tc>
      </w:tr>
      <w:tr w:rsidR="00371B09" w:rsidRPr="00AA7A93" w:rsidTr="00371B09">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8</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Convention internationale pour la protection de toutes les personnes contre les disparitions forcées</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2006</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2012</w:t>
            </w:r>
          </w:p>
        </w:tc>
        <w:tc>
          <w:tcPr>
            <w:tcW w:w="2552" w:type="dxa"/>
            <w:shd w:val="clear" w:color="auto" w:fill="auto"/>
          </w:tcPr>
          <w:p w:rsidR="00E819C1" w:rsidRPr="00AA7A93" w:rsidRDefault="00E819C1" w:rsidP="00AA7A93">
            <w:pPr>
              <w:spacing w:before="40" w:after="120"/>
              <w:ind w:right="113"/>
              <w:rPr>
                <w:b/>
                <w:sz w:val="18"/>
                <w:szCs w:val="18"/>
                <w:lang w:val="fr-FR" w:eastAsia="fr-FR"/>
              </w:rPr>
            </w:pPr>
          </w:p>
        </w:tc>
      </w:tr>
      <w:tr w:rsidR="00371B09" w:rsidRPr="00AA7A93" w:rsidTr="00371B09">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9</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Pacte international relatif aux droits civils et politiques</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1966</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1999</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Réserves</w:t>
            </w:r>
          </w:p>
        </w:tc>
      </w:tr>
      <w:tr w:rsidR="00371B09" w:rsidRPr="00AA7A93" w:rsidTr="00371B09">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10</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Pacte international relatif aux droits économiques, sociaux et</w:t>
            </w:r>
            <w:r w:rsidR="001B4B16" w:rsidRPr="00AA7A93">
              <w:rPr>
                <w:sz w:val="18"/>
                <w:szCs w:val="18"/>
                <w:lang w:val="fr-FR" w:eastAsia="fr-FR"/>
              </w:rPr>
              <w:t> </w:t>
            </w:r>
            <w:r w:rsidRPr="00AA7A93">
              <w:rPr>
                <w:sz w:val="18"/>
                <w:szCs w:val="18"/>
                <w:lang w:val="fr-FR" w:eastAsia="fr-FR"/>
              </w:rPr>
              <w:t>culturels</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1966</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1999</w:t>
            </w:r>
          </w:p>
        </w:tc>
        <w:tc>
          <w:tcPr>
            <w:tcW w:w="2552" w:type="dxa"/>
            <w:shd w:val="clear" w:color="auto" w:fill="auto"/>
          </w:tcPr>
          <w:p w:rsidR="00E819C1" w:rsidRPr="00AA7A93" w:rsidRDefault="00E819C1" w:rsidP="00AA7A93">
            <w:pPr>
              <w:spacing w:before="40" w:after="120"/>
              <w:ind w:right="113"/>
              <w:rPr>
                <w:b/>
                <w:sz w:val="18"/>
                <w:szCs w:val="18"/>
                <w:lang w:val="fr-FR" w:eastAsia="fr-FR"/>
              </w:rPr>
            </w:pPr>
          </w:p>
        </w:tc>
      </w:tr>
      <w:tr w:rsidR="00371B09" w:rsidRPr="00AA7A93" w:rsidTr="00371B09">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11</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Protocole facultatif se rapportant à la Convention contre la torture et autres peines ou traitements cruels, inhumains ou dégradants</w:t>
            </w:r>
          </w:p>
        </w:tc>
        <w:tc>
          <w:tcPr>
            <w:tcW w:w="1418" w:type="dxa"/>
            <w:shd w:val="clear" w:color="auto" w:fill="auto"/>
          </w:tcPr>
          <w:p w:rsidR="00E819C1" w:rsidRPr="00AA7A93" w:rsidRDefault="00E819C1" w:rsidP="00AA7A93">
            <w:pPr>
              <w:spacing w:before="40" w:after="120"/>
              <w:ind w:right="113"/>
              <w:rPr>
                <w:sz w:val="18"/>
                <w:szCs w:val="18"/>
                <w:lang w:val="fr-FR" w:eastAsia="fr-FR"/>
              </w:rPr>
            </w:pP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2012</w:t>
            </w:r>
          </w:p>
        </w:tc>
        <w:tc>
          <w:tcPr>
            <w:tcW w:w="2552" w:type="dxa"/>
            <w:shd w:val="clear" w:color="auto" w:fill="auto"/>
          </w:tcPr>
          <w:p w:rsidR="00E819C1" w:rsidRPr="00AA7A93" w:rsidRDefault="00E819C1" w:rsidP="00AA7A93">
            <w:pPr>
              <w:spacing w:before="40" w:after="120"/>
              <w:ind w:right="113"/>
              <w:rPr>
                <w:b/>
                <w:sz w:val="18"/>
                <w:szCs w:val="18"/>
                <w:lang w:val="fr-FR" w:eastAsia="fr-FR"/>
              </w:rPr>
            </w:pPr>
          </w:p>
        </w:tc>
      </w:tr>
      <w:tr w:rsidR="00371B09" w:rsidRPr="00AA7A93" w:rsidTr="00371B09">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12</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Protocole facultatif se rapportant à la Convention relative aux droits des personnes handicapées</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2006</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2010</w:t>
            </w:r>
          </w:p>
        </w:tc>
        <w:tc>
          <w:tcPr>
            <w:tcW w:w="2552" w:type="dxa"/>
            <w:shd w:val="clear" w:color="auto" w:fill="auto"/>
          </w:tcPr>
          <w:p w:rsidR="00E819C1" w:rsidRPr="00AA7A93" w:rsidRDefault="00E819C1" w:rsidP="00AA7A93">
            <w:pPr>
              <w:spacing w:before="40" w:after="120"/>
              <w:ind w:right="113"/>
              <w:rPr>
                <w:b/>
                <w:sz w:val="18"/>
                <w:szCs w:val="18"/>
                <w:lang w:val="fr-FR" w:eastAsia="fr-FR"/>
              </w:rPr>
            </w:pPr>
          </w:p>
        </w:tc>
      </w:tr>
      <w:tr w:rsidR="00371B09" w:rsidRPr="00AA7A93" w:rsidTr="00AA7A93">
        <w:tc>
          <w:tcPr>
            <w:tcW w:w="567" w:type="dxa"/>
            <w:tcBorders>
              <w:bottom w:val="single" w:sz="12" w:space="0" w:color="auto"/>
            </w:tcBorders>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13</w:t>
            </w:r>
          </w:p>
        </w:tc>
        <w:tc>
          <w:tcPr>
            <w:tcW w:w="2552" w:type="dxa"/>
            <w:tcBorders>
              <w:bottom w:val="single" w:sz="12" w:space="0" w:color="auto"/>
            </w:tcBorders>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Convention contre la torture et autres peines ou</w:t>
            </w:r>
            <w:r w:rsidR="00276FDB" w:rsidRPr="00AA7A93">
              <w:rPr>
                <w:sz w:val="18"/>
                <w:szCs w:val="18"/>
                <w:lang w:val="fr-FR" w:eastAsia="fr-FR"/>
              </w:rPr>
              <w:t> </w:t>
            </w:r>
            <w:r w:rsidRPr="00AA7A93">
              <w:rPr>
                <w:sz w:val="18"/>
                <w:szCs w:val="18"/>
                <w:lang w:val="fr-FR" w:eastAsia="fr-FR"/>
              </w:rPr>
              <w:t>traitements cruels, inhumains ou dégradants</w:t>
            </w:r>
          </w:p>
        </w:tc>
        <w:tc>
          <w:tcPr>
            <w:tcW w:w="1418" w:type="dxa"/>
            <w:tcBorders>
              <w:bottom w:val="single" w:sz="12" w:space="0" w:color="auto"/>
            </w:tcBorders>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1984</w:t>
            </w:r>
          </w:p>
        </w:tc>
        <w:tc>
          <w:tcPr>
            <w:tcW w:w="1418" w:type="dxa"/>
            <w:tcBorders>
              <w:bottom w:val="single" w:sz="12" w:space="0" w:color="auto"/>
            </w:tcBorders>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1999</w:t>
            </w:r>
          </w:p>
        </w:tc>
        <w:tc>
          <w:tcPr>
            <w:tcW w:w="2552" w:type="dxa"/>
            <w:tcBorders>
              <w:bottom w:val="single" w:sz="12" w:space="0" w:color="auto"/>
            </w:tcBorders>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Réserves</w:t>
            </w:r>
          </w:p>
        </w:tc>
      </w:tr>
    </w:tbl>
    <w:p w:rsidR="00E819C1" w:rsidRPr="00F13D2D" w:rsidRDefault="00C35C62" w:rsidP="00C35C62">
      <w:pPr>
        <w:pStyle w:val="H23G"/>
      </w:pPr>
      <w:bookmarkStart w:id="21" w:name="_Toc453672864"/>
      <w:bookmarkStart w:id="22" w:name="_Toc454388702"/>
      <w:r w:rsidRPr="00F13D2D">
        <w:tab/>
      </w:r>
      <w:r w:rsidR="00E819C1" w:rsidRPr="00F13D2D">
        <w:t>2</w:t>
      </w:r>
      <w:r w:rsidRPr="00F13D2D">
        <w:t>.</w:t>
      </w:r>
      <w:r w:rsidRPr="00F13D2D">
        <w:tab/>
      </w:r>
      <w:r w:rsidR="00E819C1" w:rsidRPr="00F13D2D">
        <w:t xml:space="preserve">Nature et </w:t>
      </w:r>
      <w:r w:rsidR="00276FDB">
        <w:t>p</w:t>
      </w:r>
      <w:r w:rsidR="00E819C1" w:rsidRPr="00F13D2D">
        <w:t>ortée des réserves</w:t>
      </w:r>
      <w:bookmarkEnd w:id="21"/>
      <w:bookmarkEnd w:id="22"/>
    </w:p>
    <w:p w:rsidR="00E819C1" w:rsidRPr="00E06F1B" w:rsidRDefault="00C35C62" w:rsidP="00AA7A93">
      <w:pPr>
        <w:pStyle w:val="H23G"/>
      </w:pPr>
      <w:bookmarkStart w:id="23" w:name="_Toc453672865"/>
      <w:bookmarkStart w:id="24" w:name="_Toc454388703"/>
      <w:r w:rsidRPr="000E17DF">
        <w:tab/>
      </w:r>
      <w:r w:rsidR="00E819C1" w:rsidRPr="00F13D2D">
        <w:t>a</w:t>
      </w:r>
      <w:r w:rsidRPr="00F13D2D">
        <w:t>)</w:t>
      </w:r>
      <w:r w:rsidRPr="00F13D2D">
        <w:tab/>
      </w:r>
      <w:r w:rsidR="00E819C1" w:rsidRPr="00F13D2D">
        <w:t>Portée des réserves</w:t>
      </w:r>
      <w:bookmarkEnd w:id="23"/>
      <w:bookmarkEnd w:id="24"/>
    </w:p>
    <w:p w:rsidR="00E819C1" w:rsidRPr="00F13D2D" w:rsidRDefault="0055270C" w:rsidP="0055270C">
      <w:pPr>
        <w:pStyle w:val="SingleTxtG"/>
        <w:rPr>
          <w:rFonts w:eastAsia="Calibri"/>
          <w:lang w:val="fr-FR"/>
        </w:rPr>
      </w:pPr>
      <w:r w:rsidRPr="00F13D2D">
        <w:rPr>
          <w:rFonts w:eastAsia="Calibri"/>
          <w:lang w:val="fr-FR"/>
        </w:rPr>
        <w:t>23.</w:t>
      </w:r>
      <w:r w:rsidRPr="00F13D2D">
        <w:rPr>
          <w:rFonts w:eastAsia="Calibri"/>
          <w:lang w:val="fr-FR"/>
        </w:rPr>
        <w:tab/>
      </w:r>
      <w:r w:rsidR="00E819C1" w:rsidRPr="00F13D2D">
        <w:rPr>
          <w:rFonts w:eastAsia="Calibri"/>
          <w:lang w:val="fr-FR"/>
        </w:rPr>
        <w:t>La Mauritanie a émis des réserves générales ou spécifiques sur les conventions suivantes</w:t>
      </w:r>
      <w:r w:rsidR="00FC0832">
        <w:rPr>
          <w:rFonts w:eastAsia="Calibri"/>
          <w:lang w:val="fr-FR"/>
        </w:rPr>
        <w:t> :</w:t>
      </w:r>
      <w:r w:rsidR="00E819C1"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CEDEF</w:t>
      </w:r>
    </w:p>
    <w:p w:rsidR="00E819C1" w:rsidRPr="00F13D2D" w:rsidRDefault="0055270C" w:rsidP="0055270C">
      <w:pPr>
        <w:pStyle w:val="SingleTxtG"/>
        <w:rPr>
          <w:rFonts w:eastAsia="Calibri"/>
          <w:lang w:val="fr-FR"/>
        </w:rPr>
      </w:pPr>
      <w:r w:rsidRPr="00F13D2D">
        <w:rPr>
          <w:rFonts w:eastAsia="Calibri"/>
          <w:lang w:val="fr-FR"/>
        </w:rPr>
        <w:t>24.</w:t>
      </w:r>
      <w:r w:rsidRPr="00F13D2D">
        <w:rPr>
          <w:rFonts w:eastAsia="Calibri"/>
          <w:lang w:val="fr-FR"/>
        </w:rPr>
        <w:tab/>
      </w:r>
      <w:r w:rsidR="00E819C1" w:rsidRPr="00F13D2D">
        <w:rPr>
          <w:rFonts w:eastAsia="Calibri"/>
          <w:lang w:val="fr-FR"/>
        </w:rPr>
        <w:t>Les réserves sont relatives</w:t>
      </w:r>
      <w:r w:rsidR="006C160E" w:rsidRPr="00F13D2D">
        <w:rPr>
          <w:rFonts w:eastAsia="Calibri"/>
          <w:lang w:val="fr-FR"/>
        </w:rPr>
        <w:t xml:space="preserve"> </w:t>
      </w:r>
      <w:r w:rsidR="00E819C1" w:rsidRPr="00F13D2D">
        <w:rPr>
          <w:rFonts w:eastAsia="Calibri"/>
          <w:lang w:val="fr-FR"/>
        </w:rPr>
        <w:t xml:space="preserve">aux </w:t>
      </w:r>
      <w:r w:rsidR="00276FDB">
        <w:rPr>
          <w:rFonts w:eastAsia="Calibri"/>
          <w:lang w:val="fr-FR"/>
        </w:rPr>
        <w:t>a</w:t>
      </w:r>
      <w:r w:rsidR="00E819C1" w:rsidRPr="00F13D2D">
        <w:rPr>
          <w:rFonts w:eastAsia="Calibri"/>
          <w:lang w:val="fr-FR"/>
        </w:rPr>
        <w:t>rt</w:t>
      </w:r>
      <w:r w:rsidR="00276FDB">
        <w:rPr>
          <w:rFonts w:eastAsia="Calibri"/>
          <w:lang w:val="fr-FR"/>
        </w:rPr>
        <w:t>icle </w:t>
      </w:r>
      <w:r w:rsidR="00E819C1" w:rsidRPr="00F13D2D">
        <w:rPr>
          <w:rFonts w:eastAsia="Calibri"/>
          <w:lang w:val="fr-FR"/>
        </w:rPr>
        <w:t xml:space="preserve">13, alinéa (a) et </w:t>
      </w:r>
      <w:r w:rsidR="00276FDB">
        <w:rPr>
          <w:rFonts w:eastAsia="Calibri"/>
          <w:lang w:val="fr-FR"/>
        </w:rPr>
        <w:t>a</w:t>
      </w:r>
      <w:r w:rsidR="00E819C1" w:rsidRPr="00F13D2D">
        <w:rPr>
          <w:rFonts w:eastAsia="Calibri"/>
          <w:lang w:val="fr-FR"/>
        </w:rPr>
        <w:t>rt</w:t>
      </w:r>
      <w:r w:rsidR="00276FDB">
        <w:rPr>
          <w:rFonts w:eastAsia="Calibri"/>
          <w:lang w:val="fr-FR"/>
        </w:rPr>
        <w:t xml:space="preserve">icle </w:t>
      </w:r>
      <w:r w:rsidR="00E819C1" w:rsidRPr="00F13D2D">
        <w:rPr>
          <w:rFonts w:eastAsia="Calibri"/>
          <w:lang w:val="fr-FR"/>
        </w:rPr>
        <w:t>16.</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CDE</w:t>
      </w:r>
    </w:p>
    <w:p w:rsidR="00E819C1" w:rsidRPr="00F13D2D" w:rsidRDefault="0055270C" w:rsidP="0055270C">
      <w:pPr>
        <w:pStyle w:val="SingleTxtG"/>
        <w:rPr>
          <w:rFonts w:eastAsia="Calibri"/>
          <w:lang w:val="fr-FR"/>
        </w:rPr>
      </w:pPr>
      <w:r w:rsidRPr="00F13D2D">
        <w:rPr>
          <w:rFonts w:eastAsia="Calibri"/>
          <w:lang w:val="fr-FR"/>
        </w:rPr>
        <w:t>25.</w:t>
      </w:r>
      <w:r w:rsidRPr="00F13D2D">
        <w:rPr>
          <w:rFonts w:eastAsia="Calibri"/>
          <w:lang w:val="fr-FR"/>
        </w:rPr>
        <w:tab/>
      </w:r>
      <w:r w:rsidR="00E819C1" w:rsidRPr="00F13D2D">
        <w:rPr>
          <w:rFonts w:eastAsia="Calibri"/>
          <w:lang w:val="fr-FR"/>
        </w:rPr>
        <w:t xml:space="preserve">Cette </w:t>
      </w:r>
      <w:r w:rsidR="003D0AAF">
        <w:rPr>
          <w:rFonts w:eastAsia="Calibri"/>
          <w:lang w:val="fr-FR"/>
        </w:rPr>
        <w:t>c</w:t>
      </w:r>
      <w:r w:rsidR="00E819C1" w:rsidRPr="00F13D2D">
        <w:rPr>
          <w:rFonts w:eastAsia="Calibri"/>
          <w:lang w:val="fr-FR"/>
        </w:rPr>
        <w:t>onvention est approuvée en toutes et chacune de ses parties non contraires à la Charia islamique.</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Pacte international relatif aux droits civils et politiques</w:t>
      </w:r>
    </w:p>
    <w:p w:rsidR="00E819C1" w:rsidRPr="00F13D2D" w:rsidRDefault="0055270C" w:rsidP="0055270C">
      <w:pPr>
        <w:pStyle w:val="SingleTxtG"/>
        <w:rPr>
          <w:rFonts w:eastAsia="Calibri"/>
          <w:lang w:val="fr-FR"/>
        </w:rPr>
      </w:pPr>
      <w:r w:rsidRPr="00F13D2D">
        <w:rPr>
          <w:rFonts w:eastAsia="Calibri"/>
          <w:lang w:val="fr-FR"/>
        </w:rPr>
        <w:t>26.</w:t>
      </w:r>
      <w:r w:rsidRPr="00F13D2D">
        <w:rPr>
          <w:rFonts w:eastAsia="Calibri"/>
          <w:lang w:val="fr-FR"/>
        </w:rPr>
        <w:tab/>
      </w:r>
      <w:r w:rsidR="00E819C1" w:rsidRPr="00F13D2D">
        <w:rPr>
          <w:rFonts w:eastAsia="Calibri"/>
          <w:lang w:val="fr-FR"/>
        </w:rPr>
        <w:t>Les réserves</w:t>
      </w:r>
      <w:r w:rsidR="004E53A2">
        <w:rPr>
          <w:rFonts w:eastAsia="Calibri"/>
          <w:lang w:val="fr-FR"/>
        </w:rPr>
        <w:t xml:space="preserve"> </w:t>
      </w:r>
      <w:r w:rsidR="00E819C1" w:rsidRPr="00F13D2D">
        <w:rPr>
          <w:rFonts w:eastAsia="Calibri"/>
          <w:lang w:val="fr-FR"/>
        </w:rPr>
        <w:t>portent sur les articles 18, aliénas </w:t>
      </w:r>
      <w:r w:rsidR="00FC0832">
        <w:rPr>
          <w:rFonts w:eastAsia="Calibri"/>
          <w:lang w:val="fr-FR"/>
        </w:rPr>
        <w:t>:</w:t>
      </w:r>
      <w:r w:rsidR="00E819C1" w:rsidRPr="00F13D2D">
        <w:rPr>
          <w:rFonts w:eastAsia="Calibri"/>
          <w:lang w:val="fr-FR"/>
        </w:rPr>
        <w:t xml:space="preserve"> 2-3 et 4 et article 23 aliéna 4.</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Convention contre la torture et autres peines ou traitements cruels, inhumains ou dégradants</w:t>
      </w:r>
    </w:p>
    <w:p w:rsidR="00E819C1" w:rsidRPr="00F13D2D" w:rsidRDefault="0055270C" w:rsidP="0055270C">
      <w:pPr>
        <w:pStyle w:val="SingleTxtG"/>
        <w:rPr>
          <w:rFonts w:eastAsia="Calibri"/>
          <w:lang w:val="fr-FR"/>
        </w:rPr>
      </w:pPr>
      <w:r w:rsidRPr="00F13D2D">
        <w:rPr>
          <w:rFonts w:eastAsia="Calibri"/>
          <w:lang w:val="fr-FR"/>
        </w:rPr>
        <w:lastRenderedPageBreak/>
        <w:t>27.</w:t>
      </w:r>
      <w:r w:rsidRPr="00F13D2D">
        <w:rPr>
          <w:rFonts w:eastAsia="Calibri"/>
          <w:lang w:val="fr-FR"/>
        </w:rPr>
        <w:tab/>
      </w:r>
      <w:r w:rsidR="00E819C1" w:rsidRPr="00F13D2D">
        <w:rPr>
          <w:rFonts w:eastAsia="Calibri"/>
          <w:lang w:val="fr-FR"/>
        </w:rPr>
        <w:t>Les réserves portent sur les articles 20, alinéas 1, 2, 3, 4 et 5 concernant la compétence accordée au comité et l</w:t>
      </w:r>
      <w:r w:rsidR="006C160E" w:rsidRPr="00F13D2D">
        <w:rPr>
          <w:rFonts w:eastAsia="Calibri"/>
          <w:lang w:val="fr-FR"/>
        </w:rPr>
        <w:t>’</w:t>
      </w:r>
      <w:r w:rsidR="00E819C1" w:rsidRPr="00F13D2D">
        <w:rPr>
          <w:rFonts w:eastAsia="Calibri"/>
          <w:lang w:val="fr-FR"/>
        </w:rPr>
        <w:t>article 30, aliéna 1 concernant la Cour Pénale Internationale.</w:t>
      </w:r>
    </w:p>
    <w:p w:rsidR="00E819C1" w:rsidRPr="00E06F1B" w:rsidRDefault="00562B75" w:rsidP="00AA7A93">
      <w:pPr>
        <w:pStyle w:val="H23G"/>
      </w:pPr>
      <w:bookmarkStart w:id="25" w:name="_Toc453672866"/>
      <w:bookmarkStart w:id="26" w:name="_Toc454388704"/>
      <w:r w:rsidRPr="000E17DF">
        <w:tab/>
      </w:r>
      <w:r w:rsidR="00E819C1" w:rsidRPr="00F13D2D">
        <w:t>b)</w:t>
      </w:r>
      <w:r w:rsidRPr="00F13D2D">
        <w:tab/>
      </w:r>
      <w:r w:rsidR="00E819C1" w:rsidRPr="00F13D2D">
        <w:t>La raison des réserves</w:t>
      </w:r>
      <w:bookmarkEnd w:id="25"/>
      <w:bookmarkEnd w:id="26"/>
    </w:p>
    <w:p w:rsidR="00E819C1" w:rsidRPr="00F13D2D" w:rsidRDefault="0055270C" w:rsidP="0055270C">
      <w:pPr>
        <w:pStyle w:val="SingleTxtG"/>
        <w:rPr>
          <w:rFonts w:eastAsia="Calibri"/>
          <w:lang w:val="fr-FR"/>
        </w:rPr>
      </w:pPr>
      <w:r w:rsidRPr="00F13D2D">
        <w:rPr>
          <w:rFonts w:eastAsia="Calibri"/>
          <w:lang w:val="fr-FR"/>
        </w:rPr>
        <w:t>28.</w:t>
      </w:r>
      <w:r w:rsidRPr="00F13D2D">
        <w:rPr>
          <w:rFonts w:eastAsia="Calibri"/>
          <w:lang w:val="fr-FR"/>
        </w:rPr>
        <w:tab/>
      </w:r>
      <w:r w:rsidR="00E819C1" w:rsidRPr="00F13D2D">
        <w:rPr>
          <w:rFonts w:eastAsia="Calibri"/>
          <w:lang w:val="fr-FR"/>
        </w:rPr>
        <w:t xml:space="preserve">La raison pour laquelle ces réserves ont été jugées nécessaires, est qu’elles portent sur des dispositions contraires à la </w:t>
      </w:r>
      <w:proofErr w:type="spellStart"/>
      <w:r w:rsidR="00E819C1" w:rsidRPr="00F13D2D">
        <w:rPr>
          <w:rFonts w:eastAsia="Calibri"/>
          <w:lang w:val="fr-FR"/>
        </w:rPr>
        <w:t>chariaa</w:t>
      </w:r>
      <w:proofErr w:type="spellEnd"/>
      <w:r w:rsidR="00E819C1" w:rsidRPr="00F13D2D">
        <w:rPr>
          <w:rFonts w:eastAsia="Calibri"/>
          <w:lang w:val="fr-FR"/>
        </w:rPr>
        <w:t xml:space="preserve">, unique source de droit conformément à la </w:t>
      </w:r>
      <w:r w:rsidR="00BE6687" w:rsidRPr="00F13D2D">
        <w:rPr>
          <w:rFonts w:eastAsia="Calibri"/>
          <w:lang w:val="fr-FR"/>
        </w:rPr>
        <w:t>Constitution</w:t>
      </w:r>
      <w:r w:rsidR="00E819C1" w:rsidRPr="00F13D2D">
        <w:rPr>
          <w:rFonts w:eastAsia="Calibri"/>
          <w:lang w:val="fr-FR"/>
        </w:rPr>
        <w:t>.</w:t>
      </w:r>
    </w:p>
    <w:p w:rsidR="00E819C1" w:rsidRPr="00E06F1B" w:rsidRDefault="00562B75" w:rsidP="00AA7A93">
      <w:pPr>
        <w:pStyle w:val="H23G"/>
      </w:pPr>
      <w:bookmarkStart w:id="27" w:name="_Toc453672867"/>
      <w:bookmarkStart w:id="28" w:name="_Toc454388705"/>
      <w:r w:rsidRPr="000E17DF">
        <w:tab/>
        <w:t>c)</w:t>
      </w:r>
      <w:r w:rsidRPr="000E17DF">
        <w:tab/>
      </w:r>
      <w:r w:rsidR="00E819C1" w:rsidRPr="00F13D2D">
        <w:t>Effet des réserves</w:t>
      </w:r>
      <w:bookmarkEnd w:id="27"/>
      <w:bookmarkEnd w:id="28"/>
    </w:p>
    <w:p w:rsidR="00E819C1" w:rsidRPr="00F13D2D" w:rsidRDefault="0055270C" w:rsidP="0055270C">
      <w:pPr>
        <w:pStyle w:val="SingleTxtG"/>
        <w:rPr>
          <w:rFonts w:eastAsia="Calibri"/>
          <w:lang w:val="fr-FR"/>
        </w:rPr>
      </w:pPr>
      <w:r w:rsidRPr="00F13D2D">
        <w:rPr>
          <w:rFonts w:eastAsia="Calibri"/>
          <w:lang w:val="fr-FR"/>
        </w:rPr>
        <w:t>29.</w:t>
      </w:r>
      <w:r w:rsidRPr="00F13D2D">
        <w:rPr>
          <w:rFonts w:eastAsia="Calibri"/>
          <w:lang w:val="fr-FR"/>
        </w:rPr>
        <w:tab/>
      </w:r>
      <w:r w:rsidR="00E819C1" w:rsidRPr="00F13D2D">
        <w:rPr>
          <w:rFonts w:eastAsia="Calibri"/>
          <w:lang w:val="fr-FR"/>
        </w:rPr>
        <w:t xml:space="preserve">Les dispositions sur lesquelles portent les réserves ne sont pas appliquées, les autres gardent tous les effets que leur confère l’article 80 de la </w:t>
      </w:r>
      <w:r w:rsidR="00BE6687" w:rsidRPr="00F13D2D">
        <w:rPr>
          <w:rFonts w:eastAsia="Calibri"/>
          <w:lang w:val="fr-FR"/>
        </w:rPr>
        <w:t>Constitution</w:t>
      </w:r>
      <w:r w:rsidR="00BE6687">
        <w:rPr>
          <w:rFonts w:eastAsia="Calibri"/>
          <w:lang w:val="fr-FR"/>
        </w:rPr>
        <w:t> </w:t>
      </w:r>
      <w:r w:rsidR="00FC0832">
        <w:rPr>
          <w:rFonts w:eastAsia="Calibri"/>
          <w:lang w:val="fr-FR"/>
        </w:rPr>
        <w:t>:</w:t>
      </w:r>
      <w:r w:rsidR="00E819C1" w:rsidRPr="00F13D2D">
        <w:rPr>
          <w:rFonts w:eastAsia="Calibri"/>
          <w:lang w:val="fr-FR"/>
        </w:rPr>
        <w:t xml:space="preserve"> </w:t>
      </w:r>
    </w:p>
    <w:p w:rsidR="00E819C1" w:rsidRPr="00E06F1B" w:rsidRDefault="00562B75" w:rsidP="00AA7A93">
      <w:pPr>
        <w:pStyle w:val="H23G"/>
      </w:pPr>
      <w:bookmarkStart w:id="29" w:name="_Toc454388706"/>
      <w:r w:rsidRPr="000E17DF">
        <w:tab/>
        <w:t>d)</w:t>
      </w:r>
      <w:r w:rsidRPr="000E17DF">
        <w:tab/>
      </w:r>
      <w:r w:rsidR="00E819C1" w:rsidRPr="00F13D2D">
        <w:t>Suivi des déclarations issues des conférences</w:t>
      </w:r>
      <w:bookmarkEnd w:id="29"/>
    </w:p>
    <w:p w:rsidR="00E819C1" w:rsidRPr="00F13D2D" w:rsidRDefault="0055270C" w:rsidP="0055270C">
      <w:pPr>
        <w:pStyle w:val="SingleTxtG"/>
        <w:rPr>
          <w:rFonts w:eastAsia="Calibri"/>
          <w:lang w:val="fr-FR"/>
        </w:rPr>
      </w:pPr>
      <w:r w:rsidRPr="00F13D2D">
        <w:rPr>
          <w:rFonts w:eastAsia="Calibri"/>
          <w:lang w:val="fr-FR"/>
        </w:rPr>
        <w:t>30.</w:t>
      </w:r>
      <w:r w:rsidRPr="00F13D2D">
        <w:rPr>
          <w:rFonts w:eastAsia="Calibri"/>
          <w:lang w:val="fr-FR"/>
        </w:rPr>
        <w:tab/>
      </w:r>
      <w:r w:rsidR="00E819C1" w:rsidRPr="00F13D2D">
        <w:rPr>
          <w:rFonts w:eastAsia="Calibri"/>
          <w:lang w:val="fr-FR"/>
        </w:rPr>
        <w:t xml:space="preserve">La Mauritanie, de par sa participation aux conférences internationales, relatives aux Droit de l’Homme a appuyé de façon efficiente les déclarations, recommandations et engagements formulés. </w:t>
      </w:r>
    </w:p>
    <w:p w:rsidR="00E819C1" w:rsidRPr="00F13D2D" w:rsidRDefault="0055270C" w:rsidP="0055270C">
      <w:pPr>
        <w:pStyle w:val="SingleTxtG"/>
        <w:rPr>
          <w:rFonts w:eastAsia="Calibri"/>
          <w:lang w:val="fr-FR"/>
        </w:rPr>
      </w:pPr>
      <w:r w:rsidRPr="00F13D2D">
        <w:rPr>
          <w:rFonts w:eastAsia="Calibri"/>
          <w:lang w:val="fr-FR"/>
        </w:rPr>
        <w:t>31.</w:t>
      </w:r>
      <w:r w:rsidRPr="00F13D2D">
        <w:rPr>
          <w:rFonts w:eastAsia="Calibri"/>
          <w:lang w:val="fr-FR"/>
        </w:rPr>
        <w:tab/>
      </w:r>
      <w:r w:rsidR="00E819C1" w:rsidRPr="00F13D2D">
        <w:rPr>
          <w:rFonts w:eastAsia="Calibri"/>
          <w:lang w:val="fr-FR"/>
        </w:rPr>
        <w:t xml:space="preserve">En application des déclarations et recommandations des conférences internationales, notamment celle de Vienne de 1993, la Mauritanie a retiré et remplacé sa réserve générale sur la CEDEF et envisage de faire de même sur celle de portée générale formulée sur la </w:t>
      </w:r>
      <w:r w:rsidR="003D0AAF" w:rsidRPr="00F13D2D">
        <w:rPr>
          <w:rFonts w:eastAsia="Calibri"/>
          <w:lang w:val="fr-FR"/>
        </w:rPr>
        <w:t xml:space="preserve">Convention </w:t>
      </w:r>
      <w:r w:rsidR="00E819C1" w:rsidRPr="00F13D2D">
        <w:rPr>
          <w:rFonts w:eastAsia="Calibri"/>
          <w:lang w:val="fr-FR"/>
        </w:rPr>
        <w:t>relative aux droits de l’enfant.</w:t>
      </w:r>
    </w:p>
    <w:p w:rsidR="00E819C1" w:rsidRPr="00F13D2D" w:rsidRDefault="00525A47" w:rsidP="00AA7A93">
      <w:pPr>
        <w:pStyle w:val="H23G"/>
      </w:pPr>
      <w:bookmarkStart w:id="30" w:name="_Toc453672868"/>
      <w:bookmarkStart w:id="31" w:name="_Toc454388707"/>
      <w:r w:rsidRPr="00F13D2D">
        <w:tab/>
      </w:r>
      <w:r w:rsidR="00E819C1" w:rsidRPr="00F13D2D">
        <w:t>e)</w:t>
      </w:r>
      <w:r w:rsidRPr="00F13D2D">
        <w:tab/>
      </w:r>
      <w:r w:rsidR="00E819C1" w:rsidRPr="00F13D2D">
        <w:t>Dérogations, restrictions ou limitations</w:t>
      </w:r>
      <w:bookmarkEnd w:id="30"/>
      <w:bookmarkEnd w:id="31"/>
    </w:p>
    <w:p w:rsidR="00E819C1" w:rsidRPr="00F13D2D" w:rsidRDefault="0055270C" w:rsidP="0055270C">
      <w:pPr>
        <w:pStyle w:val="SingleTxtG"/>
        <w:rPr>
          <w:rFonts w:eastAsia="Calibri"/>
          <w:lang w:val="fr-FR"/>
        </w:rPr>
      </w:pPr>
      <w:r w:rsidRPr="00F13D2D">
        <w:rPr>
          <w:rFonts w:eastAsia="Calibri"/>
          <w:lang w:val="fr-FR"/>
        </w:rPr>
        <w:t>32.</w:t>
      </w:r>
      <w:r w:rsidRPr="00F13D2D">
        <w:rPr>
          <w:rFonts w:eastAsia="Calibri"/>
          <w:lang w:val="fr-FR"/>
        </w:rPr>
        <w:tab/>
      </w:r>
      <w:r w:rsidR="00E819C1" w:rsidRPr="00F13D2D">
        <w:rPr>
          <w:rFonts w:eastAsia="Calibri"/>
          <w:lang w:val="fr-FR"/>
        </w:rPr>
        <w:t>En dehors des réserves portées sur les instruments internationaux ratifiés par le pays, il n’existe aucune dérogation, restriction ou limitation à l’application de ces derniers.</w:t>
      </w:r>
    </w:p>
    <w:p w:rsidR="00E819C1" w:rsidRPr="00F13D2D" w:rsidRDefault="004E53A2" w:rsidP="00AA7A93">
      <w:pPr>
        <w:pStyle w:val="H23G"/>
      </w:pPr>
      <w:r>
        <w:tab/>
      </w:r>
      <w:r>
        <w:tab/>
      </w:r>
      <w:r w:rsidR="00E819C1" w:rsidRPr="00AA7A93">
        <w:rPr>
          <w:b w:val="0"/>
        </w:rPr>
        <w:t>Tableau n</w:t>
      </w:r>
      <w:r w:rsidRPr="00AA7A93">
        <w:rPr>
          <w:b w:val="0"/>
          <w:vertAlign w:val="superscript"/>
        </w:rPr>
        <w:t>o</w:t>
      </w:r>
      <w:r>
        <w:rPr>
          <w:b w:val="0"/>
        </w:rPr>
        <w:t> </w:t>
      </w:r>
      <w:r w:rsidR="00E819C1" w:rsidRPr="00AA7A93">
        <w:rPr>
          <w:b w:val="0"/>
        </w:rPr>
        <w:t>4</w:t>
      </w:r>
      <w:r>
        <w:t> </w:t>
      </w:r>
      <w:r>
        <w:br/>
      </w:r>
      <w:r w:rsidRPr="00F13D2D">
        <w:t xml:space="preserve">Principales </w:t>
      </w:r>
      <w:r w:rsidR="00E819C1" w:rsidRPr="00F13D2D">
        <w:t>conventions de l’OIT ratifiées par la Mauritanie</w:t>
      </w:r>
    </w:p>
    <w:tbl>
      <w:tblPr>
        <w:tblW w:w="0" w:type="auto"/>
        <w:tblInd w:w="1134" w:type="dxa"/>
        <w:tblLayout w:type="fixed"/>
        <w:tblCellMar>
          <w:left w:w="0" w:type="dxa"/>
          <w:right w:w="0" w:type="dxa"/>
        </w:tblCellMar>
        <w:tblLook w:val="04A0" w:firstRow="1" w:lastRow="0" w:firstColumn="1" w:lastColumn="0" w:noHBand="0" w:noVBand="1"/>
      </w:tblPr>
      <w:tblGrid>
        <w:gridCol w:w="567"/>
        <w:gridCol w:w="2552"/>
        <w:gridCol w:w="1418"/>
        <w:gridCol w:w="1418"/>
        <w:gridCol w:w="2552"/>
      </w:tblGrid>
      <w:tr w:rsidR="00AA7A93" w:rsidRPr="00AA7A93" w:rsidTr="00AA7A93">
        <w:trPr>
          <w:tblHeader/>
        </w:trPr>
        <w:tc>
          <w:tcPr>
            <w:tcW w:w="567" w:type="dxa"/>
            <w:tcBorders>
              <w:top w:val="single" w:sz="4" w:space="0" w:color="auto"/>
              <w:bottom w:val="single" w:sz="12" w:space="0" w:color="auto"/>
            </w:tcBorders>
            <w:shd w:val="clear" w:color="auto" w:fill="auto"/>
            <w:vAlign w:val="bottom"/>
          </w:tcPr>
          <w:p w:rsidR="00E819C1" w:rsidRPr="00AA7A93" w:rsidRDefault="00E819C1" w:rsidP="00AA7A93">
            <w:pPr>
              <w:spacing w:before="40" w:after="60"/>
              <w:ind w:right="113"/>
              <w:rPr>
                <w:i/>
                <w:sz w:val="16"/>
                <w:szCs w:val="16"/>
                <w:lang w:val="fr-FR" w:eastAsia="fr-FR"/>
              </w:rPr>
            </w:pPr>
            <w:r w:rsidRPr="00AA7A93">
              <w:rPr>
                <w:i/>
                <w:sz w:val="16"/>
                <w:szCs w:val="16"/>
                <w:lang w:val="fr-FR" w:eastAsia="fr-FR"/>
              </w:rPr>
              <w:t>N°</w:t>
            </w:r>
          </w:p>
        </w:tc>
        <w:tc>
          <w:tcPr>
            <w:tcW w:w="2552" w:type="dxa"/>
            <w:tcBorders>
              <w:top w:val="single" w:sz="4" w:space="0" w:color="auto"/>
              <w:bottom w:val="single" w:sz="12" w:space="0" w:color="auto"/>
            </w:tcBorders>
            <w:shd w:val="clear" w:color="auto" w:fill="auto"/>
            <w:vAlign w:val="bottom"/>
          </w:tcPr>
          <w:p w:rsidR="00E819C1" w:rsidRPr="00AA7A93" w:rsidRDefault="00E819C1" w:rsidP="00AA7A93">
            <w:pPr>
              <w:spacing w:before="40" w:after="60"/>
              <w:ind w:right="113"/>
              <w:rPr>
                <w:i/>
                <w:sz w:val="16"/>
                <w:szCs w:val="16"/>
                <w:lang w:val="fr-FR" w:eastAsia="fr-FR"/>
              </w:rPr>
            </w:pPr>
            <w:r w:rsidRPr="00AA7A93">
              <w:rPr>
                <w:i/>
                <w:sz w:val="16"/>
                <w:szCs w:val="16"/>
                <w:lang w:val="fr-FR" w:eastAsia="fr-FR"/>
              </w:rPr>
              <w:t>Instruments</w:t>
            </w:r>
          </w:p>
        </w:tc>
        <w:tc>
          <w:tcPr>
            <w:tcW w:w="1418" w:type="dxa"/>
            <w:tcBorders>
              <w:top w:val="single" w:sz="4" w:space="0" w:color="auto"/>
              <w:bottom w:val="single" w:sz="12" w:space="0" w:color="auto"/>
            </w:tcBorders>
            <w:shd w:val="clear" w:color="auto" w:fill="auto"/>
            <w:vAlign w:val="bottom"/>
          </w:tcPr>
          <w:p w:rsidR="00E819C1" w:rsidRPr="00AA7A93" w:rsidRDefault="00E819C1" w:rsidP="00AA7A93">
            <w:pPr>
              <w:spacing w:before="40" w:after="60"/>
              <w:ind w:right="113"/>
              <w:rPr>
                <w:i/>
                <w:sz w:val="16"/>
                <w:szCs w:val="16"/>
                <w:lang w:val="fr-FR" w:eastAsia="fr-FR"/>
              </w:rPr>
            </w:pPr>
            <w:r w:rsidRPr="00AA7A93">
              <w:rPr>
                <w:i/>
                <w:sz w:val="16"/>
                <w:szCs w:val="16"/>
                <w:lang w:val="fr-FR" w:eastAsia="fr-FR"/>
              </w:rPr>
              <w:t xml:space="preserve">Date </w:t>
            </w:r>
            <w:r w:rsidR="00C17DB8" w:rsidRPr="00AA7A93">
              <w:rPr>
                <w:i/>
                <w:sz w:val="16"/>
                <w:szCs w:val="16"/>
                <w:lang w:val="fr-FR" w:eastAsia="fr-FR"/>
              </w:rPr>
              <w:t>d’a</w:t>
            </w:r>
            <w:r w:rsidRPr="00AA7A93">
              <w:rPr>
                <w:i/>
                <w:sz w:val="16"/>
                <w:szCs w:val="16"/>
                <w:lang w:val="fr-FR" w:eastAsia="fr-FR"/>
              </w:rPr>
              <w:t>doption</w:t>
            </w:r>
          </w:p>
        </w:tc>
        <w:tc>
          <w:tcPr>
            <w:tcW w:w="1418" w:type="dxa"/>
            <w:tcBorders>
              <w:top w:val="single" w:sz="4" w:space="0" w:color="auto"/>
              <w:bottom w:val="single" w:sz="12" w:space="0" w:color="auto"/>
            </w:tcBorders>
            <w:shd w:val="clear" w:color="auto" w:fill="auto"/>
            <w:vAlign w:val="bottom"/>
          </w:tcPr>
          <w:p w:rsidR="00E819C1" w:rsidRPr="00AA7A93" w:rsidRDefault="00E819C1" w:rsidP="00AA7A93">
            <w:pPr>
              <w:spacing w:before="40" w:after="60"/>
              <w:ind w:right="113"/>
              <w:rPr>
                <w:i/>
                <w:sz w:val="16"/>
                <w:szCs w:val="16"/>
                <w:lang w:val="fr-FR" w:eastAsia="fr-FR"/>
              </w:rPr>
            </w:pPr>
            <w:r w:rsidRPr="00AA7A93">
              <w:rPr>
                <w:i/>
                <w:sz w:val="16"/>
                <w:szCs w:val="16"/>
                <w:lang w:val="fr-FR" w:eastAsia="fr-FR"/>
              </w:rPr>
              <w:t>Date</w:t>
            </w:r>
            <w:r w:rsidR="00837D86" w:rsidRPr="00AA7A93">
              <w:rPr>
                <w:i/>
                <w:sz w:val="16"/>
                <w:szCs w:val="16"/>
                <w:lang w:val="fr-FR" w:eastAsia="fr-FR"/>
              </w:rPr>
              <w:t xml:space="preserve"> </w:t>
            </w:r>
            <w:r w:rsidRPr="00AA7A93">
              <w:rPr>
                <w:i/>
                <w:sz w:val="16"/>
                <w:szCs w:val="16"/>
                <w:lang w:val="fr-FR" w:eastAsia="fr-FR"/>
              </w:rPr>
              <w:t xml:space="preserve">de </w:t>
            </w:r>
            <w:r w:rsidR="00C17DB8" w:rsidRPr="00AA7A93">
              <w:rPr>
                <w:i/>
                <w:sz w:val="16"/>
                <w:szCs w:val="16"/>
                <w:lang w:val="fr-FR" w:eastAsia="fr-FR"/>
              </w:rPr>
              <w:t>r</w:t>
            </w:r>
            <w:r w:rsidRPr="00AA7A93">
              <w:rPr>
                <w:i/>
                <w:sz w:val="16"/>
                <w:szCs w:val="16"/>
                <w:lang w:val="fr-FR" w:eastAsia="fr-FR"/>
              </w:rPr>
              <w:t>atification</w:t>
            </w:r>
          </w:p>
        </w:tc>
        <w:tc>
          <w:tcPr>
            <w:tcW w:w="2552" w:type="dxa"/>
            <w:tcBorders>
              <w:top w:val="single" w:sz="4" w:space="0" w:color="auto"/>
              <w:bottom w:val="single" w:sz="12" w:space="0" w:color="auto"/>
            </w:tcBorders>
            <w:shd w:val="clear" w:color="auto" w:fill="auto"/>
            <w:vAlign w:val="bottom"/>
          </w:tcPr>
          <w:p w:rsidR="00E819C1" w:rsidRPr="00AA7A93" w:rsidRDefault="00E819C1" w:rsidP="00AA7A93">
            <w:pPr>
              <w:spacing w:before="40" w:after="60"/>
              <w:ind w:right="113"/>
              <w:rPr>
                <w:i/>
                <w:sz w:val="16"/>
                <w:szCs w:val="16"/>
                <w:lang w:val="fr-FR" w:eastAsia="fr-FR"/>
              </w:rPr>
            </w:pPr>
            <w:r w:rsidRPr="00AA7A93">
              <w:rPr>
                <w:i/>
                <w:sz w:val="16"/>
                <w:szCs w:val="16"/>
                <w:lang w:val="fr-FR" w:eastAsia="fr-FR"/>
              </w:rPr>
              <w:t xml:space="preserve">Réserves ou </w:t>
            </w:r>
            <w:r w:rsidR="00C17DB8" w:rsidRPr="00AA7A93">
              <w:rPr>
                <w:i/>
                <w:sz w:val="16"/>
                <w:szCs w:val="16"/>
                <w:lang w:val="fr-FR" w:eastAsia="fr-FR"/>
              </w:rPr>
              <w:t>o</w:t>
            </w:r>
            <w:r w:rsidRPr="00AA7A93">
              <w:rPr>
                <w:i/>
                <w:sz w:val="16"/>
                <w:szCs w:val="16"/>
                <w:lang w:val="fr-FR" w:eastAsia="fr-FR"/>
              </w:rPr>
              <w:t>bservations</w:t>
            </w:r>
          </w:p>
        </w:tc>
      </w:tr>
      <w:tr w:rsidR="004E53A2" w:rsidRPr="00AA7A93" w:rsidTr="00AA7A93">
        <w:trPr>
          <w:trHeight w:hRule="exact" w:val="113"/>
          <w:tblHeader/>
        </w:trPr>
        <w:tc>
          <w:tcPr>
            <w:tcW w:w="567" w:type="dxa"/>
            <w:tcBorders>
              <w:top w:val="single" w:sz="12" w:space="0" w:color="auto"/>
            </w:tcBorders>
            <w:shd w:val="clear" w:color="auto" w:fill="auto"/>
          </w:tcPr>
          <w:p w:rsidR="004E53A2" w:rsidRPr="00AA7A93" w:rsidRDefault="004E53A2" w:rsidP="00AA7A93">
            <w:pPr>
              <w:spacing w:before="40" w:after="60"/>
              <w:ind w:right="113"/>
              <w:rPr>
                <w:sz w:val="18"/>
                <w:szCs w:val="18"/>
                <w:lang w:val="fr-FR" w:eastAsia="fr-FR"/>
              </w:rPr>
            </w:pPr>
          </w:p>
        </w:tc>
        <w:tc>
          <w:tcPr>
            <w:tcW w:w="2552" w:type="dxa"/>
            <w:tcBorders>
              <w:top w:val="single" w:sz="12" w:space="0" w:color="auto"/>
            </w:tcBorders>
            <w:shd w:val="clear" w:color="auto" w:fill="auto"/>
          </w:tcPr>
          <w:p w:rsidR="004E53A2" w:rsidRPr="00AA7A93" w:rsidRDefault="004E53A2" w:rsidP="00AA7A93">
            <w:pPr>
              <w:spacing w:before="40" w:after="60"/>
              <w:ind w:right="113"/>
              <w:rPr>
                <w:sz w:val="18"/>
                <w:szCs w:val="18"/>
                <w:lang w:val="fr-FR" w:eastAsia="fr-FR"/>
              </w:rPr>
            </w:pPr>
          </w:p>
        </w:tc>
        <w:tc>
          <w:tcPr>
            <w:tcW w:w="1418" w:type="dxa"/>
            <w:tcBorders>
              <w:top w:val="single" w:sz="12" w:space="0" w:color="auto"/>
            </w:tcBorders>
            <w:shd w:val="clear" w:color="auto" w:fill="auto"/>
          </w:tcPr>
          <w:p w:rsidR="004E53A2" w:rsidRPr="00AA7A93" w:rsidRDefault="004E53A2" w:rsidP="00AA7A93">
            <w:pPr>
              <w:spacing w:before="40" w:after="60"/>
              <w:ind w:right="113"/>
              <w:rPr>
                <w:sz w:val="18"/>
                <w:szCs w:val="18"/>
                <w:lang w:val="fr-FR" w:eastAsia="fr-FR"/>
              </w:rPr>
            </w:pPr>
          </w:p>
        </w:tc>
        <w:tc>
          <w:tcPr>
            <w:tcW w:w="1418" w:type="dxa"/>
            <w:tcBorders>
              <w:top w:val="single" w:sz="12" w:space="0" w:color="auto"/>
            </w:tcBorders>
            <w:shd w:val="clear" w:color="auto" w:fill="auto"/>
          </w:tcPr>
          <w:p w:rsidR="004E53A2" w:rsidRPr="00AA7A93" w:rsidRDefault="004E53A2" w:rsidP="00AA7A93">
            <w:pPr>
              <w:spacing w:before="40" w:after="60"/>
              <w:ind w:right="113"/>
              <w:rPr>
                <w:sz w:val="18"/>
                <w:szCs w:val="18"/>
                <w:lang w:val="fr-FR" w:eastAsia="fr-FR"/>
              </w:rPr>
            </w:pPr>
          </w:p>
        </w:tc>
        <w:tc>
          <w:tcPr>
            <w:tcW w:w="2552" w:type="dxa"/>
            <w:tcBorders>
              <w:top w:val="single" w:sz="12" w:space="0" w:color="auto"/>
            </w:tcBorders>
            <w:shd w:val="clear" w:color="auto" w:fill="auto"/>
          </w:tcPr>
          <w:p w:rsidR="004E53A2" w:rsidRPr="00AA7A93" w:rsidRDefault="004E53A2" w:rsidP="00AA7A93">
            <w:pPr>
              <w:spacing w:before="40" w:after="6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n°111 de l’OIT concernant la discrimination en matière d’emploi et de profession</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1958</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E819C1" w:rsidRPr="00AA7A93" w:rsidRDefault="00E819C1" w:rsidP="00AA7A93">
            <w:pPr>
              <w:spacing w:before="40" w:after="6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2</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de l’OIT n°19</w:t>
            </w:r>
            <w:r w:rsidR="006C160E" w:rsidRPr="00AA7A93">
              <w:rPr>
                <w:sz w:val="18"/>
                <w:szCs w:val="18"/>
                <w:lang w:val="fr-FR" w:eastAsia="fr-FR"/>
              </w:rPr>
              <w:t xml:space="preserve"> </w:t>
            </w:r>
            <w:r w:rsidRPr="00AA7A93">
              <w:rPr>
                <w:sz w:val="18"/>
                <w:szCs w:val="18"/>
                <w:lang w:val="fr-FR" w:eastAsia="fr-FR"/>
              </w:rPr>
              <w:t>sur l’égalité de traitement (accident du travail).</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1925</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E819C1" w:rsidRPr="00AA7A93" w:rsidRDefault="00E819C1" w:rsidP="00AA7A93">
            <w:pPr>
              <w:spacing w:before="40" w:after="6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3</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n°100</w:t>
            </w:r>
            <w:r w:rsidR="006C160E" w:rsidRPr="00AA7A93">
              <w:rPr>
                <w:sz w:val="18"/>
                <w:szCs w:val="18"/>
                <w:lang w:val="fr-FR" w:eastAsia="fr-FR"/>
              </w:rPr>
              <w:t xml:space="preserve"> </w:t>
            </w:r>
            <w:r w:rsidRPr="00AA7A93">
              <w:rPr>
                <w:sz w:val="18"/>
                <w:szCs w:val="18"/>
                <w:lang w:val="fr-FR" w:eastAsia="fr-FR"/>
              </w:rPr>
              <w:t>sur l’égalité de rémunérations minima (agriculture).</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1951</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03/12/2001</w:t>
            </w:r>
          </w:p>
        </w:tc>
        <w:tc>
          <w:tcPr>
            <w:tcW w:w="2552" w:type="dxa"/>
            <w:shd w:val="clear" w:color="auto" w:fill="auto"/>
          </w:tcPr>
          <w:p w:rsidR="00E819C1" w:rsidRPr="00AA7A93" w:rsidRDefault="00E819C1" w:rsidP="00AA7A93">
            <w:pPr>
              <w:spacing w:before="40" w:after="6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4</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n°118</w:t>
            </w:r>
            <w:r w:rsidR="006C160E" w:rsidRPr="00AA7A93">
              <w:rPr>
                <w:sz w:val="18"/>
                <w:szCs w:val="18"/>
                <w:lang w:val="fr-FR" w:eastAsia="fr-FR"/>
              </w:rPr>
              <w:t xml:space="preserve"> </w:t>
            </w:r>
            <w:r w:rsidRPr="00AA7A93">
              <w:rPr>
                <w:sz w:val="18"/>
                <w:szCs w:val="18"/>
                <w:lang w:val="fr-FR" w:eastAsia="fr-FR"/>
              </w:rPr>
              <w:t>sur l’égalité de traitement (sécurité sociale).</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1962</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15/07/1968</w:t>
            </w:r>
          </w:p>
          <w:p w:rsidR="00E819C1" w:rsidRPr="00AA7A93" w:rsidRDefault="00E819C1" w:rsidP="00AA7A93">
            <w:pPr>
              <w:spacing w:before="40" w:after="60"/>
              <w:ind w:right="113"/>
              <w:rPr>
                <w:sz w:val="18"/>
                <w:szCs w:val="18"/>
                <w:lang w:val="fr-FR" w:eastAsia="fr-FR"/>
              </w:rPr>
            </w:pP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A accepté les branches</w:t>
            </w:r>
            <w:r w:rsidR="006C160E" w:rsidRPr="00AA7A93">
              <w:rPr>
                <w:sz w:val="18"/>
                <w:szCs w:val="18"/>
                <w:lang w:val="fr-FR" w:eastAsia="fr-FR"/>
              </w:rPr>
              <w:t xml:space="preserve"> </w:t>
            </w:r>
            <w:r w:rsidRPr="00AA7A93">
              <w:rPr>
                <w:sz w:val="18"/>
                <w:szCs w:val="18"/>
                <w:lang w:val="fr-FR" w:eastAsia="fr-FR"/>
              </w:rPr>
              <w:t>d)</w:t>
            </w:r>
            <w:r w:rsidR="006C160E" w:rsidRPr="00AA7A93">
              <w:rPr>
                <w:sz w:val="18"/>
                <w:szCs w:val="18"/>
                <w:lang w:val="fr-FR" w:eastAsia="fr-FR"/>
              </w:rPr>
              <w:t xml:space="preserve"> </w:t>
            </w:r>
            <w:r w:rsidR="00550E48" w:rsidRPr="00AA7A93">
              <w:rPr>
                <w:sz w:val="18"/>
                <w:szCs w:val="18"/>
                <w:lang w:val="fr-FR" w:eastAsia="fr-FR"/>
              </w:rPr>
              <w:br/>
            </w:r>
            <w:r w:rsidRPr="00AA7A93">
              <w:rPr>
                <w:sz w:val="18"/>
                <w:szCs w:val="18"/>
                <w:lang w:val="fr-FR" w:eastAsia="fr-FR"/>
              </w:rPr>
              <w:t>à</w:t>
            </w:r>
            <w:r w:rsidR="006C160E" w:rsidRPr="00AA7A93">
              <w:rPr>
                <w:sz w:val="18"/>
                <w:szCs w:val="18"/>
                <w:lang w:val="fr-FR" w:eastAsia="fr-FR"/>
              </w:rPr>
              <w:t xml:space="preserve"> </w:t>
            </w:r>
            <w:r w:rsidRPr="00AA7A93">
              <w:rPr>
                <w:sz w:val="18"/>
                <w:szCs w:val="18"/>
                <w:lang w:val="fr-FR" w:eastAsia="fr-FR"/>
              </w:rPr>
              <w:t>g)</w:t>
            </w:r>
            <w:r w:rsidR="006C160E" w:rsidRPr="00AA7A93">
              <w:rPr>
                <w:sz w:val="18"/>
                <w:szCs w:val="18"/>
                <w:lang w:val="fr-FR" w:eastAsia="fr-FR"/>
              </w:rPr>
              <w:t xml:space="preserve"> </w:t>
            </w:r>
            <w:r w:rsidRPr="00AA7A93">
              <w:rPr>
                <w:sz w:val="18"/>
                <w:szCs w:val="18"/>
                <w:lang w:val="fr-FR" w:eastAsia="fr-FR"/>
              </w:rPr>
              <w:t>et</w:t>
            </w:r>
            <w:r w:rsidR="006C160E" w:rsidRPr="00AA7A93">
              <w:rPr>
                <w:sz w:val="18"/>
                <w:szCs w:val="18"/>
                <w:lang w:val="fr-FR" w:eastAsia="fr-FR"/>
              </w:rPr>
              <w:t xml:space="preserve"> </w:t>
            </w:r>
            <w:r w:rsidRPr="00AA7A93">
              <w:rPr>
                <w:sz w:val="18"/>
                <w:szCs w:val="18"/>
                <w:lang w:val="fr-FR" w:eastAsia="fr-FR"/>
              </w:rPr>
              <w:t>i)</w:t>
            </w: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5</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de l’OIT</w:t>
            </w:r>
            <w:r w:rsidR="006C160E" w:rsidRPr="00AA7A93">
              <w:rPr>
                <w:sz w:val="18"/>
                <w:szCs w:val="18"/>
                <w:lang w:val="fr-FR" w:eastAsia="fr-FR"/>
              </w:rPr>
              <w:t xml:space="preserve"> </w:t>
            </w:r>
            <w:r w:rsidRPr="00AA7A93">
              <w:rPr>
                <w:sz w:val="18"/>
                <w:szCs w:val="18"/>
                <w:lang w:val="fr-FR" w:eastAsia="fr-FR"/>
              </w:rPr>
              <w:t>n°105</w:t>
            </w:r>
            <w:r w:rsidR="006C160E" w:rsidRPr="00AA7A93">
              <w:rPr>
                <w:sz w:val="18"/>
                <w:szCs w:val="18"/>
                <w:lang w:val="fr-FR" w:eastAsia="fr-FR"/>
              </w:rPr>
              <w:t xml:space="preserve"> </w:t>
            </w:r>
            <w:r w:rsidRPr="00AA7A93">
              <w:rPr>
                <w:sz w:val="18"/>
                <w:szCs w:val="18"/>
                <w:lang w:val="fr-FR" w:eastAsia="fr-FR"/>
              </w:rPr>
              <w:t>concernant l’abolition du travail forcé.</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1957</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03/04/1997</w:t>
            </w:r>
          </w:p>
        </w:tc>
        <w:tc>
          <w:tcPr>
            <w:tcW w:w="2552" w:type="dxa"/>
            <w:shd w:val="clear" w:color="auto" w:fill="auto"/>
          </w:tcPr>
          <w:p w:rsidR="00E819C1" w:rsidRPr="00AA7A93" w:rsidRDefault="00E819C1" w:rsidP="00AA7A93">
            <w:pPr>
              <w:spacing w:before="40" w:after="6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6</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de l’OIT</w:t>
            </w:r>
            <w:r w:rsidR="006C160E" w:rsidRPr="00AA7A93">
              <w:rPr>
                <w:sz w:val="18"/>
                <w:szCs w:val="18"/>
                <w:lang w:val="fr-FR" w:eastAsia="fr-FR"/>
              </w:rPr>
              <w:t xml:space="preserve"> </w:t>
            </w:r>
            <w:r w:rsidRPr="00AA7A93">
              <w:rPr>
                <w:sz w:val="18"/>
                <w:szCs w:val="18"/>
                <w:lang w:val="fr-FR" w:eastAsia="fr-FR"/>
              </w:rPr>
              <w:t>n°29</w:t>
            </w:r>
            <w:r w:rsidR="006C160E" w:rsidRPr="00AA7A93">
              <w:rPr>
                <w:sz w:val="18"/>
                <w:szCs w:val="18"/>
                <w:lang w:val="fr-FR" w:eastAsia="fr-FR"/>
              </w:rPr>
              <w:t xml:space="preserve"> </w:t>
            </w:r>
            <w:r w:rsidRPr="00AA7A93">
              <w:rPr>
                <w:sz w:val="18"/>
                <w:szCs w:val="18"/>
                <w:lang w:val="fr-FR" w:eastAsia="fr-FR"/>
              </w:rPr>
              <w:t>relative</w:t>
            </w:r>
            <w:r w:rsidR="006C160E" w:rsidRPr="00AA7A93">
              <w:rPr>
                <w:sz w:val="18"/>
                <w:szCs w:val="18"/>
                <w:lang w:val="fr-FR" w:eastAsia="fr-FR"/>
              </w:rPr>
              <w:t xml:space="preserve"> </w:t>
            </w:r>
            <w:r w:rsidRPr="00AA7A93">
              <w:rPr>
                <w:sz w:val="18"/>
                <w:szCs w:val="18"/>
                <w:lang w:val="fr-FR" w:eastAsia="fr-FR"/>
              </w:rPr>
              <w:t>au</w:t>
            </w:r>
            <w:r w:rsidR="006C160E" w:rsidRPr="00AA7A93">
              <w:rPr>
                <w:sz w:val="18"/>
                <w:szCs w:val="18"/>
                <w:lang w:val="fr-FR" w:eastAsia="fr-FR"/>
              </w:rPr>
              <w:t xml:space="preserve"> </w:t>
            </w:r>
            <w:r w:rsidRPr="00AA7A93">
              <w:rPr>
                <w:sz w:val="18"/>
                <w:szCs w:val="18"/>
                <w:lang w:val="fr-FR" w:eastAsia="fr-FR"/>
              </w:rPr>
              <w:t>travail forcé.</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1930</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20/06/1961</w:t>
            </w:r>
          </w:p>
        </w:tc>
        <w:tc>
          <w:tcPr>
            <w:tcW w:w="2552" w:type="dxa"/>
            <w:shd w:val="clear" w:color="auto" w:fill="auto"/>
          </w:tcPr>
          <w:p w:rsidR="00E819C1" w:rsidRPr="00AA7A93" w:rsidRDefault="00E819C1" w:rsidP="00AA7A93">
            <w:pPr>
              <w:spacing w:before="40" w:after="6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7</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de l’OIT n°3 sur la protection de la maternité.</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1919</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E819C1" w:rsidRPr="00AA7A93" w:rsidRDefault="00E819C1" w:rsidP="00AA7A93">
            <w:pPr>
              <w:spacing w:before="40" w:after="6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8</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de l’OIT n°4 sur le travail de nuit (femme)</w:t>
            </w:r>
            <w:r w:rsidR="00CA64F7">
              <w:rPr>
                <w:sz w:val="18"/>
                <w:szCs w:val="18"/>
                <w:lang w:val="fr-FR" w:eastAsia="fr-FR"/>
              </w:rPr>
              <w:t>.</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1919</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20/06/1961</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Dénoncée par la</w:t>
            </w:r>
            <w:r w:rsidR="006C160E" w:rsidRPr="00AA7A93">
              <w:rPr>
                <w:sz w:val="18"/>
                <w:szCs w:val="18"/>
                <w:lang w:val="fr-FR" w:eastAsia="fr-FR"/>
              </w:rPr>
              <w:t xml:space="preserve"> </w:t>
            </w:r>
            <w:r w:rsidRPr="00AA7A93">
              <w:rPr>
                <w:sz w:val="18"/>
                <w:szCs w:val="18"/>
                <w:lang w:val="fr-FR" w:eastAsia="fr-FR"/>
              </w:rPr>
              <w:t>RIM</w:t>
            </w:r>
            <w:r w:rsidR="006C160E" w:rsidRPr="00AA7A93">
              <w:rPr>
                <w:sz w:val="18"/>
                <w:szCs w:val="18"/>
                <w:lang w:val="fr-FR" w:eastAsia="fr-FR"/>
              </w:rPr>
              <w:t xml:space="preserve"> </w:t>
            </w:r>
            <w:r w:rsidRPr="00AA7A93">
              <w:rPr>
                <w:sz w:val="18"/>
                <w:szCs w:val="18"/>
                <w:lang w:val="fr-FR" w:eastAsia="fr-FR"/>
              </w:rPr>
              <w:t>le</w:t>
            </w:r>
            <w:r w:rsidR="00B15B78">
              <w:rPr>
                <w:sz w:val="18"/>
                <w:szCs w:val="18"/>
                <w:lang w:val="fr-FR" w:eastAsia="fr-FR"/>
              </w:rPr>
              <w:t> </w:t>
            </w:r>
            <w:r w:rsidRPr="00AA7A93">
              <w:rPr>
                <w:sz w:val="18"/>
                <w:szCs w:val="18"/>
                <w:lang w:val="fr-FR" w:eastAsia="fr-FR"/>
              </w:rPr>
              <w:t>02//08/1965.</w:t>
            </w: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9</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de l’OIT n°41</w:t>
            </w:r>
            <w:r w:rsidR="006C160E" w:rsidRPr="00AA7A93">
              <w:rPr>
                <w:sz w:val="18"/>
                <w:szCs w:val="18"/>
                <w:lang w:val="fr-FR" w:eastAsia="fr-FR"/>
              </w:rPr>
              <w:t xml:space="preserve"> </w:t>
            </w:r>
            <w:r w:rsidRPr="00AA7A93">
              <w:rPr>
                <w:sz w:val="18"/>
                <w:szCs w:val="18"/>
                <w:lang w:val="fr-FR" w:eastAsia="fr-FR"/>
              </w:rPr>
              <w:t>du travail de nuit (femme).</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1934</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20/06/1961</w:t>
            </w:r>
          </w:p>
        </w:tc>
        <w:tc>
          <w:tcPr>
            <w:tcW w:w="2552" w:type="dxa"/>
            <w:shd w:val="clear" w:color="auto" w:fill="auto"/>
          </w:tcPr>
          <w:p w:rsidR="00E819C1" w:rsidRPr="00CA64F7" w:rsidRDefault="00E819C1" w:rsidP="00AA7A93">
            <w:pPr>
              <w:spacing w:before="40" w:after="60"/>
              <w:ind w:right="113"/>
              <w:rPr>
                <w:spacing w:val="-2"/>
                <w:sz w:val="18"/>
                <w:szCs w:val="18"/>
                <w:lang w:val="fr-FR" w:eastAsia="fr-FR"/>
              </w:rPr>
            </w:pPr>
            <w:r w:rsidRPr="00CA64F7">
              <w:rPr>
                <w:spacing w:val="-2"/>
                <w:sz w:val="18"/>
                <w:szCs w:val="18"/>
                <w:lang w:val="fr-FR" w:eastAsia="fr-FR"/>
              </w:rPr>
              <w:t>Dénoncée du fait</w:t>
            </w:r>
            <w:r w:rsidR="006C160E" w:rsidRPr="00CA64F7">
              <w:rPr>
                <w:spacing w:val="-2"/>
                <w:sz w:val="18"/>
                <w:szCs w:val="18"/>
                <w:lang w:val="fr-FR" w:eastAsia="fr-FR"/>
              </w:rPr>
              <w:t xml:space="preserve"> </w:t>
            </w:r>
            <w:r w:rsidRPr="00CA64F7">
              <w:rPr>
                <w:spacing w:val="-2"/>
                <w:sz w:val="18"/>
                <w:szCs w:val="18"/>
                <w:lang w:val="fr-FR" w:eastAsia="fr-FR"/>
              </w:rPr>
              <w:t xml:space="preserve">de la ratification de la </w:t>
            </w:r>
            <w:r w:rsidR="003D0AAF" w:rsidRPr="00CA64F7">
              <w:rPr>
                <w:spacing w:val="-2"/>
                <w:sz w:val="18"/>
                <w:szCs w:val="18"/>
                <w:lang w:val="fr-FR" w:eastAsia="fr-FR"/>
              </w:rPr>
              <w:t>Convention</w:t>
            </w:r>
            <w:r w:rsidR="00CA64F7" w:rsidRPr="00CA64F7">
              <w:rPr>
                <w:spacing w:val="-2"/>
                <w:sz w:val="18"/>
                <w:szCs w:val="18"/>
                <w:lang w:val="fr-FR" w:eastAsia="fr-FR"/>
              </w:rPr>
              <w:t xml:space="preserve"> </w:t>
            </w:r>
            <w:r w:rsidRPr="00CA64F7">
              <w:rPr>
                <w:spacing w:val="-2"/>
                <w:sz w:val="18"/>
                <w:szCs w:val="18"/>
                <w:lang w:val="fr-FR" w:eastAsia="fr-FR"/>
              </w:rPr>
              <w:t>n°89.</w:t>
            </w: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lastRenderedPageBreak/>
              <w:t>10</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de l’OIT n°89</w:t>
            </w:r>
            <w:r w:rsidR="006C160E" w:rsidRPr="00AA7A93">
              <w:rPr>
                <w:sz w:val="18"/>
                <w:szCs w:val="18"/>
                <w:lang w:val="fr-FR" w:eastAsia="fr-FR"/>
              </w:rPr>
              <w:t xml:space="preserve"> </w:t>
            </w:r>
            <w:r w:rsidRPr="00AA7A93">
              <w:rPr>
                <w:sz w:val="18"/>
                <w:szCs w:val="18"/>
                <w:lang w:val="fr-FR" w:eastAsia="fr-FR"/>
              </w:rPr>
              <w:t>sur le travail de nuit (femme).</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1948</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E819C1" w:rsidRPr="00AA7A93" w:rsidRDefault="00E819C1" w:rsidP="00AA7A93">
            <w:pPr>
              <w:spacing w:before="40" w:after="6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11</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n°182</w:t>
            </w:r>
            <w:r w:rsidR="006C160E" w:rsidRPr="00AA7A93">
              <w:rPr>
                <w:sz w:val="18"/>
                <w:szCs w:val="18"/>
                <w:lang w:val="fr-FR" w:eastAsia="fr-FR"/>
              </w:rPr>
              <w:t xml:space="preserve"> </w:t>
            </w:r>
            <w:r w:rsidRPr="00AA7A93">
              <w:rPr>
                <w:sz w:val="18"/>
                <w:szCs w:val="18"/>
                <w:lang w:val="fr-FR" w:eastAsia="fr-FR"/>
              </w:rPr>
              <w:t>sur les pires</w:t>
            </w:r>
            <w:r w:rsidR="006C160E" w:rsidRPr="00AA7A93">
              <w:rPr>
                <w:sz w:val="18"/>
                <w:szCs w:val="18"/>
                <w:lang w:val="fr-FR" w:eastAsia="fr-FR"/>
              </w:rPr>
              <w:t xml:space="preserve"> </w:t>
            </w:r>
            <w:r w:rsidRPr="00AA7A93">
              <w:rPr>
                <w:sz w:val="18"/>
                <w:szCs w:val="18"/>
                <w:lang w:val="fr-FR" w:eastAsia="fr-FR"/>
              </w:rPr>
              <w:t>formes de travail des enfants.</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1999</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03/12/2001</w:t>
            </w:r>
          </w:p>
        </w:tc>
        <w:tc>
          <w:tcPr>
            <w:tcW w:w="2552" w:type="dxa"/>
            <w:shd w:val="clear" w:color="auto" w:fill="auto"/>
          </w:tcPr>
          <w:p w:rsidR="00E819C1" w:rsidRPr="00AA7A93" w:rsidRDefault="00E819C1" w:rsidP="00AA7A93">
            <w:pPr>
              <w:spacing w:before="40" w:after="6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12</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n°5</w:t>
            </w:r>
            <w:r w:rsidR="006C160E" w:rsidRPr="00AA7A93">
              <w:rPr>
                <w:sz w:val="18"/>
                <w:szCs w:val="18"/>
                <w:lang w:val="fr-FR" w:eastAsia="fr-FR"/>
              </w:rPr>
              <w:t xml:space="preserve"> </w:t>
            </w:r>
            <w:r w:rsidRPr="00AA7A93">
              <w:rPr>
                <w:sz w:val="18"/>
                <w:szCs w:val="18"/>
                <w:lang w:val="fr-FR" w:eastAsia="fr-FR"/>
              </w:rPr>
              <w:t>sur l’âge minimum (industrie)</w:t>
            </w:r>
            <w:r w:rsidR="00CA64F7">
              <w:rPr>
                <w:sz w:val="18"/>
                <w:szCs w:val="18"/>
                <w:lang w:val="fr-FR" w:eastAsia="fr-FR"/>
              </w:rPr>
              <w:t>.</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1919</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20/06/1961</w:t>
            </w:r>
          </w:p>
        </w:tc>
        <w:tc>
          <w:tcPr>
            <w:tcW w:w="2552" w:type="dxa"/>
            <w:shd w:val="clear" w:color="auto" w:fill="auto"/>
          </w:tcPr>
          <w:p w:rsidR="00E819C1" w:rsidRPr="00CA64F7" w:rsidRDefault="00E819C1" w:rsidP="00AA7A93">
            <w:pPr>
              <w:spacing w:before="40" w:after="60"/>
              <w:ind w:right="113"/>
              <w:rPr>
                <w:spacing w:val="-2"/>
                <w:sz w:val="18"/>
                <w:szCs w:val="18"/>
                <w:lang w:val="fr-FR" w:eastAsia="fr-FR"/>
              </w:rPr>
            </w:pPr>
            <w:r w:rsidRPr="00CA64F7">
              <w:rPr>
                <w:spacing w:val="-2"/>
                <w:sz w:val="18"/>
                <w:szCs w:val="18"/>
                <w:lang w:val="fr-FR" w:eastAsia="fr-FR"/>
              </w:rPr>
              <w:t xml:space="preserve">Dénoncée du fait de la ratification de la </w:t>
            </w:r>
            <w:r w:rsidR="003D0AAF" w:rsidRPr="00CA64F7">
              <w:rPr>
                <w:spacing w:val="-2"/>
                <w:sz w:val="18"/>
                <w:szCs w:val="18"/>
                <w:lang w:val="fr-FR" w:eastAsia="fr-FR"/>
              </w:rPr>
              <w:t xml:space="preserve">Convention </w:t>
            </w:r>
            <w:r w:rsidRPr="00CA64F7">
              <w:rPr>
                <w:spacing w:val="-2"/>
                <w:sz w:val="18"/>
                <w:szCs w:val="18"/>
                <w:lang w:val="fr-FR" w:eastAsia="fr-FR"/>
              </w:rPr>
              <w:t>n°138.</w:t>
            </w: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13</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n°6</w:t>
            </w:r>
            <w:r w:rsidR="006C160E" w:rsidRPr="00AA7A93">
              <w:rPr>
                <w:sz w:val="18"/>
                <w:szCs w:val="18"/>
                <w:lang w:val="fr-FR" w:eastAsia="fr-FR"/>
              </w:rPr>
              <w:t xml:space="preserve"> </w:t>
            </w:r>
            <w:r w:rsidRPr="00AA7A93">
              <w:rPr>
                <w:sz w:val="18"/>
                <w:szCs w:val="18"/>
                <w:lang w:val="fr-FR" w:eastAsia="fr-FR"/>
              </w:rPr>
              <w:t>sur le travail de nuits des</w:t>
            </w:r>
            <w:r w:rsidR="006C160E" w:rsidRPr="00AA7A93">
              <w:rPr>
                <w:sz w:val="18"/>
                <w:szCs w:val="18"/>
                <w:lang w:val="fr-FR" w:eastAsia="fr-FR"/>
              </w:rPr>
              <w:t xml:space="preserve"> </w:t>
            </w:r>
            <w:r w:rsidRPr="00AA7A93">
              <w:rPr>
                <w:sz w:val="18"/>
                <w:szCs w:val="18"/>
                <w:lang w:val="fr-FR" w:eastAsia="fr-FR"/>
              </w:rPr>
              <w:t>enfants.</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1919</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20/06/1961</w:t>
            </w:r>
          </w:p>
        </w:tc>
        <w:tc>
          <w:tcPr>
            <w:tcW w:w="2552" w:type="dxa"/>
            <w:shd w:val="clear" w:color="auto" w:fill="auto"/>
          </w:tcPr>
          <w:p w:rsidR="00E819C1" w:rsidRPr="00AA7A93" w:rsidRDefault="00E819C1" w:rsidP="00AA7A93">
            <w:pPr>
              <w:spacing w:before="40" w:after="6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14</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n°15</w:t>
            </w:r>
            <w:r w:rsidR="006C160E" w:rsidRPr="00AA7A93">
              <w:rPr>
                <w:sz w:val="18"/>
                <w:szCs w:val="18"/>
                <w:lang w:val="fr-FR" w:eastAsia="fr-FR"/>
              </w:rPr>
              <w:t xml:space="preserve"> </w:t>
            </w:r>
            <w:r w:rsidRPr="00AA7A93">
              <w:rPr>
                <w:sz w:val="18"/>
                <w:szCs w:val="18"/>
                <w:lang w:val="fr-FR" w:eastAsia="fr-FR"/>
              </w:rPr>
              <w:t>sur l’âge minimum (routiers et chauffeurs).</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1921</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E819C1" w:rsidRPr="00AA7A93" w:rsidRDefault="00E819C1" w:rsidP="00AA7A93">
            <w:pPr>
              <w:spacing w:before="40" w:after="6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15</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n°33</w:t>
            </w:r>
            <w:r w:rsidR="006C160E" w:rsidRPr="00AA7A93">
              <w:rPr>
                <w:sz w:val="18"/>
                <w:szCs w:val="18"/>
                <w:lang w:val="fr-FR" w:eastAsia="fr-FR"/>
              </w:rPr>
              <w:t xml:space="preserve"> </w:t>
            </w:r>
            <w:r w:rsidRPr="00AA7A93">
              <w:rPr>
                <w:sz w:val="18"/>
                <w:szCs w:val="18"/>
                <w:lang w:val="fr-FR" w:eastAsia="fr-FR"/>
              </w:rPr>
              <w:t>sur l’âge minimum (travail non industrie).</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1932</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20/06/1961</w:t>
            </w:r>
          </w:p>
        </w:tc>
        <w:tc>
          <w:tcPr>
            <w:tcW w:w="2552" w:type="dxa"/>
            <w:shd w:val="clear" w:color="auto" w:fill="auto"/>
          </w:tcPr>
          <w:p w:rsidR="00E819C1" w:rsidRPr="00AA7A93" w:rsidRDefault="00E819C1" w:rsidP="00AA7A93">
            <w:pPr>
              <w:spacing w:before="40" w:after="6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16</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n°58</w:t>
            </w:r>
            <w:r w:rsidR="006C160E" w:rsidRPr="00AA7A93">
              <w:rPr>
                <w:sz w:val="18"/>
                <w:szCs w:val="18"/>
                <w:lang w:val="fr-FR" w:eastAsia="fr-FR"/>
              </w:rPr>
              <w:t xml:space="preserve"> </w:t>
            </w:r>
            <w:r w:rsidRPr="00AA7A93">
              <w:rPr>
                <w:sz w:val="18"/>
                <w:szCs w:val="18"/>
                <w:lang w:val="fr-FR" w:eastAsia="fr-FR"/>
              </w:rPr>
              <w:t>sur l’âge minimum (monture</w:t>
            </w:r>
            <w:r w:rsidR="00CA64F7">
              <w:rPr>
                <w:sz w:val="18"/>
                <w:szCs w:val="18"/>
                <w:lang w:val="fr-FR" w:eastAsia="fr-FR"/>
              </w:rPr>
              <w:t>).</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1936</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E819C1" w:rsidRPr="00AA7A93" w:rsidRDefault="00E819C1" w:rsidP="00AA7A93">
            <w:pPr>
              <w:spacing w:before="40" w:after="6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17</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n°90</w:t>
            </w:r>
            <w:r w:rsidR="006C160E" w:rsidRPr="00AA7A93">
              <w:rPr>
                <w:sz w:val="18"/>
                <w:szCs w:val="18"/>
                <w:lang w:val="fr-FR" w:eastAsia="fr-FR"/>
              </w:rPr>
              <w:t xml:space="preserve"> </w:t>
            </w:r>
            <w:r w:rsidRPr="00AA7A93">
              <w:rPr>
                <w:sz w:val="18"/>
                <w:szCs w:val="18"/>
                <w:lang w:val="fr-FR" w:eastAsia="fr-FR"/>
              </w:rPr>
              <w:t>sur le travail de nuit des enfants (industrie).</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1948</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E819C1" w:rsidRPr="00AA7A93" w:rsidRDefault="00E819C1" w:rsidP="00AA7A93">
            <w:pPr>
              <w:spacing w:before="40" w:after="6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18</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n°112</w:t>
            </w:r>
            <w:r w:rsidR="006C160E" w:rsidRPr="00AA7A93">
              <w:rPr>
                <w:sz w:val="18"/>
                <w:szCs w:val="18"/>
                <w:lang w:val="fr-FR" w:eastAsia="fr-FR"/>
              </w:rPr>
              <w:t xml:space="preserve"> </w:t>
            </w:r>
            <w:r w:rsidRPr="00AA7A93">
              <w:rPr>
                <w:sz w:val="18"/>
                <w:szCs w:val="18"/>
                <w:lang w:val="fr-FR" w:eastAsia="fr-FR"/>
              </w:rPr>
              <w:t>sur l’âge minimum (pêcheur).</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1957</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E819C1" w:rsidRPr="00AA7A93" w:rsidRDefault="00E819C1" w:rsidP="00AA7A93">
            <w:pPr>
              <w:spacing w:before="40" w:after="6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w:t>
            </w:r>
            <w:r w:rsidR="006C160E" w:rsidRPr="00AA7A93">
              <w:rPr>
                <w:sz w:val="18"/>
                <w:szCs w:val="18"/>
                <w:lang w:val="fr-FR" w:eastAsia="fr-FR"/>
              </w:rPr>
              <w:t xml:space="preserve"> </w:t>
            </w:r>
            <w:r w:rsidRPr="00AA7A93">
              <w:rPr>
                <w:sz w:val="18"/>
                <w:szCs w:val="18"/>
                <w:lang w:val="fr-FR" w:eastAsia="fr-FR"/>
              </w:rPr>
              <w:t>n°138</w:t>
            </w:r>
            <w:r w:rsidR="006C160E" w:rsidRPr="00AA7A93">
              <w:rPr>
                <w:sz w:val="18"/>
                <w:szCs w:val="18"/>
                <w:lang w:val="fr-FR" w:eastAsia="fr-FR"/>
              </w:rPr>
              <w:t xml:space="preserve"> </w:t>
            </w:r>
            <w:r w:rsidRPr="00AA7A93">
              <w:rPr>
                <w:sz w:val="18"/>
                <w:szCs w:val="18"/>
                <w:lang w:val="fr-FR" w:eastAsia="fr-FR"/>
              </w:rPr>
              <w:t>sur</w:t>
            </w:r>
            <w:r w:rsidR="006C160E" w:rsidRPr="00AA7A93">
              <w:rPr>
                <w:sz w:val="18"/>
                <w:szCs w:val="18"/>
                <w:lang w:val="fr-FR" w:eastAsia="fr-FR"/>
              </w:rPr>
              <w:t xml:space="preserve"> </w:t>
            </w:r>
            <w:r w:rsidRPr="00AA7A93">
              <w:rPr>
                <w:sz w:val="18"/>
                <w:szCs w:val="18"/>
                <w:lang w:val="fr-FR" w:eastAsia="fr-FR"/>
              </w:rPr>
              <w:t>l’âge minimum</w:t>
            </w:r>
            <w:r w:rsidR="00CA64F7">
              <w:rPr>
                <w:sz w:val="18"/>
                <w:szCs w:val="18"/>
                <w:lang w:val="fr-FR" w:eastAsia="fr-FR"/>
              </w:rPr>
              <w:t>.</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1973</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03/12/2001</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Age minimum spécifié 14 ans.</w:t>
            </w: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20</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n°52 relative aux congés payés.</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1936</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E819C1" w:rsidRPr="00AA7A93" w:rsidRDefault="00E819C1" w:rsidP="00AA7A93">
            <w:pPr>
              <w:spacing w:before="40" w:after="6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21</w:t>
            </w:r>
          </w:p>
        </w:tc>
        <w:tc>
          <w:tcPr>
            <w:tcW w:w="2552" w:type="dxa"/>
            <w:shd w:val="clear" w:color="auto" w:fill="auto"/>
          </w:tcPr>
          <w:p w:rsidR="00E819C1" w:rsidRPr="00AA7A93" w:rsidRDefault="00E819C1" w:rsidP="00CA64F7">
            <w:pPr>
              <w:spacing w:before="40" w:after="60"/>
              <w:ind w:right="113"/>
              <w:rPr>
                <w:sz w:val="18"/>
                <w:szCs w:val="18"/>
                <w:lang w:val="fr-FR" w:eastAsia="fr-FR"/>
              </w:rPr>
            </w:pPr>
            <w:r w:rsidRPr="00AA7A93">
              <w:rPr>
                <w:sz w:val="18"/>
                <w:szCs w:val="18"/>
                <w:lang w:val="fr-FR" w:eastAsia="fr-FR"/>
              </w:rPr>
              <w:t>Convention n°91</w:t>
            </w:r>
            <w:r w:rsidR="006C160E" w:rsidRPr="00AA7A93">
              <w:rPr>
                <w:sz w:val="18"/>
                <w:szCs w:val="18"/>
                <w:lang w:val="fr-FR" w:eastAsia="fr-FR"/>
              </w:rPr>
              <w:t xml:space="preserve"> </w:t>
            </w:r>
            <w:r w:rsidRPr="00AA7A93">
              <w:rPr>
                <w:sz w:val="18"/>
                <w:szCs w:val="18"/>
                <w:lang w:val="fr-FR" w:eastAsia="fr-FR"/>
              </w:rPr>
              <w:t>sur les congés payés des marins.</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1949</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E819C1" w:rsidRPr="00AA7A93" w:rsidRDefault="00E819C1" w:rsidP="00AA7A93">
            <w:pPr>
              <w:spacing w:before="40" w:after="6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22</w:t>
            </w:r>
          </w:p>
        </w:tc>
        <w:tc>
          <w:tcPr>
            <w:tcW w:w="2552"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Convention n°98 sur le droit d’organisation et de négociation collective</w:t>
            </w:r>
            <w:r w:rsidR="00CA64F7">
              <w:rPr>
                <w:sz w:val="18"/>
                <w:szCs w:val="18"/>
                <w:lang w:val="fr-FR" w:eastAsia="fr-FR"/>
              </w:rPr>
              <w:t>.</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1949</w:t>
            </w:r>
          </w:p>
        </w:tc>
        <w:tc>
          <w:tcPr>
            <w:tcW w:w="1418" w:type="dxa"/>
            <w:shd w:val="clear" w:color="auto" w:fill="auto"/>
          </w:tcPr>
          <w:p w:rsidR="00E819C1" w:rsidRPr="00AA7A93" w:rsidRDefault="00E819C1" w:rsidP="00AA7A93">
            <w:pPr>
              <w:spacing w:before="40" w:after="60"/>
              <w:ind w:right="113"/>
              <w:rPr>
                <w:sz w:val="18"/>
                <w:szCs w:val="18"/>
                <w:lang w:val="fr-FR" w:eastAsia="fr-FR"/>
              </w:rPr>
            </w:pPr>
            <w:r w:rsidRPr="00AA7A93">
              <w:rPr>
                <w:sz w:val="18"/>
                <w:szCs w:val="18"/>
                <w:lang w:val="fr-FR" w:eastAsia="fr-FR"/>
              </w:rPr>
              <w:t>03/12/2001</w:t>
            </w:r>
          </w:p>
        </w:tc>
        <w:tc>
          <w:tcPr>
            <w:tcW w:w="2552" w:type="dxa"/>
            <w:shd w:val="clear" w:color="auto" w:fill="auto"/>
          </w:tcPr>
          <w:p w:rsidR="00E819C1" w:rsidRPr="00AA7A93" w:rsidRDefault="00E819C1" w:rsidP="00AA7A93">
            <w:pPr>
              <w:spacing w:before="40" w:after="60"/>
              <w:ind w:right="113"/>
              <w:rPr>
                <w:sz w:val="18"/>
                <w:szCs w:val="18"/>
                <w:lang w:val="fr-FR" w:eastAsia="fr-FR"/>
              </w:rPr>
            </w:pPr>
          </w:p>
        </w:tc>
      </w:tr>
      <w:tr w:rsidR="00445B3B" w:rsidRPr="00AA7A93" w:rsidTr="00AA7A93">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23</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n°101 sur les congés payés (agricultures)</w:t>
            </w:r>
            <w:r w:rsidR="00CA64F7">
              <w:rPr>
                <w:sz w:val="18"/>
                <w:szCs w:val="18"/>
                <w:lang w:val="fr-FR" w:eastAsia="fr-FR"/>
              </w:rPr>
              <w:t>.</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1952</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445B3B" w:rsidRPr="00AA7A93" w:rsidRDefault="00445B3B" w:rsidP="00AA7A93">
            <w:pPr>
              <w:spacing w:before="40" w:after="60"/>
              <w:ind w:right="113"/>
              <w:rPr>
                <w:sz w:val="18"/>
                <w:szCs w:val="18"/>
                <w:lang w:val="fr-FR" w:eastAsia="fr-FR"/>
              </w:rPr>
            </w:pPr>
          </w:p>
        </w:tc>
      </w:tr>
      <w:tr w:rsidR="00445B3B" w:rsidRPr="00AA7A93" w:rsidTr="00AA7A93">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24</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n°102 sur la sécurité sociale (normes minima)</w:t>
            </w:r>
            <w:r w:rsidR="00CA64F7">
              <w:rPr>
                <w:sz w:val="18"/>
                <w:szCs w:val="18"/>
                <w:lang w:val="fr-FR" w:eastAsia="fr-FR"/>
              </w:rPr>
              <w:t>.</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1952</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15/07/1968</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 xml:space="preserve">A accepté les parties V à VII, </w:t>
            </w:r>
            <w:r w:rsidR="00B15B78">
              <w:rPr>
                <w:sz w:val="18"/>
                <w:szCs w:val="18"/>
                <w:lang w:val="fr-FR" w:eastAsia="fr-FR"/>
              </w:rPr>
              <w:br/>
            </w:r>
            <w:r w:rsidRPr="00AA7A93">
              <w:rPr>
                <w:sz w:val="18"/>
                <w:szCs w:val="18"/>
                <w:lang w:val="fr-FR" w:eastAsia="fr-FR"/>
              </w:rPr>
              <w:t>IX et X.</w:t>
            </w:r>
          </w:p>
        </w:tc>
      </w:tr>
      <w:tr w:rsidR="00445B3B" w:rsidRPr="00AA7A93" w:rsidTr="00AA7A93">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25</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n°13 sur la céruse (peinture)</w:t>
            </w:r>
            <w:r w:rsidR="00CA64F7">
              <w:rPr>
                <w:sz w:val="18"/>
                <w:szCs w:val="18"/>
                <w:lang w:val="fr-FR" w:eastAsia="fr-FR"/>
              </w:rPr>
              <w:t>.</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1921</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20/06/1961</w:t>
            </w:r>
          </w:p>
        </w:tc>
        <w:tc>
          <w:tcPr>
            <w:tcW w:w="2552" w:type="dxa"/>
            <w:shd w:val="clear" w:color="auto" w:fill="auto"/>
          </w:tcPr>
          <w:p w:rsidR="00445B3B" w:rsidRPr="00AA7A93" w:rsidRDefault="00445B3B" w:rsidP="00AA7A93">
            <w:pPr>
              <w:spacing w:before="40" w:after="60"/>
              <w:ind w:right="113"/>
              <w:rPr>
                <w:sz w:val="18"/>
                <w:szCs w:val="18"/>
                <w:lang w:val="fr-FR" w:eastAsia="fr-FR"/>
              </w:rPr>
            </w:pPr>
          </w:p>
        </w:tc>
      </w:tr>
      <w:tr w:rsidR="00445B3B" w:rsidRPr="00AA7A93" w:rsidTr="00AA7A93">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26</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n°14 sur le repos hebdomadaire (industrie)</w:t>
            </w:r>
            <w:r w:rsidR="00CA64F7">
              <w:rPr>
                <w:sz w:val="18"/>
                <w:szCs w:val="18"/>
                <w:lang w:val="fr-FR" w:eastAsia="fr-FR"/>
              </w:rPr>
              <w:t>.</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1921</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20/06/1961</w:t>
            </w:r>
          </w:p>
        </w:tc>
        <w:tc>
          <w:tcPr>
            <w:tcW w:w="2552" w:type="dxa"/>
            <w:shd w:val="clear" w:color="auto" w:fill="auto"/>
          </w:tcPr>
          <w:p w:rsidR="00445B3B" w:rsidRPr="00AA7A93" w:rsidRDefault="00445B3B" w:rsidP="00AA7A93">
            <w:pPr>
              <w:spacing w:before="40" w:after="60"/>
              <w:ind w:right="113"/>
              <w:rPr>
                <w:sz w:val="18"/>
                <w:szCs w:val="18"/>
                <w:lang w:val="fr-FR" w:eastAsia="fr-FR"/>
              </w:rPr>
            </w:pPr>
          </w:p>
        </w:tc>
      </w:tr>
      <w:tr w:rsidR="00445B3B" w:rsidRPr="00AA7A93" w:rsidTr="00AA7A93">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27</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n°17 sur la réparation des accidents</w:t>
            </w:r>
            <w:r w:rsidR="00CA64F7">
              <w:rPr>
                <w:sz w:val="18"/>
                <w:szCs w:val="18"/>
                <w:lang w:val="fr-FR" w:eastAsia="fr-FR"/>
              </w:rPr>
              <w:t>.</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1925</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08/01/1963</w:t>
            </w:r>
          </w:p>
        </w:tc>
        <w:tc>
          <w:tcPr>
            <w:tcW w:w="2552" w:type="dxa"/>
            <w:shd w:val="clear" w:color="auto" w:fill="auto"/>
          </w:tcPr>
          <w:p w:rsidR="00445B3B" w:rsidRPr="00AA7A93" w:rsidRDefault="00445B3B" w:rsidP="00AA7A93">
            <w:pPr>
              <w:spacing w:before="40" w:after="60"/>
              <w:ind w:right="113"/>
              <w:rPr>
                <w:sz w:val="18"/>
                <w:szCs w:val="18"/>
                <w:lang w:val="fr-FR" w:eastAsia="fr-FR"/>
              </w:rPr>
            </w:pPr>
          </w:p>
        </w:tc>
      </w:tr>
      <w:tr w:rsidR="00445B3B" w:rsidRPr="00AA7A93" w:rsidTr="00AA7A93">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28</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n°18 sur les maladies professionnelles</w:t>
            </w:r>
            <w:r w:rsidR="00CA64F7">
              <w:rPr>
                <w:sz w:val="18"/>
                <w:szCs w:val="18"/>
                <w:lang w:val="fr-FR" w:eastAsia="fr-FR"/>
              </w:rPr>
              <w:t>.</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1925</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20/06/1961</w:t>
            </w:r>
          </w:p>
        </w:tc>
        <w:tc>
          <w:tcPr>
            <w:tcW w:w="2552" w:type="dxa"/>
            <w:shd w:val="clear" w:color="auto" w:fill="auto"/>
          </w:tcPr>
          <w:p w:rsidR="00445B3B" w:rsidRPr="00AA7A93" w:rsidRDefault="00445B3B" w:rsidP="00AA7A93">
            <w:pPr>
              <w:spacing w:before="40" w:after="60"/>
              <w:ind w:right="113"/>
              <w:rPr>
                <w:sz w:val="18"/>
                <w:szCs w:val="18"/>
                <w:lang w:val="fr-FR" w:eastAsia="fr-FR"/>
              </w:rPr>
            </w:pPr>
          </w:p>
        </w:tc>
      </w:tr>
      <w:tr w:rsidR="00445B3B" w:rsidRPr="00AA7A93" w:rsidTr="00AA7A93">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29</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n°22 sur les contrats d’engagement de marins</w:t>
            </w:r>
            <w:r w:rsidR="00CA64F7">
              <w:rPr>
                <w:sz w:val="18"/>
                <w:szCs w:val="18"/>
                <w:lang w:val="fr-FR" w:eastAsia="fr-FR"/>
              </w:rPr>
              <w:t>.</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1926</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445B3B" w:rsidRPr="00AA7A93" w:rsidRDefault="00445B3B" w:rsidP="00AA7A93">
            <w:pPr>
              <w:spacing w:before="40" w:after="60"/>
              <w:ind w:right="113"/>
              <w:rPr>
                <w:sz w:val="18"/>
                <w:szCs w:val="18"/>
                <w:lang w:val="fr-FR" w:eastAsia="fr-FR"/>
              </w:rPr>
            </w:pPr>
          </w:p>
        </w:tc>
      </w:tr>
      <w:tr w:rsidR="00445B3B" w:rsidRPr="00AA7A93" w:rsidTr="00AA7A93">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30</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n°23 sur le rapatriement des marins.</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1926</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445B3B" w:rsidRPr="00AA7A93" w:rsidRDefault="00445B3B" w:rsidP="00AA7A93">
            <w:pPr>
              <w:spacing w:before="40" w:after="60"/>
              <w:ind w:right="113"/>
              <w:rPr>
                <w:sz w:val="18"/>
                <w:szCs w:val="18"/>
                <w:lang w:val="fr-FR" w:eastAsia="fr-FR"/>
              </w:rPr>
            </w:pPr>
          </w:p>
        </w:tc>
      </w:tr>
      <w:tr w:rsidR="00445B3B" w:rsidRPr="00AA7A93" w:rsidTr="00AA7A93">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31</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n°26 sur les méthodes de fixation des salaires</w:t>
            </w:r>
            <w:r w:rsidR="00CA64F7">
              <w:rPr>
                <w:sz w:val="18"/>
                <w:szCs w:val="18"/>
                <w:lang w:val="fr-FR" w:eastAsia="fr-FR"/>
              </w:rPr>
              <w:t>.</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1928</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20/06/1961</w:t>
            </w:r>
          </w:p>
        </w:tc>
        <w:tc>
          <w:tcPr>
            <w:tcW w:w="2552" w:type="dxa"/>
            <w:shd w:val="clear" w:color="auto" w:fill="auto"/>
          </w:tcPr>
          <w:p w:rsidR="00445B3B" w:rsidRPr="00AA7A93" w:rsidRDefault="00445B3B" w:rsidP="00AA7A93">
            <w:pPr>
              <w:spacing w:before="40" w:after="60"/>
              <w:ind w:right="113"/>
              <w:rPr>
                <w:sz w:val="18"/>
                <w:szCs w:val="18"/>
                <w:lang w:val="fr-FR" w:eastAsia="fr-FR"/>
              </w:rPr>
            </w:pPr>
          </w:p>
        </w:tc>
      </w:tr>
      <w:tr w:rsidR="00445B3B" w:rsidRPr="00AA7A93" w:rsidTr="00AA7A93">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32</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n°53 sur les brevets de capacité des officiers</w:t>
            </w:r>
            <w:r w:rsidR="00CA64F7">
              <w:rPr>
                <w:sz w:val="18"/>
                <w:szCs w:val="18"/>
                <w:lang w:val="fr-FR" w:eastAsia="fr-FR"/>
              </w:rPr>
              <w:t>.</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1936</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445B3B" w:rsidRPr="00AA7A93" w:rsidRDefault="00445B3B" w:rsidP="00AA7A93">
            <w:pPr>
              <w:spacing w:before="40" w:after="60"/>
              <w:ind w:right="113"/>
              <w:rPr>
                <w:sz w:val="18"/>
                <w:szCs w:val="18"/>
                <w:lang w:val="fr-FR" w:eastAsia="fr-FR"/>
              </w:rPr>
            </w:pPr>
          </w:p>
        </w:tc>
      </w:tr>
      <w:tr w:rsidR="00445B3B" w:rsidRPr="00AA7A93" w:rsidTr="00AA7A93">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lastRenderedPageBreak/>
              <w:t>33</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n°62 sur les prescriptions de sécurité (Bâtiment)</w:t>
            </w:r>
            <w:r w:rsidR="00CA64F7">
              <w:rPr>
                <w:sz w:val="18"/>
                <w:szCs w:val="18"/>
                <w:lang w:val="fr-FR" w:eastAsia="fr-FR"/>
              </w:rPr>
              <w:t>.</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1937</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445B3B" w:rsidRPr="00AA7A93" w:rsidRDefault="00445B3B" w:rsidP="00AA7A93">
            <w:pPr>
              <w:spacing w:before="40" w:after="60"/>
              <w:ind w:right="113"/>
              <w:rPr>
                <w:sz w:val="18"/>
                <w:szCs w:val="18"/>
                <w:lang w:val="fr-FR" w:eastAsia="fr-FR"/>
              </w:rPr>
            </w:pPr>
          </w:p>
        </w:tc>
      </w:tr>
      <w:tr w:rsidR="00445B3B" w:rsidRPr="00AA7A93" w:rsidTr="00AA7A93">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34</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n°81 sur l’Inspection du Travail</w:t>
            </w:r>
            <w:r w:rsidR="00CA64F7">
              <w:rPr>
                <w:sz w:val="18"/>
                <w:szCs w:val="18"/>
                <w:lang w:val="fr-FR" w:eastAsia="fr-FR"/>
              </w:rPr>
              <w:t>.</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1947</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445B3B" w:rsidRPr="00AA7A93" w:rsidRDefault="00445B3B" w:rsidP="00AA7A93">
            <w:pPr>
              <w:spacing w:before="40" w:after="60"/>
              <w:ind w:right="113"/>
              <w:rPr>
                <w:sz w:val="18"/>
                <w:szCs w:val="18"/>
                <w:lang w:val="fr-FR" w:eastAsia="fr-FR"/>
              </w:rPr>
            </w:pPr>
          </w:p>
        </w:tc>
      </w:tr>
      <w:tr w:rsidR="00445B3B" w:rsidRPr="00AA7A93" w:rsidTr="00AA7A93">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35</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n°87 sur la liberté syndicale et la protection du droit syndical</w:t>
            </w:r>
            <w:r w:rsidR="00CA64F7">
              <w:rPr>
                <w:sz w:val="18"/>
                <w:szCs w:val="18"/>
                <w:lang w:val="fr-FR" w:eastAsia="fr-FR"/>
              </w:rPr>
              <w:t>.</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1948</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20/06/1961</w:t>
            </w:r>
          </w:p>
        </w:tc>
        <w:tc>
          <w:tcPr>
            <w:tcW w:w="2552" w:type="dxa"/>
            <w:shd w:val="clear" w:color="auto" w:fill="auto"/>
          </w:tcPr>
          <w:p w:rsidR="00445B3B" w:rsidRPr="00AA7A93" w:rsidRDefault="00445B3B" w:rsidP="00AA7A93">
            <w:pPr>
              <w:spacing w:before="40" w:after="60"/>
              <w:ind w:right="113"/>
              <w:rPr>
                <w:sz w:val="18"/>
                <w:szCs w:val="18"/>
                <w:lang w:val="fr-FR" w:eastAsia="fr-FR"/>
              </w:rPr>
            </w:pPr>
          </w:p>
        </w:tc>
      </w:tr>
      <w:tr w:rsidR="00445B3B" w:rsidRPr="00AA7A93" w:rsidTr="00AA7A93">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36</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n°94 sur les clauses de travail (contrats publics)</w:t>
            </w:r>
            <w:r w:rsidR="00CA64F7">
              <w:rPr>
                <w:sz w:val="18"/>
                <w:szCs w:val="18"/>
                <w:lang w:val="fr-FR" w:eastAsia="fr-FR"/>
              </w:rPr>
              <w:t>.</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1949</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445B3B" w:rsidRPr="00AA7A93" w:rsidRDefault="00445B3B" w:rsidP="00AA7A93">
            <w:pPr>
              <w:spacing w:before="40" w:after="60"/>
              <w:ind w:right="113"/>
              <w:rPr>
                <w:sz w:val="18"/>
                <w:szCs w:val="18"/>
                <w:lang w:val="fr-FR" w:eastAsia="fr-FR"/>
              </w:rPr>
            </w:pPr>
          </w:p>
        </w:tc>
      </w:tr>
      <w:tr w:rsidR="00445B3B" w:rsidRPr="00AA7A93" w:rsidTr="00AA7A93">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37</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n°95 sur la protection du salaire</w:t>
            </w:r>
            <w:r w:rsidR="00CA64F7">
              <w:rPr>
                <w:sz w:val="18"/>
                <w:szCs w:val="18"/>
                <w:lang w:val="fr-FR" w:eastAsia="fr-FR"/>
              </w:rPr>
              <w:t>.</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1949</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20/06/1961</w:t>
            </w:r>
          </w:p>
        </w:tc>
        <w:tc>
          <w:tcPr>
            <w:tcW w:w="2552" w:type="dxa"/>
            <w:shd w:val="clear" w:color="auto" w:fill="auto"/>
          </w:tcPr>
          <w:p w:rsidR="00445B3B" w:rsidRPr="00AA7A93" w:rsidRDefault="00445B3B" w:rsidP="00AA7A93">
            <w:pPr>
              <w:spacing w:before="40" w:after="60"/>
              <w:ind w:right="113"/>
              <w:rPr>
                <w:sz w:val="18"/>
                <w:szCs w:val="18"/>
                <w:lang w:val="fr-FR" w:eastAsia="fr-FR"/>
              </w:rPr>
            </w:pPr>
          </w:p>
        </w:tc>
      </w:tr>
      <w:tr w:rsidR="00445B3B" w:rsidRPr="00AA7A93" w:rsidTr="00AA7A93">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38</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n°96 sur les bureaux des placements payants</w:t>
            </w:r>
            <w:r w:rsidR="00CA64F7">
              <w:rPr>
                <w:sz w:val="18"/>
                <w:szCs w:val="18"/>
                <w:lang w:val="fr-FR" w:eastAsia="fr-FR"/>
              </w:rPr>
              <w:t>.</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1949</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31/03/1964</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 xml:space="preserve">A accepté les dispositions </w:t>
            </w:r>
            <w:r w:rsidR="00B15B78">
              <w:rPr>
                <w:sz w:val="18"/>
                <w:szCs w:val="18"/>
                <w:lang w:val="fr-FR" w:eastAsia="fr-FR"/>
              </w:rPr>
              <w:br/>
            </w:r>
            <w:r w:rsidRPr="00AA7A93">
              <w:rPr>
                <w:sz w:val="18"/>
                <w:szCs w:val="18"/>
                <w:lang w:val="fr-FR" w:eastAsia="fr-FR"/>
              </w:rPr>
              <w:t>de la partie II.</w:t>
            </w:r>
          </w:p>
        </w:tc>
      </w:tr>
      <w:tr w:rsidR="00445B3B" w:rsidRPr="00AA7A93" w:rsidTr="00AA7A93">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39</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n°114 sur le contrat d’engagement des pêcheurs</w:t>
            </w:r>
            <w:r w:rsidR="00CA64F7">
              <w:rPr>
                <w:sz w:val="18"/>
                <w:szCs w:val="18"/>
                <w:lang w:val="fr-FR" w:eastAsia="fr-FR"/>
              </w:rPr>
              <w:t>.</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1959</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445B3B" w:rsidRPr="00AA7A93" w:rsidRDefault="00445B3B" w:rsidP="00AA7A93">
            <w:pPr>
              <w:spacing w:before="40" w:after="60"/>
              <w:ind w:right="113"/>
              <w:rPr>
                <w:sz w:val="18"/>
                <w:szCs w:val="18"/>
                <w:lang w:val="fr-FR" w:eastAsia="fr-FR"/>
              </w:rPr>
            </w:pPr>
          </w:p>
        </w:tc>
      </w:tr>
      <w:tr w:rsidR="00445B3B" w:rsidRPr="00AA7A93" w:rsidTr="00213697">
        <w:tc>
          <w:tcPr>
            <w:tcW w:w="567"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40</w:t>
            </w:r>
          </w:p>
        </w:tc>
        <w:tc>
          <w:tcPr>
            <w:tcW w:w="2552"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n°116 portant révision des articles finaux</w:t>
            </w:r>
            <w:r w:rsidR="00CA64F7">
              <w:rPr>
                <w:sz w:val="18"/>
                <w:szCs w:val="18"/>
                <w:lang w:val="fr-FR" w:eastAsia="fr-FR"/>
              </w:rPr>
              <w:t>.</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1961</w:t>
            </w:r>
          </w:p>
        </w:tc>
        <w:tc>
          <w:tcPr>
            <w:tcW w:w="1418" w:type="dxa"/>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08/11/1963</w:t>
            </w:r>
          </w:p>
        </w:tc>
        <w:tc>
          <w:tcPr>
            <w:tcW w:w="2552" w:type="dxa"/>
            <w:shd w:val="clear" w:color="auto" w:fill="auto"/>
          </w:tcPr>
          <w:p w:rsidR="00445B3B" w:rsidRPr="00AA7A93" w:rsidRDefault="00445B3B" w:rsidP="00AA7A93">
            <w:pPr>
              <w:spacing w:before="40" w:after="60"/>
              <w:ind w:right="113"/>
              <w:rPr>
                <w:sz w:val="18"/>
                <w:szCs w:val="18"/>
                <w:lang w:val="fr-FR" w:eastAsia="fr-FR"/>
              </w:rPr>
            </w:pPr>
          </w:p>
        </w:tc>
      </w:tr>
      <w:tr w:rsidR="00445B3B" w:rsidRPr="00AA7A93" w:rsidTr="00213697">
        <w:tc>
          <w:tcPr>
            <w:tcW w:w="567" w:type="dxa"/>
            <w:tcBorders>
              <w:bottom w:val="single" w:sz="12" w:space="0" w:color="auto"/>
            </w:tcBorders>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41</w:t>
            </w:r>
          </w:p>
        </w:tc>
        <w:tc>
          <w:tcPr>
            <w:tcW w:w="2552" w:type="dxa"/>
            <w:tcBorders>
              <w:bottom w:val="single" w:sz="12" w:space="0" w:color="auto"/>
            </w:tcBorders>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Convention n°122 sur la politique de l’emploi</w:t>
            </w:r>
            <w:r w:rsidR="00CA64F7">
              <w:rPr>
                <w:sz w:val="18"/>
                <w:szCs w:val="18"/>
                <w:lang w:val="fr-FR" w:eastAsia="fr-FR"/>
              </w:rPr>
              <w:t>.</w:t>
            </w:r>
          </w:p>
        </w:tc>
        <w:tc>
          <w:tcPr>
            <w:tcW w:w="1418" w:type="dxa"/>
            <w:tcBorders>
              <w:bottom w:val="single" w:sz="12" w:space="0" w:color="000000" w:themeColor="text1"/>
            </w:tcBorders>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1964</w:t>
            </w:r>
          </w:p>
        </w:tc>
        <w:tc>
          <w:tcPr>
            <w:tcW w:w="1418" w:type="dxa"/>
            <w:tcBorders>
              <w:bottom w:val="single" w:sz="12" w:space="0" w:color="000000" w:themeColor="text1"/>
            </w:tcBorders>
            <w:shd w:val="clear" w:color="auto" w:fill="auto"/>
          </w:tcPr>
          <w:p w:rsidR="00445B3B" w:rsidRPr="00AA7A93" w:rsidRDefault="00445B3B" w:rsidP="00AA7A93">
            <w:pPr>
              <w:spacing w:before="40" w:after="60"/>
              <w:ind w:right="113"/>
              <w:rPr>
                <w:sz w:val="18"/>
                <w:szCs w:val="18"/>
                <w:lang w:val="fr-FR" w:eastAsia="fr-FR"/>
              </w:rPr>
            </w:pPr>
            <w:r w:rsidRPr="00AA7A93">
              <w:rPr>
                <w:sz w:val="18"/>
                <w:szCs w:val="18"/>
                <w:lang w:val="fr-FR" w:eastAsia="fr-FR"/>
              </w:rPr>
              <w:t>30/07/1971</w:t>
            </w:r>
          </w:p>
        </w:tc>
        <w:tc>
          <w:tcPr>
            <w:tcW w:w="2552" w:type="dxa"/>
            <w:tcBorders>
              <w:bottom w:val="single" w:sz="12" w:space="0" w:color="000000" w:themeColor="text1"/>
            </w:tcBorders>
            <w:shd w:val="clear" w:color="auto" w:fill="auto"/>
          </w:tcPr>
          <w:p w:rsidR="00445B3B" w:rsidRPr="00AA7A93" w:rsidRDefault="00445B3B" w:rsidP="00AA7A93">
            <w:pPr>
              <w:spacing w:before="40" w:after="60"/>
              <w:ind w:right="113"/>
              <w:rPr>
                <w:sz w:val="18"/>
                <w:szCs w:val="18"/>
                <w:lang w:val="fr-FR" w:eastAsia="fr-FR"/>
              </w:rPr>
            </w:pPr>
          </w:p>
        </w:tc>
      </w:tr>
    </w:tbl>
    <w:p w:rsidR="00E819C1" w:rsidRPr="00AA7A93" w:rsidRDefault="004E53A2" w:rsidP="00AA7A93">
      <w:pPr>
        <w:pStyle w:val="H23G"/>
      </w:pPr>
      <w:r>
        <w:tab/>
      </w:r>
      <w:r>
        <w:tab/>
      </w:r>
      <w:r w:rsidR="00E819C1" w:rsidRPr="00AA7A93">
        <w:rPr>
          <w:b w:val="0"/>
        </w:rPr>
        <w:t>Tableau n</w:t>
      </w:r>
      <w:r w:rsidRPr="00AA7A93">
        <w:rPr>
          <w:b w:val="0"/>
          <w:vertAlign w:val="superscript"/>
        </w:rPr>
        <w:t>o</w:t>
      </w:r>
      <w:r>
        <w:rPr>
          <w:b w:val="0"/>
        </w:rPr>
        <w:t> </w:t>
      </w:r>
      <w:r w:rsidR="00E819C1" w:rsidRPr="00AA7A93">
        <w:rPr>
          <w:b w:val="0"/>
        </w:rPr>
        <w:t>5</w:t>
      </w:r>
      <w:r>
        <w:t> </w:t>
      </w:r>
      <w:r>
        <w:br/>
      </w:r>
      <w:r w:rsidR="00C316A3" w:rsidRPr="00F13D2D">
        <w:t xml:space="preserve">Ratification </w:t>
      </w:r>
      <w:r w:rsidR="00C316A3">
        <w:t>instruments relatifs au d</w:t>
      </w:r>
      <w:r w:rsidR="00E819C1" w:rsidRPr="00F13D2D">
        <w:t xml:space="preserve">roit </w:t>
      </w:r>
      <w:r w:rsidR="00C316A3">
        <w:t>international humanitaire et aux r</w:t>
      </w:r>
      <w:r w:rsidR="00E819C1" w:rsidRPr="00F13D2D">
        <w:t>éfugiés</w:t>
      </w:r>
    </w:p>
    <w:tbl>
      <w:tblPr>
        <w:tblW w:w="0" w:type="auto"/>
        <w:tblInd w:w="1134" w:type="dxa"/>
        <w:tblLayout w:type="fixed"/>
        <w:tblCellMar>
          <w:left w:w="0" w:type="dxa"/>
          <w:right w:w="0" w:type="dxa"/>
        </w:tblCellMar>
        <w:tblLook w:val="04A0" w:firstRow="1" w:lastRow="0" w:firstColumn="1" w:lastColumn="0" w:noHBand="0" w:noVBand="1"/>
      </w:tblPr>
      <w:tblGrid>
        <w:gridCol w:w="567"/>
        <w:gridCol w:w="2552"/>
        <w:gridCol w:w="1418"/>
        <w:gridCol w:w="1418"/>
        <w:gridCol w:w="2552"/>
      </w:tblGrid>
      <w:tr w:rsidR="004E53A2" w:rsidRPr="00AA7A93" w:rsidTr="00AA7A93">
        <w:trPr>
          <w:tblHeader/>
        </w:trPr>
        <w:tc>
          <w:tcPr>
            <w:tcW w:w="567" w:type="dxa"/>
            <w:tcBorders>
              <w:top w:val="single" w:sz="4" w:space="0" w:color="auto"/>
              <w:bottom w:val="single" w:sz="12" w:space="0" w:color="auto"/>
            </w:tcBorders>
            <w:shd w:val="clear" w:color="auto" w:fill="auto"/>
            <w:vAlign w:val="bottom"/>
          </w:tcPr>
          <w:p w:rsidR="00E819C1" w:rsidRPr="00AA7A93" w:rsidRDefault="00E819C1" w:rsidP="00AA7A93">
            <w:pPr>
              <w:spacing w:before="80" w:after="80" w:line="200" w:lineRule="exact"/>
              <w:ind w:right="113"/>
              <w:rPr>
                <w:i/>
                <w:sz w:val="16"/>
                <w:szCs w:val="16"/>
                <w:lang w:val="fr-FR" w:eastAsia="fr-FR"/>
              </w:rPr>
            </w:pPr>
            <w:r w:rsidRPr="00AA7A93">
              <w:rPr>
                <w:i/>
                <w:sz w:val="16"/>
                <w:szCs w:val="16"/>
                <w:lang w:val="fr-FR" w:eastAsia="fr-FR"/>
              </w:rPr>
              <w:t>N°</w:t>
            </w:r>
          </w:p>
        </w:tc>
        <w:tc>
          <w:tcPr>
            <w:tcW w:w="2552" w:type="dxa"/>
            <w:tcBorders>
              <w:top w:val="single" w:sz="4" w:space="0" w:color="auto"/>
              <w:bottom w:val="single" w:sz="12" w:space="0" w:color="auto"/>
            </w:tcBorders>
            <w:shd w:val="clear" w:color="auto" w:fill="auto"/>
            <w:vAlign w:val="bottom"/>
          </w:tcPr>
          <w:p w:rsidR="00E819C1" w:rsidRPr="00AA7A93" w:rsidRDefault="00E819C1" w:rsidP="00AA7A93">
            <w:pPr>
              <w:spacing w:before="80" w:after="80" w:line="200" w:lineRule="exact"/>
              <w:ind w:right="113"/>
              <w:rPr>
                <w:i/>
                <w:sz w:val="16"/>
                <w:szCs w:val="16"/>
                <w:lang w:val="fr-FR" w:eastAsia="fr-FR"/>
              </w:rPr>
            </w:pPr>
            <w:r w:rsidRPr="00AA7A93">
              <w:rPr>
                <w:i/>
                <w:sz w:val="16"/>
                <w:szCs w:val="16"/>
                <w:lang w:val="fr-FR" w:eastAsia="fr-FR"/>
              </w:rPr>
              <w:t>Instruments</w:t>
            </w:r>
          </w:p>
        </w:tc>
        <w:tc>
          <w:tcPr>
            <w:tcW w:w="1418" w:type="dxa"/>
            <w:tcBorders>
              <w:top w:val="single" w:sz="4" w:space="0" w:color="auto"/>
              <w:bottom w:val="single" w:sz="12" w:space="0" w:color="auto"/>
            </w:tcBorders>
            <w:shd w:val="clear" w:color="auto" w:fill="auto"/>
            <w:vAlign w:val="bottom"/>
          </w:tcPr>
          <w:p w:rsidR="00E819C1" w:rsidRPr="00AA7A93" w:rsidRDefault="00E819C1" w:rsidP="00AA7A93">
            <w:pPr>
              <w:spacing w:before="80" w:after="80" w:line="200" w:lineRule="exact"/>
              <w:ind w:right="113"/>
              <w:rPr>
                <w:i/>
                <w:sz w:val="16"/>
                <w:szCs w:val="16"/>
                <w:lang w:val="fr-FR" w:eastAsia="fr-FR"/>
              </w:rPr>
            </w:pPr>
            <w:r w:rsidRPr="00AA7A93">
              <w:rPr>
                <w:i/>
                <w:sz w:val="16"/>
                <w:szCs w:val="16"/>
                <w:lang w:val="fr-FR" w:eastAsia="fr-FR"/>
              </w:rPr>
              <w:t xml:space="preserve">Date </w:t>
            </w:r>
            <w:r w:rsidR="00550E48" w:rsidRPr="00AA7A93">
              <w:rPr>
                <w:i/>
                <w:sz w:val="16"/>
                <w:szCs w:val="16"/>
                <w:lang w:val="fr-FR" w:eastAsia="fr-FR"/>
              </w:rPr>
              <w:t>d’a</w:t>
            </w:r>
            <w:r w:rsidRPr="00AA7A93">
              <w:rPr>
                <w:i/>
                <w:sz w:val="16"/>
                <w:szCs w:val="16"/>
                <w:lang w:val="fr-FR" w:eastAsia="fr-FR"/>
              </w:rPr>
              <w:t>doption</w:t>
            </w:r>
          </w:p>
        </w:tc>
        <w:tc>
          <w:tcPr>
            <w:tcW w:w="1418" w:type="dxa"/>
            <w:tcBorders>
              <w:top w:val="single" w:sz="4" w:space="0" w:color="auto"/>
              <w:bottom w:val="single" w:sz="12" w:space="0" w:color="auto"/>
            </w:tcBorders>
            <w:shd w:val="clear" w:color="auto" w:fill="auto"/>
            <w:vAlign w:val="bottom"/>
          </w:tcPr>
          <w:p w:rsidR="00E819C1" w:rsidRPr="00AA7A93" w:rsidRDefault="00E819C1" w:rsidP="00AA7A93">
            <w:pPr>
              <w:spacing w:before="80" w:after="80" w:line="200" w:lineRule="exact"/>
              <w:ind w:right="113"/>
              <w:rPr>
                <w:i/>
                <w:sz w:val="16"/>
                <w:szCs w:val="16"/>
                <w:lang w:val="fr-FR" w:eastAsia="fr-FR"/>
              </w:rPr>
            </w:pPr>
            <w:r w:rsidRPr="00AA7A93">
              <w:rPr>
                <w:i/>
                <w:sz w:val="16"/>
                <w:szCs w:val="16"/>
                <w:lang w:val="fr-FR" w:eastAsia="fr-FR"/>
              </w:rPr>
              <w:t xml:space="preserve">Date de </w:t>
            </w:r>
            <w:r w:rsidR="00550E48" w:rsidRPr="00AA7A93">
              <w:rPr>
                <w:i/>
                <w:sz w:val="16"/>
                <w:szCs w:val="16"/>
                <w:lang w:val="fr-FR" w:eastAsia="fr-FR"/>
              </w:rPr>
              <w:t>r</w:t>
            </w:r>
            <w:r w:rsidRPr="00AA7A93">
              <w:rPr>
                <w:i/>
                <w:sz w:val="16"/>
                <w:szCs w:val="16"/>
                <w:lang w:val="fr-FR" w:eastAsia="fr-FR"/>
              </w:rPr>
              <w:t>atification</w:t>
            </w:r>
          </w:p>
        </w:tc>
        <w:tc>
          <w:tcPr>
            <w:tcW w:w="2552" w:type="dxa"/>
            <w:tcBorders>
              <w:top w:val="single" w:sz="4" w:space="0" w:color="auto"/>
              <w:bottom w:val="single" w:sz="12" w:space="0" w:color="auto"/>
            </w:tcBorders>
            <w:shd w:val="clear" w:color="auto" w:fill="auto"/>
            <w:vAlign w:val="bottom"/>
          </w:tcPr>
          <w:p w:rsidR="00E819C1" w:rsidRPr="00AA7A93" w:rsidRDefault="00E819C1" w:rsidP="00AA7A93">
            <w:pPr>
              <w:spacing w:before="80" w:after="80" w:line="200" w:lineRule="exact"/>
              <w:ind w:right="113"/>
              <w:rPr>
                <w:i/>
                <w:sz w:val="16"/>
                <w:szCs w:val="16"/>
                <w:lang w:val="fr-FR" w:eastAsia="fr-FR"/>
              </w:rPr>
            </w:pPr>
            <w:r w:rsidRPr="00AA7A93">
              <w:rPr>
                <w:i/>
                <w:sz w:val="16"/>
                <w:szCs w:val="16"/>
                <w:lang w:val="fr-FR" w:eastAsia="fr-FR"/>
              </w:rPr>
              <w:t xml:space="preserve">Réserves ou </w:t>
            </w:r>
            <w:r w:rsidR="00550E48" w:rsidRPr="00AA7A93">
              <w:rPr>
                <w:i/>
                <w:sz w:val="16"/>
                <w:szCs w:val="16"/>
                <w:lang w:val="fr-FR" w:eastAsia="fr-FR"/>
              </w:rPr>
              <w:t>o</w:t>
            </w:r>
            <w:r w:rsidRPr="00AA7A93">
              <w:rPr>
                <w:i/>
                <w:sz w:val="16"/>
                <w:szCs w:val="16"/>
                <w:lang w:val="fr-FR" w:eastAsia="fr-FR"/>
              </w:rPr>
              <w:t>bservations</w:t>
            </w:r>
          </w:p>
        </w:tc>
      </w:tr>
      <w:tr w:rsidR="004E53A2" w:rsidRPr="00AA7A93" w:rsidTr="00AA7A93">
        <w:trPr>
          <w:trHeight w:hRule="exact" w:val="113"/>
          <w:tblHeader/>
        </w:trPr>
        <w:tc>
          <w:tcPr>
            <w:tcW w:w="567" w:type="dxa"/>
            <w:tcBorders>
              <w:top w:val="single" w:sz="12" w:space="0" w:color="auto"/>
            </w:tcBorders>
            <w:shd w:val="clear" w:color="auto" w:fill="auto"/>
          </w:tcPr>
          <w:p w:rsidR="004E53A2" w:rsidRPr="00AA7A93" w:rsidRDefault="004E53A2" w:rsidP="00AA7A93">
            <w:pPr>
              <w:spacing w:before="40" w:after="120"/>
              <w:ind w:right="113"/>
              <w:rPr>
                <w:sz w:val="18"/>
                <w:szCs w:val="18"/>
                <w:lang w:val="fr-FR" w:eastAsia="fr-FR"/>
              </w:rPr>
            </w:pPr>
          </w:p>
        </w:tc>
        <w:tc>
          <w:tcPr>
            <w:tcW w:w="2552" w:type="dxa"/>
            <w:tcBorders>
              <w:top w:val="single" w:sz="12" w:space="0" w:color="auto"/>
            </w:tcBorders>
            <w:shd w:val="clear" w:color="auto" w:fill="auto"/>
          </w:tcPr>
          <w:p w:rsidR="004E53A2" w:rsidRPr="00AA7A93" w:rsidRDefault="004E53A2" w:rsidP="00AA7A93">
            <w:pPr>
              <w:spacing w:before="40" w:after="120"/>
              <w:ind w:right="113"/>
              <w:rPr>
                <w:sz w:val="18"/>
                <w:szCs w:val="18"/>
                <w:lang w:val="fr-FR" w:eastAsia="fr-FR"/>
              </w:rPr>
            </w:pPr>
          </w:p>
        </w:tc>
        <w:tc>
          <w:tcPr>
            <w:tcW w:w="1418" w:type="dxa"/>
            <w:tcBorders>
              <w:top w:val="single" w:sz="12" w:space="0" w:color="auto"/>
            </w:tcBorders>
            <w:shd w:val="clear" w:color="auto" w:fill="auto"/>
          </w:tcPr>
          <w:p w:rsidR="004E53A2" w:rsidRPr="00AA7A93" w:rsidRDefault="004E53A2" w:rsidP="00AA7A93">
            <w:pPr>
              <w:spacing w:before="40" w:after="120"/>
              <w:ind w:right="113"/>
              <w:rPr>
                <w:sz w:val="18"/>
                <w:szCs w:val="18"/>
                <w:lang w:val="fr-FR" w:eastAsia="fr-FR"/>
              </w:rPr>
            </w:pPr>
          </w:p>
        </w:tc>
        <w:tc>
          <w:tcPr>
            <w:tcW w:w="1418" w:type="dxa"/>
            <w:tcBorders>
              <w:top w:val="single" w:sz="12" w:space="0" w:color="auto"/>
            </w:tcBorders>
            <w:shd w:val="clear" w:color="auto" w:fill="auto"/>
          </w:tcPr>
          <w:p w:rsidR="004E53A2" w:rsidRPr="00AA7A93" w:rsidRDefault="004E53A2" w:rsidP="00AA7A93">
            <w:pPr>
              <w:spacing w:before="40" w:after="120"/>
              <w:ind w:right="113"/>
              <w:rPr>
                <w:sz w:val="18"/>
                <w:szCs w:val="18"/>
                <w:lang w:val="fr-FR" w:eastAsia="fr-FR"/>
              </w:rPr>
            </w:pPr>
          </w:p>
        </w:tc>
        <w:tc>
          <w:tcPr>
            <w:tcW w:w="2552" w:type="dxa"/>
            <w:tcBorders>
              <w:top w:val="single" w:sz="12" w:space="0" w:color="auto"/>
            </w:tcBorders>
            <w:shd w:val="clear" w:color="auto" w:fill="auto"/>
          </w:tcPr>
          <w:p w:rsidR="004E53A2" w:rsidRPr="00AA7A93" w:rsidRDefault="004E53A2" w:rsidP="00AA7A93">
            <w:pPr>
              <w:spacing w:before="40" w:after="12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Co</w:t>
            </w:r>
            <w:r w:rsidR="00221DB9">
              <w:rPr>
                <w:sz w:val="18"/>
                <w:szCs w:val="18"/>
                <w:lang w:val="fr-FR" w:eastAsia="fr-FR"/>
              </w:rPr>
              <w:t>nvention relative au statut des </w:t>
            </w:r>
            <w:r w:rsidR="003D0AAF" w:rsidRPr="00AA7A93">
              <w:rPr>
                <w:sz w:val="18"/>
                <w:szCs w:val="18"/>
                <w:lang w:val="fr-FR" w:eastAsia="fr-FR"/>
              </w:rPr>
              <w:t>r</w:t>
            </w:r>
            <w:r w:rsidRPr="00AA7A93">
              <w:rPr>
                <w:sz w:val="18"/>
                <w:szCs w:val="18"/>
                <w:lang w:val="fr-FR" w:eastAsia="fr-FR"/>
              </w:rPr>
              <w:t>éfugiés</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1951</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1987</w:t>
            </w:r>
          </w:p>
        </w:tc>
        <w:tc>
          <w:tcPr>
            <w:tcW w:w="2552" w:type="dxa"/>
            <w:shd w:val="clear" w:color="auto" w:fill="auto"/>
          </w:tcPr>
          <w:p w:rsidR="00E819C1" w:rsidRPr="00AA7A93" w:rsidRDefault="00E819C1" w:rsidP="00AA7A93">
            <w:pPr>
              <w:spacing w:before="40" w:after="12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Convention de Genève pour l’amélioration du sort des blessés et des malades dans les forces armées en campagne</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1949</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1962</w:t>
            </w:r>
          </w:p>
        </w:tc>
        <w:tc>
          <w:tcPr>
            <w:tcW w:w="2552" w:type="dxa"/>
            <w:shd w:val="clear" w:color="auto" w:fill="auto"/>
          </w:tcPr>
          <w:p w:rsidR="00E819C1" w:rsidRPr="00AA7A93" w:rsidRDefault="00E819C1" w:rsidP="00AA7A93">
            <w:pPr>
              <w:spacing w:before="40" w:after="12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3</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 xml:space="preserve">Convention de Genève pour l’amélioration du sort des blessés, malades et des naufragés des forces armées sur </w:t>
            </w:r>
            <w:r w:rsidR="003D0AAF" w:rsidRPr="00AA7A93">
              <w:rPr>
                <w:sz w:val="18"/>
                <w:szCs w:val="18"/>
                <w:lang w:val="fr-FR" w:eastAsia="fr-FR"/>
              </w:rPr>
              <w:t>m</w:t>
            </w:r>
            <w:r w:rsidRPr="00AA7A93">
              <w:rPr>
                <w:sz w:val="18"/>
                <w:szCs w:val="18"/>
                <w:lang w:val="fr-FR" w:eastAsia="fr-FR"/>
              </w:rPr>
              <w:t>er</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1949</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1962</w:t>
            </w:r>
          </w:p>
        </w:tc>
        <w:tc>
          <w:tcPr>
            <w:tcW w:w="2552" w:type="dxa"/>
            <w:shd w:val="clear" w:color="auto" w:fill="auto"/>
          </w:tcPr>
          <w:p w:rsidR="00E819C1" w:rsidRPr="00AA7A93" w:rsidRDefault="00E819C1" w:rsidP="00AA7A93">
            <w:pPr>
              <w:spacing w:before="40" w:after="12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4</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Convention de Genève relative aux traitements des prisonniers de guerre</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1949</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1962</w:t>
            </w:r>
          </w:p>
        </w:tc>
        <w:tc>
          <w:tcPr>
            <w:tcW w:w="2552" w:type="dxa"/>
            <w:shd w:val="clear" w:color="auto" w:fill="auto"/>
          </w:tcPr>
          <w:p w:rsidR="00E819C1" w:rsidRPr="00AA7A93" w:rsidRDefault="00E819C1" w:rsidP="00AA7A93">
            <w:pPr>
              <w:spacing w:before="40" w:after="12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5</w:t>
            </w:r>
          </w:p>
        </w:tc>
        <w:tc>
          <w:tcPr>
            <w:tcW w:w="2552" w:type="dxa"/>
            <w:shd w:val="clear" w:color="auto" w:fill="auto"/>
          </w:tcPr>
          <w:p w:rsidR="00E819C1" w:rsidRPr="00AA7A93" w:rsidRDefault="00221DB9" w:rsidP="00AA7A93">
            <w:pPr>
              <w:spacing w:before="40" w:after="120"/>
              <w:ind w:right="113"/>
              <w:rPr>
                <w:sz w:val="18"/>
                <w:szCs w:val="18"/>
                <w:lang w:val="fr-FR" w:eastAsia="fr-FR"/>
              </w:rPr>
            </w:pPr>
            <w:r>
              <w:rPr>
                <w:sz w:val="18"/>
                <w:szCs w:val="18"/>
                <w:lang w:val="fr-FR" w:eastAsia="fr-FR"/>
              </w:rPr>
              <w:t>Convention de Genève relative à </w:t>
            </w:r>
            <w:r w:rsidR="00E819C1" w:rsidRPr="00AA7A93">
              <w:rPr>
                <w:sz w:val="18"/>
                <w:szCs w:val="18"/>
                <w:lang w:val="fr-FR" w:eastAsia="fr-FR"/>
              </w:rPr>
              <w:t>la protection des personnes civiles en temps de guerre</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1949</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1962</w:t>
            </w:r>
          </w:p>
        </w:tc>
        <w:tc>
          <w:tcPr>
            <w:tcW w:w="2552" w:type="dxa"/>
            <w:shd w:val="clear" w:color="auto" w:fill="auto"/>
          </w:tcPr>
          <w:p w:rsidR="00E819C1" w:rsidRPr="00AA7A93" w:rsidRDefault="00E819C1" w:rsidP="00AA7A93">
            <w:pPr>
              <w:spacing w:before="40" w:after="12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6</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Protocole additionnel aux conventions de Genève du 12</w:t>
            </w:r>
            <w:r w:rsidR="003D0AAF" w:rsidRPr="00AA7A93">
              <w:rPr>
                <w:sz w:val="18"/>
                <w:szCs w:val="18"/>
                <w:lang w:val="fr-FR" w:eastAsia="fr-FR"/>
              </w:rPr>
              <w:t> a</w:t>
            </w:r>
            <w:r w:rsidRPr="00AA7A93">
              <w:rPr>
                <w:sz w:val="18"/>
                <w:szCs w:val="18"/>
                <w:lang w:val="fr-FR" w:eastAsia="fr-FR"/>
              </w:rPr>
              <w:t>oût 1949 relatif à la Protection des victimes des conflits armés internationaux (Protocole 1)</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1977</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1980</w:t>
            </w:r>
          </w:p>
        </w:tc>
        <w:tc>
          <w:tcPr>
            <w:tcW w:w="2552" w:type="dxa"/>
            <w:shd w:val="clear" w:color="auto" w:fill="auto"/>
          </w:tcPr>
          <w:p w:rsidR="00E819C1" w:rsidRPr="00AA7A93" w:rsidRDefault="00E819C1" w:rsidP="00AA7A93">
            <w:pPr>
              <w:spacing w:before="40" w:after="120"/>
              <w:ind w:right="113"/>
              <w:rPr>
                <w:sz w:val="18"/>
                <w:szCs w:val="18"/>
                <w:lang w:val="fr-FR" w:eastAsia="fr-FR"/>
              </w:rPr>
            </w:pPr>
          </w:p>
        </w:tc>
      </w:tr>
      <w:tr w:rsidR="004E53A2" w:rsidRPr="00AA7A93" w:rsidTr="00221DB9">
        <w:trPr>
          <w:cantSplit/>
        </w:trPr>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lastRenderedPageBreak/>
              <w:t>7</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Protocole additionnel aux conventions de Genève du 12</w:t>
            </w:r>
            <w:r w:rsidR="003D0AAF" w:rsidRPr="00AA7A93">
              <w:rPr>
                <w:sz w:val="18"/>
                <w:szCs w:val="18"/>
                <w:lang w:val="fr-FR" w:eastAsia="fr-FR"/>
              </w:rPr>
              <w:t> a</w:t>
            </w:r>
            <w:r w:rsidRPr="00AA7A93">
              <w:rPr>
                <w:sz w:val="18"/>
                <w:szCs w:val="18"/>
                <w:lang w:val="fr-FR" w:eastAsia="fr-FR"/>
              </w:rPr>
              <w:t xml:space="preserve">oût 1949 relatif à la protection des victimes des conflits armés non internationaux </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1977</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1980</w:t>
            </w:r>
          </w:p>
        </w:tc>
        <w:tc>
          <w:tcPr>
            <w:tcW w:w="2552" w:type="dxa"/>
            <w:shd w:val="clear" w:color="auto" w:fill="auto"/>
          </w:tcPr>
          <w:p w:rsidR="00E819C1" w:rsidRPr="00AA7A93" w:rsidRDefault="00E819C1" w:rsidP="00AA7A93">
            <w:pPr>
              <w:spacing w:before="40" w:after="12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8</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Co</w:t>
            </w:r>
            <w:r w:rsidR="00221DB9">
              <w:rPr>
                <w:sz w:val="18"/>
                <w:szCs w:val="18"/>
                <w:lang w:val="fr-FR" w:eastAsia="fr-FR"/>
              </w:rPr>
              <w:t>nvention relative au statut des </w:t>
            </w:r>
            <w:r w:rsidRPr="00AA7A93">
              <w:rPr>
                <w:sz w:val="18"/>
                <w:szCs w:val="18"/>
                <w:lang w:val="fr-FR" w:eastAsia="fr-FR"/>
              </w:rPr>
              <w:t>réfugiés</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1951</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1987</w:t>
            </w:r>
          </w:p>
        </w:tc>
        <w:tc>
          <w:tcPr>
            <w:tcW w:w="2552" w:type="dxa"/>
            <w:shd w:val="clear" w:color="auto" w:fill="auto"/>
          </w:tcPr>
          <w:p w:rsidR="00E819C1" w:rsidRPr="00AA7A93" w:rsidRDefault="00E819C1" w:rsidP="00AA7A93">
            <w:pPr>
              <w:spacing w:before="40" w:after="12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9</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Convention de l’OUA régissant les aspects propre</w:t>
            </w:r>
            <w:r w:rsidR="00221DB9">
              <w:rPr>
                <w:sz w:val="18"/>
                <w:szCs w:val="18"/>
                <w:lang w:val="fr-FR" w:eastAsia="fr-FR"/>
              </w:rPr>
              <w:t>s aux problèmes des réfugiés en </w:t>
            </w:r>
            <w:r w:rsidRPr="00AA7A93">
              <w:rPr>
                <w:sz w:val="18"/>
                <w:szCs w:val="18"/>
                <w:lang w:val="fr-FR" w:eastAsia="fr-FR"/>
              </w:rPr>
              <w:t>Afrique</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1969</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1972</w:t>
            </w:r>
          </w:p>
        </w:tc>
        <w:tc>
          <w:tcPr>
            <w:tcW w:w="2552" w:type="dxa"/>
            <w:shd w:val="clear" w:color="auto" w:fill="auto"/>
          </w:tcPr>
          <w:p w:rsidR="00E819C1" w:rsidRPr="00AA7A93" w:rsidRDefault="00E819C1" w:rsidP="00AA7A93">
            <w:pPr>
              <w:spacing w:before="40" w:after="120"/>
              <w:ind w:right="113"/>
              <w:rPr>
                <w:sz w:val="18"/>
                <w:szCs w:val="18"/>
                <w:lang w:val="fr-FR" w:eastAsia="fr-FR"/>
              </w:rPr>
            </w:pPr>
          </w:p>
        </w:tc>
      </w:tr>
      <w:tr w:rsidR="004E53A2" w:rsidRPr="00AA7A93" w:rsidTr="00AA7A93">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10</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Pr</w:t>
            </w:r>
            <w:r w:rsidR="00221DB9">
              <w:rPr>
                <w:sz w:val="18"/>
                <w:szCs w:val="18"/>
                <w:lang w:val="fr-FR" w:eastAsia="fr-FR"/>
              </w:rPr>
              <w:t>otocole relatif aux statuts des </w:t>
            </w:r>
            <w:r w:rsidRPr="00AA7A93">
              <w:rPr>
                <w:sz w:val="18"/>
                <w:szCs w:val="18"/>
                <w:lang w:val="fr-FR" w:eastAsia="fr-FR"/>
              </w:rPr>
              <w:t>réfugiés</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1967</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1987</w:t>
            </w:r>
          </w:p>
        </w:tc>
        <w:tc>
          <w:tcPr>
            <w:tcW w:w="2552" w:type="dxa"/>
            <w:shd w:val="clear" w:color="auto" w:fill="auto"/>
          </w:tcPr>
          <w:p w:rsidR="00E819C1" w:rsidRPr="00AA7A93" w:rsidRDefault="00E819C1" w:rsidP="00AA7A93">
            <w:pPr>
              <w:spacing w:before="40" w:after="120"/>
              <w:ind w:right="113"/>
              <w:rPr>
                <w:sz w:val="18"/>
                <w:szCs w:val="18"/>
                <w:lang w:val="fr-FR" w:eastAsia="fr-FR"/>
              </w:rPr>
            </w:pPr>
          </w:p>
        </w:tc>
      </w:tr>
      <w:tr w:rsidR="004E53A2" w:rsidRPr="00AA7A93" w:rsidTr="00AA7A93">
        <w:tc>
          <w:tcPr>
            <w:tcW w:w="567" w:type="dxa"/>
            <w:tcBorders>
              <w:bottom w:val="single" w:sz="12" w:space="0" w:color="auto"/>
            </w:tcBorders>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11</w:t>
            </w:r>
          </w:p>
        </w:tc>
        <w:tc>
          <w:tcPr>
            <w:tcW w:w="2552" w:type="dxa"/>
            <w:tcBorders>
              <w:bottom w:val="single" w:sz="12" w:space="0" w:color="auto"/>
            </w:tcBorders>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Convention sur l’interdiction de l’emploi, du stockage, de la production et du transfert des mines anti personnelles et sur leur destruction</w:t>
            </w:r>
          </w:p>
        </w:tc>
        <w:tc>
          <w:tcPr>
            <w:tcW w:w="1418" w:type="dxa"/>
            <w:tcBorders>
              <w:bottom w:val="single" w:sz="12" w:space="0" w:color="auto"/>
            </w:tcBorders>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1997</w:t>
            </w:r>
          </w:p>
        </w:tc>
        <w:tc>
          <w:tcPr>
            <w:tcW w:w="1418" w:type="dxa"/>
            <w:tcBorders>
              <w:bottom w:val="single" w:sz="12" w:space="0" w:color="auto"/>
            </w:tcBorders>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2000</w:t>
            </w:r>
          </w:p>
        </w:tc>
        <w:tc>
          <w:tcPr>
            <w:tcW w:w="2552" w:type="dxa"/>
            <w:tcBorders>
              <w:bottom w:val="single" w:sz="12" w:space="0" w:color="auto"/>
            </w:tcBorders>
            <w:shd w:val="clear" w:color="auto" w:fill="auto"/>
          </w:tcPr>
          <w:p w:rsidR="00E819C1" w:rsidRPr="00AA7A93" w:rsidRDefault="00E819C1" w:rsidP="00AA7A93">
            <w:pPr>
              <w:spacing w:before="40" w:after="120"/>
              <w:ind w:right="113"/>
              <w:rPr>
                <w:sz w:val="18"/>
                <w:szCs w:val="18"/>
                <w:lang w:val="fr-FR" w:eastAsia="fr-FR"/>
              </w:rPr>
            </w:pPr>
          </w:p>
        </w:tc>
      </w:tr>
    </w:tbl>
    <w:p w:rsidR="00E819C1" w:rsidRPr="00F13D2D" w:rsidRDefault="004E53A2" w:rsidP="00AA7A93">
      <w:pPr>
        <w:pStyle w:val="H23G"/>
      </w:pPr>
      <w:r>
        <w:tab/>
      </w:r>
      <w:r>
        <w:tab/>
      </w:r>
      <w:r w:rsidR="00E819C1" w:rsidRPr="00AA7A93">
        <w:rPr>
          <w:b w:val="0"/>
        </w:rPr>
        <w:t>Tableau n</w:t>
      </w:r>
      <w:r w:rsidRPr="00AA7A93">
        <w:rPr>
          <w:b w:val="0"/>
          <w:vertAlign w:val="superscript"/>
        </w:rPr>
        <w:t>o</w:t>
      </w:r>
      <w:r>
        <w:rPr>
          <w:b w:val="0"/>
        </w:rPr>
        <w:t> </w:t>
      </w:r>
      <w:r w:rsidR="00E819C1" w:rsidRPr="00AA7A93">
        <w:rPr>
          <w:b w:val="0"/>
        </w:rPr>
        <w:t>6</w:t>
      </w:r>
      <w:r>
        <w:br/>
      </w:r>
      <w:r w:rsidR="00E819C1" w:rsidRPr="00F13D2D">
        <w:t>ratification d’instruments régionaux relatifs aux droits de l’homme</w:t>
      </w:r>
    </w:p>
    <w:tbl>
      <w:tblPr>
        <w:tblW w:w="0" w:type="auto"/>
        <w:tblInd w:w="1134" w:type="dxa"/>
        <w:tblLayout w:type="fixed"/>
        <w:tblCellMar>
          <w:left w:w="0" w:type="dxa"/>
          <w:right w:w="0" w:type="dxa"/>
        </w:tblCellMar>
        <w:tblLook w:val="04A0" w:firstRow="1" w:lastRow="0" w:firstColumn="1" w:lastColumn="0" w:noHBand="0" w:noVBand="1"/>
      </w:tblPr>
      <w:tblGrid>
        <w:gridCol w:w="567"/>
        <w:gridCol w:w="2552"/>
        <w:gridCol w:w="1418"/>
        <w:gridCol w:w="1418"/>
        <w:gridCol w:w="2552"/>
      </w:tblGrid>
      <w:tr w:rsidR="000D5D4F" w:rsidRPr="00AA7A93" w:rsidTr="00AA7A93">
        <w:trPr>
          <w:tblHeader/>
        </w:trPr>
        <w:tc>
          <w:tcPr>
            <w:tcW w:w="567" w:type="dxa"/>
            <w:tcBorders>
              <w:top w:val="single" w:sz="4" w:space="0" w:color="auto"/>
              <w:bottom w:val="single" w:sz="12" w:space="0" w:color="auto"/>
            </w:tcBorders>
            <w:shd w:val="clear" w:color="auto" w:fill="auto"/>
            <w:vAlign w:val="bottom"/>
          </w:tcPr>
          <w:p w:rsidR="00E819C1" w:rsidRPr="00AA7A93" w:rsidRDefault="00E819C1" w:rsidP="00AA7A93">
            <w:pPr>
              <w:spacing w:before="80" w:after="80" w:line="200" w:lineRule="exact"/>
              <w:ind w:right="113"/>
              <w:rPr>
                <w:i/>
                <w:sz w:val="16"/>
                <w:szCs w:val="16"/>
                <w:lang w:val="fr-FR" w:eastAsia="fr-FR"/>
              </w:rPr>
            </w:pPr>
            <w:r w:rsidRPr="00AA7A93">
              <w:rPr>
                <w:i/>
                <w:sz w:val="16"/>
                <w:szCs w:val="16"/>
                <w:lang w:val="fr-FR" w:eastAsia="fr-FR"/>
              </w:rPr>
              <w:t>N°</w:t>
            </w:r>
          </w:p>
        </w:tc>
        <w:tc>
          <w:tcPr>
            <w:tcW w:w="2552" w:type="dxa"/>
            <w:tcBorders>
              <w:top w:val="single" w:sz="4" w:space="0" w:color="auto"/>
              <w:bottom w:val="single" w:sz="12" w:space="0" w:color="auto"/>
            </w:tcBorders>
            <w:shd w:val="clear" w:color="auto" w:fill="auto"/>
            <w:vAlign w:val="bottom"/>
          </w:tcPr>
          <w:p w:rsidR="00E819C1" w:rsidRPr="00AA7A93" w:rsidRDefault="00E819C1" w:rsidP="00AA7A93">
            <w:pPr>
              <w:spacing w:before="80" w:after="80" w:line="200" w:lineRule="exact"/>
              <w:ind w:right="113"/>
              <w:rPr>
                <w:i/>
                <w:sz w:val="16"/>
                <w:szCs w:val="16"/>
                <w:lang w:val="fr-FR" w:eastAsia="fr-FR"/>
              </w:rPr>
            </w:pPr>
            <w:r w:rsidRPr="00AA7A93">
              <w:rPr>
                <w:i/>
                <w:sz w:val="16"/>
                <w:szCs w:val="16"/>
                <w:lang w:val="fr-FR" w:eastAsia="fr-FR"/>
              </w:rPr>
              <w:t>Instruments</w:t>
            </w:r>
          </w:p>
        </w:tc>
        <w:tc>
          <w:tcPr>
            <w:tcW w:w="1418" w:type="dxa"/>
            <w:tcBorders>
              <w:top w:val="single" w:sz="4" w:space="0" w:color="auto"/>
              <w:bottom w:val="single" w:sz="12" w:space="0" w:color="auto"/>
            </w:tcBorders>
            <w:shd w:val="clear" w:color="auto" w:fill="auto"/>
            <w:vAlign w:val="bottom"/>
          </w:tcPr>
          <w:p w:rsidR="00E819C1" w:rsidRPr="00AA7A93" w:rsidRDefault="00E819C1" w:rsidP="00AA7A93">
            <w:pPr>
              <w:spacing w:before="80" w:after="80" w:line="200" w:lineRule="exact"/>
              <w:ind w:right="113"/>
              <w:rPr>
                <w:i/>
                <w:sz w:val="16"/>
                <w:szCs w:val="16"/>
                <w:lang w:val="fr-FR" w:eastAsia="fr-FR"/>
              </w:rPr>
            </w:pPr>
            <w:r w:rsidRPr="00AA7A93">
              <w:rPr>
                <w:i/>
                <w:sz w:val="16"/>
                <w:szCs w:val="16"/>
                <w:lang w:val="fr-FR" w:eastAsia="fr-FR"/>
              </w:rPr>
              <w:t xml:space="preserve">Date </w:t>
            </w:r>
            <w:r w:rsidR="00323CF3" w:rsidRPr="00AA7A93">
              <w:rPr>
                <w:i/>
                <w:sz w:val="16"/>
                <w:szCs w:val="16"/>
                <w:lang w:val="fr-FR" w:eastAsia="fr-FR"/>
              </w:rPr>
              <w:t>d’a</w:t>
            </w:r>
            <w:r w:rsidRPr="00AA7A93">
              <w:rPr>
                <w:i/>
                <w:sz w:val="16"/>
                <w:szCs w:val="16"/>
                <w:lang w:val="fr-FR" w:eastAsia="fr-FR"/>
              </w:rPr>
              <w:t>doption</w:t>
            </w:r>
          </w:p>
        </w:tc>
        <w:tc>
          <w:tcPr>
            <w:tcW w:w="1418" w:type="dxa"/>
            <w:tcBorders>
              <w:top w:val="single" w:sz="4" w:space="0" w:color="auto"/>
              <w:bottom w:val="single" w:sz="12" w:space="0" w:color="auto"/>
            </w:tcBorders>
            <w:shd w:val="clear" w:color="auto" w:fill="auto"/>
            <w:vAlign w:val="bottom"/>
          </w:tcPr>
          <w:p w:rsidR="00E819C1" w:rsidRPr="00AA7A93" w:rsidRDefault="00E819C1" w:rsidP="00AA7A93">
            <w:pPr>
              <w:spacing w:before="80" w:after="80" w:line="200" w:lineRule="exact"/>
              <w:ind w:right="113"/>
              <w:rPr>
                <w:i/>
                <w:sz w:val="16"/>
                <w:szCs w:val="16"/>
                <w:lang w:val="fr-FR" w:eastAsia="fr-FR"/>
              </w:rPr>
            </w:pPr>
            <w:r w:rsidRPr="00AA7A93">
              <w:rPr>
                <w:i/>
                <w:sz w:val="16"/>
                <w:szCs w:val="16"/>
                <w:lang w:val="fr-FR" w:eastAsia="fr-FR"/>
              </w:rPr>
              <w:t>Date</w:t>
            </w:r>
            <w:r w:rsidR="00837D86" w:rsidRPr="00AA7A93">
              <w:rPr>
                <w:i/>
                <w:sz w:val="16"/>
                <w:szCs w:val="16"/>
                <w:lang w:val="fr-FR" w:eastAsia="fr-FR"/>
              </w:rPr>
              <w:t xml:space="preserve"> </w:t>
            </w:r>
            <w:r w:rsidRPr="00AA7A93">
              <w:rPr>
                <w:i/>
                <w:sz w:val="16"/>
                <w:szCs w:val="16"/>
                <w:lang w:val="fr-FR" w:eastAsia="fr-FR"/>
              </w:rPr>
              <w:t xml:space="preserve">de </w:t>
            </w:r>
            <w:r w:rsidR="00837D86" w:rsidRPr="00AA7A93">
              <w:rPr>
                <w:i/>
                <w:sz w:val="16"/>
                <w:szCs w:val="16"/>
                <w:lang w:val="fr-FR" w:eastAsia="fr-FR"/>
              </w:rPr>
              <w:t>r</w:t>
            </w:r>
            <w:r w:rsidRPr="00AA7A93">
              <w:rPr>
                <w:i/>
                <w:sz w:val="16"/>
                <w:szCs w:val="16"/>
                <w:lang w:val="fr-FR" w:eastAsia="fr-FR"/>
              </w:rPr>
              <w:t>atification</w:t>
            </w:r>
          </w:p>
        </w:tc>
        <w:tc>
          <w:tcPr>
            <w:tcW w:w="2552" w:type="dxa"/>
            <w:tcBorders>
              <w:top w:val="single" w:sz="4" w:space="0" w:color="auto"/>
              <w:bottom w:val="single" w:sz="12" w:space="0" w:color="auto"/>
            </w:tcBorders>
            <w:shd w:val="clear" w:color="auto" w:fill="auto"/>
            <w:vAlign w:val="bottom"/>
          </w:tcPr>
          <w:p w:rsidR="00E819C1" w:rsidRPr="00AA7A93" w:rsidRDefault="00E819C1" w:rsidP="00AA7A93">
            <w:pPr>
              <w:spacing w:before="80" w:after="80" w:line="200" w:lineRule="exact"/>
              <w:ind w:right="113"/>
              <w:rPr>
                <w:i/>
                <w:sz w:val="16"/>
                <w:szCs w:val="16"/>
                <w:lang w:val="fr-FR" w:eastAsia="fr-FR"/>
              </w:rPr>
            </w:pPr>
            <w:r w:rsidRPr="00AA7A93">
              <w:rPr>
                <w:i/>
                <w:sz w:val="16"/>
                <w:szCs w:val="16"/>
                <w:lang w:val="fr-FR" w:eastAsia="fr-FR"/>
              </w:rPr>
              <w:t xml:space="preserve">Réserves ou </w:t>
            </w:r>
            <w:r w:rsidR="00837D86" w:rsidRPr="00AA7A93">
              <w:rPr>
                <w:i/>
                <w:sz w:val="16"/>
                <w:szCs w:val="16"/>
                <w:lang w:val="fr-FR" w:eastAsia="fr-FR"/>
              </w:rPr>
              <w:t>o</w:t>
            </w:r>
            <w:r w:rsidRPr="00AA7A93">
              <w:rPr>
                <w:i/>
                <w:sz w:val="16"/>
                <w:szCs w:val="16"/>
                <w:lang w:val="fr-FR" w:eastAsia="fr-FR"/>
              </w:rPr>
              <w:t>bservations</w:t>
            </w:r>
          </w:p>
        </w:tc>
      </w:tr>
      <w:tr w:rsidR="000D5D4F" w:rsidRPr="00AA7A93" w:rsidTr="00AA7A93">
        <w:trPr>
          <w:trHeight w:hRule="exact" w:val="113"/>
          <w:tblHeader/>
        </w:trPr>
        <w:tc>
          <w:tcPr>
            <w:tcW w:w="567" w:type="dxa"/>
            <w:tcBorders>
              <w:top w:val="single" w:sz="12" w:space="0" w:color="auto"/>
            </w:tcBorders>
            <w:shd w:val="clear" w:color="auto" w:fill="auto"/>
          </w:tcPr>
          <w:p w:rsidR="000D5D4F" w:rsidRPr="00AA7A93" w:rsidRDefault="000D5D4F" w:rsidP="00AA7A93">
            <w:pPr>
              <w:spacing w:before="40" w:after="120"/>
              <w:ind w:right="113"/>
              <w:rPr>
                <w:sz w:val="18"/>
                <w:szCs w:val="18"/>
                <w:lang w:val="fr-FR" w:eastAsia="fr-FR"/>
              </w:rPr>
            </w:pPr>
          </w:p>
        </w:tc>
        <w:tc>
          <w:tcPr>
            <w:tcW w:w="2552" w:type="dxa"/>
            <w:tcBorders>
              <w:top w:val="single" w:sz="12" w:space="0" w:color="auto"/>
            </w:tcBorders>
            <w:shd w:val="clear" w:color="auto" w:fill="auto"/>
          </w:tcPr>
          <w:p w:rsidR="000D5D4F" w:rsidRPr="00AA7A93" w:rsidRDefault="000D5D4F" w:rsidP="00AA7A93">
            <w:pPr>
              <w:spacing w:before="40" w:after="120"/>
              <w:ind w:right="113"/>
              <w:rPr>
                <w:sz w:val="18"/>
                <w:szCs w:val="18"/>
                <w:lang w:val="fr-FR" w:eastAsia="fr-FR"/>
              </w:rPr>
            </w:pPr>
          </w:p>
        </w:tc>
        <w:tc>
          <w:tcPr>
            <w:tcW w:w="1418" w:type="dxa"/>
            <w:tcBorders>
              <w:top w:val="single" w:sz="12" w:space="0" w:color="auto"/>
            </w:tcBorders>
            <w:shd w:val="clear" w:color="auto" w:fill="auto"/>
          </w:tcPr>
          <w:p w:rsidR="000D5D4F" w:rsidRPr="00AA7A93" w:rsidRDefault="000D5D4F" w:rsidP="00AA7A93">
            <w:pPr>
              <w:spacing w:before="40" w:after="120"/>
              <w:ind w:right="113"/>
              <w:rPr>
                <w:sz w:val="18"/>
                <w:szCs w:val="18"/>
                <w:lang w:val="fr-FR" w:eastAsia="fr-FR"/>
              </w:rPr>
            </w:pPr>
          </w:p>
        </w:tc>
        <w:tc>
          <w:tcPr>
            <w:tcW w:w="1418" w:type="dxa"/>
            <w:tcBorders>
              <w:top w:val="single" w:sz="12" w:space="0" w:color="auto"/>
            </w:tcBorders>
            <w:shd w:val="clear" w:color="auto" w:fill="auto"/>
          </w:tcPr>
          <w:p w:rsidR="000D5D4F" w:rsidRPr="00AA7A93" w:rsidRDefault="000D5D4F" w:rsidP="00AA7A93">
            <w:pPr>
              <w:spacing w:before="40" w:after="120"/>
              <w:ind w:right="113"/>
              <w:rPr>
                <w:sz w:val="18"/>
                <w:szCs w:val="18"/>
                <w:lang w:val="fr-FR" w:eastAsia="fr-FR"/>
              </w:rPr>
            </w:pPr>
          </w:p>
        </w:tc>
        <w:tc>
          <w:tcPr>
            <w:tcW w:w="2552" w:type="dxa"/>
            <w:tcBorders>
              <w:top w:val="single" w:sz="12" w:space="0" w:color="auto"/>
            </w:tcBorders>
            <w:shd w:val="clear" w:color="auto" w:fill="auto"/>
          </w:tcPr>
          <w:p w:rsidR="000D5D4F" w:rsidRPr="00AA7A93" w:rsidRDefault="000D5D4F" w:rsidP="00AA7A93">
            <w:pPr>
              <w:spacing w:before="40" w:after="120"/>
              <w:ind w:right="113"/>
              <w:rPr>
                <w:sz w:val="18"/>
                <w:szCs w:val="18"/>
                <w:lang w:val="fr-FR" w:eastAsia="fr-FR"/>
              </w:rPr>
            </w:pPr>
          </w:p>
        </w:tc>
      </w:tr>
      <w:tr w:rsidR="000D5D4F" w:rsidRPr="00AA7A93" w:rsidTr="00AA7A93">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 xml:space="preserve">Charte Africaine des </w:t>
            </w:r>
            <w:r w:rsidR="00D9438A">
              <w:rPr>
                <w:sz w:val="18"/>
                <w:szCs w:val="18"/>
                <w:lang w:val="fr-FR" w:eastAsia="fr-FR"/>
              </w:rPr>
              <w:t>d</w:t>
            </w:r>
            <w:r w:rsidRPr="00AA7A93">
              <w:rPr>
                <w:sz w:val="18"/>
                <w:szCs w:val="18"/>
                <w:lang w:val="fr-FR" w:eastAsia="fr-FR"/>
              </w:rPr>
              <w:t xml:space="preserve">roits </w:t>
            </w:r>
            <w:r w:rsidR="00A2383C" w:rsidRPr="00AA7A93">
              <w:rPr>
                <w:sz w:val="18"/>
                <w:szCs w:val="18"/>
                <w:lang w:val="fr-FR" w:eastAsia="fr-FR"/>
              </w:rPr>
              <w:br/>
            </w:r>
            <w:r w:rsidRPr="00AA7A93">
              <w:rPr>
                <w:sz w:val="18"/>
                <w:szCs w:val="18"/>
                <w:lang w:val="fr-FR" w:eastAsia="fr-FR"/>
              </w:rPr>
              <w:t>de l’</w:t>
            </w:r>
            <w:r w:rsidR="00D9438A">
              <w:rPr>
                <w:sz w:val="18"/>
                <w:szCs w:val="18"/>
                <w:lang w:val="fr-FR" w:eastAsia="fr-FR"/>
              </w:rPr>
              <w:t>h</w:t>
            </w:r>
            <w:r w:rsidRPr="00AA7A93">
              <w:rPr>
                <w:sz w:val="18"/>
                <w:szCs w:val="18"/>
                <w:lang w:val="fr-FR" w:eastAsia="fr-FR"/>
              </w:rPr>
              <w:t xml:space="preserve">omme et des </w:t>
            </w:r>
            <w:r w:rsidR="00D9438A">
              <w:rPr>
                <w:sz w:val="18"/>
                <w:szCs w:val="18"/>
                <w:lang w:val="fr-FR" w:eastAsia="fr-FR"/>
              </w:rPr>
              <w:t>p</w:t>
            </w:r>
            <w:r w:rsidRPr="00AA7A93">
              <w:rPr>
                <w:sz w:val="18"/>
                <w:szCs w:val="18"/>
                <w:lang w:val="fr-FR" w:eastAsia="fr-FR"/>
              </w:rPr>
              <w:t>euples</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1981</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1986</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 xml:space="preserve">Incorporée dans le préambule de la </w:t>
            </w:r>
            <w:r w:rsidR="00BE6687" w:rsidRPr="00AA7A93">
              <w:rPr>
                <w:sz w:val="18"/>
                <w:szCs w:val="18"/>
                <w:lang w:val="fr-FR" w:eastAsia="fr-FR"/>
              </w:rPr>
              <w:t xml:space="preserve">Constitution </w:t>
            </w:r>
            <w:r w:rsidRPr="00AA7A93">
              <w:rPr>
                <w:sz w:val="18"/>
                <w:szCs w:val="18"/>
                <w:lang w:val="fr-FR" w:eastAsia="fr-FR"/>
              </w:rPr>
              <w:t>du 20</w:t>
            </w:r>
            <w:r w:rsidR="00BE6687" w:rsidRPr="00AA7A93">
              <w:rPr>
                <w:sz w:val="18"/>
                <w:szCs w:val="18"/>
                <w:lang w:val="fr-FR" w:eastAsia="fr-FR"/>
              </w:rPr>
              <w:t> </w:t>
            </w:r>
            <w:r w:rsidRPr="00AA7A93">
              <w:rPr>
                <w:sz w:val="18"/>
                <w:szCs w:val="18"/>
                <w:lang w:val="fr-FR" w:eastAsia="fr-FR"/>
              </w:rPr>
              <w:t>juillet 1991</w:t>
            </w:r>
          </w:p>
        </w:tc>
      </w:tr>
      <w:tr w:rsidR="000D5D4F" w:rsidRPr="00AA7A93" w:rsidTr="00AA7A93">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 xml:space="preserve">Protocole portant création de la Cour Africaine des </w:t>
            </w:r>
            <w:r w:rsidR="00D9438A">
              <w:rPr>
                <w:sz w:val="18"/>
                <w:szCs w:val="18"/>
                <w:lang w:val="fr-FR" w:eastAsia="fr-FR"/>
              </w:rPr>
              <w:t>d</w:t>
            </w:r>
            <w:r w:rsidRPr="00AA7A93">
              <w:rPr>
                <w:sz w:val="18"/>
                <w:szCs w:val="18"/>
                <w:lang w:val="fr-FR" w:eastAsia="fr-FR"/>
              </w:rPr>
              <w:t>roits de l’</w:t>
            </w:r>
            <w:r w:rsidR="00D9438A">
              <w:rPr>
                <w:sz w:val="18"/>
                <w:szCs w:val="18"/>
                <w:lang w:val="fr-FR" w:eastAsia="fr-FR"/>
              </w:rPr>
              <w:t>h</w:t>
            </w:r>
            <w:r w:rsidRPr="00AA7A93">
              <w:rPr>
                <w:sz w:val="18"/>
                <w:szCs w:val="18"/>
                <w:lang w:val="fr-FR" w:eastAsia="fr-FR"/>
              </w:rPr>
              <w:t xml:space="preserve">omme et des </w:t>
            </w:r>
            <w:r w:rsidR="00D9438A">
              <w:rPr>
                <w:sz w:val="18"/>
                <w:szCs w:val="18"/>
                <w:lang w:val="fr-FR" w:eastAsia="fr-FR"/>
              </w:rPr>
              <w:t>p</w:t>
            </w:r>
            <w:r w:rsidRPr="00AA7A93">
              <w:rPr>
                <w:sz w:val="18"/>
                <w:szCs w:val="18"/>
                <w:lang w:val="fr-FR" w:eastAsia="fr-FR"/>
              </w:rPr>
              <w:t>euples</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1988</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2005</w:t>
            </w:r>
          </w:p>
        </w:tc>
        <w:tc>
          <w:tcPr>
            <w:tcW w:w="2552" w:type="dxa"/>
            <w:shd w:val="clear" w:color="auto" w:fill="auto"/>
          </w:tcPr>
          <w:p w:rsidR="00E819C1" w:rsidRPr="00AA7A93" w:rsidRDefault="00E819C1" w:rsidP="00AA7A93">
            <w:pPr>
              <w:spacing w:before="40" w:after="120"/>
              <w:ind w:right="113"/>
              <w:rPr>
                <w:sz w:val="18"/>
                <w:szCs w:val="18"/>
                <w:lang w:val="fr-FR" w:eastAsia="fr-FR"/>
              </w:rPr>
            </w:pPr>
          </w:p>
        </w:tc>
      </w:tr>
      <w:tr w:rsidR="000D5D4F" w:rsidRPr="00AA7A93" w:rsidTr="00AA7A93">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3</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 xml:space="preserve">Charte Africaine des Droits </w:t>
            </w:r>
            <w:r w:rsidR="00A2383C" w:rsidRPr="00AA7A93">
              <w:rPr>
                <w:sz w:val="18"/>
                <w:szCs w:val="18"/>
                <w:lang w:val="fr-FR" w:eastAsia="fr-FR"/>
              </w:rPr>
              <w:br/>
            </w:r>
            <w:r w:rsidRPr="00AA7A93">
              <w:rPr>
                <w:sz w:val="18"/>
                <w:szCs w:val="18"/>
                <w:lang w:val="fr-FR" w:eastAsia="fr-FR"/>
              </w:rPr>
              <w:t xml:space="preserve">et du Bien </w:t>
            </w:r>
            <w:proofErr w:type="spellStart"/>
            <w:r w:rsidRPr="00AA7A93">
              <w:rPr>
                <w:sz w:val="18"/>
                <w:szCs w:val="18"/>
                <w:lang w:val="fr-FR" w:eastAsia="fr-FR"/>
              </w:rPr>
              <w:t>Etre</w:t>
            </w:r>
            <w:proofErr w:type="spellEnd"/>
            <w:r w:rsidRPr="00AA7A93">
              <w:rPr>
                <w:sz w:val="18"/>
                <w:szCs w:val="18"/>
                <w:lang w:val="fr-FR" w:eastAsia="fr-FR"/>
              </w:rPr>
              <w:t xml:space="preserve"> de l’Enfant</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1990</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2005</w:t>
            </w:r>
          </w:p>
        </w:tc>
        <w:tc>
          <w:tcPr>
            <w:tcW w:w="2552" w:type="dxa"/>
            <w:shd w:val="clear" w:color="auto" w:fill="auto"/>
          </w:tcPr>
          <w:p w:rsidR="00E819C1" w:rsidRPr="00AA7A93" w:rsidRDefault="00E819C1" w:rsidP="00AA7A93">
            <w:pPr>
              <w:spacing w:before="40" w:after="120"/>
              <w:ind w:right="113"/>
              <w:rPr>
                <w:sz w:val="18"/>
                <w:szCs w:val="18"/>
                <w:lang w:val="fr-FR" w:eastAsia="fr-FR"/>
              </w:rPr>
            </w:pPr>
          </w:p>
        </w:tc>
      </w:tr>
      <w:tr w:rsidR="000D5D4F" w:rsidRPr="00AA7A93" w:rsidTr="00AA7A93">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4</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 xml:space="preserve">Protocole à la Charte Africaine des </w:t>
            </w:r>
            <w:r w:rsidR="00D9438A">
              <w:rPr>
                <w:sz w:val="18"/>
                <w:szCs w:val="18"/>
                <w:lang w:val="fr-FR" w:eastAsia="fr-FR"/>
              </w:rPr>
              <w:t>d</w:t>
            </w:r>
            <w:r w:rsidRPr="00AA7A93">
              <w:rPr>
                <w:sz w:val="18"/>
                <w:szCs w:val="18"/>
                <w:lang w:val="fr-FR" w:eastAsia="fr-FR"/>
              </w:rPr>
              <w:t>roits de l’</w:t>
            </w:r>
            <w:r w:rsidR="00D9438A">
              <w:rPr>
                <w:sz w:val="18"/>
                <w:szCs w:val="18"/>
                <w:lang w:val="fr-FR" w:eastAsia="fr-FR"/>
              </w:rPr>
              <w:t>h</w:t>
            </w:r>
            <w:r w:rsidRPr="00AA7A93">
              <w:rPr>
                <w:sz w:val="18"/>
                <w:szCs w:val="18"/>
                <w:lang w:val="fr-FR" w:eastAsia="fr-FR"/>
              </w:rPr>
              <w:t>omme et des Peuples relatif aux droits des femmes en Afrique</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2003</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2005</w:t>
            </w:r>
          </w:p>
        </w:tc>
        <w:tc>
          <w:tcPr>
            <w:tcW w:w="2552" w:type="dxa"/>
            <w:shd w:val="clear" w:color="auto" w:fill="auto"/>
          </w:tcPr>
          <w:p w:rsidR="00E819C1" w:rsidRPr="00AA7A93" w:rsidRDefault="00E819C1" w:rsidP="00AA7A93">
            <w:pPr>
              <w:spacing w:before="40" w:after="120"/>
              <w:ind w:right="113"/>
              <w:rPr>
                <w:sz w:val="18"/>
                <w:szCs w:val="18"/>
                <w:lang w:val="fr-FR" w:eastAsia="fr-FR"/>
              </w:rPr>
            </w:pPr>
          </w:p>
        </w:tc>
      </w:tr>
      <w:tr w:rsidR="000D5D4F" w:rsidRPr="00AA7A93" w:rsidTr="00AA7A93">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5</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 xml:space="preserve">Charte Africaine de la Démocratie, des </w:t>
            </w:r>
            <w:proofErr w:type="spellStart"/>
            <w:r w:rsidRPr="00AA7A93">
              <w:rPr>
                <w:sz w:val="18"/>
                <w:szCs w:val="18"/>
                <w:lang w:val="fr-FR" w:eastAsia="fr-FR"/>
              </w:rPr>
              <w:t>Elections</w:t>
            </w:r>
            <w:proofErr w:type="spellEnd"/>
            <w:r w:rsidRPr="00AA7A93">
              <w:rPr>
                <w:sz w:val="18"/>
                <w:szCs w:val="18"/>
                <w:lang w:val="fr-FR" w:eastAsia="fr-FR"/>
              </w:rPr>
              <w:t xml:space="preserve"> </w:t>
            </w:r>
            <w:r w:rsidR="009A1AD1">
              <w:rPr>
                <w:sz w:val="18"/>
                <w:szCs w:val="18"/>
                <w:lang w:val="fr-FR" w:eastAsia="fr-FR"/>
              </w:rPr>
              <w:br/>
            </w:r>
            <w:r w:rsidRPr="00AA7A93">
              <w:rPr>
                <w:sz w:val="18"/>
                <w:szCs w:val="18"/>
                <w:lang w:val="fr-FR" w:eastAsia="fr-FR"/>
              </w:rPr>
              <w:t>et de la Gouvernance</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2011</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2008</w:t>
            </w:r>
          </w:p>
        </w:tc>
        <w:tc>
          <w:tcPr>
            <w:tcW w:w="2552" w:type="dxa"/>
            <w:shd w:val="clear" w:color="auto" w:fill="auto"/>
          </w:tcPr>
          <w:p w:rsidR="00E819C1" w:rsidRPr="00AA7A93" w:rsidRDefault="00E819C1" w:rsidP="00AA7A93">
            <w:pPr>
              <w:spacing w:before="40" w:after="120"/>
              <w:ind w:right="113"/>
              <w:rPr>
                <w:sz w:val="18"/>
                <w:szCs w:val="18"/>
                <w:lang w:val="fr-FR" w:eastAsia="fr-FR"/>
              </w:rPr>
            </w:pPr>
          </w:p>
        </w:tc>
      </w:tr>
      <w:tr w:rsidR="000D5D4F" w:rsidRPr="00AA7A93" w:rsidTr="00AA7A93">
        <w:tc>
          <w:tcPr>
            <w:tcW w:w="567"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6</w:t>
            </w:r>
          </w:p>
        </w:tc>
        <w:tc>
          <w:tcPr>
            <w:tcW w:w="2552"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Protocole relatif à la Charte Africaine des droits de l’</w:t>
            </w:r>
            <w:r w:rsidR="00D9438A">
              <w:rPr>
                <w:sz w:val="18"/>
                <w:szCs w:val="18"/>
                <w:lang w:val="fr-FR" w:eastAsia="fr-FR"/>
              </w:rPr>
              <w:t>h</w:t>
            </w:r>
            <w:r w:rsidRPr="00AA7A93">
              <w:rPr>
                <w:sz w:val="18"/>
                <w:szCs w:val="18"/>
                <w:lang w:val="fr-FR" w:eastAsia="fr-FR"/>
              </w:rPr>
              <w:t>omme et des Peuples portant création d’une Cour africaine des droits de l’</w:t>
            </w:r>
            <w:r w:rsidR="00D9438A">
              <w:rPr>
                <w:sz w:val="18"/>
                <w:szCs w:val="18"/>
                <w:lang w:val="fr-FR" w:eastAsia="fr-FR"/>
              </w:rPr>
              <w:t>h</w:t>
            </w:r>
            <w:r w:rsidRPr="00AA7A93">
              <w:rPr>
                <w:sz w:val="18"/>
                <w:szCs w:val="18"/>
                <w:lang w:val="fr-FR" w:eastAsia="fr-FR"/>
              </w:rPr>
              <w:t>omme et des Peuples</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1998</w:t>
            </w:r>
          </w:p>
        </w:tc>
        <w:tc>
          <w:tcPr>
            <w:tcW w:w="1418" w:type="dxa"/>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2005</w:t>
            </w:r>
          </w:p>
        </w:tc>
        <w:tc>
          <w:tcPr>
            <w:tcW w:w="2552" w:type="dxa"/>
            <w:shd w:val="clear" w:color="auto" w:fill="auto"/>
          </w:tcPr>
          <w:p w:rsidR="00E819C1" w:rsidRPr="00AA7A93" w:rsidRDefault="00E819C1" w:rsidP="00AA7A93">
            <w:pPr>
              <w:spacing w:before="40" w:after="120"/>
              <w:ind w:right="113"/>
              <w:rPr>
                <w:sz w:val="18"/>
                <w:szCs w:val="18"/>
                <w:lang w:val="fr-FR" w:eastAsia="fr-FR"/>
              </w:rPr>
            </w:pPr>
          </w:p>
        </w:tc>
      </w:tr>
      <w:tr w:rsidR="000D5D4F" w:rsidRPr="00AA7A93" w:rsidTr="00AA7A93">
        <w:tc>
          <w:tcPr>
            <w:tcW w:w="567" w:type="dxa"/>
            <w:tcBorders>
              <w:bottom w:val="single" w:sz="12" w:space="0" w:color="auto"/>
            </w:tcBorders>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7</w:t>
            </w:r>
          </w:p>
        </w:tc>
        <w:tc>
          <w:tcPr>
            <w:tcW w:w="2552" w:type="dxa"/>
            <w:tcBorders>
              <w:bottom w:val="single" w:sz="12" w:space="0" w:color="auto"/>
            </w:tcBorders>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C</w:t>
            </w:r>
            <w:r w:rsidR="009A1AD1">
              <w:rPr>
                <w:sz w:val="18"/>
                <w:szCs w:val="18"/>
                <w:lang w:val="fr-FR" w:eastAsia="fr-FR"/>
              </w:rPr>
              <w:t>onvention de l’UA régissant les </w:t>
            </w:r>
            <w:r w:rsidRPr="00AA7A93">
              <w:rPr>
                <w:sz w:val="18"/>
                <w:szCs w:val="18"/>
                <w:lang w:val="fr-FR" w:eastAsia="fr-FR"/>
              </w:rPr>
              <w:t>aspects propres aux problèmes des réfugiés en Afrique</w:t>
            </w:r>
          </w:p>
        </w:tc>
        <w:tc>
          <w:tcPr>
            <w:tcW w:w="1418" w:type="dxa"/>
            <w:tcBorders>
              <w:bottom w:val="single" w:sz="12" w:space="0" w:color="auto"/>
            </w:tcBorders>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1969</w:t>
            </w:r>
          </w:p>
        </w:tc>
        <w:tc>
          <w:tcPr>
            <w:tcW w:w="1418" w:type="dxa"/>
            <w:tcBorders>
              <w:bottom w:val="single" w:sz="12" w:space="0" w:color="auto"/>
            </w:tcBorders>
            <w:shd w:val="clear" w:color="auto" w:fill="auto"/>
          </w:tcPr>
          <w:p w:rsidR="00E819C1" w:rsidRPr="00AA7A93" w:rsidRDefault="00E819C1" w:rsidP="00AA7A93">
            <w:pPr>
              <w:spacing w:before="40" w:after="120"/>
              <w:ind w:right="113"/>
              <w:rPr>
                <w:sz w:val="18"/>
                <w:szCs w:val="18"/>
                <w:lang w:val="fr-FR" w:eastAsia="fr-FR"/>
              </w:rPr>
            </w:pPr>
            <w:r w:rsidRPr="00AA7A93">
              <w:rPr>
                <w:sz w:val="18"/>
                <w:szCs w:val="18"/>
                <w:lang w:val="fr-FR" w:eastAsia="fr-FR"/>
              </w:rPr>
              <w:t>1972</w:t>
            </w:r>
          </w:p>
        </w:tc>
        <w:tc>
          <w:tcPr>
            <w:tcW w:w="2552" w:type="dxa"/>
            <w:tcBorders>
              <w:bottom w:val="single" w:sz="12" w:space="0" w:color="auto"/>
            </w:tcBorders>
            <w:shd w:val="clear" w:color="auto" w:fill="auto"/>
          </w:tcPr>
          <w:p w:rsidR="00E819C1" w:rsidRPr="00AA7A93" w:rsidRDefault="00E819C1" w:rsidP="00AA7A93">
            <w:pPr>
              <w:spacing w:before="40" w:after="120"/>
              <w:ind w:right="113"/>
              <w:rPr>
                <w:sz w:val="18"/>
                <w:szCs w:val="18"/>
                <w:lang w:val="fr-FR" w:eastAsia="fr-FR"/>
              </w:rPr>
            </w:pPr>
          </w:p>
        </w:tc>
      </w:tr>
    </w:tbl>
    <w:p w:rsidR="00E819C1" w:rsidRPr="00F13D2D" w:rsidRDefault="00562B75" w:rsidP="00562B75">
      <w:pPr>
        <w:pStyle w:val="H23G"/>
      </w:pPr>
      <w:bookmarkStart w:id="32" w:name="_Toc453672869"/>
      <w:bookmarkStart w:id="33" w:name="_Toc454386589"/>
      <w:bookmarkStart w:id="34" w:name="_Toc454386658"/>
      <w:bookmarkStart w:id="35" w:name="_Toc454388708"/>
      <w:r w:rsidRPr="00F13D2D">
        <w:lastRenderedPageBreak/>
        <w:tab/>
      </w:r>
      <w:r w:rsidR="00E819C1" w:rsidRPr="00F13D2D">
        <w:t>3</w:t>
      </w:r>
      <w:r w:rsidRPr="00F13D2D">
        <w:t>.</w:t>
      </w:r>
      <w:r w:rsidRPr="00F13D2D">
        <w:tab/>
      </w:r>
      <w:r w:rsidR="00E819C1" w:rsidRPr="00F13D2D">
        <w:t>Cadre juridique de la protection des droits de l’homme à l’échelon national</w:t>
      </w:r>
      <w:bookmarkEnd w:id="32"/>
      <w:bookmarkEnd w:id="33"/>
      <w:bookmarkEnd w:id="34"/>
      <w:bookmarkEnd w:id="35"/>
    </w:p>
    <w:p w:rsidR="00E819C1" w:rsidRPr="00E06F1B" w:rsidRDefault="00562B75" w:rsidP="00AA7A93">
      <w:pPr>
        <w:pStyle w:val="H23G"/>
      </w:pPr>
      <w:bookmarkStart w:id="36" w:name="_Toc453672870"/>
      <w:bookmarkStart w:id="37" w:name="_Toc454388709"/>
      <w:r w:rsidRPr="000E17DF">
        <w:tab/>
        <w:t>a)</w:t>
      </w:r>
      <w:r w:rsidRPr="000E17DF">
        <w:tab/>
      </w:r>
      <w:r w:rsidR="00E819C1" w:rsidRPr="00F13D2D">
        <w:t>La consécration constitutionnelle</w:t>
      </w:r>
      <w:bookmarkEnd w:id="36"/>
      <w:bookmarkEnd w:id="37"/>
      <w:r w:rsidR="00E819C1" w:rsidRPr="00F13D2D">
        <w:t xml:space="preserve"> </w:t>
      </w:r>
    </w:p>
    <w:p w:rsidR="00E819C1" w:rsidRPr="00F13D2D" w:rsidRDefault="0055270C" w:rsidP="0055270C">
      <w:pPr>
        <w:pStyle w:val="SingleTxtG"/>
        <w:rPr>
          <w:rFonts w:eastAsia="Calibri"/>
          <w:lang w:val="fr-FR"/>
        </w:rPr>
      </w:pPr>
      <w:r w:rsidRPr="00F13D2D">
        <w:rPr>
          <w:rFonts w:eastAsia="Calibri"/>
          <w:lang w:val="fr-FR"/>
        </w:rPr>
        <w:t>33.</w:t>
      </w:r>
      <w:r w:rsidRPr="00F13D2D">
        <w:rPr>
          <w:rFonts w:eastAsia="Calibri"/>
          <w:lang w:val="fr-FR"/>
        </w:rPr>
        <w:tab/>
      </w:r>
      <w:r w:rsidR="00E819C1" w:rsidRPr="00F13D2D">
        <w:rPr>
          <w:rFonts w:eastAsia="Calibri"/>
          <w:lang w:val="fr-FR"/>
        </w:rPr>
        <w:t xml:space="preserve">La </w:t>
      </w:r>
      <w:r w:rsidR="00BE6687" w:rsidRPr="00F13D2D">
        <w:rPr>
          <w:rFonts w:eastAsia="Calibri"/>
          <w:lang w:val="fr-FR"/>
        </w:rPr>
        <w:t xml:space="preserve">Constitution </w:t>
      </w:r>
      <w:r w:rsidR="00E819C1" w:rsidRPr="00F13D2D">
        <w:rPr>
          <w:rFonts w:eastAsia="Calibri"/>
          <w:lang w:val="fr-FR"/>
        </w:rPr>
        <w:t>de la Mauritanie consacre les droits de l’</w:t>
      </w:r>
      <w:r w:rsidR="00D9438A">
        <w:rPr>
          <w:rFonts w:eastAsia="Calibri"/>
          <w:lang w:val="fr-FR"/>
        </w:rPr>
        <w:t>h</w:t>
      </w:r>
      <w:r w:rsidR="00E819C1" w:rsidRPr="00F13D2D">
        <w:rPr>
          <w:rFonts w:eastAsia="Calibri"/>
          <w:lang w:val="fr-FR"/>
        </w:rPr>
        <w:t>omme dans son préambule</w:t>
      </w:r>
      <w:r w:rsidR="00FC0832">
        <w:rPr>
          <w:rFonts w:eastAsia="Calibri"/>
          <w:lang w:val="fr-FR"/>
        </w:rPr>
        <w:t> :</w:t>
      </w:r>
      <w:r w:rsidR="00E819C1" w:rsidRPr="00F13D2D">
        <w:rPr>
          <w:rFonts w:eastAsia="Calibri"/>
          <w:lang w:val="fr-FR"/>
        </w:rPr>
        <w:t xml:space="preserve"> « Fort de ses valeurs spirituelles et du rayonnement de sa civilisation, le Peuple mauritanien proclame en outre, solennellement, son attachement à l</w:t>
      </w:r>
      <w:r w:rsidR="006C160E" w:rsidRPr="00F13D2D">
        <w:rPr>
          <w:rFonts w:eastAsia="Calibri"/>
          <w:lang w:val="fr-FR"/>
        </w:rPr>
        <w:t>’</w:t>
      </w:r>
      <w:r w:rsidR="00E819C1" w:rsidRPr="00F13D2D">
        <w:rPr>
          <w:rFonts w:eastAsia="Calibri"/>
          <w:lang w:val="fr-FR"/>
        </w:rPr>
        <w:t>Islam et aux principes de la démocratie tels qu</w:t>
      </w:r>
      <w:r w:rsidR="006C160E" w:rsidRPr="00F13D2D">
        <w:rPr>
          <w:rFonts w:eastAsia="Calibri"/>
          <w:lang w:val="fr-FR"/>
        </w:rPr>
        <w:t>’</w:t>
      </w:r>
      <w:r w:rsidR="00E819C1" w:rsidRPr="00F13D2D">
        <w:rPr>
          <w:rFonts w:eastAsia="Calibri"/>
          <w:lang w:val="fr-FR"/>
        </w:rPr>
        <w:t>ils ont été définis par la Déclaration Universelle des Droits de l</w:t>
      </w:r>
      <w:r w:rsidR="006C160E" w:rsidRPr="00F13D2D">
        <w:rPr>
          <w:rFonts w:eastAsia="Calibri"/>
          <w:lang w:val="fr-FR"/>
        </w:rPr>
        <w:t>’</w:t>
      </w:r>
      <w:r w:rsidR="00E819C1" w:rsidRPr="00F13D2D">
        <w:rPr>
          <w:rFonts w:eastAsia="Calibri"/>
          <w:lang w:val="fr-FR"/>
        </w:rPr>
        <w:t>Homme du 10 décembre 1948 et par la Charte Africaine des Droits de l</w:t>
      </w:r>
      <w:r w:rsidR="006C160E" w:rsidRPr="00F13D2D">
        <w:rPr>
          <w:rFonts w:eastAsia="Calibri"/>
          <w:lang w:val="fr-FR"/>
        </w:rPr>
        <w:t>’</w:t>
      </w:r>
      <w:r w:rsidR="00E819C1" w:rsidRPr="00F13D2D">
        <w:rPr>
          <w:rFonts w:eastAsia="Calibri"/>
          <w:lang w:val="fr-FR"/>
        </w:rPr>
        <w:t xml:space="preserve">Homme et des Peuples du 28 </w:t>
      </w:r>
      <w:r w:rsidR="00837D86">
        <w:rPr>
          <w:rFonts w:eastAsia="Calibri"/>
          <w:lang w:val="fr-FR"/>
        </w:rPr>
        <w:t>j</w:t>
      </w:r>
      <w:r w:rsidR="00E819C1" w:rsidRPr="00F13D2D">
        <w:rPr>
          <w:rFonts w:eastAsia="Calibri"/>
          <w:lang w:val="fr-FR"/>
        </w:rPr>
        <w:t xml:space="preserve">uin 1981 ainsi que dans les autres conventions internationales auxquelles la Mauritanie a souscrit ». La </w:t>
      </w:r>
      <w:r w:rsidR="00BE6687" w:rsidRPr="00F13D2D">
        <w:rPr>
          <w:rFonts w:eastAsia="Calibri"/>
          <w:lang w:val="fr-FR"/>
        </w:rPr>
        <w:t xml:space="preserve">Constitution </w:t>
      </w:r>
      <w:r w:rsidR="00E819C1" w:rsidRPr="00F13D2D">
        <w:rPr>
          <w:rFonts w:eastAsia="Calibri"/>
          <w:lang w:val="fr-FR"/>
        </w:rPr>
        <w:t>protège l’ensemble des droits et libertés énoncés dans les instruments auxquels la Mauritanie est partie.</w:t>
      </w:r>
    </w:p>
    <w:p w:rsidR="00E819C1" w:rsidRPr="00E06F1B" w:rsidRDefault="00525A47" w:rsidP="00AA7A93">
      <w:pPr>
        <w:pStyle w:val="H23G"/>
      </w:pPr>
      <w:bookmarkStart w:id="38" w:name="_Toc453672871"/>
      <w:bookmarkStart w:id="39" w:name="_Toc454388710"/>
      <w:r w:rsidRPr="000E17DF">
        <w:tab/>
        <w:t>b)</w:t>
      </w:r>
      <w:r w:rsidRPr="000E17DF">
        <w:tab/>
      </w:r>
      <w:r w:rsidR="00E819C1" w:rsidRPr="00F13D2D">
        <w:t xml:space="preserve">L’incorporation des instruments internationaux relatifs aux </w:t>
      </w:r>
      <w:r w:rsidR="00400D35">
        <w:t>d</w:t>
      </w:r>
      <w:r w:rsidR="00E819C1" w:rsidRPr="00F13D2D">
        <w:t>roits de l’</w:t>
      </w:r>
      <w:r w:rsidR="00400D35">
        <w:t>h</w:t>
      </w:r>
      <w:r w:rsidR="00E819C1" w:rsidRPr="00F13D2D">
        <w:t>omme</w:t>
      </w:r>
      <w:bookmarkEnd w:id="38"/>
      <w:bookmarkEnd w:id="39"/>
    </w:p>
    <w:p w:rsidR="00E819C1" w:rsidRPr="00F13D2D" w:rsidRDefault="0055270C" w:rsidP="0055270C">
      <w:pPr>
        <w:pStyle w:val="SingleTxtG"/>
        <w:rPr>
          <w:rFonts w:eastAsia="Calibri"/>
          <w:lang w:val="fr-FR"/>
        </w:rPr>
      </w:pPr>
      <w:r w:rsidRPr="00F13D2D">
        <w:rPr>
          <w:rFonts w:eastAsia="Calibri"/>
          <w:lang w:val="fr-FR"/>
        </w:rPr>
        <w:t>34.</w:t>
      </w:r>
      <w:r w:rsidRPr="00F13D2D">
        <w:rPr>
          <w:rFonts w:eastAsia="Calibri"/>
          <w:lang w:val="fr-FR"/>
        </w:rPr>
        <w:tab/>
      </w:r>
      <w:r w:rsidR="00E819C1" w:rsidRPr="00F13D2D">
        <w:rPr>
          <w:rFonts w:eastAsia="Calibri"/>
          <w:lang w:val="fr-FR"/>
        </w:rPr>
        <w:t xml:space="preserve">En raison du système moniste qui prévaut, les instruments internationaux relatifs aux </w:t>
      </w:r>
      <w:r w:rsidR="00D9438A">
        <w:rPr>
          <w:rFonts w:eastAsia="Calibri"/>
          <w:lang w:val="fr-FR"/>
        </w:rPr>
        <w:t>d</w:t>
      </w:r>
      <w:r w:rsidR="00E819C1" w:rsidRPr="00F13D2D">
        <w:rPr>
          <w:rFonts w:eastAsia="Calibri"/>
          <w:lang w:val="fr-FR"/>
        </w:rPr>
        <w:t>roits de l’</w:t>
      </w:r>
      <w:r w:rsidR="00D9438A">
        <w:rPr>
          <w:rFonts w:eastAsia="Calibri"/>
          <w:lang w:val="fr-FR"/>
        </w:rPr>
        <w:t>h</w:t>
      </w:r>
      <w:r w:rsidR="00E819C1" w:rsidRPr="00F13D2D">
        <w:rPr>
          <w:rFonts w:eastAsia="Calibri"/>
          <w:lang w:val="fr-FR"/>
        </w:rPr>
        <w:t xml:space="preserve">omme ratifiés par le pays sont incorporés dans le corpus juridique interne conformément à l’article 80 de la </w:t>
      </w:r>
      <w:r w:rsidR="00BE6687" w:rsidRPr="00F13D2D">
        <w:rPr>
          <w:rFonts w:eastAsia="Calibri"/>
          <w:lang w:val="fr-FR"/>
        </w:rPr>
        <w:t>Constitution</w:t>
      </w:r>
      <w:r w:rsidR="00E819C1" w:rsidRPr="00F13D2D">
        <w:rPr>
          <w:rFonts w:eastAsia="Calibri"/>
          <w:lang w:val="fr-FR"/>
        </w:rPr>
        <w:t xml:space="preserve">. </w:t>
      </w:r>
    </w:p>
    <w:p w:rsidR="00E819C1" w:rsidRPr="00E06F1B" w:rsidRDefault="00525A47" w:rsidP="00AA7A93">
      <w:pPr>
        <w:pStyle w:val="H23G"/>
        <w:rPr>
          <w:rFonts w:eastAsia="Calibri"/>
          <w:lang w:val="fr-FR"/>
        </w:rPr>
      </w:pPr>
      <w:bookmarkStart w:id="40" w:name="_Toc453672872"/>
      <w:r w:rsidRPr="000E17DF">
        <w:rPr>
          <w:rFonts w:eastAsia="Calibri"/>
          <w:lang w:val="fr-FR"/>
        </w:rPr>
        <w:tab/>
      </w:r>
      <w:r w:rsidR="00E819C1" w:rsidRPr="00F13D2D">
        <w:rPr>
          <w:rFonts w:eastAsia="Calibri"/>
          <w:lang w:val="fr-FR"/>
        </w:rPr>
        <w:t>c)</w:t>
      </w:r>
      <w:r w:rsidRPr="00F13D2D">
        <w:rPr>
          <w:rFonts w:eastAsia="Calibri"/>
          <w:lang w:val="fr-FR"/>
        </w:rPr>
        <w:tab/>
      </w:r>
      <w:r w:rsidR="00E819C1" w:rsidRPr="00F13D2D">
        <w:rPr>
          <w:rFonts w:eastAsia="Calibri"/>
          <w:lang w:val="fr-FR"/>
        </w:rPr>
        <w:t>Autorités compétentes en matière des droits de l’homme</w:t>
      </w:r>
      <w:bookmarkEnd w:id="40"/>
    </w:p>
    <w:p w:rsidR="00E819C1" w:rsidRPr="00F13D2D" w:rsidRDefault="0055270C" w:rsidP="0055270C">
      <w:pPr>
        <w:pStyle w:val="SingleTxtG"/>
        <w:rPr>
          <w:rFonts w:eastAsia="Calibri"/>
          <w:lang w:val="fr-FR"/>
        </w:rPr>
      </w:pPr>
      <w:r w:rsidRPr="00F13D2D">
        <w:rPr>
          <w:rFonts w:eastAsia="Calibri"/>
          <w:lang w:val="fr-FR"/>
        </w:rPr>
        <w:t>35.</w:t>
      </w:r>
      <w:r w:rsidRPr="00F13D2D">
        <w:rPr>
          <w:rFonts w:eastAsia="Calibri"/>
          <w:lang w:val="fr-FR"/>
        </w:rPr>
        <w:tab/>
      </w:r>
      <w:r w:rsidR="00E819C1" w:rsidRPr="00F13D2D">
        <w:rPr>
          <w:rFonts w:eastAsia="Calibri"/>
          <w:lang w:val="fr-FR"/>
        </w:rPr>
        <w:t xml:space="preserve">Il s’agit principalement du Conseil </w:t>
      </w:r>
      <w:r w:rsidR="00BE6687">
        <w:rPr>
          <w:rFonts w:eastAsia="Calibri"/>
          <w:lang w:val="fr-FR"/>
        </w:rPr>
        <w:t>c</w:t>
      </w:r>
      <w:r w:rsidR="00E819C1" w:rsidRPr="00F13D2D">
        <w:rPr>
          <w:rFonts w:eastAsia="Calibri"/>
          <w:lang w:val="fr-FR"/>
        </w:rPr>
        <w:t xml:space="preserve">onstitutionnel, des Tribunaux, de la Commission Nationale des </w:t>
      </w:r>
      <w:r w:rsidR="00D9438A">
        <w:rPr>
          <w:rFonts w:eastAsia="Calibri"/>
          <w:lang w:val="fr-FR"/>
        </w:rPr>
        <w:t>d</w:t>
      </w:r>
      <w:r w:rsidR="00E819C1" w:rsidRPr="00F13D2D">
        <w:rPr>
          <w:rFonts w:eastAsia="Calibri"/>
          <w:lang w:val="fr-FR"/>
        </w:rPr>
        <w:t>roits de l’</w:t>
      </w:r>
      <w:r w:rsidR="00D9438A">
        <w:rPr>
          <w:rFonts w:eastAsia="Calibri"/>
          <w:lang w:val="fr-FR"/>
        </w:rPr>
        <w:t>h</w:t>
      </w:r>
      <w:r w:rsidR="00E819C1" w:rsidRPr="00F13D2D">
        <w:rPr>
          <w:rFonts w:eastAsia="Calibri"/>
          <w:lang w:val="fr-FR"/>
        </w:rPr>
        <w:t xml:space="preserve">omme, des départements ministériels concernés, du Médiateur de la République, du Haut Conseil de la Fatwa et des recours gracieux, et du Mécanisme National de Prévention de la Torture, Ils ont compétence nationale sur les questions relatives à leurs attributions respectives. </w:t>
      </w:r>
    </w:p>
    <w:p w:rsidR="00E819C1" w:rsidRPr="00E06F1B" w:rsidRDefault="00525A47" w:rsidP="00AA7A93">
      <w:pPr>
        <w:pStyle w:val="H23G"/>
        <w:rPr>
          <w:rFonts w:eastAsia="Calibri"/>
          <w:lang w:val="fr-FR"/>
        </w:rPr>
      </w:pPr>
      <w:bookmarkStart w:id="41" w:name="_Toc454388711"/>
      <w:r w:rsidRPr="000E17DF">
        <w:rPr>
          <w:rFonts w:eastAsia="Calibri"/>
          <w:lang w:val="fr-FR"/>
        </w:rPr>
        <w:tab/>
        <w:t>d)</w:t>
      </w:r>
      <w:r w:rsidRPr="000E17DF">
        <w:rPr>
          <w:rFonts w:eastAsia="Calibri"/>
          <w:lang w:val="fr-FR"/>
        </w:rPr>
        <w:tab/>
      </w:r>
      <w:proofErr w:type="spellStart"/>
      <w:r w:rsidR="00E819C1" w:rsidRPr="00F13D2D">
        <w:rPr>
          <w:rFonts w:eastAsia="Calibri"/>
          <w:lang w:val="fr-FR"/>
        </w:rPr>
        <w:t>Evocation</w:t>
      </w:r>
      <w:proofErr w:type="spellEnd"/>
      <w:r w:rsidR="00E819C1" w:rsidRPr="00F13D2D">
        <w:rPr>
          <w:rFonts w:eastAsia="Calibri"/>
          <w:lang w:val="fr-FR"/>
        </w:rPr>
        <w:t xml:space="preserve"> devant les tribunaux</w:t>
      </w:r>
      <w:bookmarkEnd w:id="41"/>
    </w:p>
    <w:p w:rsidR="00E819C1" w:rsidRPr="00F13D2D" w:rsidRDefault="0055270C" w:rsidP="0055270C">
      <w:pPr>
        <w:pStyle w:val="SingleTxtG"/>
        <w:rPr>
          <w:rFonts w:eastAsia="Calibri"/>
          <w:lang w:val="fr-FR"/>
        </w:rPr>
      </w:pPr>
      <w:r w:rsidRPr="00F13D2D">
        <w:rPr>
          <w:rFonts w:eastAsia="Calibri"/>
          <w:lang w:val="fr-FR"/>
        </w:rPr>
        <w:t>36.</w:t>
      </w:r>
      <w:r w:rsidRPr="00F13D2D">
        <w:rPr>
          <w:rFonts w:eastAsia="Calibri"/>
          <w:lang w:val="fr-FR"/>
        </w:rPr>
        <w:tab/>
      </w:r>
      <w:r w:rsidR="00E819C1" w:rsidRPr="00F13D2D">
        <w:rPr>
          <w:rFonts w:eastAsia="Calibri"/>
          <w:lang w:val="fr-FR"/>
        </w:rPr>
        <w:t xml:space="preserve">Toutes les dispositions des conventions ratifiées par la Mauritanie peuvent être invoquées devant les juridictions et le juge est tenu de les appliquer. </w:t>
      </w:r>
    </w:p>
    <w:p w:rsidR="00E819C1" w:rsidRPr="00E06F1B" w:rsidRDefault="00525A47" w:rsidP="00AA7A93">
      <w:pPr>
        <w:pStyle w:val="H23G"/>
      </w:pPr>
      <w:bookmarkStart w:id="42" w:name="_Toc453672873"/>
      <w:bookmarkStart w:id="43" w:name="_Toc454388712"/>
      <w:r w:rsidRPr="000E17DF">
        <w:tab/>
        <w:t>e)</w:t>
      </w:r>
      <w:r w:rsidRPr="000E17DF">
        <w:tab/>
      </w:r>
      <w:r w:rsidR="00E819C1" w:rsidRPr="00F13D2D">
        <w:t>Exercice des recours</w:t>
      </w:r>
      <w:bookmarkEnd w:id="42"/>
      <w:bookmarkEnd w:id="43"/>
    </w:p>
    <w:p w:rsidR="00E819C1" w:rsidRPr="00F13D2D" w:rsidRDefault="0055270C" w:rsidP="0055270C">
      <w:pPr>
        <w:pStyle w:val="SingleTxtG"/>
        <w:rPr>
          <w:rFonts w:eastAsia="Calibri"/>
          <w:lang w:val="fr-FR"/>
        </w:rPr>
      </w:pPr>
      <w:r w:rsidRPr="00F13D2D">
        <w:rPr>
          <w:rFonts w:eastAsia="Calibri"/>
          <w:lang w:val="fr-FR"/>
        </w:rPr>
        <w:t>37.</w:t>
      </w:r>
      <w:r w:rsidRPr="00F13D2D">
        <w:rPr>
          <w:rFonts w:eastAsia="Calibri"/>
          <w:lang w:val="fr-FR"/>
        </w:rPr>
        <w:tab/>
      </w:r>
      <w:r w:rsidR="00E819C1" w:rsidRPr="00F13D2D">
        <w:rPr>
          <w:rFonts w:eastAsia="Calibri"/>
          <w:lang w:val="fr-FR"/>
        </w:rPr>
        <w:t>Les recours administratif et judiciaire sont ouverts et peuvent aboutir à la réparation civile, à la sanction administrative et/ou pénale de leur auteur.</w:t>
      </w:r>
    </w:p>
    <w:p w:rsidR="00E819C1" w:rsidRPr="00E06F1B" w:rsidRDefault="00525A47" w:rsidP="00AA7A93">
      <w:pPr>
        <w:pStyle w:val="H23G"/>
      </w:pPr>
      <w:bookmarkStart w:id="44" w:name="_Toc453672874"/>
      <w:bookmarkStart w:id="45" w:name="_Toc454388713"/>
      <w:r w:rsidRPr="000E17DF">
        <w:tab/>
        <w:t>f)</w:t>
      </w:r>
      <w:r w:rsidRPr="000E17DF">
        <w:tab/>
      </w:r>
      <w:r w:rsidR="00E819C1" w:rsidRPr="00F13D2D">
        <w:t>Mécanismes nationaux de protection et promotion des droits de l’homme</w:t>
      </w:r>
      <w:bookmarkEnd w:id="44"/>
      <w:bookmarkEnd w:id="45"/>
      <w:r w:rsidR="00E819C1" w:rsidRPr="00F13D2D">
        <w:t> </w:t>
      </w:r>
    </w:p>
    <w:p w:rsidR="00E819C1" w:rsidRPr="00F13D2D" w:rsidRDefault="0055270C" w:rsidP="0055270C">
      <w:pPr>
        <w:pStyle w:val="SingleTxtG"/>
        <w:rPr>
          <w:rFonts w:eastAsia="Calibri"/>
          <w:lang w:val="fr-FR"/>
        </w:rPr>
      </w:pPr>
      <w:r w:rsidRPr="00F13D2D">
        <w:rPr>
          <w:rFonts w:eastAsia="Calibri"/>
          <w:lang w:val="fr-FR"/>
        </w:rPr>
        <w:t>38.</w:t>
      </w:r>
      <w:r w:rsidRPr="00F13D2D">
        <w:rPr>
          <w:rFonts w:eastAsia="Calibri"/>
          <w:lang w:val="fr-FR"/>
        </w:rPr>
        <w:tab/>
      </w:r>
      <w:r w:rsidR="00E819C1" w:rsidRPr="00F13D2D">
        <w:rPr>
          <w:rFonts w:eastAsia="Calibri"/>
          <w:lang w:val="fr-FR"/>
        </w:rPr>
        <w:t>Le commissariat aux droits de l’</w:t>
      </w:r>
      <w:r w:rsidR="00D9438A">
        <w:rPr>
          <w:rFonts w:eastAsia="Calibri"/>
          <w:lang w:val="fr-FR"/>
        </w:rPr>
        <w:t>h</w:t>
      </w:r>
      <w:r w:rsidR="00E819C1" w:rsidRPr="00F13D2D">
        <w:rPr>
          <w:rFonts w:eastAsia="Calibri"/>
          <w:lang w:val="fr-FR"/>
        </w:rPr>
        <w:t>omme et à l’action humanitaire est chargé de l’élaboration et de la mise en œuvre de la politique nationale de promotion, de défense, de protection des droits de l’homme.</w:t>
      </w:r>
    </w:p>
    <w:p w:rsidR="00E819C1" w:rsidRPr="00F13D2D" w:rsidRDefault="0055270C" w:rsidP="0055270C">
      <w:pPr>
        <w:pStyle w:val="SingleTxtG"/>
        <w:rPr>
          <w:rFonts w:eastAsia="Calibri"/>
          <w:lang w:val="fr-FR"/>
        </w:rPr>
      </w:pPr>
      <w:r w:rsidRPr="00F13D2D">
        <w:rPr>
          <w:rFonts w:eastAsia="Calibri"/>
          <w:lang w:val="fr-FR"/>
        </w:rPr>
        <w:t>39.</w:t>
      </w:r>
      <w:r w:rsidRPr="00F13D2D">
        <w:rPr>
          <w:rFonts w:eastAsia="Calibri"/>
          <w:lang w:val="fr-FR"/>
        </w:rPr>
        <w:tab/>
      </w:r>
      <w:r w:rsidR="00E819C1" w:rsidRPr="00F13D2D">
        <w:rPr>
          <w:rFonts w:eastAsia="Calibri"/>
          <w:lang w:val="fr-FR"/>
        </w:rPr>
        <w:t>Le ministère des affaires sociales, de l’enfance et de la famille a notamment pour missions,</w:t>
      </w:r>
      <w:r w:rsidR="006C160E" w:rsidRPr="00F13D2D">
        <w:rPr>
          <w:rFonts w:eastAsia="Calibri"/>
          <w:lang w:val="fr-FR"/>
        </w:rPr>
        <w:t xml:space="preserve"> </w:t>
      </w:r>
      <w:r w:rsidR="00E819C1" w:rsidRPr="00F13D2D">
        <w:rPr>
          <w:rFonts w:eastAsia="Calibri"/>
          <w:lang w:val="fr-FR"/>
        </w:rPr>
        <w:t>la promotion de la femme, son intégration dans le processus de développement, la promotion et la protection des droits de l’enfant, des personnes handicapées et des personnes âgées.</w:t>
      </w:r>
    </w:p>
    <w:p w:rsidR="00E819C1" w:rsidRPr="00F13D2D" w:rsidRDefault="0055270C" w:rsidP="0055270C">
      <w:pPr>
        <w:pStyle w:val="SingleTxtG"/>
        <w:rPr>
          <w:rFonts w:eastAsia="Calibri"/>
          <w:lang w:val="fr-FR"/>
        </w:rPr>
      </w:pPr>
      <w:r w:rsidRPr="00F13D2D">
        <w:rPr>
          <w:rFonts w:eastAsia="Calibri"/>
          <w:lang w:val="fr-FR"/>
        </w:rPr>
        <w:t>40.</w:t>
      </w:r>
      <w:r w:rsidRPr="00F13D2D">
        <w:rPr>
          <w:rFonts w:eastAsia="Calibri"/>
          <w:lang w:val="fr-FR"/>
        </w:rPr>
        <w:tab/>
      </w:r>
      <w:r w:rsidR="00E819C1" w:rsidRPr="00F13D2D">
        <w:rPr>
          <w:rFonts w:eastAsia="Calibri"/>
          <w:lang w:val="fr-FR"/>
        </w:rPr>
        <w:t xml:space="preserve">La Commission Nationale des </w:t>
      </w:r>
      <w:r w:rsidR="00D9438A">
        <w:rPr>
          <w:rFonts w:eastAsia="Calibri"/>
          <w:lang w:val="fr-FR"/>
        </w:rPr>
        <w:t>d</w:t>
      </w:r>
      <w:r w:rsidR="00E819C1" w:rsidRPr="00F13D2D">
        <w:rPr>
          <w:rFonts w:eastAsia="Calibri"/>
          <w:lang w:val="fr-FR"/>
        </w:rPr>
        <w:t>roits de l’homme, institution indépendante,</w:t>
      </w:r>
      <w:r w:rsidR="006C160E" w:rsidRPr="00F13D2D">
        <w:rPr>
          <w:rFonts w:eastAsia="Calibri"/>
          <w:lang w:val="fr-FR"/>
        </w:rPr>
        <w:t xml:space="preserve"> </w:t>
      </w:r>
      <w:r w:rsidR="00E819C1" w:rsidRPr="00F13D2D">
        <w:rPr>
          <w:rFonts w:eastAsia="Calibri"/>
          <w:lang w:val="fr-FR"/>
        </w:rPr>
        <w:t>a pour missions</w:t>
      </w:r>
      <w:r w:rsidR="00FC0832">
        <w:rPr>
          <w:rFonts w:eastAsia="Calibri"/>
          <w:lang w:val="fr-FR"/>
        </w:rPr>
        <w:t> :</w:t>
      </w:r>
      <w:r w:rsidR="00E819C1" w:rsidRPr="00F13D2D">
        <w:rPr>
          <w:rFonts w:eastAsia="Calibri"/>
          <w:lang w:val="fr-FR"/>
        </w:rPr>
        <w:t xml:space="preserve"> de</w:t>
      </w:r>
      <w:r w:rsidR="006C160E" w:rsidRPr="00F13D2D">
        <w:rPr>
          <w:rFonts w:eastAsia="Calibri"/>
          <w:lang w:val="fr-FR"/>
        </w:rPr>
        <w:t xml:space="preserve"> </w:t>
      </w:r>
      <w:r w:rsidR="00E819C1" w:rsidRPr="00F13D2D">
        <w:rPr>
          <w:rFonts w:eastAsia="Calibri"/>
          <w:lang w:val="fr-FR"/>
        </w:rPr>
        <w:t>donner, à la demande du gouvernement, ou sur sa propre initiative, un avis consultatif sur les questions d’ordre général ou spécifique, se rapportant à la promotion et à la protection des droits de l’homme au respect des libertés Individuelles et collectives.</w:t>
      </w:r>
      <w:r w:rsidR="006C160E" w:rsidRPr="00F13D2D">
        <w:rPr>
          <w:rFonts w:eastAsia="Calibri"/>
          <w:lang w:val="fr-FR"/>
        </w:rPr>
        <w:t xml:space="preserve"> </w:t>
      </w:r>
    </w:p>
    <w:p w:rsidR="00E819C1" w:rsidRPr="00F13D2D" w:rsidRDefault="0055270C" w:rsidP="0055270C">
      <w:pPr>
        <w:pStyle w:val="SingleTxtG"/>
        <w:rPr>
          <w:rFonts w:eastAsia="Calibri"/>
          <w:lang w:val="fr-FR"/>
        </w:rPr>
      </w:pPr>
      <w:r w:rsidRPr="00F13D2D">
        <w:rPr>
          <w:rFonts w:eastAsia="Calibri"/>
          <w:lang w:val="fr-FR"/>
        </w:rPr>
        <w:t>41.</w:t>
      </w:r>
      <w:r w:rsidRPr="00F13D2D">
        <w:rPr>
          <w:rFonts w:eastAsia="Calibri"/>
          <w:lang w:val="fr-FR"/>
        </w:rPr>
        <w:tab/>
      </w:r>
      <w:r w:rsidR="00E819C1" w:rsidRPr="00F13D2D">
        <w:rPr>
          <w:rFonts w:eastAsia="Calibri"/>
          <w:lang w:val="fr-FR"/>
        </w:rPr>
        <w:t>Les pouvoirs publics, ainsi que les organisations de défense des droits de l’homme diffusent par voie de presse, ateliers et autres supports promotionnels les différents instruments et conventions auxquels la Mauritanie est partie et les rendent accessibles en les explicitant au besoin dans les différentes langues nationales.</w:t>
      </w:r>
    </w:p>
    <w:p w:rsidR="00E819C1" w:rsidRPr="00F13D2D" w:rsidRDefault="0055270C" w:rsidP="0055270C">
      <w:pPr>
        <w:pStyle w:val="SingleTxtG"/>
        <w:rPr>
          <w:rFonts w:eastAsia="Calibri"/>
          <w:lang w:val="fr-FR"/>
        </w:rPr>
      </w:pPr>
      <w:r w:rsidRPr="00F13D2D">
        <w:rPr>
          <w:rFonts w:eastAsia="Calibri"/>
          <w:lang w:val="fr-FR"/>
        </w:rPr>
        <w:t>42.</w:t>
      </w:r>
      <w:r w:rsidRPr="00F13D2D">
        <w:rPr>
          <w:rFonts w:eastAsia="Calibri"/>
          <w:lang w:val="fr-FR"/>
        </w:rPr>
        <w:tab/>
      </w:r>
      <w:r w:rsidR="00E819C1" w:rsidRPr="00F13D2D">
        <w:rPr>
          <w:rFonts w:eastAsia="Calibri"/>
          <w:lang w:val="fr-FR"/>
        </w:rPr>
        <w:t>Le parlement</w:t>
      </w:r>
      <w:r w:rsidR="006C160E" w:rsidRPr="00F13D2D">
        <w:rPr>
          <w:rFonts w:eastAsia="Calibri"/>
          <w:lang w:val="fr-FR"/>
        </w:rPr>
        <w:t xml:space="preserve"> </w:t>
      </w:r>
      <w:r w:rsidR="00E819C1" w:rsidRPr="00F13D2D">
        <w:rPr>
          <w:rFonts w:eastAsia="Calibri"/>
          <w:lang w:val="fr-FR"/>
        </w:rPr>
        <w:t>légifère</w:t>
      </w:r>
      <w:r w:rsidR="006C160E" w:rsidRPr="00F13D2D">
        <w:rPr>
          <w:rFonts w:eastAsia="Calibri"/>
          <w:lang w:val="fr-FR"/>
        </w:rPr>
        <w:t xml:space="preserve"> </w:t>
      </w:r>
      <w:r w:rsidR="00E819C1" w:rsidRPr="00F13D2D">
        <w:rPr>
          <w:rFonts w:eastAsia="Calibri"/>
          <w:lang w:val="fr-FR"/>
        </w:rPr>
        <w:t xml:space="preserve">et veille à la conformité de la législation nationale avec les dispositions des normes internationales ratifiées. Le groupe parlementaire chargé des </w:t>
      </w:r>
      <w:r w:rsidR="00D9438A">
        <w:rPr>
          <w:rFonts w:eastAsia="Calibri"/>
          <w:lang w:val="fr-FR"/>
        </w:rPr>
        <w:t>d</w:t>
      </w:r>
      <w:r w:rsidR="00E819C1" w:rsidRPr="00F13D2D">
        <w:rPr>
          <w:rFonts w:eastAsia="Calibri"/>
          <w:lang w:val="fr-FR"/>
        </w:rPr>
        <w:t>roits de l’</w:t>
      </w:r>
      <w:r w:rsidR="00D9438A">
        <w:rPr>
          <w:rFonts w:eastAsia="Calibri"/>
          <w:lang w:val="fr-FR"/>
        </w:rPr>
        <w:t>h</w:t>
      </w:r>
      <w:r w:rsidR="00E819C1" w:rsidRPr="00F13D2D">
        <w:rPr>
          <w:rFonts w:eastAsia="Calibri"/>
          <w:lang w:val="fr-FR"/>
        </w:rPr>
        <w:t>omme veille à la promotion et la vulgarisation des principes des droits humains ainsi qu’à leur protection.</w:t>
      </w:r>
    </w:p>
    <w:p w:rsidR="00E819C1" w:rsidRPr="00F13D2D" w:rsidRDefault="0055270C" w:rsidP="0055270C">
      <w:pPr>
        <w:pStyle w:val="SingleTxtG"/>
        <w:rPr>
          <w:rFonts w:eastAsia="Calibri"/>
          <w:lang w:val="fr-FR"/>
        </w:rPr>
      </w:pPr>
      <w:r w:rsidRPr="00F13D2D">
        <w:rPr>
          <w:rFonts w:eastAsia="Calibri"/>
          <w:lang w:val="fr-FR"/>
        </w:rPr>
        <w:t>43.</w:t>
      </w:r>
      <w:r w:rsidRPr="00F13D2D">
        <w:rPr>
          <w:rFonts w:eastAsia="Calibri"/>
          <w:lang w:val="fr-FR"/>
        </w:rPr>
        <w:tab/>
      </w:r>
      <w:r w:rsidR="00E819C1" w:rsidRPr="00F13D2D">
        <w:rPr>
          <w:rFonts w:eastAsia="Calibri"/>
          <w:lang w:val="fr-FR"/>
        </w:rPr>
        <w:t>Le Mécanisme National de Prévention de la Torture veille au respect de la législation en vigueur dans ce domaine.</w:t>
      </w:r>
    </w:p>
    <w:p w:rsidR="00E819C1" w:rsidRPr="00F13D2D" w:rsidRDefault="0055270C" w:rsidP="0055270C">
      <w:pPr>
        <w:pStyle w:val="SingleTxtG"/>
        <w:rPr>
          <w:rFonts w:eastAsia="Calibri"/>
          <w:lang w:val="fr-FR"/>
        </w:rPr>
      </w:pPr>
      <w:r w:rsidRPr="00F13D2D">
        <w:rPr>
          <w:rFonts w:eastAsia="Calibri"/>
          <w:lang w:val="fr-FR"/>
        </w:rPr>
        <w:lastRenderedPageBreak/>
        <w:t>44.</w:t>
      </w:r>
      <w:r w:rsidRPr="00F13D2D">
        <w:rPr>
          <w:rFonts w:eastAsia="Calibri"/>
          <w:lang w:val="fr-FR"/>
        </w:rPr>
        <w:tab/>
      </w:r>
      <w:r w:rsidR="00E819C1" w:rsidRPr="00F13D2D">
        <w:rPr>
          <w:rFonts w:eastAsia="Calibri"/>
          <w:lang w:val="fr-FR"/>
        </w:rPr>
        <w:t>Le Haut Conseil de la fatwa et des recours gracieux en fait de même dans son domaine de compétence.</w:t>
      </w:r>
    </w:p>
    <w:p w:rsidR="00E819C1" w:rsidRPr="00F13D2D" w:rsidRDefault="0055270C" w:rsidP="0055270C">
      <w:pPr>
        <w:pStyle w:val="SingleTxtG"/>
        <w:rPr>
          <w:rFonts w:eastAsia="Calibri"/>
          <w:lang w:val="fr-FR"/>
        </w:rPr>
      </w:pPr>
      <w:r w:rsidRPr="00F13D2D">
        <w:rPr>
          <w:rFonts w:eastAsia="Calibri"/>
          <w:lang w:val="fr-FR"/>
        </w:rPr>
        <w:t>45.</w:t>
      </w:r>
      <w:r w:rsidRPr="00F13D2D">
        <w:rPr>
          <w:rFonts w:eastAsia="Calibri"/>
          <w:lang w:val="fr-FR"/>
        </w:rPr>
        <w:tab/>
      </w:r>
      <w:r w:rsidR="00E819C1" w:rsidRPr="00F13D2D">
        <w:rPr>
          <w:rFonts w:eastAsia="Calibri"/>
          <w:lang w:val="fr-FR"/>
        </w:rPr>
        <w:t>Plus de 6</w:t>
      </w:r>
      <w:r w:rsidR="003D0AAF">
        <w:rPr>
          <w:rFonts w:eastAsia="Calibri"/>
          <w:lang w:val="fr-FR"/>
        </w:rPr>
        <w:t> </w:t>
      </w:r>
      <w:r w:rsidR="00E819C1" w:rsidRPr="00F13D2D">
        <w:rPr>
          <w:rFonts w:eastAsia="Calibri"/>
          <w:lang w:val="fr-FR"/>
        </w:rPr>
        <w:t>028 ONG nationales et 57 organisations non gouvernementales internationales exercent leurs activités. Le nombre d’associations a nettement augmenté à partir de 2008 où il n’était que de 1106 associations. Les associations sont actives dans plusieurs domaines de la vie.</w:t>
      </w:r>
    </w:p>
    <w:p w:rsidR="00E819C1" w:rsidRPr="00E06F1B" w:rsidRDefault="00525A47" w:rsidP="00AA7A93">
      <w:pPr>
        <w:pStyle w:val="H23G"/>
      </w:pPr>
      <w:bookmarkStart w:id="46" w:name="_Toc453672875"/>
      <w:bookmarkStart w:id="47" w:name="_Toc454388714"/>
      <w:r w:rsidRPr="000E17DF">
        <w:tab/>
        <w:t>g)</w:t>
      </w:r>
      <w:r w:rsidRPr="000E17DF">
        <w:tab/>
      </w:r>
      <w:r w:rsidR="00E819C1" w:rsidRPr="00F13D2D">
        <w:t xml:space="preserve">Reconnaissance de la compétence d’une cour régionale des droits de l’homme </w:t>
      </w:r>
      <w:r w:rsidR="006C35D6">
        <w:br/>
      </w:r>
      <w:r w:rsidR="00E819C1" w:rsidRPr="00F13D2D">
        <w:t>ou d’un mécanisme de cet ordre</w:t>
      </w:r>
      <w:bookmarkEnd w:id="46"/>
      <w:bookmarkEnd w:id="47"/>
    </w:p>
    <w:p w:rsidR="00E819C1" w:rsidRPr="00F13D2D" w:rsidRDefault="0055270C" w:rsidP="0055270C">
      <w:pPr>
        <w:pStyle w:val="SingleTxtG"/>
        <w:rPr>
          <w:rFonts w:eastAsia="Calibri"/>
          <w:lang w:val="fr-FR"/>
        </w:rPr>
      </w:pPr>
      <w:r w:rsidRPr="00F13D2D">
        <w:rPr>
          <w:rFonts w:eastAsia="Calibri"/>
          <w:lang w:val="fr-FR"/>
        </w:rPr>
        <w:t>46.</w:t>
      </w:r>
      <w:r w:rsidRPr="00F13D2D">
        <w:rPr>
          <w:rFonts w:eastAsia="Calibri"/>
          <w:lang w:val="fr-FR"/>
        </w:rPr>
        <w:tab/>
      </w:r>
      <w:r w:rsidR="00E819C1" w:rsidRPr="00F13D2D">
        <w:rPr>
          <w:rFonts w:eastAsia="Calibri"/>
          <w:lang w:val="fr-FR"/>
        </w:rPr>
        <w:t xml:space="preserve">La Mauritanie a souscrit à la compétence de la Cour africaine des droits de l’homme et des peuples. </w:t>
      </w:r>
    </w:p>
    <w:p w:rsidR="00E819C1" w:rsidRPr="00E06F1B" w:rsidRDefault="00525A47" w:rsidP="00AA7A93">
      <w:pPr>
        <w:pStyle w:val="H23G"/>
      </w:pPr>
      <w:bookmarkStart w:id="48" w:name="_Toc453672876"/>
      <w:r w:rsidRPr="000E17DF">
        <w:tab/>
        <w:t>h)</w:t>
      </w:r>
      <w:r w:rsidRPr="000E17DF">
        <w:tab/>
      </w:r>
      <w:r w:rsidR="00E819C1" w:rsidRPr="00F13D2D">
        <w:t>Diffusion des instruments relatifs aux droits de l’homme</w:t>
      </w:r>
      <w:bookmarkEnd w:id="48"/>
    </w:p>
    <w:p w:rsidR="00E819C1" w:rsidRPr="00F13D2D" w:rsidRDefault="0055270C" w:rsidP="0055270C">
      <w:pPr>
        <w:pStyle w:val="SingleTxtG"/>
        <w:rPr>
          <w:rFonts w:eastAsia="Calibri"/>
          <w:lang w:val="fr-FR"/>
        </w:rPr>
      </w:pPr>
      <w:r w:rsidRPr="00F13D2D">
        <w:rPr>
          <w:rFonts w:eastAsia="Calibri"/>
          <w:lang w:val="fr-FR"/>
        </w:rPr>
        <w:t>47.</w:t>
      </w:r>
      <w:r w:rsidRPr="00F13D2D">
        <w:rPr>
          <w:rFonts w:eastAsia="Calibri"/>
          <w:lang w:val="fr-FR"/>
        </w:rPr>
        <w:tab/>
      </w:r>
      <w:r w:rsidR="00E819C1" w:rsidRPr="00F13D2D">
        <w:rPr>
          <w:rFonts w:eastAsia="Calibri"/>
          <w:lang w:val="fr-FR"/>
        </w:rPr>
        <w:t>Plusieurs conventions ont fait l’objet de campagnes d’information et de sensibilisation. Il s’agit notamment de</w:t>
      </w:r>
      <w:r w:rsidR="00FC0832">
        <w:rPr>
          <w:rFonts w:eastAsia="Calibri"/>
          <w:lang w:val="fr-FR"/>
        </w:rPr>
        <w:t> :</w:t>
      </w:r>
    </w:p>
    <w:p w:rsidR="00E819C1" w:rsidRPr="00F13D2D" w:rsidRDefault="00CA1598" w:rsidP="00AA7A93">
      <w:pPr>
        <w:pStyle w:val="H4G"/>
        <w:rPr>
          <w:lang w:val="fr-FR"/>
        </w:rPr>
      </w:pPr>
      <w:r w:rsidRPr="00F13D2D">
        <w:rPr>
          <w:lang w:val="fr-FR"/>
        </w:rPr>
        <w:tab/>
      </w:r>
      <w:r w:rsidRPr="00F13D2D">
        <w:rPr>
          <w:lang w:val="fr-FR"/>
        </w:rPr>
        <w:tab/>
      </w:r>
      <w:r w:rsidR="00E819C1" w:rsidRPr="00F13D2D">
        <w:rPr>
          <w:lang w:val="fr-FR"/>
        </w:rPr>
        <w:t>CEDEF</w:t>
      </w:r>
    </w:p>
    <w:p w:rsidR="00E819C1" w:rsidRPr="00F13D2D" w:rsidRDefault="0055270C" w:rsidP="0055270C">
      <w:pPr>
        <w:pStyle w:val="SingleTxtG"/>
        <w:rPr>
          <w:rFonts w:eastAsia="Calibri"/>
          <w:lang w:val="fr-FR"/>
        </w:rPr>
      </w:pPr>
      <w:r w:rsidRPr="00F13D2D">
        <w:rPr>
          <w:rFonts w:eastAsia="Calibri"/>
          <w:lang w:val="fr-FR"/>
        </w:rPr>
        <w:t>48.</w:t>
      </w:r>
      <w:r w:rsidRPr="00F13D2D">
        <w:rPr>
          <w:rFonts w:eastAsia="Calibri"/>
          <w:lang w:val="fr-FR"/>
        </w:rPr>
        <w:tab/>
      </w:r>
      <w:r w:rsidR="00E819C1" w:rsidRPr="00F13D2D">
        <w:rPr>
          <w:rFonts w:eastAsia="Calibri"/>
          <w:lang w:val="fr-FR"/>
        </w:rPr>
        <w:t>La vulgarisation de cette convention a été concrétisée par</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6C35D6" w:rsidRPr="00F13D2D">
        <w:rPr>
          <w:rFonts w:eastAsia="Calibri"/>
          <w:lang w:val="fr-FR"/>
        </w:rPr>
        <w:t xml:space="preserve">Sa </w:t>
      </w:r>
      <w:r w:rsidR="00E819C1" w:rsidRPr="00F13D2D">
        <w:rPr>
          <w:rFonts w:eastAsia="Calibri"/>
          <w:lang w:val="fr-FR"/>
        </w:rPr>
        <w:t>traduction dan</w:t>
      </w:r>
      <w:r w:rsidR="00C730D7" w:rsidRPr="00F13D2D">
        <w:rPr>
          <w:rFonts w:eastAsia="Calibri"/>
          <w:lang w:val="fr-FR"/>
        </w:rPr>
        <w:t>s les quatre langues nationales</w:t>
      </w:r>
      <w:r w:rsidR="006C35D6">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6C35D6" w:rsidRPr="00F13D2D">
        <w:rPr>
          <w:rFonts w:eastAsia="Calibri"/>
          <w:lang w:val="fr-FR"/>
        </w:rPr>
        <w:t xml:space="preserve">Sa </w:t>
      </w:r>
      <w:r w:rsidR="00E819C1" w:rsidRPr="00F13D2D">
        <w:rPr>
          <w:rFonts w:eastAsia="Calibri"/>
          <w:lang w:val="fr-FR"/>
        </w:rPr>
        <w:t xml:space="preserve">simplification à travers un guide et l’organisation de campagnes de sensibilisation à grande échelle, via les </w:t>
      </w:r>
      <w:proofErr w:type="spellStart"/>
      <w:r w:rsidR="00E819C1" w:rsidRPr="00F13D2D">
        <w:rPr>
          <w:rFonts w:eastAsia="Calibri"/>
          <w:lang w:val="fr-FR"/>
        </w:rPr>
        <w:t>médias</w:t>
      </w:r>
      <w:proofErr w:type="spellEnd"/>
      <w:r w:rsidR="00E819C1" w:rsidRPr="00F13D2D">
        <w:rPr>
          <w:rFonts w:eastAsia="Calibri"/>
          <w:lang w:val="fr-FR"/>
        </w:rPr>
        <w:t xml:space="preserve"> </w:t>
      </w:r>
      <w:r w:rsidR="00C730D7" w:rsidRPr="00F13D2D">
        <w:rPr>
          <w:rFonts w:eastAsia="Calibri"/>
          <w:lang w:val="fr-FR"/>
        </w:rPr>
        <w:t>publics (radios et télévision).</w:t>
      </w:r>
    </w:p>
    <w:p w:rsidR="00E819C1" w:rsidRPr="00E06F1B" w:rsidRDefault="00CA1598" w:rsidP="00AA7A93">
      <w:pPr>
        <w:pStyle w:val="H4G"/>
        <w:rPr>
          <w:lang w:val="fr-FR"/>
        </w:rPr>
      </w:pPr>
      <w:r w:rsidRPr="000E17DF">
        <w:rPr>
          <w:lang w:val="fr-FR"/>
        </w:rPr>
        <w:tab/>
      </w:r>
      <w:r w:rsidR="00C730D7" w:rsidRPr="00F13D2D">
        <w:rPr>
          <w:lang w:val="fr-FR"/>
        </w:rPr>
        <w:tab/>
      </w:r>
      <w:r w:rsidR="00E819C1" w:rsidRPr="00F13D2D">
        <w:rPr>
          <w:lang w:val="fr-FR"/>
        </w:rPr>
        <w:t>CDE</w:t>
      </w:r>
    </w:p>
    <w:p w:rsidR="00E819C1" w:rsidRPr="00F13D2D" w:rsidRDefault="0055270C" w:rsidP="0055270C">
      <w:pPr>
        <w:pStyle w:val="SingleTxtG"/>
        <w:rPr>
          <w:rFonts w:eastAsia="Calibri"/>
          <w:lang w:val="fr-FR"/>
        </w:rPr>
      </w:pPr>
      <w:r w:rsidRPr="00F13D2D">
        <w:rPr>
          <w:rFonts w:eastAsia="Calibri"/>
          <w:lang w:val="fr-FR"/>
        </w:rPr>
        <w:t>49.</w:t>
      </w:r>
      <w:r w:rsidRPr="00F13D2D">
        <w:rPr>
          <w:rFonts w:eastAsia="Calibri"/>
          <w:lang w:val="fr-FR"/>
        </w:rPr>
        <w:tab/>
      </w:r>
      <w:r w:rsidR="00E819C1" w:rsidRPr="00F13D2D">
        <w:rPr>
          <w:rFonts w:eastAsia="Calibri"/>
          <w:lang w:val="fr-FR"/>
        </w:rPr>
        <w:t>Cette convention a fait l’objet de diffusion à travers</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 xml:space="preserve">L’élaboration d’un guide simplifié sur la </w:t>
      </w:r>
      <w:r w:rsidR="003D0AAF" w:rsidRPr="00F13D2D">
        <w:rPr>
          <w:rFonts w:eastAsia="Calibri"/>
          <w:lang w:val="fr-FR"/>
        </w:rPr>
        <w:t xml:space="preserve">Convention </w:t>
      </w:r>
      <w:r w:rsidR="00E819C1" w:rsidRPr="00F13D2D">
        <w:rPr>
          <w:rFonts w:eastAsia="Calibri"/>
          <w:lang w:val="fr-FR"/>
        </w:rPr>
        <w:t>et sa vulgarisation</w:t>
      </w:r>
      <w:r w:rsidR="00FC0832">
        <w:rPr>
          <w:rFonts w:eastAsia="Calibri"/>
          <w:lang w:val="fr-FR"/>
        </w:rPr>
        <w:t> ;</w:t>
      </w:r>
      <w:r w:rsidR="006C160E"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L’organisation annuelle de campagnes de sensibilisation</w:t>
      </w:r>
      <w:r w:rsidR="006C160E" w:rsidRPr="00F13D2D">
        <w:rPr>
          <w:rFonts w:eastAsia="Calibri"/>
          <w:lang w:val="fr-FR"/>
        </w:rPr>
        <w:t xml:space="preserve"> </w:t>
      </w:r>
      <w:r w:rsidR="00E819C1" w:rsidRPr="00F13D2D">
        <w:rPr>
          <w:rFonts w:eastAsia="Calibri"/>
          <w:lang w:val="fr-FR"/>
        </w:rPr>
        <w:t>sur les droits de l’enfant lors des journées de l’enfance</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La formation des acteurs de la société civile sur</w:t>
      </w:r>
      <w:r w:rsidR="006C160E" w:rsidRPr="00F13D2D">
        <w:rPr>
          <w:rFonts w:eastAsia="Calibri"/>
          <w:lang w:val="fr-FR"/>
        </w:rPr>
        <w:t xml:space="preserve"> </w:t>
      </w:r>
      <w:r w:rsidR="00E819C1" w:rsidRPr="00F13D2D">
        <w:rPr>
          <w:rFonts w:eastAsia="Calibri"/>
          <w:lang w:val="fr-FR"/>
        </w:rPr>
        <w:t>les droits de l’enfant.</w:t>
      </w:r>
    </w:p>
    <w:p w:rsidR="00E819C1" w:rsidRPr="00F13D2D" w:rsidRDefault="00C730D7" w:rsidP="00AA7A93">
      <w:pPr>
        <w:pStyle w:val="H4G"/>
        <w:rPr>
          <w:lang w:val="fr-FR"/>
        </w:rPr>
      </w:pPr>
      <w:bookmarkStart w:id="49" w:name="_Toc454388717"/>
      <w:r w:rsidRPr="00F13D2D">
        <w:tab/>
      </w:r>
      <w:r w:rsidRPr="00F13D2D">
        <w:tab/>
      </w:r>
      <w:r w:rsidR="00E819C1" w:rsidRPr="00F13D2D">
        <w:t>C</w:t>
      </w:r>
      <w:bookmarkEnd w:id="49"/>
      <w:r w:rsidR="00E819C1" w:rsidRPr="00F13D2D">
        <w:rPr>
          <w:lang w:val="fr-FR"/>
        </w:rPr>
        <w:t>IDPH</w:t>
      </w:r>
    </w:p>
    <w:p w:rsidR="00E819C1" w:rsidRPr="00F13D2D" w:rsidRDefault="0055270C" w:rsidP="0055270C">
      <w:pPr>
        <w:pStyle w:val="SingleTxtG"/>
        <w:rPr>
          <w:rFonts w:eastAsia="Calibri"/>
          <w:lang w:val="fr-FR"/>
        </w:rPr>
      </w:pPr>
      <w:r w:rsidRPr="00F13D2D">
        <w:rPr>
          <w:rFonts w:eastAsia="Calibri"/>
          <w:lang w:val="fr-FR"/>
        </w:rPr>
        <w:t>50.</w:t>
      </w:r>
      <w:r w:rsidRPr="00F13D2D">
        <w:rPr>
          <w:rFonts w:eastAsia="Calibri"/>
          <w:lang w:val="fr-FR"/>
        </w:rPr>
        <w:tab/>
      </w:r>
      <w:r w:rsidR="00E819C1" w:rsidRPr="00F13D2D">
        <w:rPr>
          <w:rFonts w:eastAsia="Calibri"/>
          <w:lang w:val="fr-FR"/>
        </w:rPr>
        <w:t xml:space="preserve">La </w:t>
      </w:r>
      <w:r w:rsidR="003D0AAF" w:rsidRPr="00F13D2D">
        <w:rPr>
          <w:rFonts w:eastAsia="Calibri"/>
          <w:lang w:val="fr-FR"/>
        </w:rPr>
        <w:t xml:space="preserve">Convention </w:t>
      </w:r>
      <w:r w:rsidR="00E819C1" w:rsidRPr="00F13D2D">
        <w:rPr>
          <w:rFonts w:eastAsia="Calibri"/>
          <w:lang w:val="fr-FR"/>
        </w:rPr>
        <w:t>a été</w:t>
      </w:r>
      <w:r w:rsidR="006C160E" w:rsidRPr="00F13D2D">
        <w:rPr>
          <w:rFonts w:eastAsia="Calibri"/>
          <w:lang w:val="fr-FR"/>
        </w:rPr>
        <w:t xml:space="preserve"> </w:t>
      </w:r>
      <w:r w:rsidR="00E819C1" w:rsidRPr="00F13D2D">
        <w:rPr>
          <w:rFonts w:eastAsia="Calibri"/>
          <w:lang w:val="fr-FR"/>
        </w:rPr>
        <w:t>vulgarisée à travers</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L’organisation de campagnes dans toutes les Wilayas du pays</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La formation de plusieurs organisations de personnes handicapées.</w:t>
      </w:r>
    </w:p>
    <w:p w:rsidR="00E819C1" w:rsidRPr="00F13D2D" w:rsidRDefault="00C730D7" w:rsidP="00AA7A93">
      <w:pPr>
        <w:pStyle w:val="H4G"/>
      </w:pPr>
      <w:bookmarkStart w:id="50" w:name="_Toc454388718"/>
      <w:r w:rsidRPr="00F13D2D">
        <w:tab/>
      </w:r>
      <w:r w:rsidRPr="00F13D2D">
        <w:tab/>
      </w:r>
      <w:r w:rsidR="00E819C1" w:rsidRPr="00F13D2D">
        <w:t>Convention contre la torture et autres peines ou traitements cruels, inhumains ou</w:t>
      </w:r>
      <w:r w:rsidR="006C35D6">
        <w:t> </w:t>
      </w:r>
      <w:r w:rsidR="00E819C1" w:rsidRPr="00F13D2D">
        <w:t>dégradants</w:t>
      </w:r>
      <w:bookmarkEnd w:id="50"/>
    </w:p>
    <w:p w:rsidR="00E819C1" w:rsidRPr="00F13D2D" w:rsidRDefault="0055270C" w:rsidP="0055270C">
      <w:pPr>
        <w:pStyle w:val="SingleTxtG"/>
        <w:rPr>
          <w:rFonts w:eastAsia="Calibri"/>
          <w:lang w:val="fr-FR"/>
        </w:rPr>
      </w:pPr>
      <w:r w:rsidRPr="00F13D2D">
        <w:rPr>
          <w:rFonts w:eastAsia="Calibri"/>
          <w:lang w:val="fr-FR"/>
        </w:rPr>
        <w:t>51.</w:t>
      </w:r>
      <w:r w:rsidRPr="00F13D2D">
        <w:rPr>
          <w:rFonts w:eastAsia="Calibri"/>
          <w:lang w:val="fr-FR"/>
        </w:rPr>
        <w:tab/>
      </w:r>
      <w:r w:rsidR="00E819C1" w:rsidRPr="00F13D2D">
        <w:rPr>
          <w:rFonts w:eastAsia="Calibri"/>
          <w:lang w:val="fr-FR"/>
        </w:rPr>
        <w:t>Plusieurs activités de vulgarisation de cette convention ont été organisées</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Des séminaires de formation et de sensibilisation</w:t>
      </w:r>
      <w:r w:rsidR="006C160E" w:rsidRPr="00F13D2D">
        <w:rPr>
          <w:rFonts w:eastAsia="Calibri"/>
          <w:lang w:val="fr-FR"/>
        </w:rPr>
        <w:t xml:space="preserve"> </w:t>
      </w:r>
      <w:r w:rsidR="00E819C1" w:rsidRPr="00F13D2D">
        <w:rPr>
          <w:rFonts w:eastAsia="Calibri"/>
          <w:lang w:val="fr-FR"/>
        </w:rPr>
        <w:t>des éléments des forces</w:t>
      </w:r>
      <w:r w:rsidR="006C160E" w:rsidRPr="00F13D2D">
        <w:rPr>
          <w:rFonts w:eastAsia="Calibri"/>
          <w:lang w:val="fr-FR"/>
        </w:rPr>
        <w:t xml:space="preserve"> </w:t>
      </w:r>
      <w:r w:rsidR="00E819C1" w:rsidRPr="00F13D2D">
        <w:rPr>
          <w:rFonts w:eastAsia="Calibri"/>
          <w:lang w:val="fr-FR"/>
        </w:rPr>
        <w:t>de l’ordre dans le domaine de l’interdiction de la torture et autres peines et traitements inhumains, cruels ou dégradants</w:t>
      </w:r>
      <w:r w:rsidR="006C35D6">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Les autorités administratives et judiciaires sont tenues d’ouvrir systématiquement des enquêtes dès qu’il y a allégation de torture</w:t>
      </w:r>
      <w:r w:rsidR="006C35D6">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 xml:space="preserve">Les sanctions, s’il </w:t>
      </w:r>
      <w:proofErr w:type="spellStart"/>
      <w:r w:rsidR="00E819C1" w:rsidRPr="00F13D2D">
        <w:rPr>
          <w:rFonts w:eastAsia="Calibri"/>
          <w:lang w:val="fr-FR"/>
        </w:rPr>
        <w:t>ya</w:t>
      </w:r>
      <w:proofErr w:type="spellEnd"/>
      <w:r w:rsidR="00E819C1" w:rsidRPr="00F13D2D">
        <w:rPr>
          <w:rFonts w:eastAsia="Calibri"/>
          <w:lang w:val="fr-FR"/>
        </w:rPr>
        <w:t xml:space="preserve"> lieu, sont celles prévues par la loi n</w:t>
      </w:r>
      <w:r w:rsidR="00837D86" w:rsidRPr="00AA7A93">
        <w:rPr>
          <w:rFonts w:eastAsia="Calibri"/>
          <w:vertAlign w:val="superscript"/>
          <w:lang w:val="fr-FR"/>
        </w:rPr>
        <w:t>o</w:t>
      </w:r>
      <w:r w:rsidR="00837D86">
        <w:rPr>
          <w:rFonts w:eastAsia="Calibri"/>
          <w:lang w:val="fr-FR"/>
        </w:rPr>
        <w:t> </w:t>
      </w:r>
      <w:r w:rsidR="00E819C1" w:rsidRPr="00F13D2D">
        <w:rPr>
          <w:rFonts w:eastAsia="Calibri"/>
          <w:lang w:val="fr-FR"/>
        </w:rPr>
        <w:t xml:space="preserve">2015.033 du 10 septembre 2015 portant répression de la torture. </w:t>
      </w:r>
    </w:p>
    <w:p w:rsidR="00E819C1" w:rsidRPr="00F13D2D" w:rsidRDefault="0055270C" w:rsidP="0055270C">
      <w:pPr>
        <w:pStyle w:val="SingleTxtG"/>
        <w:rPr>
          <w:rFonts w:eastAsia="Calibri"/>
          <w:lang w:val="fr-FR"/>
        </w:rPr>
      </w:pPr>
      <w:r w:rsidRPr="00F13D2D">
        <w:rPr>
          <w:rFonts w:eastAsia="Calibri"/>
          <w:lang w:val="fr-FR"/>
        </w:rPr>
        <w:t>52.</w:t>
      </w:r>
      <w:r w:rsidRPr="00F13D2D">
        <w:rPr>
          <w:rFonts w:eastAsia="Calibri"/>
          <w:lang w:val="fr-FR"/>
        </w:rPr>
        <w:tab/>
      </w:r>
      <w:r w:rsidR="00E819C1" w:rsidRPr="00F13D2D">
        <w:rPr>
          <w:rFonts w:eastAsia="Calibri"/>
          <w:lang w:val="fr-FR"/>
        </w:rPr>
        <w:t xml:space="preserve">Tous les instruments internationaux objet de contrôle des organes de traités ratifiés par la Mauritanie ont été publiés au journal officiel. </w:t>
      </w:r>
    </w:p>
    <w:p w:rsidR="00E819C1" w:rsidRPr="00E06F1B" w:rsidRDefault="00CA1598" w:rsidP="00AA7A93">
      <w:pPr>
        <w:pStyle w:val="H23G"/>
      </w:pPr>
      <w:bookmarkStart w:id="51" w:name="_Toc453672877"/>
      <w:bookmarkStart w:id="52" w:name="_Toc454388719"/>
      <w:r w:rsidRPr="000E17DF">
        <w:lastRenderedPageBreak/>
        <w:tab/>
        <w:t>i)</w:t>
      </w:r>
      <w:r w:rsidRPr="000E17DF">
        <w:tab/>
      </w:r>
      <w:r w:rsidR="00E819C1" w:rsidRPr="00F13D2D">
        <w:t>Actions de sensibilisation des agents publics et d’autres professionnels des droits de</w:t>
      </w:r>
      <w:r w:rsidR="006C35D6">
        <w:t> </w:t>
      </w:r>
      <w:r w:rsidR="00E819C1" w:rsidRPr="00F13D2D">
        <w:t>l’homme</w:t>
      </w:r>
      <w:bookmarkEnd w:id="51"/>
      <w:bookmarkEnd w:id="52"/>
      <w:r w:rsidR="00E819C1" w:rsidRPr="00F13D2D">
        <w:t xml:space="preserve"> </w:t>
      </w:r>
    </w:p>
    <w:p w:rsidR="00E819C1" w:rsidRPr="00F13D2D" w:rsidRDefault="0055270C" w:rsidP="0055270C">
      <w:pPr>
        <w:pStyle w:val="SingleTxtG"/>
        <w:rPr>
          <w:rFonts w:eastAsia="Calibri"/>
          <w:lang w:val="fr-FR"/>
        </w:rPr>
      </w:pPr>
      <w:r w:rsidRPr="00F13D2D">
        <w:rPr>
          <w:rFonts w:eastAsia="Calibri"/>
          <w:lang w:val="fr-FR"/>
        </w:rPr>
        <w:t>53.</w:t>
      </w:r>
      <w:r w:rsidRPr="00F13D2D">
        <w:rPr>
          <w:rFonts w:eastAsia="Calibri"/>
          <w:lang w:val="fr-FR"/>
        </w:rPr>
        <w:tab/>
      </w:r>
      <w:r w:rsidR="00E819C1" w:rsidRPr="00F13D2D">
        <w:rPr>
          <w:rFonts w:eastAsia="Calibri"/>
          <w:lang w:val="fr-FR"/>
        </w:rPr>
        <w:t xml:space="preserve">Des plans d’action de sensibilisation et de formation des fonctionnaires sur le respect des droits de l’homme ont été mis en œuvre. Des séminaires ont été organisés par certains ministères et la Commission Nationale des </w:t>
      </w:r>
      <w:r w:rsidR="00D9438A">
        <w:rPr>
          <w:rFonts w:eastAsia="Calibri"/>
          <w:lang w:val="fr-FR"/>
        </w:rPr>
        <w:t>d</w:t>
      </w:r>
      <w:r w:rsidR="00E819C1" w:rsidRPr="00F13D2D">
        <w:rPr>
          <w:rFonts w:eastAsia="Calibri"/>
          <w:lang w:val="fr-FR"/>
        </w:rPr>
        <w:t>roits de l’</w:t>
      </w:r>
      <w:r w:rsidR="00D9438A">
        <w:rPr>
          <w:rFonts w:eastAsia="Calibri"/>
          <w:lang w:val="fr-FR"/>
        </w:rPr>
        <w:t>h</w:t>
      </w:r>
      <w:r w:rsidR="00E819C1" w:rsidRPr="00F13D2D">
        <w:rPr>
          <w:rFonts w:eastAsia="Calibri"/>
          <w:lang w:val="fr-FR"/>
        </w:rPr>
        <w:t>omme, avec l’appui technique du bureau du HCNUDH et l’Association pour la Prévention de la Torture(APT).</w:t>
      </w:r>
    </w:p>
    <w:p w:rsidR="00E819C1" w:rsidRPr="00E06F1B" w:rsidRDefault="00CA1598" w:rsidP="00AA7A93">
      <w:pPr>
        <w:pStyle w:val="H23G"/>
        <w:rPr>
          <w:rFonts w:eastAsia="Calibri"/>
        </w:rPr>
      </w:pPr>
      <w:bookmarkStart w:id="53" w:name="_Toc453672878"/>
      <w:r w:rsidRPr="00AA7A93">
        <w:rPr>
          <w:rFonts w:eastAsia="Calibri"/>
        </w:rPr>
        <w:tab/>
      </w:r>
      <w:r w:rsidR="00400D35" w:rsidRPr="00AA7A93">
        <w:rPr>
          <w:rFonts w:eastAsia="Calibri"/>
        </w:rPr>
        <w:t>j</w:t>
      </w:r>
      <w:r w:rsidRPr="000E17DF">
        <w:rPr>
          <w:rFonts w:eastAsia="Calibri"/>
        </w:rPr>
        <w:t>)</w:t>
      </w:r>
      <w:r w:rsidRPr="000E17DF">
        <w:rPr>
          <w:rFonts w:eastAsia="Calibri"/>
        </w:rPr>
        <w:tab/>
      </w:r>
      <w:r w:rsidR="00E819C1" w:rsidRPr="00400D35">
        <w:rPr>
          <w:rFonts w:eastAsia="Calibri"/>
        </w:rPr>
        <w:t>Actions de sensibilisation au moyen de programmes éducatifs et la diffusion d’informations avec le soutien des pouvoirs publics</w:t>
      </w:r>
      <w:bookmarkEnd w:id="53"/>
    </w:p>
    <w:p w:rsidR="00E819C1" w:rsidRPr="00F13D2D" w:rsidRDefault="0055270C" w:rsidP="0055270C">
      <w:pPr>
        <w:pStyle w:val="SingleTxtG"/>
        <w:rPr>
          <w:rFonts w:eastAsia="Calibri"/>
          <w:lang w:val="fr-FR"/>
        </w:rPr>
      </w:pPr>
      <w:r w:rsidRPr="00F13D2D">
        <w:rPr>
          <w:rFonts w:eastAsia="Calibri"/>
          <w:lang w:val="fr-FR"/>
        </w:rPr>
        <w:t>54.</w:t>
      </w:r>
      <w:r w:rsidRPr="00F13D2D">
        <w:rPr>
          <w:rFonts w:eastAsia="Calibri"/>
          <w:lang w:val="fr-FR"/>
        </w:rPr>
        <w:tab/>
      </w:r>
      <w:r w:rsidR="00E819C1" w:rsidRPr="00F13D2D">
        <w:rPr>
          <w:rFonts w:eastAsia="Calibri"/>
          <w:lang w:val="fr-FR"/>
        </w:rPr>
        <w:t>L’enseignement des droits de l’homme est inscrit dans les matières relatives à l’instruction civique et religieuse. Il s’agit de modules annuels obligatoires qui font l’objet de devoirs de contrôle et d’examens comptant pour le passage en classe supérieure.</w:t>
      </w:r>
    </w:p>
    <w:p w:rsidR="00E819C1" w:rsidRPr="00F13D2D" w:rsidRDefault="0055270C" w:rsidP="0055270C">
      <w:pPr>
        <w:pStyle w:val="SingleTxtG"/>
        <w:rPr>
          <w:rFonts w:eastAsia="Calibri"/>
          <w:lang w:val="fr-FR"/>
        </w:rPr>
      </w:pPr>
      <w:r w:rsidRPr="00F13D2D">
        <w:rPr>
          <w:rFonts w:eastAsia="Calibri"/>
          <w:lang w:val="fr-FR"/>
        </w:rPr>
        <w:t>55.</w:t>
      </w:r>
      <w:r w:rsidRPr="00F13D2D">
        <w:rPr>
          <w:rFonts w:eastAsia="Calibri"/>
          <w:lang w:val="fr-FR"/>
        </w:rPr>
        <w:tab/>
      </w:r>
      <w:r w:rsidR="00E819C1" w:rsidRPr="00F13D2D">
        <w:rPr>
          <w:rFonts w:eastAsia="Calibri"/>
          <w:lang w:val="fr-FR"/>
        </w:rPr>
        <w:t>L’école fondamentale est le lieu privilégié de la formation à la citoyenneté. C’est un lieu idoine pour la transmission des valeurs de base, ouvert à tous les enfants. Au niveau universitaire, des modules sur les droits humains ont été introduits dans différentes</w:t>
      </w:r>
      <w:r w:rsidR="006C160E" w:rsidRPr="00F13D2D">
        <w:rPr>
          <w:rFonts w:eastAsia="Calibri"/>
          <w:lang w:val="fr-FR"/>
        </w:rPr>
        <w:t xml:space="preserve"> </w:t>
      </w:r>
      <w:r w:rsidR="00E819C1" w:rsidRPr="00F13D2D">
        <w:rPr>
          <w:rFonts w:eastAsia="Calibri"/>
          <w:lang w:val="fr-FR"/>
        </w:rPr>
        <w:t>branches.</w:t>
      </w:r>
    </w:p>
    <w:p w:rsidR="00E819C1" w:rsidRPr="00F13D2D" w:rsidRDefault="0055270C" w:rsidP="0055270C">
      <w:pPr>
        <w:pStyle w:val="SingleTxtG"/>
        <w:rPr>
          <w:rFonts w:eastAsia="Calibri"/>
          <w:lang w:val="fr-FR"/>
        </w:rPr>
      </w:pPr>
      <w:r w:rsidRPr="00F13D2D">
        <w:rPr>
          <w:rFonts w:eastAsia="Calibri"/>
          <w:lang w:val="fr-FR"/>
        </w:rPr>
        <w:t>56.</w:t>
      </w:r>
      <w:r w:rsidRPr="00F13D2D">
        <w:rPr>
          <w:rFonts w:eastAsia="Calibri"/>
          <w:lang w:val="fr-FR"/>
        </w:rPr>
        <w:tab/>
      </w:r>
      <w:r w:rsidR="00E819C1" w:rsidRPr="00F13D2D">
        <w:rPr>
          <w:rFonts w:eastAsia="Calibri"/>
          <w:lang w:val="fr-FR"/>
        </w:rPr>
        <w:t>La prise en compte de l’enseignement des droits de l’homme à l’école fondamentale existe à deux niveaux</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Des programmes de prise en charge de cette dimension (</w:t>
      </w:r>
      <w:proofErr w:type="spellStart"/>
      <w:r w:rsidR="00E819C1" w:rsidRPr="00F13D2D">
        <w:rPr>
          <w:rFonts w:eastAsia="Calibri"/>
          <w:lang w:val="fr-FR"/>
        </w:rPr>
        <w:t>Education</w:t>
      </w:r>
      <w:proofErr w:type="spellEnd"/>
      <w:r w:rsidR="00E819C1" w:rsidRPr="00F13D2D">
        <w:rPr>
          <w:rFonts w:eastAsia="Calibri"/>
          <w:lang w:val="fr-FR"/>
        </w:rPr>
        <w:t xml:space="preserve"> civique, </w:t>
      </w:r>
      <w:proofErr w:type="spellStart"/>
      <w:r w:rsidR="00E819C1" w:rsidRPr="00F13D2D">
        <w:rPr>
          <w:rFonts w:eastAsia="Calibri"/>
          <w:lang w:val="fr-FR"/>
        </w:rPr>
        <w:t>Education</w:t>
      </w:r>
      <w:proofErr w:type="spellEnd"/>
      <w:r w:rsidR="00E819C1" w:rsidRPr="00F13D2D">
        <w:rPr>
          <w:rFonts w:eastAsia="Calibri"/>
          <w:lang w:val="fr-FR"/>
        </w:rPr>
        <w:t xml:space="preserve"> citoyenne..) enseignés en Arabe à partir de la 5</w:t>
      </w:r>
      <w:r w:rsidR="00E819C1" w:rsidRPr="00F13D2D">
        <w:rPr>
          <w:rFonts w:eastAsia="Calibri"/>
          <w:vertAlign w:val="superscript"/>
          <w:lang w:val="fr-FR"/>
        </w:rPr>
        <w:t>ème</w:t>
      </w:r>
      <w:r w:rsidR="00E819C1" w:rsidRPr="00F13D2D">
        <w:rPr>
          <w:rFonts w:eastAsia="Calibri"/>
          <w:lang w:val="fr-FR"/>
        </w:rPr>
        <w:t xml:space="preserve"> Année de l</w:t>
      </w:r>
      <w:r w:rsidR="006C160E" w:rsidRPr="00F13D2D">
        <w:rPr>
          <w:rFonts w:eastAsia="Calibri"/>
          <w:lang w:val="fr-FR"/>
        </w:rPr>
        <w:t>’</w:t>
      </w:r>
      <w:r w:rsidR="00E819C1" w:rsidRPr="00F13D2D">
        <w:rPr>
          <w:rFonts w:eastAsia="Calibri"/>
          <w:lang w:val="fr-FR"/>
        </w:rPr>
        <w:t>Enseignement Fondamental</w:t>
      </w:r>
      <w:r w:rsidR="006C35D6">
        <w:rPr>
          <w:rFonts w:eastAsia="Calibri"/>
          <w:lang w:val="fr-FR"/>
        </w:rPr>
        <w:t> ;</w:t>
      </w:r>
      <w:r w:rsidR="00E819C1"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 xml:space="preserve">Une approche expérimentale en cours au niveau de certaines écoles fondamentales prenant en compte la dimension </w:t>
      </w:r>
      <w:r w:rsidR="006C160E" w:rsidRPr="00F13D2D">
        <w:rPr>
          <w:rFonts w:eastAsia="Calibri"/>
          <w:lang w:val="fr-FR"/>
        </w:rPr>
        <w:t>« </w:t>
      </w:r>
      <w:r w:rsidR="00E819C1" w:rsidRPr="00F13D2D">
        <w:rPr>
          <w:rFonts w:eastAsia="Calibri"/>
          <w:lang w:val="fr-FR"/>
        </w:rPr>
        <w:t>droits de l’enfant</w:t>
      </w:r>
      <w:r w:rsidR="006C160E" w:rsidRPr="00F13D2D">
        <w:rPr>
          <w:rFonts w:eastAsia="Calibri"/>
          <w:lang w:val="fr-FR"/>
        </w:rPr>
        <w:t> »</w:t>
      </w:r>
      <w:r w:rsidR="00E819C1" w:rsidRPr="00F13D2D">
        <w:rPr>
          <w:rFonts w:eastAsia="Calibri"/>
          <w:lang w:val="fr-FR"/>
        </w:rPr>
        <w:t>, notamment à travers des «</w:t>
      </w:r>
      <w:r w:rsidR="006C160E" w:rsidRPr="00F13D2D">
        <w:rPr>
          <w:rFonts w:eastAsia="Calibri"/>
          <w:lang w:val="fr-FR"/>
        </w:rPr>
        <w:t> </w:t>
      </w:r>
      <w:r w:rsidR="00E819C1" w:rsidRPr="00F13D2D">
        <w:rPr>
          <w:rFonts w:eastAsia="Calibri"/>
          <w:lang w:val="fr-FR"/>
        </w:rPr>
        <w:t>Clubs d’Hygiène, Santé et Environnement</w:t>
      </w:r>
      <w:r w:rsidR="006C160E" w:rsidRPr="00F13D2D">
        <w:rPr>
          <w:rFonts w:eastAsia="Calibri"/>
          <w:lang w:val="fr-FR"/>
        </w:rPr>
        <w:t> »</w:t>
      </w:r>
      <w:r w:rsidR="00E819C1" w:rsidRPr="00F13D2D">
        <w:rPr>
          <w:rFonts w:eastAsia="Calibri"/>
          <w:lang w:val="fr-FR"/>
        </w:rPr>
        <w:t>.</w:t>
      </w:r>
    </w:p>
    <w:p w:rsidR="00E819C1" w:rsidRPr="00E06F1B" w:rsidRDefault="00CA1598" w:rsidP="00AA7A93">
      <w:pPr>
        <w:pStyle w:val="H23G"/>
      </w:pPr>
      <w:bookmarkStart w:id="54" w:name="_Toc454388720"/>
      <w:bookmarkStart w:id="55" w:name="_Toc453672879"/>
      <w:r w:rsidRPr="000E17DF">
        <w:tab/>
        <w:t>k</w:t>
      </w:r>
      <w:r w:rsidRPr="00F13D2D">
        <w:t>)</w:t>
      </w:r>
      <w:r w:rsidRPr="00F13D2D">
        <w:tab/>
      </w:r>
      <w:r w:rsidR="00E819C1" w:rsidRPr="00F13D2D">
        <w:t>Actions de sensibilisation</w:t>
      </w:r>
      <w:r w:rsidR="006C160E" w:rsidRPr="00F13D2D">
        <w:t xml:space="preserve"> </w:t>
      </w:r>
      <w:r w:rsidR="00E819C1" w:rsidRPr="00F13D2D">
        <w:t xml:space="preserve">aux droits de l’homme par le canal des </w:t>
      </w:r>
      <w:proofErr w:type="spellStart"/>
      <w:r w:rsidR="00E819C1" w:rsidRPr="00F13D2D">
        <w:t>médias</w:t>
      </w:r>
      <w:bookmarkEnd w:id="54"/>
      <w:proofErr w:type="spellEnd"/>
      <w:r w:rsidR="00E819C1" w:rsidRPr="00F13D2D">
        <w:t> </w:t>
      </w:r>
      <w:bookmarkEnd w:id="55"/>
    </w:p>
    <w:p w:rsidR="00E819C1" w:rsidRPr="00F13D2D" w:rsidRDefault="0055270C" w:rsidP="0055270C">
      <w:pPr>
        <w:pStyle w:val="SingleTxtG"/>
        <w:rPr>
          <w:rFonts w:eastAsia="Calibri"/>
          <w:lang w:val="fr-FR"/>
        </w:rPr>
      </w:pPr>
      <w:r w:rsidRPr="00F13D2D">
        <w:rPr>
          <w:rFonts w:eastAsia="Calibri"/>
          <w:lang w:val="fr-FR"/>
        </w:rPr>
        <w:t>57.</w:t>
      </w:r>
      <w:r w:rsidRPr="00F13D2D">
        <w:rPr>
          <w:rFonts w:eastAsia="Calibri"/>
          <w:lang w:val="fr-FR"/>
        </w:rPr>
        <w:tab/>
      </w:r>
      <w:r w:rsidR="00E819C1" w:rsidRPr="00F13D2D">
        <w:rPr>
          <w:rFonts w:eastAsia="Calibri"/>
          <w:lang w:val="fr-FR"/>
        </w:rPr>
        <w:t xml:space="preserve">Les </w:t>
      </w:r>
      <w:proofErr w:type="spellStart"/>
      <w:r w:rsidR="00E819C1" w:rsidRPr="00F13D2D">
        <w:rPr>
          <w:rFonts w:eastAsia="Calibri"/>
          <w:lang w:val="fr-FR"/>
        </w:rPr>
        <w:t>média</w:t>
      </w:r>
      <w:proofErr w:type="spellEnd"/>
      <w:r w:rsidR="00E819C1" w:rsidRPr="00F13D2D">
        <w:rPr>
          <w:rFonts w:eastAsia="Calibri"/>
          <w:lang w:val="fr-FR"/>
        </w:rPr>
        <w:t xml:space="preserve"> publics et privés sont mis à contribution pour donner un écho national aux activités de promotion et de protection des droits de l’homme. Des émissions </w:t>
      </w:r>
      <w:proofErr w:type="spellStart"/>
      <w:r w:rsidR="00E819C1" w:rsidRPr="00F13D2D">
        <w:rPr>
          <w:rFonts w:eastAsia="Calibri"/>
          <w:lang w:val="fr-FR"/>
        </w:rPr>
        <w:t>radiotélévisées</w:t>
      </w:r>
      <w:proofErr w:type="spellEnd"/>
      <w:r w:rsidR="00E819C1" w:rsidRPr="00F13D2D">
        <w:rPr>
          <w:rFonts w:eastAsia="Calibri"/>
          <w:lang w:val="fr-FR"/>
        </w:rPr>
        <w:t xml:space="preserve"> sont périodiquement organisées sur les thèmes</w:t>
      </w:r>
      <w:r w:rsidR="006C160E" w:rsidRPr="00F13D2D">
        <w:rPr>
          <w:rFonts w:eastAsia="Calibri"/>
          <w:lang w:val="fr-FR"/>
        </w:rPr>
        <w:t xml:space="preserve"> </w:t>
      </w:r>
      <w:r w:rsidR="00E819C1" w:rsidRPr="00F13D2D">
        <w:rPr>
          <w:rFonts w:eastAsia="Calibri"/>
          <w:lang w:val="fr-FR"/>
        </w:rPr>
        <w:t>relatifs aux droits de l</w:t>
      </w:r>
      <w:r w:rsidR="006C160E" w:rsidRPr="00F13D2D">
        <w:rPr>
          <w:rFonts w:eastAsia="Calibri"/>
          <w:lang w:val="fr-FR"/>
        </w:rPr>
        <w:t>’</w:t>
      </w:r>
      <w:r w:rsidR="00E819C1" w:rsidRPr="00F13D2D">
        <w:rPr>
          <w:rFonts w:eastAsia="Calibri"/>
          <w:lang w:val="fr-FR"/>
        </w:rPr>
        <w:t>homme.</w:t>
      </w:r>
    </w:p>
    <w:p w:rsidR="00E819C1" w:rsidRPr="00E06F1B" w:rsidRDefault="00CA1598" w:rsidP="00AA7A93">
      <w:pPr>
        <w:pStyle w:val="H23G"/>
        <w:rPr>
          <w:rtl/>
        </w:rPr>
      </w:pPr>
      <w:bookmarkStart w:id="56" w:name="_Toc453672880"/>
      <w:r w:rsidRPr="000E17DF">
        <w:tab/>
        <w:t>l)</w:t>
      </w:r>
      <w:r w:rsidRPr="000E17DF">
        <w:tab/>
      </w:r>
      <w:r w:rsidR="00E819C1" w:rsidRPr="00F13D2D">
        <w:t>Rôle de la société civile</w:t>
      </w:r>
      <w:bookmarkEnd w:id="56"/>
    </w:p>
    <w:p w:rsidR="00E819C1" w:rsidRPr="00F13D2D" w:rsidRDefault="0055270C" w:rsidP="0055270C">
      <w:pPr>
        <w:pStyle w:val="SingleTxtG"/>
        <w:rPr>
          <w:rFonts w:eastAsia="Calibri"/>
          <w:lang w:val="fr-FR"/>
        </w:rPr>
      </w:pPr>
      <w:r w:rsidRPr="00F13D2D">
        <w:rPr>
          <w:rFonts w:eastAsia="Calibri"/>
          <w:lang w:val="fr-FR"/>
        </w:rPr>
        <w:t>58.</w:t>
      </w:r>
      <w:r w:rsidRPr="00F13D2D">
        <w:rPr>
          <w:rFonts w:eastAsia="Calibri"/>
          <w:lang w:val="fr-FR"/>
        </w:rPr>
        <w:tab/>
      </w:r>
      <w:r w:rsidR="00E819C1" w:rsidRPr="00F13D2D">
        <w:rPr>
          <w:rFonts w:eastAsia="Calibri"/>
          <w:lang w:val="fr-FR"/>
        </w:rPr>
        <w:t>La société civile réalise,</w:t>
      </w:r>
      <w:r w:rsidR="006C160E" w:rsidRPr="00F13D2D">
        <w:rPr>
          <w:rFonts w:eastAsia="Calibri"/>
          <w:lang w:val="fr-FR"/>
        </w:rPr>
        <w:t xml:space="preserve"> </w:t>
      </w:r>
      <w:r w:rsidR="00E819C1" w:rsidRPr="00F13D2D">
        <w:rPr>
          <w:rFonts w:eastAsia="Calibri"/>
          <w:lang w:val="fr-FR"/>
        </w:rPr>
        <w:t>en collaboration avec les autorités, des programmes de sensibilisation du grand public sur les droits de l</w:t>
      </w:r>
      <w:r w:rsidR="006C160E" w:rsidRPr="00F13D2D">
        <w:rPr>
          <w:rFonts w:eastAsia="Calibri"/>
          <w:lang w:val="fr-FR"/>
        </w:rPr>
        <w:t>’</w:t>
      </w:r>
      <w:r w:rsidR="00E819C1" w:rsidRPr="00F13D2D">
        <w:rPr>
          <w:rFonts w:eastAsia="Calibri"/>
          <w:lang w:val="fr-FR"/>
        </w:rPr>
        <w:t xml:space="preserve">homme. </w:t>
      </w:r>
    </w:p>
    <w:p w:rsidR="00E819C1" w:rsidRPr="00E06F1B" w:rsidRDefault="00CA1598" w:rsidP="00AA7A93">
      <w:pPr>
        <w:pStyle w:val="H23G"/>
      </w:pPr>
      <w:bookmarkStart w:id="57" w:name="_Toc453672881"/>
      <w:bookmarkStart w:id="58" w:name="_Toc454388721"/>
      <w:r w:rsidRPr="000E17DF">
        <w:tab/>
        <w:t>m)</w:t>
      </w:r>
      <w:r w:rsidRPr="000E17DF">
        <w:tab/>
      </w:r>
      <w:r w:rsidR="00E819C1" w:rsidRPr="00F13D2D">
        <w:t>Affectation de crédits budgétaires et évolution en la matière</w:t>
      </w:r>
      <w:bookmarkEnd w:id="57"/>
      <w:bookmarkEnd w:id="58"/>
    </w:p>
    <w:p w:rsidR="00E819C1" w:rsidRPr="00F13D2D" w:rsidRDefault="0055270C" w:rsidP="0055270C">
      <w:pPr>
        <w:pStyle w:val="SingleTxtG"/>
        <w:rPr>
          <w:rFonts w:eastAsia="Calibri"/>
          <w:lang w:val="fr-FR"/>
        </w:rPr>
      </w:pPr>
      <w:r w:rsidRPr="00F13D2D">
        <w:rPr>
          <w:rFonts w:eastAsia="Calibri"/>
          <w:lang w:val="fr-FR"/>
        </w:rPr>
        <w:t>59.</w:t>
      </w:r>
      <w:r w:rsidRPr="00F13D2D">
        <w:rPr>
          <w:rFonts w:eastAsia="Calibri"/>
          <w:lang w:val="fr-FR"/>
        </w:rPr>
        <w:tab/>
      </w:r>
      <w:r w:rsidR="00E819C1" w:rsidRPr="00F13D2D">
        <w:rPr>
          <w:rFonts w:eastAsia="Calibri"/>
          <w:lang w:val="fr-FR"/>
        </w:rPr>
        <w:t>Des crédits budgétaires sont alloués annuellement aux départements ministériels, institutions</w:t>
      </w:r>
      <w:r w:rsidR="006C160E" w:rsidRPr="00F13D2D">
        <w:rPr>
          <w:rFonts w:eastAsia="Calibri"/>
          <w:lang w:val="fr-FR"/>
        </w:rPr>
        <w:t xml:space="preserve"> </w:t>
      </w:r>
      <w:r w:rsidR="00E819C1" w:rsidRPr="00F13D2D">
        <w:rPr>
          <w:rFonts w:eastAsia="Calibri"/>
          <w:lang w:val="fr-FR"/>
        </w:rPr>
        <w:t>et autres structures ou ONG œuvrant dans le domaine des droits de l’homme.</w:t>
      </w:r>
    </w:p>
    <w:p w:rsidR="00E819C1" w:rsidRPr="00E06F1B" w:rsidRDefault="00CA1598" w:rsidP="00AA7A93">
      <w:pPr>
        <w:pStyle w:val="H23G"/>
      </w:pPr>
      <w:bookmarkStart w:id="59" w:name="_Toc453672882"/>
      <w:r w:rsidRPr="000E17DF">
        <w:tab/>
        <w:t>n)</w:t>
      </w:r>
      <w:r w:rsidRPr="000E17DF">
        <w:tab/>
      </w:r>
      <w:r w:rsidR="00E819C1" w:rsidRPr="00F13D2D">
        <w:t>Coopération et assistance dans le domaine du développement</w:t>
      </w:r>
      <w:bookmarkEnd w:id="59"/>
      <w:r w:rsidR="00E819C1" w:rsidRPr="00F13D2D">
        <w:t xml:space="preserve"> </w:t>
      </w:r>
    </w:p>
    <w:p w:rsidR="00E819C1" w:rsidRPr="00F13D2D" w:rsidRDefault="0055270C" w:rsidP="0055270C">
      <w:pPr>
        <w:pStyle w:val="SingleTxtG"/>
        <w:rPr>
          <w:rFonts w:eastAsia="Calibri"/>
          <w:lang w:val="fr-FR"/>
        </w:rPr>
      </w:pPr>
      <w:r w:rsidRPr="00F13D2D">
        <w:rPr>
          <w:rFonts w:eastAsia="Calibri"/>
          <w:lang w:val="fr-FR"/>
        </w:rPr>
        <w:t>60.</w:t>
      </w:r>
      <w:r w:rsidRPr="00F13D2D">
        <w:rPr>
          <w:rFonts w:eastAsia="Calibri"/>
          <w:lang w:val="fr-FR"/>
        </w:rPr>
        <w:tab/>
      </w:r>
      <w:r w:rsidR="00E819C1" w:rsidRPr="00F13D2D">
        <w:rPr>
          <w:rFonts w:eastAsia="Calibri"/>
          <w:lang w:val="fr-FR"/>
        </w:rPr>
        <w:t>Le Bureau</w:t>
      </w:r>
      <w:r w:rsidR="006C160E" w:rsidRPr="00F13D2D">
        <w:rPr>
          <w:rFonts w:eastAsia="Calibri"/>
          <w:lang w:val="fr-FR"/>
        </w:rPr>
        <w:t xml:space="preserve"> </w:t>
      </w:r>
      <w:r w:rsidR="00E819C1" w:rsidRPr="00F13D2D">
        <w:rPr>
          <w:rFonts w:eastAsia="Calibri"/>
          <w:lang w:val="fr-FR"/>
        </w:rPr>
        <w:t>du HCNUDH, le PNUD,</w:t>
      </w:r>
      <w:r w:rsidR="006C35D6">
        <w:rPr>
          <w:rFonts w:eastAsia="Calibri"/>
          <w:lang w:val="fr-FR"/>
        </w:rPr>
        <w:t xml:space="preserve"> </w:t>
      </w:r>
      <w:r w:rsidR="00E819C1" w:rsidRPr="00F13D2D">
        <w:rPr>
          <w:rFonts w:eastAsia="Calibri"/>
          <w:lang w:val="fr-FR"/>
        </w:rPr>
        <w:t>l’UNICEF,</w:t>
      </w:r>
      <w:r w:rsidR="006C35D6">
        <w:rPr>
          <w:rFonts w:eastAsia="Calibri"/>
          <w:lang w:val="fr-FR"/>
        </w:rPr>
        <w:t xml:space="preserve"> </w:t>
      </w:r>
      <w:r w:rsidR="00E819C1" w:rsidRPr="00F13D2D">
        <w:rPr>
          <w:rFonts w:eastAsia="Calibri"/>
          <w:lang w:val="fr-FR"/>
        </w:rPr>
        <w:t>l’UNFPA et les autres</w:t>
      </w:r>
      <w:r w:rsidR="006C160E" w:rsidRPr="00F13D2D">
        <w:rPr>
          <w:rFonts w:eastAsia="Calibri"/>
          <w:lang w:val="fr-FR"/>
        </w:rPr>
        <w:t xml:space="preserve"> </w:t>
      </w:r>
      <w:r w:rsidR="00E819C1" w:rsidRPr="00F13D2D">
        <w:rPr>
          <w:rFonts w:eastAsia="Calibri"/>
          <w:lang w:val="fr-FR"/>
        </w:rPr>
        <w:t>partenaires techniques apportent l’assistance dans le domaine de la promotion et la protection des droits de l’homme.</w:t>
      </w:r>
    </w:p>
    <w:p w:rsidR="00E819C1" w:rsidRPr="00F13D2D" w:rsidRDefault="00CA1598" w:rsidP="00CA1598">
      <w:pPr>
        <w:pStyle w:val="H1G"/>
      </w:pPr>
      <w:bookmarkStart w:id="60" w:name="_Toc453672883"/>
      <w:bookmarkStart w:id="61" w:name="_Toc454388722"/>
      <w:r w:rsidRPr="00F13D2D">
        <w:tab/>
        <w:t>D.</w:t>
      </w:r>
      <w:r w:rsidRPr="00F13D2D">
        <w:tab/>
      </w:r>
      <w:r w:rsidR="00E819C1" w:rsidRPr="00F13D2D">
        <w:t>Facteurs entravant la mise en œuvre des obligations internationales relatives aux droits de l’homme</w:t>
      </w:r>
      <w:bookmarkEnd w:id="60"/>
      <w:bookmarkEnd w:id="61"/>
    </w:p>
    <w:p w:rsidR="00E819C1" w:rsidRPr="00F13D2D" w:rsidRDefault="0055270C" w:rsidP="0055270C">
      <w:pPr>
        <w:pStyle w:val="SingleTxtG"/>
        <w:rPr>
          <w:rFonts w:eastAsia="Calibri"/>
          <w:lang w:val="fr-FR"/>
        </w:rPr>
      </w:pPr>
      <w:r w:rsidRPr="00F13D2D">
        <w:rPr>
          <w:rFonts w:eastAsia="Calibri"/>
          <w:lang w:val="fr-FR"/>
        </w:rPr>
        <w:t>61.</w:t>
      </w:r>
      <w:r w:rsidRPr="00F13D2D">
        <w:rPr>
          <w:rFonts w:eastAsia="Calibri"/>
          <w:lang w:val="fr-FR"/>
        </w:rPr>
        <w:tab/>
      </w:r>
      <w:r w:rsidR="00E819C1" w:rsidRPr="00F13D2D">
        <w:rPr>
          <w:rFonts w:eastAsia="Calibri"/>
          <w:lang w:val="fr-FR"/>
        </w:rPr>
        <w:t>Les principaux défis auxquels le pays demeure confronté par rapport à la pleine jouissance des droits de l’homme sont</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MS Mincho"/>
          <w:lang w:val="fr-FR"/>
        </w:rPr>
      </w:pPr>
      <w:r w:rsidRPr="00F13D2D">
        <w:rPr>
          <w:rFonts w:eastAsia="MS Mincho"/>
          <w:lang w:val="fr-FR"/>
        </w:rPr>
        <w:t>•</w:t>
      </w:r>
      <w:r w:rsidRPr="00F13D2D">
        <w:rPr>
          <w:rFonts w:eastAsia="MS Mincho"/>
          <w:lang w:val="fr-FR"/>
        </w:rPr>
        <w:tab/>
      </w:r>
      <w:r w:rsidR="00E819C1" w:rsidRPr="00F13D2D">
        <w:rPr>
          <w:rFonts w:eastAsia="MS Mincho"/>
          <w:lang w:val="fr-FR"/>
        </w:rPr>
        <w:t>L’insuffisance des ressources humaines et financières des institutions et organisations de défense des droits de l’homme</w:t>
      </w:r>
      <w:r w:rsidR="00FC0832">
        <w:rPr>
          <w:rFonts w:eastAsia="MS Mincho"/>
          <w:lang w:val="fr-FR"/>
        </w:rPr>
        <w:t> ;</w:t>
      </w:r>
      <w:r w:rsidR="00E819C1" w:rsidRPr="00F13D2D">
        <w:rPr>
          <w:rFonts w:eastAsia="MS Mincho"/>
          <w:lang w:val="fr-FR"/>
        </w:rPr>
        <w:t xml:space="preserve"> </w:t>
      </w:r>
    </w:p>
    <w:p w:rsidR="00E819C1" w:rsidRPr="00F13D2D" w:rsidRDefault="0055270C" w:rsidP="0055270C">
      <w:pPr>
        <w:pStyle w:val="Bullet1G"/>
        <w:numPr>
          <w:ilvl w:val="0"/>
          <w:numId w:val="0"/>
        </w:numPr>
        <w:tabs>
          <w:tab w:val="left" w:pos="1701"/>
        </w:tabs>
        <w:ind w:left="1701" w:hanging="170"/>
        <w:rPr>
          <w:rFonts w:eastAsia="MS Mincho"/>
          <w:lang w:val="fr-FR"/>
        </w:rPr>
      </w:pPr>
      <w:r w:rsidRPr="00F13D2D">
        <w:rPr>
          <w:rFonts w:eastAsia="MS Mincho"/>
          <w:lang w:val="fr-FR"/>
        </w:rPr>
        <w:t>•</w:t>
      </w:r>
      <w:r w:rsidRPr="00F13D2D">
        <w:rPr>
          <w:rFonts w:eastAsia="MS Mincho"/>
          <w:lang w:val="fr-FR"/>
        </w:rPr>
        <w:tab/>
      </w:r>
      <w:r w:rsidR="00E819C1" w:rsidRPr="00F13D2D">
        <w:rPr>
          <w:rFonts w:eastAsia="MS Mincho"/>
          <w:lang w:val="fr-FR"/>
        </w:rPr>
        <w:t>La faible spécialisation des acteurs</w:t>
      </w:r>
      <w:r w:rsidR="006C160E" w:rsidRPr="00F13D2D">
        <w:rPr>
          <w:rFonts w:eastAsia="MS Mincho"/>
          <w:lang w:val="fr-FR"/>
        </w:rPr>
        <w:t xml:space="preserve"> </w:t>
      </w:r>
      <w:r w:rsidR="00E819C1" w:rsidRPr="00F13D2D">
        <w:rPr>
          <w:rFonts w:eastAsia="MS Mincho"/>
          <w:lang w:val="fr-FR"/>
        </w:rPr>
        <w:t>des droits de l’homme.</w:t>
      </w:r>
    </w:p>
    <w:p w:rsidR="00E819C1" w:rsidRPr="00F13D2D" w:rsidRDefault="00CA1598" w:rsidP="00CA1598">
      <w:pPr>
        <w:pStyle w:val="H1G"/>
        <w:rPr>
          <w:rtl/>
        </w:rPr>
      </w:pPr>
      <w:bookmarkStart w:id="62" w:name="_Toc453672884"/>
      <w:bookmarkStart w:id="63" w:name="_Toc454386590"/>
      <w:bookmarkStart w:id="64" w:name="_Toc454386659"/>
      <w:bookmarkStart w:id="65" w:name="_Toc454388723"/>
      <w:r w:rsidRPr="00F13D2D">
        <w:lastRenderedPageBreak/>
        <w:tab/>
        <w:t>E.</w:t>
      </w:r>
      <w:r w:rsidRPr="00F13D2D">
        <w:tab/>
      </w:r>
      <w:r w:rsidR="00E819C1" w:rsidRPr="00F13D2D">
        <w:t>Processus d’établissement des rapports</w:t>
      </w:r>
      <w:bookmarkEnd w:id="62"/>
      <w:bookmarkEnd w:id="63"/>
      <w:bookmarkEnd w:id="64"/>
      <w:bookmarkEnd w:id="65"/>
    </w:p>
    <w:p w:rsidR="00E819C1" w:rsidRPr="00F13D2D" w:rsidRDefault="00CA1598" w:rsidP="00CA1598">
      <w:pPr>
        <w:pStyle w:val="H23G"/>
      </w:pPr>
      <w:bookmarkStart w:id="66" w:name="_Toc454386591"/>
      <w:bookmarkStart w:id="67" w:name="_Toc454386660"/>
      <w:bookmarkStart w:id="68" w:name="_Toc454388724"/>
      <w:bookmarkStart w:id="69" w:name="_Toc453672885"/>
      <w:r w:rsidRPr="00F13D2D">
        <w:tab/>
        <w:t>1.</w:t>
      </w:r>
      <w:r w:rsidRPr="00F13D2D">
        <w:tab/>
      </w:r>
      <w:r w:rsidR="00E819C1" w:rsidRPr="00F13D2D">
        <w:t>Comité technique interministériel chargé</w:t>
      </w:r>
      <w:r w:rsidR="006C160E" w:rsidRPr="00F13D2D">
        <w:t xml:space="preserve"> </w:t>
      </w:r>
      <w:r w:rsidR="00E819C1" w:rsidRPr="00F13D2D">
        <w:t>de l</w:t>
      </w:r>
      <w:r w:rsidR="006C160E" w:rsidRPr="00F13D2D">
        <w:t>’</w:t>
      </w:r>
      <w:r w:rsidR="00E819C1" w:rsidRPr="00F13D2D">
        <w:t>élaboration des rapports de l</w:t>
      </w:r>
      <w:r w:rsidR="006C160E" w:rsidRPr="00F13D2D">
        <w:t>’</w:t>
      </w:r>
      <w:r w:rsidR="00AB4E57">
        <w:t>État</w:t>
      </w:r>
      <w:r w:rsidR="00E819C1" w:rsidRPr="00F13D2D">
        <w:t xml:space="preserve"> relatifs aux instruments juridiques internationaux dans le domaine des droits de</w:t>
      </w:r>
      <w:r w:rsidR="006C35D6">
        <w:t> </w:t>
      </w:r>
      <w:r w:rsidR="00E819C1" w:rsidRPr="00F13D2D">
        <w:t>l</w:t>
      </w:r>
      <w:r w:rsidR="006C160E" w:rsidRPr="00F13D2D">
        <w:t>’</w:t>
      </w:r>
      <w:r w:rsidR="00E819C1" w:rsidRPr="00F13D2D">
        <w:t>homme</w:t>
      </w:r>
      <w:bookmarkEnd w:id="66"/>
      <w:bookmarkEnd w:id="67"/>
      <w:bookmarkEnd w:id="68"/>
      <w:r w:rsidR="00E819C1" w:rsidRPr="00F13D2D">
        <w:t xml:space="preserve"> </w:t>
      </w:r>
      <w:bookmarkEnd w:id="69"/>
    </w:p>
    <w:p w:rsidR="00E819C1" w:rsidRPr="00F13D2D" w:rsidRDefault="0055270C" w:rsidP="0055270C">
      <w:pPr>
        <w:pStyle w:val="SingleTxtG"/>
        <w:rPr>
          <w:rFonts w:eastAsia="Calibri"/>
          <w:lang w:val="fr-FR"/>
        </w:rPr>
      </w:pPr>
      <w:r w:rsidRPr="00F13D2D">
        <w:rPr>
          <w:rFonts w:eastAsia="Calibri"/>
          <w:lang w:val="fr-FR"/>
        </w:rPr>
        <w:t>62.</w:t>
      </w:r>
      <w:r w:rsidRPr="00F13D2D">
        <w:rPr>
          <w:rFonts w:eastAsia="Calibri"/>
          <w:lang w:val="fr-FR"/>
        </w:rPr>
        <w:tab/>
      </w:r>
      <w:r w:rsidR="00E819C1" w:rsidRPr="00F13D2D">
        <w:rPr>
          <w:rFonts w:eastAsia="Calibri"/>
          <w:lang w:val="fr-FR"/>
        </w:rPr>
        <w:t>Le Gouvernement a mis en place, un comité technique interministériel chargé de la rédaction des rapports et du suivi de la mise en œuvre des recommandations</w:t>
      </w:r>
      <w:r w:rsidR="006C160E" w:rsidRPr="00F13D2D">
        <w:rPr>
          <w:rFonts w:eastAsia="Calibri"/>
          <w:lang w:val="fr-FR"/>
        </w:rPr>
        <w:t xml:space="preserve"> </w:t>
      </w:r>
      <w:r w:rsidR="00E819C1" w:rsidRPr="00F13D2D">
        <w:rPr>
          <w:rFonts w:eastAsia="Calibri"/>
          <w:lang w:val="fr-FR"/>
        </w:rPr>
        <w:t>des organes de Traités et de l’EPU. Ce comité</w:t>
      </w:r>
      <w:r w:rsidR="006C160E" w:rsidRPr="00F13D2D">
        <w:rPr>
          <w:rFonts w:eastAsia="Calibri"/>
          <w:lang w:val="fr-FR"/>
        </w:rPr>
        <w:t xml:space="preserve"> </w:t>
      </w:r>
      <w:r w:rsidR="00E819C1" w:rsidRPr="00F13D2D">
        <w:rPr>
          <w:rFonts w:eastAsia="Calibri"/>
          <w:lang w:val="fr-FR"/>
        </w:rPr>
        <w:t xml:space="preserve">comprend l’ensemble des départements ministériels, la CNDH, le médiateur de la république. Le bureau du HCNUDH en Mauritanie y siège en qualité d’observateur. </w:t>
      </w:r>
    </w:p>
    <w:p w:rsidR="00E819C1" w:rsidRPr="00F13D2D" w:rsidRDefault="00CA1598" w:rsidP="00CA1598">
      <w:pPr>
        <w:pStyle w:val="H23G"/>
      </w:pPr>
      <w:bookmarkStart w:id="70" w:name="_Toc453672886"/>
      <w:bookmarkStart w:id="71" w:name="_Toc454388725"/>
      <w:r w:rsidRPr="00F13D2D">
        <w:tab/>
        <w:t>2.</w:t>
      </w:r>
      <w:r w:rsidRPr="00F13D2D">
        <w:tab/>
      </w:r>
      <w:r w:rsidR="00E819C1" w:rsidRPr="00F13D2D">
        <w:t>Transmission des rapports aux parties prenantes avant la présentation aux organes conventionnels</w:t>
      </w:r>
      <w:bookmarkEnd w:id="70"/>
      <w:bookmarkEnd w:id="71"/>
      <w:r w:rsidR="00E819C1" w:rsidRPr="00F13D2D">
        <w:t> </w:t>
      </w:r>
    </w:p>
    <w:p w:rsidR="00E819C1" w:rsidRPr="00F13D2D" w:rsidRDefault="0055270C" w:rsidP="0055270C">
      <w:pPr>
        <w:pStyle w:val="SingleTxtG"/>
        <w:rPr>
          <w:rFonts w:eastAsia="Calibri"/>
          <w:lang w:val="fr-FR"/>
        </w:rPr>
      </w:pPr>
      <w:r w:rsidRPr="00F13D2D">
        <w:rPr>
          <w:rFonts w:eastAsia="Calibri"/>
          <w:lang w:val="fr-FR"/>
        </w:rPr>
        <w:t>63.</w:t>
      </w:r>
      <w:r w:rsidRPr="00F13D2D">
        <w:rPr>
          <w:rFonts w:eastAsia="Calibri"/>
          <w:lang w:val="fr-FR"/>
        </w:rPr>
        <w:tab/>
      </w:r>
      <w:r w:rsidR="00E819C1" w:rsidRPr="00F13D2D">
        <w:rPr>
          <w:rFonts w:eastAsia="Calibri"/>
          <w:lang w:val="fr-FR"/>
        </w:rPr>
        <w:t>Le rapport national, présenté conformément à la procédure de l’EPU, a été transmis aux fins d’observations et de commentaires aux instances parlementaires avant sa soumission au groupe de travail. Cette pratique est appliquée à tous</w:t>
      </w:r>
      <w:r w:rsidR="006C160E" w:rsidRPr="00F13D2D">
        <w:rPr>
          <w:rFonts w:eastAsia="Calibri"/>
          <w:lang w:val="fr-FR"/>
        </w:rPr>
        <w:t xml:space="preserve"> </w:t>
      </w:r>
      <w:r w:rsidR="00E819C1" w:rsidRPr="00F13D2D">
        <w:rPr>
          <w:rFonts w:eastAsia="Calibri"/>
          <w:lang w:val="fr-FR"/>
        </w:rPr>
        <w:t>les rapports à présenter aux organes de traités.</w:t>
      </w:r>
      <w:bookmarkStart w:id="72" w:name="_Toc454388726"/>
      <w:r w:rsidR="006C160E" w:rsidRPr="00F13D2D">
        <w:rPr>
          <w:rFonts w:eastAsia="Calibri"/>
          <w:lang w:val="fr-FR"/>
        </w:rPr>
        <w:t xml:space="preserve"> </w:t>
      </w:r>
    </w:p>
    <w:p w:rsidR="00E819C1" w:rsidRPr="00F13D2D" w:rsidRDefault="00CA1598" w:rsidP="00CA1598">
      <w:pPr>
        <w:pStyle w:val="H23G"/>
      </w:pPr>
      <w:r w:rsidRPr="00F13D2D">
        <w:tab/>
      </w:r>
      <w:r w:rsidR="00E819C1" w:rsidRPr="00F13D2D">
        <w:t>3</w:t>
      </w:r>
      <w:r w:rsidRPr="00F13D2D">
        <w:t>.</w:t>
      </w:r>
      <w:r w:rsidRPr="00F13D2D">
        <w:tab/>
      </w:r>
      <w:r w:rsidR="00E819C1" w:rsidRPr="00F13D2D">
        <w:t>Participation des entités non gouvernementales ou d’organismes indépendants</w:t>
      </w:r>
      <w:bookmarkEnd w:id="72"/>
      <w:r w:rsidR="00E819C1" w:rsidRPr="00F13D2D">
        <w:t xml:space="preserve"> </w:t>
      </w:r>
    </w:p>
    <w:p w:rsidR="00E819C1" w:rsidRPr="00F13D2D" w:rsidRDefault="0055270C" w:rsidP="0055270C">
      <w:pPr>
        <w:pStyle w:val="SingleTxtG"/>
        <w:rPr>
          <w:rFonts w:eastAsia="Calibri"/>
          <w:lang w:val="fr-FR"/>
        </w:rPr>
      </w:pPr>
      <w:r w:rsidRPr="00F13D2D">
        <w:rPr>
          <w:rFonts w:eastAsia="Calibri"/>
          <w:lang w:val="fr-FR"/>
        </w:rPr>
        <w:t>64.</w:t>
      </w:r>
      <w:r w:rsidRPr="00F13D2D">
        <w:rPr>
          <w:rFonts w:eastAsia="Calibri"/>
          <w:lang w:val="fr-FR"/>
        </w:rPr>
        <w:tab/>
      </w:r>
      <w:r w:rsidR="00E819C1" w:rsidRPr="00F13D2D">
        <w:rPr>
          <w:rFonts w:eastAsia="Calibri"/>
          <w:lang w:val="fr-FR"/>
        </w:rPr>
        <w:t>Les rapports sont validés en prenant en compte les recommandations issues des ateliers de concertation et de</w:t>
      </w:r>
      <w:r w:rsidR="006C160E" w:rsidRPr="00F13D2D">
        <w:rPr>
          <w:rFonts w:eastAsia="Calibri"/>
          <w:lang w:val="fr-FR"/>
        </w:rPr>
        <w:t xml:space="preserve"> </w:t>
      </w:r>
      <w:r w:rsidR="00E819C1" w:rsidRPr="00F13D2D">
        <w:rPr>
          <w:rFonts w:eastAsia="Calibri"/>
          <w:lang w:val="fr-FR"/>
        </w:rPr>
        <w:t>partage avec la société civile et les instances parlementaires.</w:t>
      </w:r>
    </w:p>
    <w:p w:rsidR="00E819C1" w:rsidRPr="00F13D2D" w:rsidRDefault="00CA1598" w:rsidP="00CA1598">
      <w:pPr>
        <w:pStyle w:val="H1G"/>
      </w:pPr>
      <w:bookmarkStart w:id="73" w:name="_Toc453672887"/>
      <w:bookmarkStart w:id="74" w:name="_Toc454388727"/>
      <w:r w:rsidRPr="00F13D2D">
        <w:tab/>
        <w:t>F.</w:t>
      </w:r>
      <w:r w:rsidRPr="00F13D2D">
        <w:tab/>
      </w:r>
      <w:r w:rsidR="00E819C1" w:rsidRPr="00F13D2D">
        <w:t>Suite donnée aux observations finales/conclusions des organes créés en application d’instruments internationaux relatifs aux droits de l’homme</w:t>
      </w:r>
      <w:bookmarkEnd w:id="73"/>
      <w:bookmarkEnd w:id="74"/>
    </w:p>
    <w:p w:rsidR="00E819C1" w:rsidRPr="00F13D2D" w:rsidRDefault="0055270C" w:rsidP="0055270C">
      <w:pPr>
        <w:pStyle w:val="SingleTxtG"/>
        <w:rPr>
          <w:rFonts w:eastAsia="Calibri"/>
          <w:lang w:val="fr-FR"/>
        </w:rPr>
      </w:pPr>
      <w:r w:rsidRPr="00F13D2D">
        <w:rPr>
          <w:rFonts w:eastAsia="Calibri"/>
          <w:lang w:val="fr-FR"/>
        </w:rPr>
        <w:t>65.</w:t>
      </w:r>
      <w:r w:rsidRPr="00F13D2D">
        <w:rPr>
          <w:rFonts w:eastAsia="Calibri"/>
          <w:lang w:val="fr-FR"/>
        </w:rPr>
        <w:tab/>
      </w:r>
      <w:r w:rsidR="00E819C1" w:rsidRPr="00F13D2D">
        <w:rPr>
          <w:rFonts w:eastAsia="Calibri"/>
          <w:lang w:val="fr-FR"/>
        </w:rPr>
        <w:t>Les différentes observations et recommandations sont partagées et soumises à discussion au sein d’ateliers dont les conclusions sont transmises aux autorités compétentes. Il en est ainsi des recommandations conclusives des autres comités. Un plan d’actions national est en cours d’élaboration avec la collaboration du bureau du HCNUDH. Il</w:t>
      </w:r>
      <w:r w:rsidR="006C35D6">
        <w:rPr>
          <w:rFonts w:eastAsia="Calibri"/>
          <w:lang w:val="fr-FR"/>
        </w:rPr>
        <w:t> </w:t>
      </w:r>
      <w:r w:rsidR="00E819C1" w:rsidRPr="00F13D2D">
        <w:rPr>
          <w:rFonts w:eastAsia="Calibri"/>
          <w:lang w:val="fr-FR"/>
        </w:rPr>
        <w:t>concerne les recommandations des organes de traités et de l’EPU.</w:t>
      </w:r>
      <w:r w:rsidR="006C160E" w:rsidRPr="00F13D2D">
        <w:rPr>
          <w:rFonts w:eastAsia="Calibri"/>
          <w:lang w:val="fr-FR"/>
        </w:rPr>
        <w:t xml:space="preserve"> </w:t>
      </w:r>
    </w:p>
    <w:p w:rsidR="00E819C1" w:rsidRPr="00F13D2D" w:rsidRDefault="00CA1598" w:rsidP="00CA1598">
      <w:pPr>
        <w:pStyle w:val="H1G"/>
      </w:pPr>
      <w:bookmarkStart w:id="75" w:name="_Toc453672888"/>
      <w:bookmarkStart w:id="76" w:name="_Toc454388728"/>
      <w:r w:rsidRPr="00F13D2D">
        <w:tab/>
      </w:r>
      <w:r w:rsidR="00E819C1" w:rsidRPr="00F13D2D">
        <w:t>G</w:t>
      </w:r>
      <w:r w:rsidRPr="00F13D2D">
        <w:t>.</w:t>
      </w:r>
      <w:r w:rsidRPr="00F13D2D">
        <w:tab/>
      </w:r>
      <w:r w:rsidR="00E819C1" w:rsidRPr="00F13D2D">
        <w:t>Mesures pour assurer une large diffusion des observations ou recommandations adoptées par un organe conventionnel à l’issue de</w:t>
      </w:r>
      <w:r w:rsidR="006C35D6">
        <w:t> </w:t>
      </w:r>
      <w:r w:rsidR="00E819C1" w:rsidRPr="00F13D2D">
        <w:t>l’examen d’un rapport de l’</w:t>
      </w:r>
      <w:r w:rsidR="00AB4E57">
        <w:t>État</w:t>
      </w:r>
      <w:r w:rsidR="00E819C1" w:rsidRPr="00F13D2D">
        <w:t xml:space="preserve"> partie</w:t>
      </w:r>
      <w:bookmarkEnd w:id="75"/>
      <w:bookmarkEnd w:id="76"/>
    </w:p>
    <w:p w:rsidR="00E819C1" w:rsidRPr="00F13D2D" w:rsidRDefault="0055270C" w:rsidP="0055270C">
      <w:pPr>
        <w:pStyle w:val="SingleTxtG"/>
        <w:rPr>
          <w:rFonts w:eastAsia="Calibri"/>
          <w:lang w:val="fr-FR"/>
        </w:rPr>
      </w:pPr>
      <w:r w:rsidRPr="00F13D2D">
        <w:rPr>
          <w:rFonts w:eastAsia="Calibri"/>
          <w:lang w:val="fr-FR"/>
        </w:rPr>
        <w:t>66.</w:t>
      </w:r>
      <w:r w:rsidRPr="00F13D2D">
        <w:rPr>
          <w:rFonts w:eastAsia="Calibri"/>
          <w:lang w:val="fr-FR"/>
        </w:rPr>
        <w:tab/>
      </w:r>
      <w:r w:rsidR="00E819C1" w:rsidRPr="00F13D2D">
        <w:rPr>
          <w:rFonts w:eastAsia="Calibri"/>
          <w:lang w:val="fr-FR"/>
        </w:rPr>
        <w:t>Le Comité technique</w:t>
      </w:r>
      <w:r w:rsidR="006C160E" w:rsidRPr="00F13D2D">
        <w:rPr>
          <w:rFonts w:eastAsia="Calibri"/>
          <w:lang w:val="fr-FR"/>
        </w:rPr>
        <w:t xml:space="preserve"> </w:t>
      </w:r>
      <w:r w:rsidR="00E819C1" w:rsidRPr="00F13D2D">
        <w:rPr>
          <w:rFonts w:eastAsia="Calibri"/>
          <w:lang w:val="fr-FR"/>
        </w:rPr>
        <w:t xml:space="preserve">interministériel chargé d’élaborer les rapports, partage ces derniers et les recommandations conclusives des organes de traités et de l’EPU avec les membres du Parlement. Les </w:t>
      </w:r>
      <w:proofErr w:type="spellStart"/>
      <w:r w:rsidR="00E819C1" w:rsidRPr="00F13D2D">
        <w:rPr>
          <w:rFonts w:eastAsia="Calibri"/>
          <w:lang w:val="fr-FR"/>
        </w:rPr>
        <w:t>médias</w:t>
      </w:r>
      <w:proofErr w:type="spellEnd"/>
      <w:r w:rsidR="00E819C1" w:rsidRPr="00F13D2D">
        <w:rPr>
          <w:rFonts w:eastAsia="Calibri"/>
          <w:lang w:val="fr-FR"/>
        </w:rPr>
        <w:t xml:space="preserve"> sont aussi mis à contribution pour assurer leur diffusion.</w:t>
      </w:r>
    </w:p>
    <w:p w:rsidR="00E819C1" w:rsidRPr="00F13D2D" w:rsidRDefault="00CA1598" w:rsidP="00CA1598">
      <w:pPr>
        <w:pStyle w:val="H23G"/>
      </w:pPr>
      <w:bookmarkStart w:id="77" w:name="_Toc453672890"/>
      <w:bookmarkStart w:id="78" w:name="_Toc454388729"/>
      <w:bookmarkStart w:id="79" w:name="_Toc453672889"/>
      <w:r w:rsidRPr="00F13D2D">
        <w:tab/>
      </w:r>
      <w:r w:rsidR="00E819C1" w:rsidRPr="00F13D2D">
        <w:t>1</w:t>
      </w:r>
      <w:r w:rsidRPr="00F13D2D">
        <w:t>.</w:t>
      </w:r>
      <w:r w:rsidRPr="00F13D2D">
        <w:tab/>
      </w:r>
      <w:r w:rsidR="00E819C1" w:rsidRPr="00F13D2D">
        <w:t>Suivi des conférences internationales</w:t>
      </w:r>
      <w:bookmarkEnd w:id="77"/>
      <w:bookmarkEnd w:id="78"/>
    </w:p>
    <w:bookmarkEnd w:id="79"/>
    <w:p w:rsidR="00E819C1" w:rsidRPr="00F13D2D" w:rsidRDefault="0055270C" w:rsidP="0055270C">
      <w:pPr>
        <w:pStyle w:val="SingleTxtG"/>
        <w:rPr>
          <w:rFonts w:eastAsia="Calibri"/>
          <w:lang w:val="fr-FR"/>
        </w:rPr>
      </w:pPr>
      <w:r w:rsidRPr="00F13D2D">
        <w:rPr>
          <w:rFonts w:eastAsia="Calibri"/>
          <w:lang w:val="fr-FR"/>
        </w:rPr>
        <w:t>67.</w:t>
      </w:r>
      <w:r w:rsidRPr="00F13D2D">
        <w:rPr>
          <w:rFonts w:eastAsia="Calibri"/>
          <w:lang w:val="fr-FR"/>
        </w:rPr>
        <w:tab/>
      </w:r>
      <w:r w:rsidR="00E819C1" w:rsidRPr="00F13D2D">
        <w:rPr>
          <w:rFonts w:eastAsia="Calibri"/>
          <w:lang w:val="fr-FR"/>
        </w:rPr>
        <w:t>La Mauritanie assure régulièrement le suivi des déclarations issues des différentes conférences mondiales. Il s’agit principalement des</w:t>
      </w:r>
      <w:r w:rsidR="006C160E" w:rsidRPr="00F13D2D">
        <w:rPr>
          <w:rFonts w:eastAsia="Calibri"/>
          <w:lang w:val="fr-FR"/>
        </w:rPr>
        <w:t xml:space="preserve"> </w:t>
      </w:r>
      <w:r w:rsidR="00E819C1" w:rsidRPr="00F13D2D">
        <w:rPr>
          <w:rFonts w:eastAsia="Calibri"/>
          <w:lang w:val="fr-FR"/>
        </w:rPr>
        <w:t>conférences</w:t>
      </w:r>
      <w:r w:rsidR="006C160E" w:rsidRPr="00F13D2D">
        <w:rPr>
          <w:rFonts w:eastAsia="Calibri"/>
          <w:lang w:val="fr-FR"/>
        </w:rPr>
        <w:t xml:space="preserve"> </w:t>
      </w:r>
      <w:r w:rsidR="00E819C1" w:rsidRPr="00F13D2D">
        <w:rPr>
          <w:rFonts w:eastAsia="Calibri"/>
          <w:lang w:val="fr-FR"/>
        </w:rPr>
        <w:t>mondiales de Vienne de 1993, de Durban de 2001, de Beijing</w:t>
      </w:r>
      <w:r w:rsidR="00704613">
        <w:rPr>
          <w:rFonts w:eastAsia="Calibri"/>
          <w:lang w:val="fr-FR"/>
        </w:rPr>
        <w:t xml:space="preserve"> de 1995 et de New </w:t>
      </w:r>
      <w:proofErr w:type="spellStart"/>
      <w:r w:rsidR="00704613">
        <w:rPr>
          <w:rFonts w:eastAsia="Calibri"/>
          <w:lang w:val="fr-FR"/>
        </w:rPr>
        <w:t>york</w:t>
      </w:r>
      <w:proofErr w:type="spellEnd"/>
      <w:r w:rsidR="00704613">
        <w:rPr>
          <w:rFonts w:eastAsia="Calibri"/>
          <w:lang w:val="fr-FR"/>
        </w:rPr>
        <w:t xml:space="preserve"> (CSW).</w:t>
      </w:r>
      <w:r w:rsidR="00E819C1" w:rsidRPr="00F13D2D">
        <w:rPr>
          <w:rFonts w:eastAsia="Calibri"/>
          <w:lang w:val="fr-FR"/>
        </w:rPr>
        <w:t xml:space="preserve"> Le gouvernement met en œuvre, à travers ses structures,</w:t>
      </w:r>
      <w:r w:rsidR="006C160E" w:rsidRPr="00F13D2D">
        <w:rPr>
          <w:rFonts w:eastAsia="Calibri"/>
          <w:lang w:val="fr-FR"/>
        </w:rPr>
        <w:t xml:space="preserve"> </w:t>
      </w:r>
      <w:r w:rsidR="00E819C1" w:rsidRPr="00F13D2D">
        <w:rPr>
          <w:rFonts w:eastAsia="Calibri"/>
          <w:lang w:val="fr-FR"/>
        </w:rPr>
        <w:t>les engagements souscrits au titre de ces différentes conférences.</w:t>
      </w:r>
    </w:p>
    <w:p w:rsidR="00E819C1" w:rsidRPr="00F13D2D" w:rsidRDefault="00CA1598" w:rsidP="00CA1598">
      <w:pPr>
        <w:pStyle w:val="H23G"/>
      </w:pPr>
      <w:bookmarkStart w:id="80" w:name="_Toc453672891"/>
      <w:bookmarkStart w:id="81" w:name="_Toc454386593"/>
      <w:bookmarkStart w:id="82" w:name="_Toc454386662"/>
      <w:bookmarkStart w:id="83" w:name="_Toc454388730"/>
      <w:r w:rsidRPr="00F13D2D">
        <w:tab/>
        <w:t>2.</w:t>
      </w:r>
      <w:r w:rsidRPr="00F13D2D">
        <w:tab/>
      </w:r>
      <w:r w:rsidR="00E819C1" w:rsidRPr="00F13D2D">
        <w:t xml:space="preserve">Informations concernant la </w:t>
      </w:r>
      <w:r w:rsidR="008D0F45" w:rsidRPr="00F13D2D">
        <w:t>non-discrimination,</w:t>
      </w:r>
      <w:r w:rsidR="00E819C1" w:rsidRPr="00F13D2D">
        <w:t xml:space="preserve"> l’égalité et les recours utiles</w:t>
      </w:r>
      <w:bookmarkEnd w:id="80"/>
      <w:bookmarkEnd w:id="81"/>
      <w:bookmarkEnd w:id="82"/>
      <w:bookmarkEnd w:id="83"/>
    </w:p>
    <w:p w:rsidR="00E819C1" w:rsidRPr="00E06F1B" w:rsidRDefault="00CA1598" w:rsidP="00AA7A93">
      <w:pPr>
        <w:pStyle w:val="H23G"/>
      </w:pPr>
      <w:bookmarkStart w:id="84" w:name="_Toc453672892"/>
      <w:bookmarkStart w:id="85" w:name="_Toc454388731"/>
      <w:r w:rsidRPr="000E17DF">
        <w:tab/>
        <w:t>a)</w:t>
      </w:r>
      <w:r w:rsidRPr="000E17DF">
        <w:tab/>
      </w:r>
      <w:r w:rsidR="00E819C1" w:rsidRPr="00F13D2D">
        <w:t>Non-discrimination et égalité</w:t>
      </w:r>
      <w:bookmarkEnd w:id="84"/>
      <w:bookmarkEnd w:id="85"/>
    </w:p>
    <w:p w:rsidR="00E819C1" w:rsidRPr="00F13D2D" w:rsidRDefault="0055270C" w:rsidP="0055270C">
      <w:pPr>
        <w:pStyle w:val="SingleTxtG"/>
        <w:rPr>
          <w:rFonts w:eastAsia="Calibri"/>
          <w:lang w:val="fr-FR"/>
        </w:rPr>
      </w:pPr>
      <w:r w:rsidRPr="00F13D2D">
        <w:rPr>
          <w:rFonts w:eastAsia="Calibri"/>
          <w:lang w:val="fr-FR"/>
        </w:rPr>
        <w:t>68.</w:t>
      </w:r>
      <w:r w:rsidRPr="00F13D2D">
        <w:rPr>
          <w:rFonts w:eastAsia="Calibri"/>
          <w:lang w:val="fr-FR"/>
        </w:rPr>
        <w:tab/>
      </w:r>
      <w:r w:rsidR="00E819C1" w:rsidRPr="00F13D2D">
        <w:rPr>
          <w:rFonts w:eastAsia="Calibri"/>
          <w:lang w:val="fr-FR"/>
        </w:rPr>
        <w:t xml:space="preserve">Le principe de </w:t>
      </w:r>
      <w:r w:rsidR="008D0F45" w:rsidRPr="00F13D2D">
        <w:rPr>
          <w:rFonts w:eastAsia="Calibri"/>
          <w:lang w:val="fr-FR"/>
        </w:rPr>
        <w:t>non-discrimination</w:t>
      </w:r>
      <w:r w:rsidR="00E819C1" w:rsidRPr="00F13D2D">
        <w:rPr>
          <w:rFonts w:eastAsia="Calibri"/>
          <w:lang w:val="fr-FR"/>
        </w:rPr>
        <w:t xml:space="preserve"> est affirmé dans la </w:t>
      </w:r>
      <w:r w:rsidR="00BE6687" w:rsidRPr="00F13D2D">
        <w:rPr>
          <w:rFonts w:eastAsia="Calibri"/>
          <w:lang w:val="fr-FR"/>
        </w:rPr>
        <w:t>Constitution</w:t>
      </w:r>
      <w:r w:rsidR="00E819C1" w:rsidRPr="00F13D2D">
        <w:rPr>
          <w:rFonts w:eastAsia="Calibri"/>
          <w:lang w:val="fr-FR"/>
        </w:rPr>
        <w:t>. Il est repris dans la loi et concrétisé dans plusieurs domaines, notamment, l’égalité devant l’impôt, l’accès à la justice l’égalité de salaires pour les mêmes emplois et l’accès aux services publics</w:t>
      </w:r>
      <w:r w:rsidR="00BE6687">
        <w:rPr>
          <w:rFonts w:eastAsia="Calibri"/>
          <w:lang w:val="fr-FR"/>
        </w:rPr>
        <w:t>,</w:t>
      </w:r>
      <w:r w:rsidR="00E819C1" w:rsidRPr="00F13D2D">
        <w:rPr>
          <w:rFonts w:eastAsia="Calibri"/>
          <w:lang w:val="fr-FR"/>
        </w:rPr>
        <w:t xml:space="preserve"> etc...</w:t>
      </w:r>
    </w:p>
    <w:p w:rsidR="00E819C1" w:rsidRPr="00F13D2D" w:rsidRDefault="0055270C" w:rsidP="0055270C">
      <w:pPr>
        <w:pStyle w:val="SingleTxtG"/>
        <w:rPr>
          <w:rFonts w:eastAsia="Calibri"/>
          <w:lang w:val="fr-FR"/>
        </w:rPr>
      </w:pPr>
      <w:r w:rsidRPr="00F13D2D">
        <w:rPr>
          <w:rFonts w:eastAsia="Calibri"/>
          <w:lang w:val="fr-FR"/>
        </w:rPr>
        <w:lastRenderedPageBreak/>
        <w:t>69.</w:t>
      </w:r>
      <w:r w:rsidRPr="00F13D2D">
        <w:rPr>
          <w:rFonts w:eastAsia="Calibri"/>
          <w:lang w:val="fr-FR"/>
        </w:rPr>
        <w:tab/>
      </w:r>
      <w:r w:rsidR="00E819C1" w:rsidRPr="00F13D2D">
        <w:rPr>
          <w:rFonts w:eastAsia="Calibri"/>
          <w:lang w:val="fr-FR"/>
        </w:rPr>
        <w:t xml:space="preserve">La </w:t>
      </w:r>
      <w:r w:rsidR="00BE6687" w:rsidRPr="00F13D2D">
        <w:rPr>
          <w:rFonts w:eastAsia="Calibri"/>
          <w:lang w:val="fr-FR"/>
        </w:rPr>
        <w:t xml:space="preserve">Constitution </w:t>
      </w:r>
      <w:r w:rsidR="00E819C1" w:rsidRPr="00F13D2D">
        <w:rPr>
          <w:rFonts w:eastAsia="Calibri"/>
          <w:lang w:val="fr-FR"/>
        </w:rPr>
        <w:t xml:space="preserve">garantit à la femme le droit de participer à la vie politique et publique. Elle lui </w:t>
      </w:r>
      <w:proofErr w:type="spellStart"/>
      <w:r w:rsidR="00E819C1" w:rsidRPr="00F13D2D">
        <w:rPr>
          <w:rFonts w:eastAsia="Calibri"/>
          <w:lang w:val="fr-FR"/>
        </w:rPr>
        <w:t>reconnait</w:t>
      </w:r>
      <w:proofErr w:type="spellEnd"/>
      <w:r w:rsidR="00E819C1" w:rsidRPr="00F13D2D">
        <w:rPr>
          <w:rFonts w:eastAsia="Calibri"/>
          <w:lang w:val="fr-FR"/>
        </w:rPr>
        <w:t xml:space="preserve"> également tous les droits civils, politiques, économiques, sociaux et culturels tels que proclamés par la Déclaration </w:t>
      </w:r>
      <w:r w:rsidR="00D9438A">
        <w:rPr>
          <w:rFonts w:eastAsia="Calibri"/>
          <w:lang w:val="fr-FR"/>
        </w:rPr>
        <w:t>u</w:t>
      </w:r>
      <w:r w:rsidR="00E819C1" w:rsidRPr="00F13D2D">
        <w:rPr>
          <w:rFonts w:eastAsia="Calibri"/>
          <w:lang w:val="fr-FR"/>
        </w:rPr>
        <w:t xml:space="preserve">niverselle des </w:t>
      </w:r>
      <w:r w:rsidR="00D9438A">
        <w:rPr>
          <w:rFonts w:eastAsia="Calibri"/>
          <w:lang w:val="fr-FR"/>
        </w:rPr>
        <w:t>d</w:t>
      </w:r>
      <w:r w:rsidR="00E819C1" w:rsidRPr="00F13D2D">
        <w:rPr>
          <w:rFonts w:eastAsia="Calibri"/>
          <w:lang w:val="fr-FR"/>
        </w:rPr>
        <w:t>roits de l’</w:t>
      </w:r>
      <w:r w:rsidR="00D9438A">
        <w:rPr>
          <w:rFonts w:eastAsia="Calibri"/>
          <w:lang w:val="fr-FR"/>
        </w:rPr>
        <w:t>h</w:t>
      </w:r>
      <w:r w:rsidR="00E819C1" w:rsidRPr="00F13D2D">
        <w:rPr>
          <w:rFonts w:eastAsia="Calibri"/>
          <w:lang w:val="fr-FR"/>
        </w:rPr>
        <w:t xml:space="preserve">omme de 1948 et la Charte africaine des </w:t>
      </w:r>
      <w:r w:rsidR="00D9438A">
        <w:rPr>
          <w:rFonts w:eastAsia="Calibri"/>
          <w:lang w:val="fr-FR"/>
        </w:rPr>
        <w:t>d</w:t>
      </w:r>
      <w:r w:rsidR="00E819C1" w:rsidRPr="00F13D2D">
        <w:rPr>
          <w:rFonts w:eastAsia="Calibri"/>
          <w:lang w:val="fr-FR"/>
        </w:rPr>
        <w:t>roits de l’</w:t>
      </w:r>
      <w:r w:rsidR="00D9438A">
        <w:rPr>
          <w:rFonts w:eastAsia="Calibri"/>
          <w:lang w:val="fr-FR"/>
        </w:rPr>
        <w:t>h</w:t>
      </w:r>
      <w:r w:rsidR="00E819C1" w:rsidRPr="00F13D2D">
        <w:rPr>
          <w:rFonts w:eastAsia="Calibri"/>
          <w:lang w:val="fr-FR"/>
        </w:rPr>
        <w:t xml:space="preserve">omme et des </w:t>
      </w:r>
      <w:r w:rsidR="00D9438A">
        <w:rPr>
          <w:rFonts w:eastAsia="Calibri"/>
          <w:lang w:val="fr-FR"/>
        </w:rPr>
        <w:t>p</w:t>
      </w:r>
      <w:r w:rsidR="00E819C1" w:rsidRPr="00F13D2D">
        <w:rPr>
          <w:rFonts w:eastAsia="Calibri"/>
          <w:lang w:val="fr-FR"/>
        </w:rPr>
        <w:t>euples de 1981.</w:t>
      </w:r>
    </w:p>
    <w:p w:rsidR="00E819C1" w:rsidRPr="00F13D2D" w:rsidRDefault="0055270C" w:rsidP="0055270C">
      <w:pPr>
        <w:pStyle w:val="SingleTxtG"/>
        <w:rPr>
          <w:rFonts w:eastAsia="Calibri"/>
          <w:lang w:val="fr-FR"/>
        </w:rPr>
      </w:pPr>
      <w:r w:rsidRPr="00F13D2D">
        <w:rPr>
          <w:rFonts w:eastAsia="Calibri"/>
          <w:lang w:val="fr-FR"/>
        </w:rPr>
        <w:t>70.</w:t>
      </w:r>
      <w:r w:rsidRPr="00F13D2D">
        <w:rPr>
          <w:rFonts w:eastAsia="Calibri"/>
          <w:lang w:val="fr-FR"/>
        </w:rPr>
        <w:tab/>
      </w:r>
      <w:r w:rsidR="00E819C1" w:rsidRPr="00F13D2D">
        <w:rPr>
          <w:rFonts w:eastAsia="Calibri"/>
          <w:lang w:val="fr-FR"/>
        </w:rPr>
        <w:t>L’alinéa 2 de l’article 1</w:t>
      </w:r>
      <w:r w:rsidR="00E819C1" w:rsidRPr="00AA7A93">
        <w:rPr>
          <w:rFonts w:eastAsia="Calibri"/>
          <w:vertAlign w:val="superscript"/>
          <w:lang w:val="fr-FR"/>
        </w:rPr>
        <w:t>er</w:t>
      </w:r>
      <w:r w:rsidR="00BE6687">
        <w:rPr>
          <w:rFonts w:eastAsia="Calibri"/>
          <w:lang w:val="fr-FR"/>
        </w:rPr>
        <w:t xml:space="preserve"> </w:t>
      </w:r>
      <w:r w:rsidR="00E819C1" w:rsidRPr="00F13D2D">
        <w:rPr>
          <w:rFonts w:eastAsia="Calibri"/>
          <w:lang w:val="fr-FR"/>
        </w:rPr>
        <w:t>de la Constitution dispose</w:t>
      </w:r>
      <w:r w:rsidR="00FC0832">
        <w:rPr>
          <w:rFonts w:eastAsia="Calibri"/>
          <w:lang w:val="fr-FR"/>
        </w:rPr>
        <w:t> :</w:t>
      </w:r>
      <w:r w:rsidR="00D35569">
        <w:rPr>
          <w:rFonts w:eastAsia="Calibri"/>
          <w:lang w:val="fr-FR"/>
        </w:rPr>
        <w:t xml:space="preserve"> « </w:t>
      </w:r>
      <w:r w:rsidR="00D35569" w:rsidRPr="00F13D2D">
        <w:rPr>
          <w:rFonts w:eastAsia="Calibri"/>
          <w:lang w:val="fr-FR"/>
        </w:rPr>
        <w:t xml:space="preserve">La </w:t>
      </w:r>
      <w:r w:rsidR="00E819C1" w:rsidRPr="00F13D2D">
        <w:rPr>
          <w:rFonts w:eastAsia="Calibri"/>
          <w:lang w:val="fr-FR"/>
        </w:rPr>
        <w:t>République assure à tous les citoyens sans distinction d’origine, de race, de sexe ou de condition s</w:t>
      </w:r>
      <w:r w:rsidR="00D35569">
        <w:rPr>
          <w:rFonts w:eastAsia="Calibri"/>
          <w:lang w:val="fr-FR"/>
        </w:rPr>
        <w:t>ociale, l’égalité devant la loi </w:t>
      </w:r>
      <w:r w:rsidR="00E819C1" w:rsidRPr="00F13D2D">
        <w:rPr>
          <w:rFonts w:eastAsia="Calibri"/>
          <w:lang w:val="fr-FR"/>
        </w:rPr>
        <w:t>».</w:t>
      </w:r>
    </w:p>
    <w:p w:rsidR="00E819C1" w:rsidRPr="00F13D2D" w:rsidRDefault="0055270C" w:rsidP="0055270C">
      <w:pPr>
        <w:pStyle w:val="SingleTxtG"/>
        <w:rPr>
          <w:rFonts w:eastAsia="Calibri"/>
          <w:lang w:val="fr-FR"/>
        </w:rPr>
      </w:pPr>
      <w:r w:rsidRPr="00F13D2D">
        <w:rPr>
          <w:rFonts w:eastAsia="Calibri"/>
          <w:lang w:val="fr-FR"/>
        </w:rPr>
        <w:t>71.</w:t>
      </w:r>
      <w:r w:rsidRPr="00F13D2D">
        <w:rPr>
          <w:rFonts w:eastAsia="Calibri"/>
          <w:lang w:val="fr-FR"/>
        </w:rPr>
        <w:tab/>
      </w:r>
      <w:r w:rsidR="00E819C1" w:rsidRPr="00F13D2D">
        <w:rPr>
          <w:rFonts w:eastAsia="Calibri"/>
          <w:lang w:val="fr-FR"/>
        </w:rPr>
        <w:t>L’article 12 dispose</w:t>
      </w:r>
      <w:r w:rsidR="00FC0832">
        <w:rPr>
          <w:rFonts w:eastAsia="Calibri"/>
          <w:lang w:val="fr-FR"/>
        </w:rPr>
        <w:t> :</w:t>
      </w:r>
      <w:r w:rsidR="00D35569">
        <w:rPr>
          <w:rFonts w:eastAsia="Calibri"/>
          <w:lang w:val="fr-FR"/>
        </w:rPr>
        <w:t xml:space="preserve"> « </w:t>
      </w:r>
      <w:r w:rsidR="00D35569" w:rsidRPr="00F13D2D">
        <w:rPr>
          <w:rFonts w:eastAsia="Calibri"/>
          <w:lang w:val="fr-FR"/>
        </w:rPr>
        <w:t xml:space="preserve">Tous </w:t>
      </w:r>
      <w:r w:rsidR="00E819C1" w:rsidRPr="00F13D2D">
        <w:rPr>
          <w:rFonts w:eastAsia="Calibri"/>
          <w:lang w:val="fr-FR"/>
        </w:rPr>
        <w:t>les citoyens peuvent accéder aux fonctions et emplois publics sans autres conditions que celles fi</w:t>
      </w:r>
      <w:r w:rsidR="00D35569">
        <w:rPr>
          <w:rFonts w:eastAsia="Calibri"/>
          <w:lang w:val="fr-FR"/>
        </w:rPr>
        <w:t>xées par la loi </w:t>
      </w:r>
      <w:r w:rsidR="00E819C1" w:rsidRPr="00F13D2D">
        <w:rPr>
          <w:rFonts w:eastAsia="Calibri"/>
          <w:lang w:val="fr-FR"/>
        </w:rPr>
        <w:t>».</w:t>
      </w:r>
      <w:r w:rsidR="006C160E" w:rsidRPr="00F13D2D">
        <w:rPr>
          <w:rFonts w:eastAsia="Calibri"/>
          <w:lang w:val="fr-FR"/>
        </w:rPr>
        <w:t xml:space="preserve"> </w:t>
      </w:r>
    </w:p>
    <w:p w:rsidR="00E819C1" w:rsidRPr="00F13D2D" w:rsidRDefault="0055270C" w:rsidP="0055270C">
      <w:pPr>
        <w:pStyle w:val="SingleTxtG"/>
        <w:rPr>
          <w:rFonts w:eastAsia="Calibri"/>
          <w:lang w:val="fr-FR"/>
        </w:rPr>
      </w:pPr>
      <w:r w:rsidRPr="00F13D2D">
        <w:rPr>
          <w:rFonts w:eastAsia="Calibri"/>
          <w:lang w:val="fr-FR"/>
        </w:rPr>
        <w:t>72.</w:t>
      </w:r>
      <w:r w:rsidRPr="00F13D2D">
        <w:rPr>
          <w:rFonts w:eastAsia="Calibri"/>
          <w:lang w:val="fr-FR"/>
        </w:rPr>
        <w:tab/>
      </w:r>
      <w:r w:rsidR="00E819C1" w:rsidRPr="00F13D2D">
        <w:rPr>
          <w:rFonts w:eastAsia="Calibri"/>
          <w:lang w:val="fr-FR"/>
        </w:rPr>
        <w:t>La discrimination positive et les mesures temporaires spéciales ont été appliquées dans le domaine électoral et des fonctions électives. Le quota réservé aux femmes est en nette augmentation. Des places sont réservées dans tous les recrutements pour les femmes.</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Le Code de Statut Personnel de 2001 fixe l’âge du mariage à 18 ans</w:t>
      </w:r>
      <w:r w:rsidR="00FC0832">
        <w:rPr>
          <w:rFonts w:eastAsia="Calibri"/>
          <w:lang w:val="fr-FR"/>
        </w:rPr>
        <w:t> ;</w:t>
      </w:r>
      <w:r w:rsidR="00E819C1"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Le Code de protection pénale des enfants de 2005 interdit et pénalise les MGF</w:t>
      </w:r>
      <w:r w:rsidR="00FC0832">
        <w:rPr>
          <w:rFonts w:eastAsia="Calibri"/>
          <w:lang w:val="fr-FR"/>
        </w:rPr>
        <w:t> ;</w:t>
      </w:r>
      <w:r w:rsidR="00E819C1"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La loi sur</w:t>
      </w:r>
      <w:r w:rsidR="006C160E" w:rsidRPr="00F13D2D">
        <w:rPr>
          <w:rFonts w:eastAsia="Calibri"/>
          <w:lang w:val="fr-FR"/>
        </w:rPr>
        <w:t xml:space="preserve"> </w:t>
      </w:r>
      <w:r w:rsidR="00E819C1" w:rsidRPr="00F13D2D">
        <w:rPr>
          <w:rFonts w:eastAsia="Calibri"/>
          <w:lang w:val="fr-FR"/>
        </w:rPr>
        <w:t>l’enseignement fondamental obligatoire de 2001 fixe l’âge de scolarisation de 6 à 14 ans</w:t>
      </w:r>
      <w:r w:rsidR="00FC0832">
        <w:rPr>
          <w:rFonts w:eastAsia="Calibri"/>
          <w:lang w:val="fr-FR"/>
        </w:rPr>
        <w:t> ;</w:t>
      </w:r>
      <w:r w:rsidR="00E819C1"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L’ordonnance à l’accès des femmes aux postes électifs et mandats électoraux</w:t>
      </w:r>
      <w:r w:rsidR="006C160E" w:rsidRPr="00F13D2D">
        <w:rPr>
          <w:rFonts w:eastAsia="Calibri"/>
          <w:lang w:val="fr-FR"/>
        </w:rPr>
        <w:t xml:space="preserve"> </w:t>
      </w:r>
      <w:r w:rsidR="00E819C1" w:rsidRPr="00F13D2D">
        <w:rPr>
          <w:rFonts w:eastAsia="Calibri"/>
          <w:lang w:val="fr-FR"/>
        </w:rPr>
        <w:t>accorde un quota</w:t>
      </w:r>
      <w:r w:rsidR="006C160E" w:rsidRPr="00F13D2D">
        <w:rPr>
          <w:rFonts w:eastAsia="Calibri"/>
          <w:lang w:val="fr-FR"/>
        </w:rPr>
        <w:t xml:space="preserve"> </w:t>
      </w:r>
      <w:r w:rsidR="00E819C1" w:rsidRPr="00F13D2D">
        <w:rPr>
          <w:rFonts w:eastAsia="Calibri"/>
          <w:lang w:val="fr-FR"/>
        </w:rPr>
        <w:t>de 20</w:t>
      </w:r>
      <w:r w:rsidR="006348D2">
        <w:rPr>
          <w:rFonts w:eastAsia="Calibri"/>
          <w:lang w:val="fr-FR"/>
        </w:rPr>
        <w:t> %</w:t>
      </w:r>
      <w:r w:rsidR="006C160E" w:rsidRPr="00F13D2D">
        <w:rPr>
          <w:rFonts w:eastAsia="Calibri"/>
          <w:lang w:val="fr-FR"/>
        </w:rPr>
        <w:t xml:space="preserve"> </w:t>
      </w:r>
      <w:r w:rsidR="00E819C1" w:rsidRPr="00F13D2D">
        <w:rPr>
          <w:rFonts w:eastAsia="Calibri"/>
          <w:lang w:val="fr-FR"/>
        </w:rPr>
        <w:t>aux femmes</w:t>
      </w:r>
      <w:r w:rsidR="00FC0832">
        <w:rPr>
          <w:rFonts w:eastAsia="Calibri"/>
          <w:lang w:val="fr-FR"/>
        </w:rPr>
        <w:t> ;</w:t>
      </w:r>
      <w:r w:rsidR="00E819C1"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La loi</w:t>
      </w:r>
      <w:r w:rsidR="006C160E" w:rsidRPr="00F13D2D">
        <w:rPr>
          <w:rFonts w:eastAsia="Calibri"/>
          <w:lang w:val="fr-FR"/>
        </w:rPr>
        <w:t xml:space="preserve"> </w:t>
      </w:r>
      <w:r w:rsidR="00E819C1" w:rsidRPr="00F13D2D">
        <w:rPr>
          <w:rFonts w:eastAsia="Calibri"/>
          <w:lang w:val="fr-FR"/>
        </w:rPr>
        <w:t>relative à l</w:t>
      </w:r>
      <w:r w:rsidR="006C160E" w:rsidRPr="00F13D2D">
        <w:rPr>
          <w:rFonts w:eastAsia="Calibri"/>
          <w:lang w:val="fr-FR"/>
        </w:rPr>
        <w:t>’</w:t>
      </w:r>
      <w:r w:rsidR="00E819C1" w:rsidRPr="00F13D2D">
        <w:rPr>
          <w:rFonts w:eastAsia="Calibri"/>
          <w:lang w:val="fr-FR"/>
        </w:rPr>
        <w:t>aide judiciaire profite aux justiciables indigents</w:t>
      </w:r>
      <w:r w:rsidR="00FC0832">
        <w:rPr>
          <w:rFonts w:eastAsia="Calibri"/>
          <w:lang w:val="fr-FR"/>
        </w:rPr>
        <w:t> ;</w:t>
      </w:r>
      <w:r w:rsidR="00E819C1"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L’Ordonnance</w:t>
      </w:r>
      <w:r w:rsidR="006C160E" w:rsidRPr="00F13D2D">
        <w:rPr>
          <w:rFonts w:eastAsia="Calibri"/>
          <w:lang w:val="fr-FR"/>
        </w:rPr>
        <w:t xml:space="preserve"> </w:t>
      </w:r>
      <w:r w:rsidR="00E819C1" w:rsidRPr="00F13D2D">
        <w:rPr>
          <w:rFonts w:eastAsia="Calibri"/>
          <w:lang w:val="fr-FR"/>
        </w:rPr>
        <w:t>relative à la protection et promotion des droits</w:t>
      </w:r>
      <w:r w:rsidR="006C160E" w:rsidRPr="00F13D2D">
        <w:rPr>
          <w:rFonts w:eastAsia="Calibri"/>
          <w:lang w:val="fr-FR"/>
        </w:rPr>
        <w:t xml:space="preserve"> </w:t>
      </w:r>
      <w:r w:rsidR="00E819C1" w:rsidRPr="00F13D2D">
        <w:rPr>
          <w:rFonts w:eastAsia="Calibri"/>
          <w:lang w:val="fr-FR"/>
        </w:rPr>
        <w:t>des personnes handicapées prévoit des privilèges pour cette catégorie</w:t>
      </w:r>
      <w:r w:rsidR="00BE6687">
        <w:rPr>
          <w:rFonts w:eastAsia="Calibri"/>
          <w:lang w:val="fr-FR"/>
        </w:rPr>
        <w:t> ;</w:t>
      </w:r>
      <w:r w:rsidR="006C160E"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Le</w:t>
      </w:r>
      <w:r w:rsidR="006C160E" w:rsidRPr="00F13D2D">
        <w:rPr>
          <w:rFonts w:eastAsia="Calibri"/>
          <w:lang w:val="fr-FR"/>
        </w:rPr>
        <w:t xml:space="preserve"> </w:t>
      </w:r>
      <w:r w:rsidR="00E819C1" w:rsidRPr="00F13D2D">
        <w:rPr>
          <w:rFonts w:eastAsia="Calibri"/>
          <w:lang w:val="fr-FR"/>
        </w:rPr>
        <w:t>Code du travail et la loi fixant le régime des pensions civiles de la Caisse de retraite autorise le versement de la pension aux ayants droits de la femme fonctionnaire au même titre que son collègue</w:t>
      </w:r>
      <w:r w:rsidR="00BE6687">
        <w:rPr>
          <w:rFonts w:eastAsia="Calibri"/>
          <w:lang w:val="fr-FR"/>
        </w:rPr>
        <w:t> ;</w:t>
      </w:r>
      <w:r w:rsidR="006C160E"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L’octroi de la pension aux ayant droits de la femme fonctionnaire décédée</w:t>
      </w:r>
      <w:r w:rsidR="00BE6687">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L’harmonisation de l’âge de la retraite à 60 ans en faveur des femmes régies</w:t>
      </w:r>
      <w:r w:rsidR="006C160E" w:rsidRPr="00F13D2D">
        <w:rPr>
          <w:rFonts w:eastAsia="Calibri"/>
          <w:lang w:val="fr-FR"/>
        </w:rPr>
        <w:t xml:space="preserve"> </w:t>
      </w:r>
      <w:r w:rsidR="00E819C1" w:rsidRPr="00F13D2D">
        <w:rPr>
          <w:rFonts w:eastAsia="Calibri"/>
          <w:lang w:val="fr-FR"/>
        </w:rPr>
        <w:t>par la convention collective.</w:t>
      </w:r>
    </w:p>
    <w:p w:rsidR="00E819C1" w:rsidRPr="00F13D2D" w:rsidRDefault="0055270C" w:rsidP="0055270C">
      <w:pPr>
        <w:pStyle w:val="SingleTxtG"/>
        <w:rPr>
          <w:rFonts w:eastAsia="Calibri"/>
          <w:lang w:val="fr-FR"/>
        </w:rPr>
      </w:pPr>
      <w:r w:rsidRPr="00F13D2D">
        <w:rPr>
          <w:rFonts w:eastAsia="Calibri"/>
          <w:lang w:val="fr-FR"/>
        </w:rPr>
        <w:t>73.</w:t>
      </w:r>
      <w:r w:rsidRPr="00F13D2D">
        <w:rPr>
          <w:rFonts w:eastAsia="Calibri"/>
          <w:lang w:val="fr-FR"/>
        </w:rPr>
        <w:tab/>
      </w:r>
      <w:r w:rsidR="00E819C1" w:rsidRPr="00F13D2D">
        <w:rPr>
          <w:rFonts w:eastAsia="Calibri"/>
          <w:lang w:val="fr-FR"/>
        </w:rPr>
        <w:t>Les pouvoirs publics ont mis en place un dispositif institutionnel qui</w:t>
      </w:r>
      <w:r w:rsidR="006C160E" w:rsidRPr="00F13D2D">
        <w:rPr>
          <w:rFonts w:eastAsia="Calibri"/>
          <w:lang w:val="fr-FR"/>
        </w:rPr>
        <w:t xml:space="preserve"> </w:t>
      </w:r>
      <w:r w:rsidR="00E819C1" w:rsidRPr="00F13D2D">
        <w:rPr>
          <w:rFonts w:eastAsia="Calibri"/>
          <w:lang w:val="fr-FR"/>
        </w:rPr>
        <w:t>assure</w:t>
      </w:r>
      <w:r w:rsidR="006C160E" w:rsidRPr="00F13D2D">
        <w:rPr>
          <w:rFonts w:eastAsia="Calibri"/>
          <w:lang w:val="fr-FR"/>
        </w:rPr>
        <w:t xml:space="preserve"> </w:t>
      </w:r>
      <w:r w:rsidR="00E819C1" w:rsidRPr="00F13D2D">
        <w:rPr>
          <w:rFonts w:eastAsia="Calibri"/>
          <w:lang w:val="fr-FR"/>
        </w:rPr>
        <w:t>la prise en compte de la dimension genre dans les politiques publiques. Ce dispositif comprend</w:t>
      </w:r>
      <w:r w:rsidR="00FC0832">
        <w:rPr>
          <w:rFonts w:eastAsia="Calibri"/>
          <w:lang w:val="fr-FR"/>
        </w:rPr>
        <w:t> :</w:t>
      </w:r>
      <w:r w:rsidR="00E819C1"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Le</w:t>
      </w:r>
      <w:r w:rsidR="006C160E" w:rsidRPr="00F13D2D">
        <w:rPr>
          <w:rFonts w:eastAsia="Calibri"/>
          <w:lang w:val="fr-FR"/>
        </w:rPr>
        <w:t xml:space="preserve"> </w:t>
      </w:r>
      <w:r w:rsidR="00E819C1" w:rsidRPr="00F13D2D">
        <w:rPr>
          <w:rFonts w:eastAsia="Calibri"/>
          <w:lang w:val="fr-FR"/>
        </w:rPr>
        <w:t>ministère des affaires sociales, de l’enfance et de la famille</w:t>
      </w:r>
      <w:r w:rsidR="000B13B7">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Le groupe national</w:t>
      </w:r>
      <w:r w:rsidR="006C160E" w:rsidRPr="00F13D2D">
        <w:rPr>
          <w:rFonts w:eastAsia="Calibri"/>
          <w:lang w:val="fr-FR"/>
        </w:rPr>
        <w:t xml:space="preserve"> </w:t>
      </w:r>
      <w:r w:rsidR="00E819C1" w:rsidRPr="00F13D2D">
        <w:rPr>
          <w:rFonts w:eastAsia="Calibri"/>
          <w:lang w:val="fr-FR"/>
        </w:rPr>
        <w:t>et les groupes régionaux de suivi genre</w:t>
      </w:r>
      <w:r w:rsidR="000B13B7">
        <w:rPr>
          <w:rFonts w:eastAsia="Calibri"/>
          <w:lang w:val="fr-FR"/>
        </w:rPr>
        <w:t>.</w:t>
      </w:r>
    </w:p>
    <w:p w:rsidR="00E819C1" w:rsidRPr="00E06F1B" w:rsidRDefault="00CA1598" w:rsidP="00AA7A93">
      <w:pPr>
        <w:pStyle w:val="H23G"/>
        <w:rPr>
          <w:lang w:val="fr-FR"/>
        </w:rPr>
      </w:pPr>
      <w:bookmarkStart w:id="86" w:name="_Toc453672893"/>
      <w:bookmarkStart w:id="87" w:name="_Toc454388732"/>
      <w:r w:rsidRPr="000E17DF">
        <w:tab/>
        <w:t>b)</w:t>
      </w:r>
      <w:r w:rsidRPr="000E17DF">
        <w:tab/>
      </w:r>
      <w:r w:rsidR="00E819C1" w:rsidRPr="00F13D2D">
        <w:t xml:space="preserve">Mesures prises pour améliorer la participation politique des femmes </w:t>
      </w:r>
      <w:r w:rsidR="00E874CA">
        <w:br/>
      </w:r>
      <w:r w:rsidR="00E819C1" w:rsidRPr="000E17DF">
        <w:t>et prise de décision</w:t>
      </w:r>
      <w:bookmarkEnd w:id="86"/>
      <w:bookmarkEnd w:id="87"/>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L’adoption d’une liste nationale de 20 femmes pour l’élection des députés</w:t>
      </w:r>
      <w:r w:rsidR="00FC0832">
        <w:rPr>
          <w:rFonts w:eastAsia="Calibri"/>
          <w:lang w:val="fr-FR"/>
        </w:rPr>
        <w:t> ;</w:t>
      </w:r>
      <w:r w:rsidR="00E819C1"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L’adoption d’une liste nationale de 20 sièges et d’une autre liste de 18 sièges au niveau de Nouakchott</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L’augmentation du nombre de circonscriptions à trois sièges à pourvoir avec application du système de la proportionnelle</w:t>
      </w:r>
      <w:r w:rsidR="00FC0832">
        <w:rPr>
          <w:rFonts w:eastAsia="Calibri"/>
          <w:lang w:val="fr-FR"/>
        </w:rPr>
        <w:t> ;</w:t>
      </w:r>
      <w:r w:rsidR="00E819C1"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L’octroi d’incitations financières au profit des partis politiques qui élisent</w:t>
      </w:r>
      <w:r w:rsidR="006C160E" w:rsidRPr="00F13D2D">
        <w:rPr>
          <w:rFonts w:eastAsia="Calibri"/>
          <w:lang w:val="fr-FR"/>
        </w:rPr>
        <w:t xml:space="preserve"> </w:t>
      </w:r>
      <w:r w:rsidR="00E819C1" w:rsidRPr="00F13D2D">
        <w:rPr>
          <w:rFonts w:eastAsia="Calibri"/>
          <w:lang w:val="fr-FR"/>
        </w:rPr>
        <w:t>plus de femmes</w:t>
      </w:r>
      <w:r w:rsidR="000B13B7">
        <w:rPr>
          <w:rFonts w:eastAsia="Calibri"/>
          <w:lang w:val="fr-FR"/>
        </w:rPr>
        <w:t> ;</w:t>
      </w:r>
      <w:r w:rsidR="00E819C1"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L’organisation d’un concours spécifique a permis l’accès</w:t>
      </w:r>
      <w:r w:rsidR="006C160E" w:rsidRPr="00F13D2D">
        <w:rPr>
          <w:rFonts w:eastAsia="Calibri"/>
          <w:lang w:val="fr-FR"/>
        </w:rPr>
        <w:t xml:space="preserve"> </w:t>
      </w:r>
      <w:r w:rsidR="00E819C1" w:rsidRPr="00F13D2D">
        <w:rPr>
          <w:rFonts w:eastAsia="Calibri"/>
          <w:lang w:val="fr-FR"/>
        </w:rPr>
        <w:t>de cinquante (50) femmes supplémentaires à l’</w:t>
      </w:r>
      <w:proofErr w:type="spellStart"/>
      <w:r w:rsidR="00E819C1" w:rsidRPr="00F13D2D">
        <w:rPr>
          <w:rFonts w:eastAsia="Calibri"/>
          <w:lang w:val="fr-FR"/>
        </w:rPr>
        <w:t>Ecole</w:t>
      </w:r>
      <w:proofErr w:type="spellEnd"/>
      <w:r w:rsidR="00E819C1" w:rsidRPr="00F13D2D">
        <w:rPr>
          <w:rFonts w:eastAsia="Calibri"/>
          <w:lang w:val="fr-FR"/>
        </w:rPr>
        <w:t xml:space="preserve"> Nationale d’Administration de Journalisme et de Magistrature</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La création de huit (08) postes d’enseignantes à l’université</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 xml:space="preserve">L’amélioration du quota des bourses des filles. </w:t>
      </w:r>
    </w:p>
    <w:p w:rsidR="00E819C1" w:rsidRPr="00AA7A93" w:rsidRDefault="00AC0786" w:rsidP="00AA7A93">
      <w:pPr>
        <w:pStyle w:val="H23G"/>
      </w:pPr>
      <w:bookmarkStart w:id="88" w:name="_Toc454388733"/>
      <w:r w:rsidRPr="00AA7A93">
        <w:lastRenderedPageBreak/>
        <w:tab/>
      </w:r>
      <w:r w:rsidR="00E819C1" w:rsidRPr="00AA7A93">
        <w:t>c</w:t>
      </w:r>
      <w:r w:rsidRPr="000E17DF">
        <w:rPr>
          <w:rFonts w:eastAsia="Calibri"/>
        </w:rPr>
        <w:t>)</w:t>
      </w:r>
      <w:r w:rsidRPr="000E17DF">
        <w:rPr>
          <w:rFonts w:eastAsia="Calibri"/>
        </w:rPr>
        <w:tab/>
      </w:r>
      <w:r w:rsidR="00E819C1" w:rsidRPr="00C8605E">
        <w:rPr>
          <w:rFonts w:eastAsia="Calibri"/>
        </w:rPr>
        <w:t xml:space="preserve">Principe de </w:t>
      </w:r>
      <w:r w:rsidRPr="00C8605E">
        <w:rPr>
          <w:rFonts w:eastAsia="Calibri"/>
        </w:rPr>
        <w:t>non-discrimination</w:t>
      </w:r>
      <w:r w:rsidR="00E819C1" w:rsidRPr="00C8605E">
        <w:rPr>
          <w:rFonts w:eastAsia="Calibri"/>
        </w:rPr>
        <w:t xml:space="preserve"> et principe d’application obligatoire</w:t>
      </w:r>
      <w:bookmarkEnd w:id="88"/>
    </w:p>
    <w:p w:rsidR="00E819C1" w:rsidRPr="00F13D2D" w:rsidRDefault="0055270C" w:rsidP="0055270C">
      <w:pPr>
        <w:pStyle w:val="SingleTxtG"/>
        <w:rPr>
          <w:rFonts w:eastAsia="Calibri"/>
          <w:lang w:val="fr-FR"/>
        </w:rPr>
      </w:pPr>
      <w:r w:rsidRPr="00F13D2D">
        <w:rPr>
          <w:rFonts w:eastAsia="Calibri"/>
          <w:lang w:val="fr-FR"/>
        </w:rPr>
        <w:t>74.</w:t>
      </w:r>
      <w:r w:rsidRPr="00F13D2D">
        <w:rPr>
          <w:rFonts w:eastAsia="Calibri"/>
          <w:lang w:val="fr-FR"/>
        </w:rPr>
        <w:tab/>
      </w:r>
      <w:r w:rsidR="00E819C1" w:rsidRPr="00F13D2D">
        <w:rPr>
          <w:rFonts w:eastAsia="Calibri"/>
          <w:lang w:val="fr-FR"/>
        </w:rPr>
        <w:t xml:space="preserve">La </w:t>
      </w:r>
      <w:r w:rsidR="00D20B03" w:rsidRPr="00F13D2D">
        <w:rPr>
          <w:rFonts w:eastAsia="Calibri"/>
          <w:lang w:val="fr-FR"/>
        </w:rPr>
        <w:t xml:space="preserve">Constitution </w:t>
      </w:r>
      <w:r w:rsidR="00E819C1" w:rsidRPr="00F13D2D">
        <w:rPr>
          <w:rFonts w:eastAsia="Calibri"/>
          <w:lang w:val="fr-FR"/>
        </w:rPr>
        <w:t>de 1991 modifiée en 2006 et en 2012 dispose</w:t>
      </w:r>
      <w:r w:rsidR="00FC0832">
        <w:rPr>
          <w:rFonts w:eastAsia="Calibri"/>
          <w:lang w:val="fr-FR"/>
        </w:rPr>
        <w:t> :</w:t>
      </w:r>
      <w:r w:rsidR="00E819C1" w:rsidRPr="00F13D2D">
        <w:rPr>
          <w:rFonts w:eastAsia="Calibri"/>
          <w:lang w:val="fr-FR"/>
        </w:rPr>
        <w:t xml:space="preserve"> « </w:t>
      </w:r>
      <w:r w:rsidR="00D35569" w:rsidRPr="00F13D2D">
        <w:rPr>
          <w:rFonts w:eastAsia="Calibri"/>
          <w:lang w:val="fr-FR"/>
        </w:rPr>
        <w:t xml:space="preserve">La </w:t>
      </w:r>
      <w:r w:rsidR="00E819C1" w:rsidRPr="00F13D2D">
        <w:rPr>
          <w:rFonts w:eastAsia="Calibri"/>
          <w:lang w:val="fr-FR"/>
        </w:rPr>
        <w:t>liberté, l</w:t>
      </w:r>
      <w:r w:rsidR="006C160E" w:rsidRPr="00F13D2D">
        <w:rPr>
          <w:rFonts w:eastAsia="Calibri"/>
          <w:lang w:val="fr-FR"/>
        </w:rPr>
        <w:t>’</w:t>
      </w:r>
      <w:r w:rsidR="00E819C1" w:rsidRPr="00F13D2D">
        <w:rPr>
          <w:rFonts w:eastAsia="Calibri"/>
          <w:lang w:val="fr-FR"/>
        </w:rPr>
        <w:t>égalité et la dignité de l</w:t>
      </w:r>
      <w:r w:rsidR="006C160E" w:rsidRPr="00F13D2D">
        <w:rPr>
          <w:rFonts w:eastAsia="Calibri"/>
          <w:lang w:val="fr-FR"/>
        </w:rPr>
        <w:t>’</w:t>
      </w:r>
      <w:r w:rsidR="00E819C1" w:rsidRPr="00F13D2D">
        <w:rPr>
          <w:rFonts w:eastAsia="Calibri"/>
          <w:lang w:val="fr-FR"/>
        </w:rPr>
        <w:t>Homme ne peuvent être assurées que dans une société qui consacre la primauté du droit</w:t>
      </w:r>
      <w:r w:rsidR="006C160E" w:rsidRPr="00F13D2D">
        <w:rPr>
          <w:rFonts w:eastAsia="Calibri"/>
          <w:lang w:val="fr-FR"/>
        </w:rPr>
        <w:t> »</w:t>
      </w:r>
      <w:r w:rsidR="00E819C1" w:rsidRPr="00F13D2D">
        <w:rPr>
          <w:rFonts w:eastAsia="Calibri"/>
          <w:lang w:val="fr-FR"/>
        </w:rPr>
        <w:t>.</w:t>
      </w:r>
      <w:r w:rsidR="006C160E" w:rsidRPr="00F13D2D">
        <w:rPr>
          <w:rFonts w:eastAsia="Calibri"/>
          <w:lang w:val="fr-FR"/>
        </w:rPr>
        <w:t xml:space="preserve"> </w:t>
      </w:r>
      <w:r w:rsidR="00E819C1" w:rsidRPr="00F13D2D">
        <w:rPr>
          <w:rFonts w:eastAsia="Calibri"/>
          <w:lang w:val="fr-FR"/>
        </w:rPr>
        <w:t>Elle</w:t>
      </w:r>
      <w:r w:rsidR="006C160E" w:rsidRPr="00F13D2D">
        <w:rPr>
          <w:rFonts w:eastAsia="Calibri"/>
          <w:lang w:val="fr-FR"/>
        </w:rPr>
        <w:t xml:space="preserve"> </w:t>
      </w:r>
      <w:r w:rsidR="00E819C1" w:rsidRPr="00F13D2D">
        <w:rPr>
          <w:rFonts w:eastAsia="Calibri"/>
          <w:lang w:val="fr-FR"/>
        </w:rPr>
        <w:t xml:space="preserve">garantit aussi les principes fondamentaux de </w:t>
      </w:r>
      <w:r w:rsidR="008D0F45" w:rsidRPr="00F13D2D">
        <w:rPr>
          <w:rFonts w:eastAsia="Calibri"/>
          <w:lang w:val="fr-FR"/>
        </w:rPr>
        <w:t>non-discrimination</w:t>
      </w:r>
      <w:r w:rsidR="00E819C1" w:rsidRPr="00F13D2D">
        <w:rPr>
          <w:rFonts w:eastAsia="Calibri"/>
          <w:lang w:val="fr-FR"/>
        </w:rPr>
        <w:t>.</w:t>
      </w:r>
    </w:p>
    <w:p w:rsidR="00E819C1" w:rsidRPr="00E06F1B" w:rsidRDefault="00AC0786" w:rsidP="00AA7A93">
      <w:pPr>
        <w:pStyle w:val="H23G"/>
        <w:rPr>
          <w:rtl/>
        </w:rPr>
      </w:pPr>
      <w:bookmarkStart w:id="89" w:name="_Toc453672894"/>
      <w:r w:rsidRPr="000E17DF">
        <w:tab/>
      </w:r>
      <w:r w:rsidR="00E819C1" w:rsidRPr="00F13D2D">
        <w:t>d)</w:t>
      </w:r>
      <w:r w:rsidRPr="00F13D2D">
        <w:tab/>
      </w:r>
      <w:r w:rsidR="00E819C1" w:rsidRPr="00F13D2D">
        <w:t>Mesures prises pour prévenir et combattre la discrimination sous toutes ses formes</w:t>
      </w:r>
      <w:bookmarkEnd w:id="89"/>
    </w:p>
    <w:p w:rsidR="00E819C1" w:rsidRPr="00F13D2D" w:rsidRDefault="0055270C" w:rsidP="0055270C">
      <w:pPr>
        <w:pStyle w:val="SingleTxtG"/>
        <w:rPr>
          <w:rFonts w:eastAsia="Calibri"/>
          <w:lang w:val="fr-FR"/>
        </w:rPr>
      </w:pPr>
      <w:r w:rsidRPr="00F13D2D">
        <w:rPr>
          <w:rFonts w:eastAsia="Calibri"/>
          <w:lang w:val="fr-FR"/>
        </w:rPr>
        <w:t>75.</w:t>
      </w:r>
      <w:r w:rsidRPr="00F13D2D">
        <w:rPr>
          <w:rFonts w:eastAsia="Calibri"/>
          <w:lang w:val="fr-FR"/>
        </w:rPr>
        <w:tab/>
      </w:r>
      <w:r w:rsidR="00E819C1" w:rsidRPr="00F13D2D">
        <w:rPr>
          <w:rFonts w:eastAsia="Calibri"/>
          <w:lang w:val="fr-FR"/>
        </w:rPr>
        <w:t>Plusieurs institutions concourent</w:t>
      </w:r>
      <w:r w:rsidR="006C160E" w:rsidRPr="00F13D2D">
        <w:rPr>
          <w:rFonts w:eastAsia="Calibri"/>
          <w:lang w:val="fr-FR"/>
        </w:rPr>
        <w:t xml:space="preserve"> </w:t>
      </w:r>
      <w:r w:rsidR="00E819C1" w:rsidRPr="00F13D2D">
        <w:rPr>
          <w:rFonts w:eastAsia="Calibri"/>
          <w:lang w:val="fr-FR"/>
        </w:rPr>
        <w:t xml:space="preserve">à la prévention et à la lutte contre toute forme de discrimination. Il s’agit, entre autres des ministères en charge des questions des droits de l’homme, de </w:t>
      </w:r>
      <w:proofErr w:type="spellStart"/>
      <w:r w:rsidR="00E819C1" w:rsidRPr="00F13D2D">
        <w:rPr>
          <w:rFonts w:eastAsia="Calibri"/>
          <w:lang w:val="fr-FR"/>
        </w:rPr>
        <w:t>Tadamoun</w:t>
      </w:r>
      <w:proofErr w:type="spellEnd"/>
      <w:r w:rsidR="00E819C1" w:rsidRPr="00F13D2D">
        <w:rPr>
          <w:rFonts w:eastAsia="Calibri"/>
          <w:lang w:val="fr-FR"/>
        </w:rPr>
        <w:t>, de la CNDH, du Médiateur de la République, du Haut Conseil de la Fatwa et des Recours gracieux et des juridictions.</w:t>
      </w:r>
    </w:p>
    <w:p w:rsidR="00E819C1" w:rsidRPr="00E06F1B" w:rsidRDefault="00CA1598" w:rsidP="00AA7A93">
      <w:pPr>
        <w:pStyle w:val="H23G"/>
      </w:pPr>
      <w:bookmarkStart w:id="90" w:name="_Toc454388734"/>
      <w:r w:rsidRPr="000E17DF">
        <w:tab/>
        <w:t>e)</w:t>
      </w:r>
      <w:r w:rsidRPr="000E17DF">
        <w:tab/>
      </w:r>
      <w:r w:rsidR="00E819C1" w:rsidRPr="00F13D2D">
        <w:t>Informations générales sur la situation des droits de l’homme des personnes appartenant à des groupes vulnérables spécifiques de la population</w:t>
      </w:r>
      <w:bookmarkEnd w:id="90"/>
    </w:p>
    <w:p w:rsidR="00E819C1" w:rsidRPr="00F13D2D" w:rsidRDefault="0055270C" w:rsidP="0055270C">
      <w:pPr>
        <w:pStyle w:val="SingleTxtG"/>
        <w:rPr>
          <w:rFonts w:eastAsia="Calibri"/>
          <w:lang w:val="fr-FR"/>
        </w:rPr>
      </w:pPr>
      <w:r w:rsidRPr="00F13D2D">
        <w:rPr>
          <w:rFonts w:eastAsia="Calibri"/>
          <w:lang w:val="fr-FR"/>
        </w:rPr>
        <w:t>76.</w:t>
      </w:r>
      <w:r w:rsidRPr="00F13D2D">
        <w:rPr>
          <w:rFonts w:eastAsia="Calibri"/>
          <w:lang w:val="fr-FR"/>
        </w:rPr>
        <w:tab/>
      </w:r>
      <w:r w:rsidR="00E819C1" w:rsidRPr="00F13D2D">
        <w:rPr>
          <w:rFonts w:eastAsia="Calibri"/>
          <w:lang w:val="fr-FR"/>
        </w:rPr>
        <w:t>La Politique de lutte contre la pauvreté</w:t>
      </w:r>
      <w:r w:rsidR="006C160E" w:rsidRPr="00F13D2D">
        <w:rPr>
          <w:rFonts w:eastAsia="Calibri"/>
          <w:lang w:val="fr-FR"/>
        </w:rPr>
        <w:t xml:space="preserve"> </w:t>
      </w:r>
      <w:r w:rsidR="00E819C1" w:rsidRPr="00F13D2D">
        <w:rPr>
          <w:rFonts w:eastAsia="Calibri"/>
          <w:lang w:val="fr-FR"/>
        </w:rPr>
        <w:t>porte un intérêt particulier et soutenu aux couches vulnérables de la population.</w:t>
      </w:r>
    </w:p>
    <w:p w:rsidR="00E819C1" w:rsidRPr="00F13D2D" w:rsidRDefault="00CA1598" w:rsidP="00CA1598">
      <w:pPr>
        <w:pStyle w:val="H23G"/>
      </w:pPr>
      <w:bookmarkStart w:id="91" w:name="_Toc453672895"/>
      <w:bookmarkStart w:id="92" w:name="_Toc454388735"/>
      <w:r w:rsidRPr="00F13D2D">
        <w:tab/>
      </w:r>
      <w:r w:rsidR="00E819C1" w:rsidRPr="00F13D2D">
        <w:t>2</w:t>
      </w:r>
      <w:r w:rsidRPr="00F13D2D">
        <w:t>.</w:t>
      </w:r>
      <w:r w:rsidRPr="00F13D2D">
        <w:tab/>
      </w:r>
      <w:r w:rsidR="00E819C1" w:rsidRPr="00F13D2D">
        <w:t>Mesures spécifiques visant à réduire les disparités</w:t>
      </w:r>
      <w:bookmarkEnd w:id="91"/>
      <w:bookmarkEnd w:id="92"/>
      <w:r w:rsidR="00E819C1" w:rsidRPr="00F13D2D">
        <w:t xml:space="preserve"> </w:t>
      </w:r>
    </w:p>
    <w:p w:rsidR="00E819C1" w:rsidRPr="00F13D2D" w:rsidRDefault="0055270C" w:rsidP="0055270C">
      <w:pPr>
        <w:pStyle w:val="SingleTxtG"/>
        <w:rPr>
          <w:rFonts w:eastAsia="Calibri"/>
          <w:lang w:val="fr-FR"/>
        </w:rPr>
      </w:pPr>
      <w:r w:rsidRPr="00F13D2D">
        <w:rPr>
          <w:rFonts w:eastAsia="Calibri"/>
          <w:lang w:val="fr-FR"/>
        </w:rPr>
        <w:t>77.</w:t>
      </w:r>
      <w:r w:rsidRPr="00F13D2D">
        <w:rPr>
          <w:rFonts w:eastAsia="Calibri"/>
          <w:lang w:val="fr-FR"/>
        </w:rPr>
        <w:tab/>
      </w:r>
      <w:r w:rsidR="00E819C1" w:rsidRPr="00F13D2D">
        <w:rPr>
          <w:rFonts w:eastAsia="Calibri"/>
          <w:lang w:val="fr-FR"/>
        </w:rPr>
        <w:t>Plusieurs mesures ont été</w:t>
      </w:r>
      <w:r w:rsidR="006C160E" w:rsidRPr="00F13D2D">
        <w:rPr>
          <w:rFonts w:eastAsia="Calibri"/>
          <w:lang w:val="fr-FR"/>
        </w:rPr>
        <w:t xml:space="preserve"> </w:t>
      </w:r>
      <w:r w:rsidR="00E819C1" w:rsidRPr="00F13D2D">
        <w:rPr>
          <w:rFonts w:eastAsia="Calibri"/>
          <w:lang w:val="fr-FR"/>
        </w:rPr>
        <w:t>prévues</w:t>
      </w:r>
      <w:r w:rsidR="006C160E" w:rsidRPr="00F13D2D">
        <w:rPr>
          <w:rFonts w:eastAsia="Calibri"/>
          <w:lang w:val="fr-FR"/>
        </w:rPr>
        <w:t xml:space="preserve"> </w:t>
      </w:r>
      <w:r w:rsidR="00E819C1" w:rsidRPr="00F13D2D">
        <w:rPr>
          <w:rFonts w:eastAsia="Calibri"/>
          <w:lang w:val="fr-FR"/>
        </w:rPr>
        <w:t>afin de réduire les disparités d’ordre économique, social et géographique en particulier celles visant les femmes. Il s’agit, entre autres de l’élaboration et</w:t>
      </w:r>
      <w:r w:rsidR="006C160E" w:rsidRPr="00F13D2D">
        <w:rPr>
          <w:rFonts w:eastAsia="Calibri"/>
          <w:lang w:val="fr-FR"/>
        </w:rPr>
        <w:t xml:space="preserve"> </w:t>
      </w:r>
      <w:r w:rsidR="00E819C1" w:rsidRPr="00F13D2D">
        <w:rPr>
          <w:rFonts w:eastAsia="Calibri"/>
          <w:lang w:val="fr-FR"/>
        </w:rPr>
        <w:t>la mise en œuvre du</w:t>
      </w:r>
      <w:r w:rsidR="006C160E" w:rsidRPr="00F13D2D">
        <w:rPr>
          <w:rFonts w:eastAsia="Calibri"/>
          <w:lang w:val="fr-FR"/>
        </w:rPr>
        <w:t xml:space="preserve"> </w:t>
      </w:r>
      <w:r w:rsidR="00E819C1" w:rsidRPr="00F13D2D">
        <w:rPr>
          <w:rFonts w:eastAsia="Calibri"/>
          <w:lang w:val="fr-FR"/>
        </w:rPr>
        <w:t>plan d’actions national sur les VBG (2015-2018) et l’organisation de campagnes de lutte contre les mariages d‘enfants.</w:t>
      </w:r>
    </w:p>
    <w:p w:rsidR="00E819C1" w:rsidRPr="00F13D2D" w:rsidRDefault="0055270C" w:rsidP="0055270C">
      <w:pPr>
        <w:pStyle w:val="SingleTxtG"/>
        <w:rPr>
          <w:rFonts w:eastAsia="Calibri"/>
          <w:lang w:val="fr-FR"/>
        </w:rPr>
      </w:pPr>
      <w:r w:rsidRPr="00F13D2D">
        <w:rPr>
          <w:rFonts w:eastAsia="Calibri"/>
          <w:lang w:val="fr-FR"/>
        </w:rPr>
        <w:t>78.</w:t>
      </w:r>
      <w:r w:rsidRPr="00F13D2D">
        <w:rPr>
          <w:rFonts w:eastAsia="Calibri"/>
          <w:lang w:val="fr-FR"/>
        </w:rPr>
        <w:tab/>
      </w:r>
      <w:r w:rsidR="00E819C1" w:rsidRPr="00F13D2D">
        <w:rPr>
          <w:rFonts w:eastAsia="Calibri"/>
          <w:lang w:val="fr-FR"/>
        </w:rPr>
        <w:t>Des mesures ont été prises pour informer et sensibiliser l’opinion sur les stéréotypes et pratiques néfastes à la femme. Il s’agit de</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La commémoration de la journée Tolérance Zéro MGF</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L’organisation de plusieurs campagnes de sensibilisation</w:t>
      </w:r>
      <w:r w:rsidR="006C160E" w:rsidRPr="00F13D2D">
        <w:rPr>
          <w:rFonts w:eastAsia="Calibri"/>
          <w:lang w:val="fr-FR"/>
        </w:rPr>
        <w:t xml:space="preserve"> </w:t>
      </w:r>
      <w:r w:rsidR="00E819C1" w:rsidRPr="00F13D2D">
        <w:rPr>
          <w:rFonts w:eastAsia="Calibri"/>
          <w:lang w:val="fr-FR"/>
        </w:rPr>
        <w:t xml:space="preserve">contre les pratiques néfastes (MGF, obésité, mariage forcé et précoce…). </w:t>
      </w:r>
    </w:p>
    <w:p w:rsidR="00E819C1" w:rsidRPr="00F13D2D" w:rsidRDefault="00CA1598" w:rsidP="00CA1598">
      <w:pPr>
        <w:pStyle w:val="H23G"/>
      </w:pPr>
      <w:bookmarkStart w:id="93" w:name="_Toc453672896"/>
      <w:bookmarkStart w:id="94" w:name="_Toc454388736"/>
      <w:r w:rsidRPr="00F13D2D">
        <w:tab/>
      </w:r>
      <w:r w:rsidR="00E819C1" w:rsidRPr="00F13D2D">
        <w:t>3</w:t>
      </w:r>
      <w:r w:rsidRPr="00F13D2D">
        <w:t>.</w:t>
      </w:r>
      <w:r w:rsidRPr="00F13D2D">
        <w:tab/>
      </w:r>
      <w:r w:rsidR="00E819C1" w:rsidRPr="00F13D2D">
        <w:t>L’égalité devant la loi et égale protection de la loi</w:t>
      </w:r>
      <w:bookmarkEnd w:id="93"/>
      <w:bookmarkEnd w:id="94"/>
      <w:r w:rsidR="00E819C1" w:rsidRPr="00F13D2D">
        <w:t> </w:t>
      </w:r>
    </w:p>
    <w:p w:rsidR="00E819C1" w:rsidRPr="00F13D2D" w:rsidRDefault="0055270C" w:rsidP="0055270C">
      <w:pPr>
        <w:pStyle w:val="SingleTxtG"/>
        <w:rPr>
          <w:rFonts w:eastAsia="Calibri"/>
          <w:lang w:val="fr-FR"/>
        </w:rPr>
      </w:pPr>
      <w:r w:rsidRPr="00F13D2D">
        <w:rPr>
          <w:rFonts w:eastAsia="Calibri"/>
          <w:lang w:val="fr-FR"/>
        </w:rPr>
        <w:t>79.</w:t>
      </w:r>
      <w:r w:rsidRPr="00F13D2D">
        <w:rPr>
          <w:rFonts w:eastAsia="Calibri"/>
          <w:lang w:val="fr-FR"/>
        </w:rPr>
        <w:tab/>
      </w:r>
      <w:r w:rsidR="00E819C1" w:rsidRPr="00F13D2D">
        <w:rPr>
          <w:rFonts w:eastAsia="Calibri"/>
          <w:lang w:val="fr-FR"/>
        </w:rPr>
        <w:t>La Mauritanie a mis en place un système judiciaire fondé sur le double degré de juridiction et a facilité l’accès à la justice par l’intermédiaire de l’assistance judiciaire.</w:t>
      </w:r>
    </w:p>
    <w:p w:rsidR="00E819C1" w:rsidRPr="00F13D2D" w:rsidRDefault="00CA1598" w:rsidP="00CA1598">
      <w:pPr>
        <w:pStyle w:val="H1G"/>
      </w:pPr>
      <w:bookmarkStart w:id="95" w:name="_Toc453672897"/>
      <w:bookmarkStart w:id="96" w:name="_Toc454388737"/>
      <w:r w:rsidRPr="00F13D2D">
        <w:tab/>
        <w:t>K.</w:t>
      </w:r>
      <w:r w:rsidRPr="00F13D2D">
        <w:tab/>
      </w:r>
      <w:r w:rsidR="00E819C1" w:rsidRPr="00F13D2D">
        <w:t>Recours utiles</w:t>
      </w:r>
      <w:bookmarkEnd w:id="95"/>
      <w:bookmarkEnd w:id="96"/>
    </w:p>
    <w:p w:rsidR="00E819C1" w:rsidRPr="00F13D2D" w:rsidRDefault="0055270C" w:rsidP="0055270C">
      <w:pPr>
        <w:pStyle w:val="SingleTxtG"/>
        <w:rPr>
          <w:rFonts w:eastAsia="Calibri"/>
          <w:lang w:val="fr-FR"/>
        </w:rPr>
      </w:pPr>
      <w:r w:rsidRPr="00F13D2D">
        <w:rPr>
          <w:rFonts w:eastAsia="Calibri"/>
          <w:lang w:val="fr-FR"/>
        </w:rPr>
        <w:t>80.</w:t>
      </w:r>
      <w:r w:rsidRPr="00F13D2D">
        <w:rPr>
          <w:rFonts w:eastAsia="Calibri"/>
          <w:lang w:val="fr-FR"/>
        </w:rPr>
        <w:tab/>
      </w:r>
      <w:r w:rsidR="00E819C1" w:rsidRPr="00F13D2D">
        <w:rPr>
          <w:rFonts w:eastAsia="Calibri"/>
          <w:lang w:val="fr-FR"/>
        </w:rPr>
        <w:t xml:space="preserve">Les instruments internationaux relatifs aux droits de l’homme ratifiés sont incorporés dans l’ordre juridique interne conformément à l’article 80 de la </w:t>
      </w:r>
      <w:r w:rsidR="00D20B03" w:rsidRPr="00F13D2D">
        <w:rPr>
          <w:rFonts w:eastAsia="Calibri"/>
          <w:lang w:val="fr-FR"/>
        </w:rPr>
        <w:t>Constitution</w:t>
      </w:r>
      <w:r w:rsidR="00E819C1" w:rsidRPr="00F13D2D">
        <w:rPr>
          <w:rFonts w:eastAsia="Calibri"/>
          <w:lang w:val="fr-FR"/>
        </w:rPr>
        <w:t>. Toutes les dispositions relatives aux droits de l’homme issues des conventions ratifiées peuvent être invoquées devant les juridictions et le juge est tenu de les appliquer.</w:t>
      </w:r>
    </w:p>
    <w:p w:rsidR="00E819C1" w:rsidRPr="00F13D2D" w:rsidRDefault="00AC0786" w:rsidP="00AC0786">
      <w:pPr>
        <w:pStyle w:val="HChG"/>
      </w:pPr>
      <w:bookmarkStart w:id="97" w:name="_Toc453672898"/>
      <w:bookmarkStart w:id="98" w:name="_Toc454386594"/>
      <w:bookmarkStart w:id="99" w:name="_Toc454386663"/>
      <w:bookmarkStart w:id="100" w:name="_Toc454388738"/>
      <w:r w:rsidRPr="00F13D2D">
        <w:tab/>
      </w:r>
      <w:r w:rsidRPr="00F13D2D">
        <w:tab/>
      </w:r>
      <w:r w:rsidR="00E819C1" w:rsidRPr="00F13D2D">
        <w:t>Deuxième</w:t>
      </w:r>
      <w:r w:rsidR="006C160E" w:rsidRPr="00F13D2D">
        <w:t xml:space="preserve"> </w:t>
      </w:r>
      <w:r w:rsidR="00E819C1" w:rsidRPr="00F13D2D">
        <w:t>partie</w:t>
      </w:r>
      <w:r w:rsidR="00FC0832">
        <w:t> :</w:t>
      </w:r>
      <w:r w:rsidR="00E819C1" w:rsidRPr="00F13D2D">
        <w:t xml:space="preserve"> </w:t>
      </w:r>
      <w:bookmarkEnd w:id="97"/>
      <w:bookmarkEnd w:id="98"/>
      <w:bookmarkEnd w:id="99"/>
      <w:bookmarkEnd w:id="100"/>
      <w:r w:rsidR="00E819C1" w:rsidRPr="00F13D2D">
        <w:t xml:space="preserve">Mise en œuvre des dispositions </w:t>
      </w:r>
      <w:r w:rsidR="00A620CC">
        <w:br/>
      </w:r>
      <w:r w:rsidR="00E819C1" w:rsidRPr="00F13D2D">
        <w:t xml:space="preserve">de la </w:t>
      </w:r>
      <w:r w:rsidR="003D0AAF" w:rsidRPr="00F13D2D">
        <w:t>Convention</w:t>
      </w:r>
    </w:p>
    <w:p w:rsidR="00E819C1" w:rsidRPr="00F13D2D" w:rsidRDefault="00AC0786" w:rsidP="00DB182A">
      <w:pPr>
        <w:pStyle w:val="H1G"/>
      </w:pPr>
      <w:bookmarkStart w:id="101" w:name="_Toc453672899"/>
      <w:bookmarkStart w:id="102" w:name="_Toc454386595"/>
      <w:bookmarkStart w:id="103" w:name="_Toc454386664"/>
      <w:bookmarkStart w:id="104" w:name="_Toc454388739"/>
      <w:r w:rsidRPr="00F13D2D">
        <w:tab/>
      </w:r>
      <w:r w:rsidRPr="00F13D2D">
        <w:tab/>
      </w:r>
      <w:r w:rsidR="00E819C1" w:rsidRPr="00F13D2D">
        <w:t>Première sous-partie</w:t>
      </w:r>
      <w:r w:rsidR="002A5875">
        <w:t> </w:t>
      </w:r>
      <w:r w:rsidR="00FC0832">
        <w:t>:</w:t>
      </w:r>
      <w:r w:rsidR="00E819C1" w:rsidRPr="00F13D2D">
        <w:t xml:space="preserve"> Mesures d’application</w:t>
      </w:r>
      <w:r w:rsidR="006C160E" w:rsidRPr="00F13D2D">
        <w:t xml:space="preserve"> </w:t>
      </w:r>
      <w:r w:rsidR="00E819C1" w:rsidRPr="00F13D2D">
        <w:t>générale</w:t>
      </w:r>
      <w:bookmarkStart w:id="105" w:name="_Toc454388740"/>
      <w:bookmarkEnd w:id="101"/>
      <w:bookmarkEnd w:id="102"/>
      <w:bookmarkEnd w:id="103"/>
      <w:bookmarkEnd w:id="104"/>
      <w:r w:rsidR="00CA1598" w:rsidRPr="00F13D2D">
        <w:t xml:space="preserve"> </w:t>
      </w:r>
      <w:r w:rsidR="00C8605E">
        <w:br/>
      </w:r>
      <w:r w:rsidR="00E819C1" w:rsidRPr="00F13D2D">
        <w:t>(</w:t>
      </w:r>
      <w:r w:rsidR="003D0AAF">
        <w:t>a</w:t>
      </w:r>
      <w:r w:rsidR="00E819C1" w:rsidRPr="00F13D2D">
        <w:t>rt</w:t>
      </w:r>
      <w:r w:rsidR="00666D59">
        <w:t>. </w:t>
      </w:r>
      <w:r w:rsidR="00E819C1" w:rsidRPr="00F13D2D">
        <w:t>4, 42 et 44, par.</w:t>
      </w:r>
      <w:r w:rsidR="003D0AAF">
        <w:t> </w:t>
      </w:r>
      <w:r w:rsidR="00E819C1" w:rsidRPr="00F13D2D">
        <w:t>6)</w:t>
      </w:r>
      <w:bookmarkEnd w:id="105"/>
    </w:p>
    <w:p w:rsidR="00E819C1" w:rsidRPr="00AA7A93" w:rsidRDefault="00AC0786" w:rsidP="00AA7A93">
      <w:pPr>
        <w:pStyle w:val="H1G"/>
      </w:pPr>
      <w:bookmarkStart w:id="106" w:name="_Toc453672900"/>
      <w:bookmarkStart w:id="107" w:name="_Toc454386596"/>
      <w:bookmarkStart w:id="108" w:name="_Toc454386665"/>
      <w:bookmarkStart w:id="109" w:name="_Toc454388741"/>
      <w:r w:rsidRPr="000E17DF">
        <w:tab/>
        <w:t>A.</w:t>
      </w:r>
      <w:r w:rsidRPr="000E17DF">
        <w:tab/>
      </w:r>
      <w:r w:rsidR="00E819C1" w:rsidRPr="00E06F1B">
        <w:t>Mesures d</w:t>
      </w:r>
      <w:r w:rsidR="006C160E" w:rsidRPr="00AA7A93">
        <w:t>’</w:t>
      </w:r>
      <w:r w:rsidR="00E819C1" w:rsidRPr="00AA7A93">
        <w:t>harmonisation de la législation et de</w:t>
      </w:r>
      <w:r w:rsidR="006C160E" w:rsidRPr="00AA7A93">
        <w:t xml:space="preserve"> </w:t>
      </w:r>
      <w:r w:rsidR="00E819C1" w:rsidRPr="00AA7A93">
        <w:t>la politique nationales avec les dispositions de la Convention</w:t>
      </w:r>
      <w:bookmarkEnd w:id="106"/>
      <w:bookmarkEnd w:id="107"/>
      <w:bookmarkEnd w:id="108"/>
      <w:bookmarkEnd w:id="109"/>
    </w:p>
    <w:p w:rsidR="00E819C1" w:rsidRPr="00E06F1B" w:rsidRDefault="00AC0786" w:rsidP="00AA7A93">
      <w:pPr>
        <w:pStyle w:val="H23G"/>
      </w:pPr>
      <w:bookmarkStart w:id="110" w:name="_Toc453672901"/>
      <w:bookmarkStart w:id="111" w:name="_Toc454388742"/>
      <w:r w:rsidRPr="00F13D2D">
        <w:tab/>
      </w:r>
      <w:r w:rsidR="00E819C1" w:rsidRPr="00F13D2D">
        <w:t>1</w:t>
      </w:r>
      <w:r w:rsidRPr="00F13D2D">
        <w:t>.</w:t>
      </w:r>
      <w:r w:rsidRPr="00F13D2D">
        <w:tab/>
      </w:r>
      <w:r w:rsidR="00E819C1" w:rsidRPr="00F13D2D">
        <w:t>Textes adoptés pour améliorer la situation de l’Enfant</w:t>
      </w:r>
      <w:bookmarkEnd w:id="110"/>
      <w:bookmarkEnd w:id="111"/>
    </w:p>
    <w:p w:rsidR="00E819C1" w:rsidRPr="00F13D2D" w:rsidRDefault="0055270C" w:rsidP="0055270C">
      <w:pPr>
        <w:pStyle w:val="SingleTxtG"/>
        <w:rPr>
          <w:rFonts w:eastAsia="Calibri"/>
          <w:lang w:val="fr-FR"/>
        </w:rPr>
      </w:pPr>
      <w:r w:rsidRPr="00F13D2D">
        <w:rPr>
          <w:rFonts w:eastAsia="Calibri"/>
          <w:lang w:val="fr-FR"/>
        </w:rPr>
        <w:t>81.</w:t>
      </w:r>
      <w:r w:rsidRPr="00F13D2D">
        <w:rPr>
          <w:rFonts w:eastAsia="Calibri"/>
          <w:lang w:val="fr-FR"/>
        </w:rPr>
        <w:tab/>
      </w:r>
      <w:r w:rsidR="00E819C1" w:rsidRPr="00F13D2D">
        <w:rPr>
          <w:rFonts w:eastAsia="Calibri"/>
          <w:lang w:val="fr-FR"/>
        </w:rPr>
        <w:t>Les textes suivants ont été adoptés afin de promouvoir les droits de l</w:t>
      </w:r>
      <w:r w:rsidR="006C160E" w:rsidRPr="00F13D2D">
        <w:rPr>
          <w:rFonts w:eastAsia="Calibri"/>
          <w:lang w:val="fr-FR"/>
        </w:rPr>
        <w:t>’</w:t>
      </w:r>
      <w:r w:rsidR="00E819C1" w:rsidRPr="00F13D2D">
        <w:rPr>
          <w:rFonts w:eastAsia="Calibri"/>
          <w:lang w:val="fr-FR"/>
        </w:rPr>
        <w:t>enfant</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CA1D05" w:rsidRPr="00F13D2D">
        <w:rPr>
          <w:rFonts w:eastAsia="Calibri"/>
          <w:lang w:val="fr-FR"/>
        </w:rPr>
        <w:t xml:space="preserve">La </w:t>
      </w:r>
      <w:r w:rsidR="00E819C1" w:rsidRPr="00F13D2D">
        <w:rPr>
          <w:rFonts w:eastAsia="Calibri"/>
          <w:lang w:val="fr-FR"/>
        </w:rPr>
        <w:t xml:space="preserve">loi abrogeant et remplaçant certaines dispositions de la loi </w:t>
      </w:r>
      <w:r w:rsidR="00CA1D05" w:rsidRPr="00F13D2D">
        <w:rPr>
          <w:rFonts w:eastAsia="Calibri"/>
          <w:lang w:val="fr-FR"/>
        </w:rPr>
        <w:t>n</w:t>
      </w:r>
      <w:r w:rsidR="00CA1D05" w:rsidRPr="00D94992">
        <w:rPr>
          <w:rFonts w:eastAsia="Calibri"/>
          <w:vertAlign w:val="superscript"/>
          <w:lang w:val="fr-FR"/>
        </w:rPr>
        <w:t>o</w:t>
      </w:r>
      <w:r w:rsidR="00CA1D05">
        <w:rPr>
          <w:rFonts w:eastAsia="Calibri"/>
          <w:lang w:val="fr-FR"/>
        </w:rPr>
        <w:t> </w:t>
      </w:r>
      <w:r w:rsidR="00E819C1" w:rsidRPr="00F13D2D">
        <w:rPr>
          <w:rFonts w:eastAsia="Calibri"/>
          <w:lang w:val="fr-FR"/>
        </w:rPr>
        <w:t>61-016 du 30</w:t>
      </w:r>
      <w:r w:rsidR="002E662F">
        <w:rPr>
          <w:rFonts w:eastAsia="Calibri"/>
          <w:lang w:val="fr-FR"/>
        </w:rPr>
        <w:t> </w:t>
      </w:r>
      <w:r w:rsidR="00E819C1" w:rsidRPr="00F13D2D">
        <w:rPr>
          <w:rFonts w:eastAsia="Calibri"/>
          <w:lang w:val="fr-FR"/>
        </w:rPr>
        <w:t>janvier 1961 fixant le régime</w:t>
      </w:r>
      <w:r w:rsidR="006C160E" w:rsidRPr="00F13D2D">
        <w:rPr>
          <w:rFonts w:eastAsia="Calibri"/>
          <w:lang w:val="fr-FR"/>
        </w:rPr>
        <w:t xml:space="preserve"> </w:t>
      </w:r>
      <w:r w:rsidR="00E819C1" w:rsidRPr="00F13D2D">
        <w:rPr>
          <w:rFonts w:eastAsia="Calibri"/>
          <w:lang w:val="fr-FR"/>
        </w:rPr>
        <w:t xml:space="preserve">des pensions civiles de la caisse de retraite. </w:t>
      </w:r>
      <w:r w:rsidR="00E819C1" w:rsidRPr="00F13D2D">
        <w:rPr>
          <w:rFonts w:eastAsia="Calibri"/>
          <w:lang w:val="fr-FR"/>
        </w:rPr>
        <w:lastRenderedPageBreak/>
        <w:t>Cette</w:t>
      </w:r>
      <w:r w:rsidR="0020672D">
        <w:rPr>
          <w:rFonts w:eastAsia="Calibri"/>
          <w:lang w:val="fr-FR"/>
        </w:rPr>
        <w:t> </w:t>
      </w:r>
      <w:r w:rsidR="00E819C1" w:rsidRPr="00F13D2D">
        <w:rPr>
          <w:rFonts w:eastAsia="Calibri"/>
          <w:lang w:val="fr-FR"/>
        </w:rPr>
        <w:t>loi met fin à une discrimination contre les femmes et les enfants afin d’assurer le droit de réversion de la pension aux conjoints et aux enfants survivants</w:t>
      </w:r>
      <w:r w:rsidR="00E52C56">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La loi n</w:t>
      </w:r>
      <w:r w:rsidR="00CA1D05" w:rsidRPr="00AA7A93">
        <w:rPr>
          <w:rFonts w:eastAsia="Calibri"/>
          <w:vertAlign w:val="superscript"/>
          <w:lang w:val="fr-FR"/>
        </w:rPr>
        <w:t>o</w:t>
      </w:r>
      <w:r w:rsidR="00CA1D05">
        <w:rPr>
          <w:rFonts w:eastAsia="Calibri"/>
          <w:lang w:val="fr-FR"/>
        </w:rPr>
        <w:t> </w:t>
      </w:r>
      <w:r w:rsidR="00E819C1" w:rsidRPr="00F13D2D">
        <w:rPr>
          <w:rFonts w:eastAsia="Calibri"/>
          <w:lang w:val="fr-FR"/>
        </w:rPr>
        <w:t>2007-042 du 3 septembre 2007 relative à la prévention, la prise en charge et le contrôle du VIH</w:t>
      </w:r>
      <w:r w:rsidR="003D0AAF">
        <w:rPr>
          <w:rFonts w:eastAsia="Calibri"/>
          <w:lang w:val="fr-FR"/>
        </w:rPr>
        <w:t>/sida</w:t>
      </w:r>
      <w:r w:rsidR="00FC0832">
        <w:rPr>
          <w:rFonts w:eastAsia="Calibri"/>
          <w:lang w:val="fr-FR"/>
        </w:rPr>
        <w:t> ;</w:t>
      </w:r>
      <w:r w:rsidR="00E819C1"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CA1D05" w:rsidRPr="00F13D2D">
        <w:rPr>
          <w:rFonts w:eastAsia="Calibri"/>
          <w:lang w:val="fr-FR"/>
        </w:rPr>
        <w:t>L’arrêté n</w:t>
      </w:r>
      <w:r w:rsidR="00CA1D05" w:rsidRPr="00D94992">
        <w:rPr>
          <w:rFonts w:eastAsia="Calibri"/>
          <w:vertAlign w:val="superscript"/>
          <w:lang w:val="fr-FR"/>
        </w:rPr>
        <w:t>o</w:t>
      </w:r>
      <w:r w:rsidR="00CA1D05">
        <w:rPr>
          <w:rFonts w:eastAsia="Calibri"/>
          <w:lang w:val="fr-FR"/>
        </w:rPr>
        <w:t> </w:t>
      </w:r>
      <w:r w:rsidR="00E819C1" w:rsidRPr="00F13D2D">
        <w:rPr>
          <w:rFonts w:eastAsia="Calibri"/>
          <w:lang w:val="fr-FR"/>
        </w:rPr>
        <w:t>797 du 18 août 2011 réglementant l’emploi des domestiques de maison</w:t>
      </w:r>
      <w:r w:rsidR="00FC0832">
        <w:rPr>
          <w:rFonts w:eastAsia="Calibri"/>
          <w:lang w:val="fr-FR"/>
        </w:rPr>
        <w:t> ;</w:t>
      </w:r>
      <w:r w:rsidR="00E819C1"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CA1D05" w:rsidRPr="00F13D2D">
        <w:rPr>
          <w:rFonts w:eastAsia="Calibri"/>
          <w:lang w:val="fr-FR"/>
        </w:rPr>
        <w:t xml:space="preserve">La </w:t>
      </w:r>
      <w:r w:rsidR="00E819C1" w:rsidRPr="00F13D2D">
        <w:rPr>
          <w:rFonts w:eastAsia="Calibri"/>
          <w:lang w:val="fr-FR"/>
        </w:rPr>
        <w:t>fatwa interdisant les mutilations génitales Féminines (MGF)</w:t>
      </w:r>
      <w:r w:rsidR="00E52C56">
        <w:rPr>
          <w:rFonts w:eastAsia="Calibri"/>
          <w:lang w:val="fr-FR"/>
        </w:rPr>
        <w:t>.</w:t>
      </w:r>
    </w:p>
    <w:p w:rsidR="00E819C1" w:rsidRPr="00E06F1B" w:rsidRDefault="00AC0786" w:rsidP="00AA7A93">
      <w:pPr>
        <w:pStyle w:val="H23G"/>
      </w:pPr>
      <w:bookmarkStart w:id="112" w:name="_Toc453672902"/>
      <w:bookmarkStart w:id="113" w:name="_Toc454388743"/>
      <w:r w:rsidRPr="000E17DF">
        <w:tab/>
      </w:r>
      <w:r w:rsidR="00E819C1" w:rsidRPr="00F13D2D">
        <w:t>2</w:t>
      </w:r>
      <w:r w:rsidRPr="00F13D2D">
        <w:t>.</w:t>
      </w:r>
      <w:r w:rsidRPr="00F13D2D">
        <w:tab/>
      </w:r>
      <w:r w:rsidR="00E819C1" w:rsidRPr="00F13D2D">
        <w:t>Mesures prises pour améliorer la situation de l’enfant</w:t>
      </w:r>
      <w:bookmarkEnd w:id="112"/>
      <w:bookmarkEnd w:id="113"/>
    </w:p>
    <w:p w:rsidR="00E819C1" w:rsidRPr="00F13D2D" w:rsidRDefault="0055270C" w:rsidP="0055270C">
      <w:pPr>
        <w:pStyle w:val="SingleTxtG"/>
        <w:rPr>
          <w:rFonts w:eastAsia="Calibri"/>
          <w:lang w:val="fr-FR"/>
        </w:rPr>
      </w:pPr>
      <w:r w:rsidRPr="00F13D2D">
        <w:rPr>
          <w:rFonts w:eastAsia="Calibri"/>
          <w:lang w:val="fr-FR"/>
        </w:rPr>
        <w:t>82.</w:t>
      </w:r>
      <w:r w:rsidRPr="00F13D2D">
        <w:rPr>
          <w:rFonts w:eastAsia="Calibri"/>
          <w:lang w:val="fr-FR"/>
        </w:rPr>
        <w:tab/>
      </w:r>
      <w:r w:rsidR="00E819C1" w:rsidRPr="00F13D2D">
        <w:rPr>
          <w:rFonts w:eastAsia="Calibri"/>
          <w:lang w:val="fr-FR"/>
        </w:rPr>
        <w:t>Il s</w:t>
      </w:r>
      <w:r w:rsidR="006C160E" w:rsidRPr="00F13D2D">
        <w:rPr>
          <w:rFonts w:eastAsia="Calibri"/>
          <w:lang w:val="fr-FR"/>
        </w:rPr>
        <w:t>’</w:t>
      </w:r>
      <w:r w:rsidR="00E819C1" w:rsidRPr="00F13D2D">
        <w:rPr>
          <w:rFonts w:eastAsia="Calibri"/>
          <w:lang w:val="fr-FR"/>
        </w:rPr>
        <w:t>agit essentiellement de</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CA1D05" w:rsidRPr="00F13D2D">
        <w:rPr>
          <w:rFonts w:eastAsia="Calibri"/>
          <w:lang w:val="fr-FR"/>
        </w:rPr>
        <w:t xml:space="preserve">L’organisation </w:t>
      </w:r>
      <w:r w:rsidR="00E819C1" w:rsidRPr="00F13D2D">
        <w:rPr>
          <w:rFonts w:eastAsia="Calibri"/>
          <w:lang w:val="fr-FR"/>
        </w:rPr>
        <w:t>des états généraux de l’éducation</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CA1D05" w:rsidRPr="00F13D2D">
        <w:rPr>
          <w:rFonts w:eastAsia="Calibri"/>
          <w:lang w:val="fr-FR"/>
        </w:rPr>
        <w:t xml:space="preserve">La </w:t>
      </w:r>
      <w:r w:rsidR="00E819C1" w:rsidRPr="00F13D2D">
        <w:rPr>
          <w:rFonts w:eastAsia="Calibri"/>
          <w:lang w:val="fr-FR"/>
        </w:rPr>
        <w:t>création d’un parlement des enfants</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CA1D05" w:rsidRPr="00F13D2D">
        <w:rPr>
          <w:rFonts w:eastAsia="Calibri"/>
          <w:lang w:val="fr-FR"/>
        </w:rPr>
        <w:t xml:space="preserve">La </w:t>
      </w:r>
      <w:r w:rsidR="00E819C1" w:rsidRPr="00F13D2D">
        <w:rPr>
          <w:rFonts w:eastAsia="Calibri"/>
          <w:lang w:val="fr-FR"/>
        </w:rPr>
        <w:t>Stratégie Nationale d’Institutionnalisation du Genre</w:t>
      </w:r>
      <w:r w:rsidR="00E52C56">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La stratégie de protection sociale</w:t>
      </w:r>
      <w:r w:rsidR="00E52C56">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La stratégie nationale de gestion de la migration</w:t>
      </w:r>
      <w:r w:rsidR="00E52C56">
        <w:rPr>
          <w:rFonts w:eastAsia="Calibri"/>
          <w:lang w:val="fr-FR"/>
        </w:rPr>
        <w:t>.</w:t>
      </w:r>
    </w:p>
    <w:p w:rsidR="00E819C1" w:rsidRPr="00E06F1B" w:rsidRDefault="00716E20" w:rsidP="00AA7A93">
      <w:pPr>
        <w:pStyle w:val="H23G"/>
      </w:pPr>
      <w:bookmarkStart w:id="114" w:name="_Toc453672903"/>
      <w:bookmarkStart w:id="115" w:name="_Toc454388744"/>
      <w:r w:rsidRPr="000E17DF">
        <w:tab/>
      </w:r>
      <w:r w:rsidR="00E819C1" w:rsidRPr="00F13D2D">
        <w:t>3</w:t>
      </w:r>
      <w:r w:rsidRPr="00F13D2D">
        <w:t>.</w:t>
      </w:r>
      <w:r w:rsidRPr="00F13D2D">
        <w:tab/>
      </w:r>
      <w:r w:rsidR="00E819C1" w:rsidRPr="00F13D2D">
        <w:t>Amélioration des institutions d’encadrement des enfants</w:t>
      </w:r>
      <w:bookmarkEnd w:id="114"/>
      <w:bookmarkEnd w:id="115"/>
    </w:p>
    <w:p w:rsidR="00E819C1" w:rsidRPr="00F13D2D" w:rsidRDefault="0055270C" w:rsidP="0055270C">
      <w:pPr>
        <w:pStyle w:val="SingleTxtG"/>
        <w:rPr>
          <w:rFonts w:eastAsia="Calibri"/>
          <w:lang w:val="fr-FR"/>
        </w:rPr>
      </w:pPr>
      <w:r w:rsidRPr="00F13D2D">
        <w:rPr>
          <w:rFonts w:eastAsia="Calibri"/>
          <w:lang w:val="fr-FR"/>
        </w:rPr>
        <w:t>83.</w:t>
      </w:r>
      <w:r w:rsidRPr="00F13D2D">
        <w:rPr>
          <w:rFonts w:eastAsia="Calibri"/>
          <w:lang w:val="fr-FR"/>
        </w:rPr>
        <w:tab/>
      </w:r>
      <w:r w:rsidR="0020672D" w:rsidRPr="00F13D2D">
        <w:rPr>
          <w:rFonts w:eastAsia="Calibri"/>
          <w:lang w:val="fr-FR"/>
        </w:rPr>
        <w:t xml:space="preserve">L’activité </w:t>
      </w:r>
      <w:r w:rsidR="00E819C1" w:rsidRPr="00F13D2D">
        <w:rPr>
          <w:rFonts w:eastAsia="Calibri"/>
          <w:lang w:val="fr-FR"/>
        </w:rPr>
        <w:t>de coordination et de plaidoyer</w:t>
      </w:r>
      <w:r w:rsidR="006C160E" w:rsidRPr="00F13D2D">
        <w:rPr>
          <w:rFonts w:eastAsia="Calibri"/>
          <w:lang w:val="fr-FR"/>
        </w:rPr>
        <w:t xml:space="preserve"> </w:t>
      </w:r>
      <w:r w:rsidR="00E819C1" w:rsidRPr="00F13D2D">
        <w:rPr>
          <w:rFonts w:eastAsia="Calibri"/>
          <w:lang w:val="fr-FR"/>
        </w:rPr>
        <w:t>en faveur de la protection et de la promotion des droits de l’enfant a été améliorée par </w:t>
      </w:r>
      <w:r w:rsidR="00FC0832">
        <w:rPr>
          <w:rFonts w:eastAsia="Calibri"/>
          <w:lang w:val="fr-FR"/>
        </w:rPr>
        <w:t>:</w:t>
      </w:r>
      <w:r w:rsidR="00E819C1" w:rsidRPr="00F13D2D">
        <w:rPr>
          <w:rFonts w:eastAsia="Calibri"/>
          <w:lang w:val="fr-FR"/>
        </w:rPr>
        <w:t xml:space="preserve"> (i) la mise en place</w:t>
      </w:r>
      <w:r w:rsidR="006C160E" w:rsidRPr="00F13D2D">
        <w:rPr>
          <w:rFonts w:eastAsia="Calibri"/>
          <w:lang w:val="fr-FR"/>
        </w:rPr>
        <w:t xml:space="preserve"> </w:t>
      </w:r>
      <w:r w:rsidR="00E819C1" w:rsidRPr="00F13D2D">
        <w:rPr>
          <w:rFonts w:eastAsia="Calibri"/>
          <w:lang w:val="fr-FR"/>
        </w:rPr>
        <w:t>de comités régionaux</w:t>
      </w:r>
      <w:r w:rsidR="006C160E" w:rsidRPr="00F13D2D">
        <w:rPr>
          <w:rFonts w:eastAsia="Calibri"/>
          <w:lang w:val="fr-FR"/>
        </w:rPr>
        <w:t xml:space="preserve"> </w:t>
      </w:r>
      <w:r w:rsidR="00E819C1" w:rsidRPr="00F13D2D">
        <w:rPr>
          <w:rFonts w:eastAsia="Calibri"/>
          <w:lang w:val="fr-FR"/>
        </w:rPr>
        <w:t>et de cellules pour le traitement, la résolution des litiges familiaux</w:t>
      </w:r>
      <w:r w:rsidR="0020672D">
        <w:rPr>
          <w:rFonts w:eastAsia="Calibri"/>
          <w:lang w:val="fr-FR"/>
        </w:rPr>
        <w:t> ;</w:t>
      </w:r>
      <w:r w:rsidR="006C160E" w:rsidRPr="00F13D2D">
        <w:rPr>
          <w:rFonts w:eastAsia="Calibri"/>
          <w:lang w:val="fr-FR"/>
        </w:rPr>
        <w:t xml:space="preserve"> </w:t>
      </w:r>
      <w:r w:rsidR="00E819C1" w:rsidRPr="00F13D2D">
        <w:rPr>
          <w:rFonts w:eastAsia="Calibri"/>
          <w:lang w:val="fr-FR"/>
        </w:rPr>
        <w:t>(ii) la création du centre de protection et d’insertion sociale des enfants (CPISE)</w:t>
      </w:r>
      <w:r w:rsidR="0020672D">
        <w:rPr>
          <w:rFonts w:eastAsia="Calibri"/>
          <w:lang w:val="fr-FR"/>
        </w:rPr>
        <w:t> ;</w:t>
      </w:r>
      <w:r w:rsidR="006C160E" w:rsidRPr="00F13D2D">
        <w:rPr>
          <w:rFonts w:eastAsia="Calibri"/>
          <w:lang w:val="fr-FR"/>
        </w:rPr>
        <w:t xml:space="preserve"> </w:t>
      </w:r>
      <w:r w:rsidR="00E819C1" w:rsidRPr="00F13D2D">
        <w:rPr>
          <w:rFonts w:eastAsia="Calibri"/>
          <w:lang w:val="fr-FR"/>
        </w:rPr>
        <w:t>(iii) la mise en p</w:t>
      </w:r>
      <w:r w:rsidR="0020672D">
        <w:rPr>
          <w:rFonts w:eastAsia="Calibri"/>
          <w:lang w:val="fr-FR"/>
        </w:rPr>
        <w:t>lace des tribunaux pour enfants ;</w:t>
      </w:r>
      <w:r w:rsidR="006C160E" w:rsidRPr="00F13D2D">
        <w:rPr>
          <w:rFonts w:eastAsia="Calibri"/>
          <w:lang w:val="fr-FR"/>
        </w:rPr>
        <w:t xml:space="preserve"> </w:t>
      </w:r>
      <w:r w:rsidR="00E819C1" w:rsidRPr="00F13D2D">
        <w:rPr>
          <w:rFonts w:eastAsia="Calibri"/>
          <w:lang w:val="fr-FR"/>
        </w:rPr>
        <w:t>(iv) de commissariats</w:t>
      </w:r>
      <w:r w:rsidR="0020672D">
        <w:rPr>
          <w:rFonts w:eastAsia="Calibri"/>
          <w:lang w:val="fr-FR"/>
        </w:rPr>
        <w:t> ;</w:t>
      </w:r>
      <w:r w:rsidR="00E819C1" w:rsidRPr="00F13D2D">
        <w:rPr>
          <w:rFonts w:eastAsia="Calibri"/>
          <w:lang w:val="fr-FR"/>
        </w:rPr>
        <w:t xml:space="preserve"> et</w:t>
      </w:r>
      <w:r w:rsidR="006C160E" w:rsidRPr="00F13D2D">
        <w:rPr>
          <w:rFonts w:eastAsia="Calibri"/>
          <w:lang w:val="fr-FR"/>
        </w:rPr>
        <w:t xml:space="preserve"> </w:t>
      </w:r>
      <w:r w:rsidR="00E819C1" w:rsidRPr="00F13D2D">
        <w:rPr>
          <w:rFonts w:eastAsia="Calibri"/>
          <w:lang w:val="fr-FR"/>
        </w:rPr>
        <w:t>(v) de centres spécifiques aux enfants en conflit a</w:t>
      </w:r>
      <w:r w:rsidR="0020672D">
        <w:rPr>
          <w:rFonts w:eastAsia="Calibri"/>
          <w:lang w:val="fr-FR"/>
        </w:rPr>
        <w:t xml:space="preserve">vec la loi. </w:t>
      </w:r>
      <w:r w:rsidR="00E819C1" w:rsidRPr="00F13D2D">
        <w:rPr>
          <w:rFonts w:eastAsia="Calibri"/>
          <w:lang w:val="fr-FR"/>
        </w:rPr>
        <w:t xml:space="preserve">La création d’un secrétariat exécutif national de lutte contre le </w:t>
      </w:r>
      <w:r w:rsidR="00980831" w:rsidRPr="00F13D2D">
        <w:rPr>
          <w:rFonts w:eastAsia="Calibri"/>
          <w:lang w:val="fr-FR"/>
        </w:rPr>
        <w:t xml:space="preserve">sida </w:t>
      </w:r>
      <w:r w:rsidR="00E819C1" w:rsidRPr="00F13D2D">
        <w:rPr>
          <w:rFonts w:eastAsia="Calibri"/>
          <w:lang w:val="fr-FR"/>
        </w:rPr>
        <w:t>(SENLS) a permis la mise en place de</w:t>
      </w:r>
      <w:r w:rsidR="006C160E" w:rsidRPr="00F13D2D">
        <w:rPr>
          <w:rFonts w:eastAsia="Calibri"/>
          <w:lang w:val="fr-FR"/>
        </w:rPr>
        <w:t xml:space="preserve"> </w:t>
      </w:r>
      <w:r w:rsidR="00E819C1" w:rsidRPr="00F13D2D">
        <w:rPr>
          <w:rFonts w:eastAsia="Calibri"/>
          <w:lang w:val="fr-FR"/>
        </w:rPr>
        <w:t xml:space="preserve">plusieurs centres de traitement ambulatoire où les médicaments antirétroviraux sont distribués gratuitement à tous les patients y compris les enfants. Plusieurs campagnes de prévention et de dépistage en direction des femmes et des filles ont été menées par la coordination sectorielle du SENLS au niveau du MASEF. </w:t>
      </w:r>
    </w:p>
    <w:p w:rsidR="00E819C1" w:rsidRPr="00E06F1B" w:rsidRDefault="00716E20" w:rsidP="00AA7A93">
      <w:pPr>
        <w:pStyle w:val="H23G"/>
      </w:pPr>
      <w:bookmarkStart w:id="116" w:name="_Toc453672904"/>
      <w:bookmarkStart w:id="117" w:name="_Toc454388745"/>
      <w:r w:rsidRPr="000E17DF">
        <w:tab/>
        <w:t>4.</w:t>
      </w:r>
      <w:r w:rsidRPr="000E17DF">
        <w:tab/>
      </w:r>
      <w:r w:rsidR="00E819C1" w:rsidRPr="00F13D2D">
        <w:t>Concertation avec les autorités judiciaires</w:t>
      </w:r>
      <w:bookmarkEnd w:id="116"/>
      <w:bookmarkEnd w:id="117"/>
    </w:p>
    <w:p w:rsidR="00E819C1" w:rsidRPr="00F13D2D" w:rsidRDefault="0055270C" w:rsidP="0055270C">
      <w:pPr>
        <w:pStyle w:val="SingleTxtG"/>
        <w:rPr>
          <w:rFonts w:eastAsia="Calibri"/>
          <w:lang w:val="fr-FR"/>
        </w:rPr>
      </w:pPr>
      <w:r w:rsidRPr="00F13D2D">
        <w:rPr>
          <w:rFonts w:eastAsia="Calibri"/>
          <w:lang w:val="fr-FR"/>
        </w:rPr>
        <w:t>84.</w:t>
      </w:r>
      <w:r w:rsidRPr="00F13D2D">
        <w:rPr>
          <w:rFonts w:eastAsia="Calibri"/>
          <w:lang w:val="fr-FR"/>
        </w:rPr>
        <w:tab/>
      </w:r>
      <w:r w:rsidR="00E819C1" w:rsidRPr="00F13D2D">
        <w:rPr>
          <w:rFonts w:eastAsia="Calibri"/>
          <w:lang w:val="fr-FR"/>
        </w:rPr>
        <w:t>Plusieurs séminaires de plaidoyer, de formation et de concertation ont été organisés au profit des présidents de tribunaux, avocats, officiers de police, gendarmes, commissaires,</w:t>
      </w:r>
      <w:r w:rsidR="006C160E" w:rsidRPr="00F13D2D">
        <w:rPr>
          <w:rFonts w:eastAsia="Calibri"/>
          <w:lang w:val="fr-FR"/>
        </w:rPr>
        <w:t xml:space="preserve"> </w:t>
      </w:r>
      <w:r w:rsidR="00E819C1" w:rsidRPr="00F13D2D">
        <w:rPr>
          <w:rFonts w:eastAsia="Calibri"/>
          <w:lang w:val="fr-FR"/>
        </w:rPr>
        <w:t>assistants sociaux et agents de police pour les informer sur l’évolution du corpus juridique adopté par la Mauritanie dans le cadre de la protection de l’enfant.</w:t>
      </w:r>
    </w:p>
    <w:p w:rsidR="00E819C1" w:rsidRPr="00F13D2D" w:rsidRDefault="0055270C" w:rsidP="0055270C">
      <w:pPr>
        <w:pStyle w:val="SingleTxtG"/>
        <w:rPr>
          <w:rFonts w:eastAsia="Calibri"/>
          <w:lang w:val="fr-FR"/>
        </w:rPr>
      </w:pPr>
      <w:r w:rsidRPr="00F13D2D">
        <w:rPr>
          <w:rFonts w:eastAsia="Calibri"/>
          <w:lang w:val="fr-FR"/>
        </w:rPr>
        <w:t>85.</w:t>
      </w:r>
      <w:r w:rsidRPr="00F13D2D">
        <w:rPr>
          <w:rFonts w:eastAsia="Calibri"/>
          <w:lang w:val="fr-FR"/>
        </w:rPr>
        <w:tab/>
      </w:r>
      <w:r w:rsidR="00E819C1" w:rsidRPr="00F13D2D">
        <w:rPr>
          <w:rFonts w:eastAsia="Calibri"/>
          <w:lang w:val="fr-FR"/>
        </w:rPr>
        <w:t>Les outils de travail des acteurs de la justice ont été simplifiés afin de permettre une meilleure protection et promotion des droits de l’enfant. Ce qui s’est traduit par l’élaboration et la vulgarisation d’un guide sur les procédures judiciaires, la réalisation et</w:t>
      </w:r>
      <w:r w:rsidR="006C160E" w:rsidRPr="00F13D2D">
        <w:rPr>
          <w:rFonts w:eastAsia="Calibri"/>
          <w:lang w:val="fr-FR"/>
        </w:rPr>
        <w:t xml:space="preserve"> </w:t>
      </w:r>
      <w:r w:rsidR="00E819C1" w:rsidRPr="00F13D2D">
        <w:rPr>
          <w:rFonts w:eastAsia="Calibri"/>
          <w:lang w:val="fr-FR"/>
        </w:rPr>
        <w:t>la mise en œuvre d’un guide sur les procédures opérationnelles standard de lutte contre les violences dans</w:t>
      </w:r>
      <w:r w:rsidR="006C160E" w:rsidRPr="00F13D2D">
        <w:rPr>
          <w:rFonts w:eastAsia="Calibri"/>
          <w:lang w:val="fr-FR"/>
        </w:rPr>
        <w:t xml:space="preserve"> </w:t>
      </w:r>
      <w:r w:rsidR="00E819C1" w:rsidRPr="00F13D2D">
        <w:rPr>
          <w:rFonts w:eastAsia="Calibri"/>
          <w:lang w:val="fr-FR"/>
        </w:rPr>
        <w:t>six wilayas et l’élaboration d’un module de formation pour la lutte contre les MGF.</w:t>
      </w:r>
    </w:p>
    <w:p w:rsidR="00E819C1" w:rsidRPr="00E06F1B" w:rsidRDefault="00716E20" w:rsidP="00AA7A93">
      <w:pPr>
        <w:pStyle w:val="H23G"/>
      </w:pPr>
      <w:bookmarkStart w:id="118" w:name="_Toc453672905"/>
      <w:bookmarkStart w:id="119" w:name="_Toc454388746"/>
      <w:r w:rsidRPr="000E17DF">
        <w:tab/>
        <w:t>5.</w:t>
      </w:r>
      <w:r w:rsidRPr="000E17DF">
        <w:tab/>
      </w:r>
      <w:r w:rsidR="00E819C1" w:rsidRPr="00F13D2D">
        <w:t>Intensification de la sensibilisation et de la lutte contre les VBG</w:t>
      </w:r>
      <w:bookmarkEnd w:id="118"/>
      <w:bookmarkEnd w:id="119"/>
    </w:p>
    <w:p w:rsidR="00E819C1" w:rsidRPr="00F13D2D" w:rsidRDefault="0055270C" w:rsidP="0055270C">
      <w:pPr>
        <w:pStyle w:val="SingleTxtG"/>
        <w:rPr>
          <w:rFonts w:eastAsia="Calibri"/>
          <w:lang w:val="fr-FR"/>
        </w:rPr>
      </w:pPr>
      <w:r w:rsidRPr="00F13D2D">
        <w:rPr>
          <w:rFonts w:eastAsia="Calibri"/>
          <w:lang w:val="fr-FR"/>
        </w:rPr>
        <w:t>86.</w:t>
      </w:r>
      <w:r w:rsidRPr="00F13D2D">
        <w:rPr>
          <w:rFonts w:eastAsia="Calibri"/>
          <w:lang w:val="fr-FR"/>
        </w:rPr>
        <w:tab/>
      </w:r>
      <w:r w:rsidR="00E819C1" w:rsidRPr="00F13D2D">
        <w:rPr>
          <w:rFonts w:eastAsia="Calibri"/>
          <w:lang w:val="fr-FR"/>
        </w:rPr>
        <w:t>La lutte contre les VBG a été intensifiée à travers</w:t>
      </w:r>
      <w:r w:rsidR="003B0B94">
        <w:rPr>
          <w:rFonts w:eastAsia="Calibri"/>
          <w:lang w:val="fr-FR"/>
        </w:rPr>
        <w:t> :</w:t>
      </w:r>
      <w:r w:rsidR="006C160E" w:rsidRPr="00F13D2D">
        <w:rPr>
          <w:rFonts w:eastAsia="Calibri"/>
          <w:lang w:val="fr-FR"/>
        </w:rPr>
        <w:t xml:space="preserve"> </w:t>
      </w:r>
      <w:r w:rsidR="00E819C1" w:rsidRPr="00F13D2D">
        <w:rPr>
          <w:rFonts w:eastAsia="Calibri"/>
          <w:lang w:val="fr-FR"/>
        </w:rPr>
        <w:t>(i) la mise en œuvre</w:t>
      </w:r>
      <w:r w:rsidR="006C160E" w:rsidRPr="00F13D2D">
        <w:rPr>
          <w:rFonts w:eastAsia="Calibri"/>
          <w:lang w:val="fr-FR"/>
        </w:rPr>
        <w:t xml:space="preserve"> </w:t>
      </w:r>
      <w:r w:rsidR="00E819C1" w:rsidRPr="00F13D2D">
        <w:rPr>
          <w:rFonts w:eastAsia="Calibri"/>
          <w:lang w:val="fr-FR"/>
        </w:rPr>
        <w:t>d’une stratégie nationale de promotion de l’abandon des MGF</w:t>
      </w:r>
      <w:r w:rsidR="003B0B94">
        <w:rPr>
          <w:rFonts w:eastAsia="Calibri"/>
          <w:lang w:val="fr-FR"/>
        </w:rPr>
        <w:t> ; (ii)</w:t>
      </w:r>
      <w:r w:rsidR="00E819C1" w:rsidRPr="00F13D2D">
        <w:rPr>
          <w:rFonts w:eastAsia="Calibri"/>
          <w:lang w:val="fr-FR"/>
        </w:rPr>
        <w:t xml:space="preserve"> une enquête nationale sur les VBG</w:t>
      </w:r>
      <w:r w:rsidR="003B0B94">
        <w:rPr>
          <w:rFonts w:eastAsia="Calibri"/>
          <w:lang w:val="fr-FR"/>
        </w:rPr>
        <w:t> ;</w:t>
      </w:r>
      <w:r w:rsidR="00E819C1" w:rsidRPr="00F13D2D">
        <w:rPr>
          <w:rFonts w:eastAsia="Calibri"/>
          <w:lang w:val="fr-FR"/>
        </w:rPr>
        <w:t xml:space="preserve"> et (iii) l’adhésion de la Mauritanie à la campagne du Secrétaire Général</w:t>
      </w:r>
      <w:r w:rsidR="006C160E" w:rsidRPr="00F13D2D">
        <w:rPr>
          <w:rFonts w:eastAsia="Calibri"/>
          <w:lang w:val="fr-FR"/>
        </w:rPr>
        <w:t xml:space="preserve"> </w:t>
      </w:r>
      <w:r w:rsidR="00E819C1" w:rsidRPr="00F13D2D">
        <w:rPr>
          <w:rFonts w:eastAsia="Calibri"/>
          <w:lang w:val="fr-FR"/>
        </w:rPr>
        <w:t>des Nations Unies pour lutter contre ce genre de violences. Ensuite, (iv)</w:t>
      </w:r>
      <w:r w:rsidR="006C160E" w:rsidRPr="00F13D2D">
        <w:rPr>
          <w:rFonts w:eastAsia="Calibri"/>
          <w:lang w:val="fr-FR"/>
        </w:rPr>
        <w:t xml:space="preserve"> </w:t>
      </w:r>
      <w:r w:rsidR="00E819C1" w:rsidRPr="00F13D2D">
        <w:rPr>
          <w:rFonts w:eastAsia="Calibri"/>
          <w:lang w:val="fr-FR"/>
        </w:rPr>
        <w:t>la mise en œuvre d’un program</w:t>
      </w:r>
      <w:r w:rsidR="003B0B94">
        <w:rPr>
          <w:rFonts w:eastAsia="Calibri"/>
          <w:lang w:val="fr-FR"/>
        </w:rPr>
        <w:t>me d’abandon volontaire des MGF ;</w:t>
      </w:r>
      <w:r w:rsidR="00E819C1" w:rsidRPr="00F13D2D">
        <w:rPr>
          <w:rFonts w:eastAsia="Calibri"/>
          <w:lang w:val="fr-FR"/>
        </w:rPr>
        <w:t xml:space="preserve"> (v) la célébration annuelle de la journée tolérance zéro MGF</w:t>
      </w:r>
      <w:r w:rsidR="003B0B94">
        <w:rPr>
          <w:rFonts w:eastAsia="Calibri"/>
          <w:lang w:val="fr-FR"/>
        </w:rPr>
        <w:t> ;</w:t>
      </w:r>
      <w:r w:rsidR="00E819C1" w:rsidRPr="00F13D2D">
        <w:rPr>
          <w:rFonts w:eastAsia="Calibri"/>
          <w:lang w:val="fr-FR"/>
        </w:rPr>
        <w:t xml:space="preserve"> (vi)</w:t>
      </w:r>
      <w:r w:rsidR="006C160E" w:rsidRPr="00F13D2D">
        <w:rPr>
          <w:rFonts w:eastAsia="Calibri"/>
          <w:lang w:val="fr-FR"/>
        </w:rPr>
        <w:t xml:space="preserve"> </w:t>
      </w:r>
      <w:r w:rsidR="00E819C1" w:rsidRPr="00F13D2D">
        <w:rPr>
          <w:rFonts w:eastAsia="Calibri"/>
          <w:lang w:val="fr-FR"/>
        </w:rPr>
        <w:t>et l’organisation de campagnes de promotion de l’abandon des MGF.</w:t>
      </w:r>
    </w:p>
    <w:p w:rsidR="00E819C1" w:rsidRPr="00AA7A93" w:rsidRDefault="00AC0786" w:rsidP="00AA7A93">
      <w:pPr>
        <w:pStyle w:val="H1G"/>
      </w:pPr>
      <w:bookmarkStart w:id="120" w:name="_Toc453672906"/>
      <w:bookmarkStart w:id="121" w:name="_Toc454388747"/>
      <w:r w:rsidRPr="000E17DF">
        <w:lastRenderedPageBreak/>
        <w:tab/>
        <w:t>B.</w:t>
      </w:r>
      <w:r w:rsidRPr="000E17DF">
        <w:tab/>
      </w:r>
      <w:r w:rsidR="00E819C1" w:rsidRPr="00E06F1B">
        <w:t>Coordination et recueil des données</w:t>
      </w:r>
      <w:bookmarkEnd w:id="120"/>
      <w:bookmarkEnd w:id="121"/>
    </w:p>
    <w:p w:rsidR="00E819C1" w:rsidRPr="00F13D2D" w:rsidRDefault="0055270C" w:rsidP="0055270C">
      <w:pPr>
        <w:pStyle w:val="SingleTxtG"/>
        <w:rPr>
          <w:rFonts w:eastAsia="Calibri"/>
          <w:lang w:val="fr-FR"/>
        </w:rPr>
      </w:pPr>
      <w:r w:rsidRPr="00F13D2D">
        <w:rPr>
          <w:rFonts w:eastAsia="Calibri"/>
          <w:lang w:val="fr-FR"/>
        </w:rPr>
        <w:t>87.</w:t>
      </w:r>
      <w:r w:rsidRPr="00F13D2D">
        <w:rPr>
          <w:rFonts w:eastAsia="Calibri"/>
          <w:lang w:val="fr-FR"/>
        </w:rPr>
        <w:tab/>
      </w:r>
      <w:r w:rsidR="00E819C1" w:rsidRPr="00F13D2D">
        <w:rPr>
          <w:rFonts w:eastAsia="Calibri"/>
          <w:lang w:val="fr-FR"/>
        </w:rPr>
        <w:t>La Direction de l’Enfance du MASEF est le service chargé de la collecte et</w:t>
      </w:r>
      <w:r w:rsidR="006C160E" w:rsidRPr="00F13D2D">
        <w:rPr>
          <w:rFonts w:eastAsia="Calibri"/>
          <w:lang w:val="fr-FR"/>
        </w:rPr>
        <w:t xml:space="preserve"> </w:t>
      </w:r>
      <w:r w:rsidR="00E819C1" w:rsidRPr="00F13D2D">
        <w:rPr>
          <w:rFonts w:eastAsia="Calibri"/>
          <w:lang w:val="fr-FR"/>
        </w:rPr>
        <w:t>de la saisie des données relatives aux enfants. Elle édite un annuaire incluant toutes les sorties préconisées et indicateurs</w:t>
      </w:r>
      <w:r w:rsidR="006C160E" w:rsidRPr="00F13D2D">
        <w:rPr>
          <w:rFonts w:eastAsia="Calibri"/>
          <w:lang w:val="fr-FR"/>
        </w:rPr>
        <w:t xml:space="preserve"> </w:t>
      </w:r>
      <w:r w:rsidR="00E819C1" w:rsidRPr="00F13D2D">
        <w:rPr>
          <w:rFonts w:eastAsia="Calibri"/>
          <w:lang w:val="fr-FR"/>
        </w:rPr>
        <w:t xml:space="preserve">à instruire au sujet des enfants. </w:t>
      </w:r>
    </w:p>
    <w:p w:rsidR="00E819C1" w:rsidRPr="00AA7A93" w:rsidRDefault="00AC0786" w:rsidP="00AA7A93">
      <w:pPr>
        <w:pStyle w:val="H1G"/>
      </w:pPr>
      <w:bookmarkStart w:id="122" w:name="_Toc453672907"/>
      <w:bookmarkStart w:id="123" w:name="_Toc454386597"/>
      <w:bookmarkStart w:id="124" w:name="_Toc454386666"/>
      <w:bookmarkStart w:id="125" w:name="_Toc454388748"/>
      <w:r w:rsidRPr="000E17DF">
        <w:tab/>
      </w:r>
      <w:r w:rsidR="00E819C1" w:rsidRPr="00E06F1B">
        <w:t>C</w:t>
      </w:r>
      <w:r w:rsidRPr="00AA7A93">
        <w:t>.</w:t>
      </w:r>
      <w:r w:rsidRPr="00AA7A93">
        <w:tab/>
      </w:r>
      <w:r w:rsidR="00E819C1" w:rsidRPr="00AA7A93">
        <w:t>Réalisation des droits économiques, sociaux et culturels des enfants et</w:t>
      </w:r>
      <w:r w:rsidR="00031D54">
        <w:t> </w:t>
      </w:r>
      <w:r w:rsidR="00E819C1" w:rsidRPr="00AA7A93">
        <w:t>ressources budgétaires allouées</w:t>
      </w:r>
      <w:bookmarkEnd w:id="122"/>
      <w:bookmarkEnd w:id="123"/>
      <w:bookmarkEnd w:id="124"/>
      <w:bookmarkEnd w:id="125"/>
      <w:r w:rsidR="00E819C1" w:rsidRPr="00AA7A93">
        <w:t xml:space="preserve"> </w:t>
      </w:r>
    </w:p>
    <w:p w:rsidR="00E819C1" w:rsidRPr="00E06F1B" w:rsidRDefault="00AC0786" w:rsidP="00AA7A93">
      <w:pPr>
        <w:pStyle w:val="H23G"/>
      </w:pPr>
      <w:bookmarkStart w:id="126" w:name="_Toc453672908"/>
      <w:bookmarkStart w:id="127" w:name="_Toc454388749"/>
      <w:r w:rsidRPr="00F13D2D">
        <w:tab/>
      </w:r>
      <w:r w:rsidR="00E819C1" w:rsidRPr="00F13D2D">
        <w:t>1</w:t>
      </w:r>
      <w:r w:rsidRPr="00F13D2D">
        <w:t>.</w:t>
      </w:r>
      <w:r w:rsidRPr="00F13D2D">
        <w:tab/>
      </w:r>
      <w:r w:rsidR="00E819C1" w:rsidRPr="00F13D2D">
        <w:t>Le MASEF</w:t>
      </w:r>
      <w:bookmarkEnd w:id="126"/>
      <w:bookmarkEnd w:id="127"/>
    </w:p>
    <w:p w:rsidR="00E819C1" w:rsidRPr="00F13D2D" w:rsidRDefault="0055270C" w:rsidP="0055270C">
      <w:pPr>
        <w:pStyle w:val="SingleTxtG"/>
        <w:rPr>
          <w:rFonts w:eastAsia="Calibri"/>
          <w:lang w:val="fr-FR"/>
        </w:rPr>
      </w:pPr>
      <w:r w:rsidRPr="00F13D2D">
        <w:rPr>
          <w:rFonts w:eastAsia="Calibri"/>
          <w:lang w:val="fr-FR"/>
        </w:rPr>
        <w:t>88.</w:t>
      </w:r>
      <w:r w:rsidRPr="00F13D2D">
        <w:rPr>
          <w:rFonts w:eastAsia="Calibri"/>
          <w:lang w:val="fr-FR"/>
        </w:rPr>
        <w:tab/>
      </w:r>
      <w:r w:rsidR="00E819C1" w:rsidRPr="00F13D2D">
        <w:rPr>
          <w:rFonts w:eastAsia="Calibri"/>
          <w:lang w:val="fr-FR"/>
        </w:rPr>
        <w:t xml:space="preserve">Le MASEF a pour mission d’assurer la solidarité nationale et la protection sociale des groupes vulnérables, la sauvegarde de la famille et le </w:t>
      </w:r>
      <w:proofErr w:type="spellStart"/>
      <w:r w:rsidR="00E819C1" w:rsidRPr="00F13D2D">
        <w:rPr>
          <w:rFonts w:eastAsia="Calibri"/>
          <w:lang w:val="fr-FR"/>
        </w:rPr>
        <w:t>bien être</w:t>
      </w:r>
      <w:proofErr w:type="spellEnd"/>
      <w:r w:rsidR="00E819C1" w:rsidRPr="00F13D2D">
        <w:rPr>
          <w:rFonts w:eastAsia="Calibri"/>
          <w:lang w:val="fr-FR"/>
        </w:rPr>
        <w:t xml:space="preserve"> de l’enfant, ainsi que la promotion de la femme.</w:t>
      </w:r>
    </w:p>
    <w:p w:rsidR="00E819C1" w:rsidRPr="00F13D2D" w:rsidRDefault="0055270C" w:rsidP="0055270C">
      <w:pPr>
        <w:pStyle w:val="SingleTxtG"/>
        <w:rPr>
          <w:rFonts w:eastAsia="Calibri"/>
          <w:lang w:val="fr-FR"/>
        </w:rPr>
      </w:pPr>
      <w:r w:rsidRPr="00F13D2D">
        <w:rPr>
          <w:rFonts w:eastAsia="Calibri"/>
          <w:lang w:val="fr-FR"/>
        </w:rPr>
        <w:t>89.</w:t>
      </w:r>
      <w:r w:rsidRPr="00F13D2D">
        <w:rPr>
          <w:rFonts w:eastAsia="Calibri"/>
          <w:lang w:val="fr-FR"/>
        </w:rPr>
        <w:tab/>
      </w:r>
      <w:r w:rsidR="00E819C1" w:rsidRPr="00F13D2D">
        <w:rPr>
          <w:rFonts w:eastAsia="Calibri"/>
          <w:lang w:val="fr-FR"/>
        </w:rPr>
        <w:t>Le Centre de protection et d</w:t>
      </w:r>
      <w:r w:rsidR="006C160E" w:rsidRPr="00F13D2D">
        <w:rPr>
          <w:rFonts w:eastAsia="Calibri"/>
          <w:lang w:val="fr-FR"/>
        </w:rPr>
        <w:t>’</w:t>
      </w:r>
      <w:r w:rsidR="00E819C1" w:rsidRPr="00F13D2D">
        <w:rPr>
          <w:rFonts w:eastAsia="Calibri"/>
          <w:lang w:val="fr-FR"/>
        </w:rPr>
        <w:t>Intégration sociales de l</w:t>
      </w:r>
      <w:r w:rsidR="006C160E" w:rsidRPr="00F13D2D">
        <w:rPr>
          <w:rFonts w:eastAsia="Calibri"/>
          <w:lang w:val="fr-FR"/>
        </w:rPr>
        <w:t>’</w:t>
      </w:r>
      <w:r w:rsidR="00E819C1" w:rsidRPr="00F13D2D">
        <w:rPr>
          <w:rFonts w:eastAsia="Calibri"/>
          <w:lang w:val="fr-FR"/>
        </w:rPr>
        <w:t>enfant (CPISE), le Centre de Formation de la petite Enfance (CFPE)</w:t>
      </w:r>
      <w:r w:rsidR="006C160E" w:rsidRPr="00F13D2D">
        <w:rPr>
          <w:rFonts w:eastAsia="Calibri"/>
          <w:lang w:val="fr-FR"/>
        </w:rPr>
        <w:t xml:space="preserve"> </w:t>
      </w:r>
      <w:r w:rsidR="00E819C1" w:rsidRPr="00F13D2D">
        <w:rPr>
          <w:rFonts w:eastAsia="Calibri"/>
          <w:lang w:val="fr-FR"/>
        </w:rPr>
        <w:t>et le centre de</w:t>
      </w:r>
      <w:r w:rsidR="006C160E" w:rsidRPr="00F13D2D">
        <w:rPr>
          <w:rFonts w:eastAsia="Calibri"/>
          <w:lang w:val="fr-FR"/>
        </w:rPr>
        <w:t xml:space="preserve"> </w:t>
      </w:r>
      <w:r w:rsidR="00E819C1" w:rsidRPr="00F13D2D">
        <w:rPr>
          <w:rFonts w:eastAsia="Calibri"/>
          <w:lang w:val="fr-FR"/>
        </w:rPr>
        <w:t>formation et de promotion sociale des enfants en situation d’handicap (CFPEH) sont dotés de budgets</w:t>
      </w:r>
      <w:r w:rsidR="006C160E" w:rsidRPr="00F13D2D">
        <w:rPr>
          <w:rFonts w:eastAsia="Calibri"/>
          <w:lang w:val="fr-FR"/>
        </w:rPr>
        <w:t xml:space="preserve"> </w:t>
      </w:r>
      <w:r w:rsidR="00E819C1" w:rsidRPr="00F13D2D">
        <w:rPr>
          <w:rFonts w:eastAsia="Calibri"/>
          <w:lang w:val="fr-FR"/>
        </w:rPr>
        <w:t xml:space="preserve">en augmentation. </w:t>
      </w:r>
    </w:p>
    <w:p w:rsidR="00E819C1" w:rsidRPr="00E06F1B" w:rsidRDefault="00AC0786" w:rsidP="00AA7A93">
      <w:pPr>
        <w:pStyle w:val="H23G"/>
      </w:pPr>
      <w:bookmarkStart w:id="128" w:name="_Toc453672909"/>
      <w:bookmarkStart w:id="129" w:name="_Toc454386598"/>
      <w:bookmarkStart w:id="130" w:name="_Toc454386667"/>
      <w:bookmarkStart w:id="131" w:name="_Toc454388750"/>
      <w:r w:rsidRPr="000E17DF">
        <w:tab/>
      </w:r>
      <w:r w:rsidR="00E819C1" w:rsidRPr="00F13D2D">
        <w:t>2</w:t>
      </w:r>
      <w:r w:rsidRPr="00F13D2D">
        <w:t>.</w:t>
      </w:r>
      <w:r w:rsidRPr="00F13D2D">
        <w:tab/>
      </w:r>
      <w:r w:rsidR="00E819C1" w:rsidRPr="00F13D2D">
        <w:t>Stratégie nationale et plan d’action de protection des enfants</w:t>
      </w:r>
      <w:bookmarkEnd w:id="128"/>
      <w:bookmarkEnd w:id="129"/>
      <w:bookmarkEnd w:id="130"/>
      <w:bookmarkEnd w:id="131"/>
    </w:p>
    <w:p w:rsidR="00E819C1" w:rsidRPr="00F13D2D" w:rsidRDefault="0055270C" w:rsidP="0055270C">
      <w:pPr>
        <w:pStyle w:val="SingleTxtG"/>
        <w:rPr>
          <w:rFonts w:eastAsia="Calibri"/>
          <w:lang w:val="fr-FR"/>
        </w:rPr>
      </w:pPr>
      <w:r w:rsidRPr="00F13D2D">
        <w:rPr>
          <w:rFonts w:eastAsia="Calibri"/>
          <w:lang w:val="fr-FR"/>
        </w:rPr>
        <w:t>90.</w:t>
      </w:r>
      <w:r w:rsidRPr="00F13D2D">
        <w:rPr>
          <w:rFonts w:eastAsia="Calibri"/>
          <w:lang w:val="fr-FR"/>
        </w:rPr>
        <w:tab/>
      </w:r>
      <w:r w:rsidR="00E819C1" w:rsidRPr="00F13D2D">
        <w:rPr>
          <w:rFonts w:eastAsia="Calibri"/>
          <w:lang w:val="fr-FR"/>
        </w:rPr>
        <w:t>La SNPE</w:t>
      </w:r>
      <w:r w:rsidR="006C160E" w:rsidRPr="00F13D2D">
        <w:rPr>
          <w:rFonts w:eastAsia="Calibri"/>
          <w:lang w:val="fr-FR"/>
        </w:rPr>
        <w:t xml:space="preserve"> </w:t>
      </w:r>
      <w:r w:rsidR="00E819C1" w:rsidRPr="00F13D2D">
        <w:rPr>
          <w:rFonts w:eastAsia="Calibri"/>
          <w:lang w:val="fr-FR"/>
        </w:rPr>
        <w:t>vise la protection des enfants contre les Violences Exploitation, Discrimination, Abus et Négligence (VEDAN). Elle traite les problématiques suivantes</w:t>
      </w:r>
      <w:r w:rsidR="002A5875">
        <w:rPr>
          <w:rFonts w:eastAsia="Calibri"/>
          <w:lang w:val="fr-FR"/>
        </w:rPr>
        <w:t> </w:t>
      </w:r>
      <w:r w:rsidR="00FC0832">
        <w:rPr>
          <w:rFonts w:eastAsia="Calibri"/>
          <w:lang w:val="fr-FR"/>
        </w:rPr>
        <w:t>:</w:t>
      </w:r>
      <w:r w:rsidR="00E819C1" w:rsidRPr="00F13D2D">
        <w:rPr>
          <w:rFonts w:eastAsia="Calibri"/>
          <w:lang w:val="fr-FR"/>
        </w:rPr>
        <w:t xml:space="preserve"> (i)</w:t>
      </w:r>
      <w:r w:rsidR="00980831">
        <w:rPr>
          <w:rFonts w:eastAsia="Calibri"/>
          <w:lang w:val="fr-FR"/>
        </w:rPr>
        <w:t> les enfants handicapés ;</w:t>
      </w:r>
      <w:r w:rsidR="00E819C1" w:rsidRPr="00F13D2D">
        <w:rPr>
          <w:rFonts w:eastAsia="Calibri"/>
          <w:lang w:val="fr-FR"/>
        </w:rPr>
        <w:t xml:space="preserve"> (ii)</w:t>
      </w:r>
      <w:r w:rsidR="00980831">
        <w:rPr>
          <w:rFonts w:eastAsia="Calibri"/>
          <w:lang w:val="fr-FR"/>
        </w:rPr>
        <w:t> </w:t>
      </w:r>
      <w:r w:rsidR="00E819C1" w:rsidRPr="00F13D2D">
        <w:rPr>
          <w:rFonts w:eastAsia="Calibri"/>
          <w:lang w:val="fr-FR"/>
        </w:rPr>
        <w:t>les enfants exploités a</w:t>
      </w:r>
      <w:r w:rsidR="00980831">
        <w:rPr>
          <w:rFonts w:eastAsia="Calibri"/>
          <w:lang w:val="fr-FR"/>
        </w:rPr>
        <w:t>u travail ou victimes de traite ; (iii)</w:t>
      </w:r>
      <w:r w:rsidR="00E819C1" w:rsidRPr="00F13D2D">
        <w:rPr>
          <w:rFonts w:eastAsia="Calibri"/>
          <w:lang w:val="fr-FR"/>
        </w:rPr>
        <w:t xml:space="preserve"> les enfants partiellement ou totalement privés de tutelle parentale (enfants vivant dans la rue,</w:t>
      </w:r>
      <w:r w:rsidR="006C160E" w:rsidRPr="00F13D2D">
        <w:rPr>
          <w:rFonts w:eastAsia="Calibri"/>
          <w:lang w:val="fr-FR"/>
        </w:rPr>
        <w:t xml:space="preserve"> </w:t>
      </w:r>
      <w:r w:rsidR="00E819C1" w:rsidRPr="00F13D2D">
        <w:rPr>
          <w:rFonts w:eastAsia="Calibri"/>
          <w:lang w:val="fr-FR"/>
        </w:rPr>
        <w:t>orphelins, enfants abandonnés, enfants mendiants, enfants vict</w:t>
      </w:r>
      <w:r w:rsidR="00980831">
        <w:rPr>
          <w:rFonts w:eastAsia="Calibri"/>
          <w:lang w:val="fr-FR"/>
        </w:rPr>
        <w:t>imes de litiges familiaux) ;</w:t>
      </w:r>
      <w:r w:rsidR="00E819C1" w:rsidRPr="00F13D2D">
        <w:rPr>
          <w:rFonts w:eastAsia="Calibri"/>
          <w:lang w:val="fr-FR"/>
        </w:rPr>
        <w:t xml:space="preserve"> (iv) les enfants victimes de pratiques culturelles néfastes (MGF,</w:t>
      </w:r>
      <w:r w:rsidR="006C160E" w:rsidRPr="00F13D2D">
        <w:rPr>
          <w:rFonts w:eastAsia="Calibri"/>
          <w:lang w:val="fr-FR"/>
        </w:rPr>
        <w:t xml:space="preserve"> </w:t>
      </w:r>
      <w:r w:rsidR="00980831">
        <w:rPr>
          <w:rFonts w:eastAsia="Calibri"/>
          <w:lang w:val="fr-FR"/>
        </w:rPr>
        <w:t>mariage d’enfants) ;</w:t>
      </w:r>
      <w:r w:rsidR="00E819C1" w:rsidRPr="00F13D2D">
        <w:rPr>
          <w:rFonts w:eastAsia="Calibri"/>
          <w:lang w:val="fr-FR"/>
        </w:rPr>
        <w:t xml:space="preserve"> (v) les enfants orphelins et autres enfants vuln</w:t>
      </w:r>
      <w:r w:rsidR="00980831">
        <w:rPr>
          <w:rFonts w:eastAsia="Calibri"/>
          <w:lang w:val="fr-FR"/>
        </w:rPr>
        <w:t>érables dans le contexte du VIH/</w:t>
      </w:r>
      <w:r w:rsidR="00980831" w:rsidRPr="00F13D2D">
        <w:rPr>
          <w:rFonts w:eastAsia="Calibri"/>
          <w:lang w:val="fr-FR"/>
        </w:rPr>
        <w:t>sida</w:t>
      </w:r>
      <w:r w:rsidR="00980831">
        <w:rPr>
          <w:rFonts w:eastAsia="Calibri"/>
          <w:lang w:val="fr-FR"/>
        </w:rPr>
        <w:t> ;</w:t>
      </w:r>
      <w:r w:rsidR="00E819C1" w:rsidRPr="00F13D2D">
        <w:rPr>
          <w:rFonts w:eastAsia="Calibri"/>
          <w:lang w:val="fr-FR"/>
        </w:rPr>
        <w:t xml:space="preserve"> (vi)</w:t>
      </w:r>
      <w:r w:rsidR="00980831">
        <w:rPr>
          <w:rFonts w:eastAsia="Calibri"/>
          <w:lang w:val="fr-FR"/>
        </w:rPr>
        <w:t xml:space="preserve"> </w:t>
      </w:r>
      <w:r w:rsidR="00E819C1" w:rsidRPr="00F13D2D">
        <w:rPr>
          <w:rFonts w:eastAsia="Calibri"/>
          <w:lang w:val="fr-FR"/>
        </w:rPr>
        <w:t>les enfants victimes de violences et d’exploitation sexuelles</w:t>
      </w:r>
      <w:r w:rsidR="00980831">
        <w:rPr>
          <w:rFonts w:eastAsia="Calibri"/>
          <w:lang w:val="fr-FR"/>
        </w:rPr>
        <w:t> ;</w:t>
      </w:r>
      <w:r w:rsidR="00E819C1" w:rsidRPr="00F13D2D">
        <w:rPr>
          <w:rFonts w:eastAsia="Calibri"/>
          <w:lang w:val="fr-FR"/>
        </w:rPr>
        <w:t xml:space="preserve"> et (vii) les enfants en conflit avec la loi. Un Système de Protection de l’enfant</w:t>
      </w:r>
      <w:r w:rsidR="006C160E" w:rsidRPr="00F13D2D">
        <w:rPr>
          <w:rFonts w:eastAsia="Calibri"/>
          <w:lang w:val="fr-FR"/>
        </w:rPr>
        <w:t xml:space="preserve"> </w:t>
      </w:r>
      <w:r w:rsidR="00E819C1" w:rsidRPr="00F13D2D">
        <w:rPr>
          <w:rFonts w:eastAsia="Calibri"/>
          <w:lang w:val="fr-FR"/>
        </w:rPr>
        <w:t>a été mis en place, 13 TRP et 30 SPC</w:t>
      </w:r>
      <w:r w:rsidR="006C160E" w:rsidRPr="00F13D2D">
        <w:rPr>
          <w:rFonts w:eastAsia="Calibri"/>
          <w:lang w:val="fr-FR"/>
        </w:rPr>
        <w:t xml:space="preserve"> </w:t>
      </w:r>
      <w:r w:rsidR="00E819C1" w:rsidRPr="00F13D2D">
        <w:rPr>
          <w:rFonts w:eastAsia="Calibri"/>
          <w:lang w:val="fr-FR"/>
        </w:rPr>
        <w:t>dans la plupart des Wilayas du pays.</w:t>
      </w:r>
    </w:p>
    <w:p w:rsidR="00E819C1" w:rsidRPr="00F13D2D" w:rsidRDefault="0055270C" w:rsidP="0055270C">
      <w:pPr>
        <w:pStyle w:val="SingleTxtG"/>
        <w:rPr>
          <w:rFonts w:eastAsia="Calibri"/>
          <w:lang w:val="fr-FR"/>
        </w:rPr>
      </w:pPr>
      <w:r w:rsidRPr="00F13D2D">
        <w:rPr>
          <w:rFonts w:eastAsia="Calibri"/>
          <w:lang w:val="fr-FR"/>
        </w:rPr>
        <w:t>91.</w:t>
      </w:r>
      <w:r w:rsidRPr="00F13D2D">
        <w:rPr>
          <w:rFonts w:eastAsia="Calibri"/>
          <w:lang w:val="fr-FR"/>
        </w:rPr>
        <w:tab/>
      </w:r>
      <w:r w:rsidR="00E819C1" w:rsidRPr="00F13D2D">
        <w:rPr>
          <w:rFonts w:eastAsia="Calibri"/>
          <w:lang w:val="fr-FR"/>
        </w:rPr>
        <w:t xml:space="preserve">Le dispositif institutionnel de protection de l’enfant comprend une composante publique et parapublique et une composante relative à la SC. </w:t>
      </w:r>
    </w:p>
    <w:p w:rsidR="00E819C1" w:rsidRPr="00E06F1B" w:rsidRDefault="00716E20" w:rsidP="00AA7A93">
      <w:pPr>
        <w:pStyle w:val="H23G"/>
      </w:pPr>
      <w:bookmarkStart w:id="132" w:name="_Toc453672910"/>
      <w:bookmarkStart w:id="133" w:name="_Toc454388751"/>
      <w:r w:rsidRPr="000E17DF">
        <w:tab/>
        <w:t>a)</w:t>
      </w:r>
      <w:r w:rsidRPr="000E17DF">
        <w:tab/>
      </w:r>
      <w:r w:rsidR="00E819C1" w:rsidRPr="00F13D2D">
        <w:t>Protection juridique</w:t>
      </w:r>
      <w:bookmarkEnd w:id="132"/>
      <w:bookmarkEnd w:id="133"/>
    </w:p>
    <w:p w:rsidR="00E819C1" w:rsidRPr="00F13D2D" w:rsidRDefault="0055270C" w:rsidP="0055270C">
      <w:pPr>
        <w:pStyle w:val="SingleTxtG"/>
        <w:rPr>
          <w:rFonts w:eastAsia="Calibri"/>
          <w:lang w:val="fr-FR"/>
        </w:rPr>
      </w:pPr>
      <w:r w:rsidRPr="00F13D2D">
        <w:rPr>
          <w:rFonts w:eastAsia="Calibri"/>
          <w:lang w:val="fr-FR"/>
        </w:rPr>
        <w:t>92.</w:t>
      </w:r>
      <w:r w:rsidRPr="00F13D2D">
        <w:rPr>
          <w:rFonts w:eastAsia="Calibri"/>
          <w:lang w:val="fr-FR"/>
        </w:rPr>
        <w:tab/>
      </w:r>
      <w:r w:rsidR="00E819C1" w:rsidRPr="00F13D2D">
        <w:rPr>
          <w:rFonts w:eastAsia="Calibri"/>
          <w:lang w:val="fr-FR"/>
        </w:rPr>
        <w:t xml:space="preserve">Le cadre législatif fournit une base solide pour la protection des enfants contre les abus et toutes les formes d’exploitation. </w:t>
      </w:r>
    </w:p>
    <w:p w:rsidR="00E819C1" w:rsidRPr="00E06F1B" w:rsidRDefault="00716E20" w:rsidP="00AA7A93">
      <w:pPr>
        <w:pStyle w:val="H23G"/>
      </w:pPr>
      <w:bookmarkStart w:id="134" w:name="_Toc453672911"/>
      <w:bookmarkStart w:id="135" w:name="_Toc454388752"/>
      <w:r w:rsidRPr="000E17DF">
        <w:tab/>
        <w:t>b)</w:t>
      </w:r>
      <w:r w:rsidRPr="000E17DF">
        <w:tab/>
      </w:r>
      <w:r w:rsidR="00E819C1" w:rsidRPr="00F13D2D">
        <w:t>Protection sanitaire</w:t>
      </w:r>
      <w:bookmarkEnd w:id="134"/>
      <w:bookmarkEnd w:id="135"/>
      <w:r w:rsidR="00E819C1" w:rsidRPr="00F13D2D">
        <w:t xml:space="preserve"> </w:t>
      </w:r>
    </w:p>
    <w:p w:rsidR="00E819C1" w:rsidRPr="00F13D2D" w:rsidRDefault="0055270C" w:rsidP="0055270C">
      <w:pPr>
        <w:pStyle w:val="SingleTxtG"/>
        <w:rPr>
          <w:rFonts w:eastAsia="Calibri"/>
          <w:lang w:val="fr-FR"/>
        </w:rPr>
      </w:pPr>
      <w:r w:rsidRPr="00F13D2D">
        <w:rPr>
          <w:rFonts w:eastAsia="Calibri"/>
          <w:lang w:val="fr-FR"/>
        </w:rPr>
        <w:t>93.</w:t>
      </w:r>
      <w:r w:rsidRPr="00F13D2D">
        <w:rPr>
          <w:rFonts w:eastAsia="Calibri"/>
          <w:lang w:val="fr-FR"/>
        </w:rPr>
        <w:tab/>
      </w:r>
      <w:r w:rsidR="00E819C1" w:rsidRPr="00F13D2D">
        <w:rPr>
          <w:rFonts w:eastAsia="Calibri"/>
          <w:lang w:val="fr-FR"/>
        </w:rPr>
        <w:t>Un volet important de l’action sanitaire est orienté vers la santé maternelle et infantile à travers la prévention et la prise en charge intégrée des maladies du couple mère/ enfant et la formation initiale et continue des différentes catégories</w:t>
      </w:r>
      <w:r w:rsidR="006C160E" w:rsidRPr="00F13D2D">
        <w:rPr>
          <w:rFonts w:eastAsia="Calibri"/>
          <w:lang w:val="fr-FR"/>
        </w:rPr>
        <w:t xml:space="preserve"> </w:t>
      </w:r>
      <w:r w:rsidR="00E819C1" w:rsidRPr="00F13D2D">
        <w:rPr>
          <w:rFonts w:eastAsia="Calibri"/>
          <w:lang w:val="fr-FR"/>
        </w:rPr>
        <w:t>du personnel de la santé. Un programme de vaccination des enfants contre les maladies épidémiologiques, financé sur le budget de l’</w:t>
      </w:r>
      <w:r w:rsidR="00AB4E57">
        <w:rPr>
          <w:rFonts w:eastAsia="Calibri"/>
          <w:lang w:val="fr-FR"/>
        </w:rPr>
        <w:t>État</w:t>
      </w:r>
      <w:r w:rsidR="00E819C1" w:rsidRPr="00F13D2D">
        <w:rPr>
          <w:rFonts w:eastAsia="Calibri"/>
          <w:lang w:val="fr-FR"/>
        </w:rPr>
        <w:t xml:space="preserve"> a été mis en place. La créati</w:t>
      </w:r>
      <w:r w:rsidR="00716E20" w:rsidRPr="00F13D2D">
        <w:rPr>
          <w:rFonts w:eastAsia="Calibri"/>
          <w:lang w:val="fr-FR"/>
        </w:rPr>
        <w:t xml:space="preserve">on de l’hôpital mère et enfant </w:t>
      </w:r>
      <w:r w:rsidR="00E819C1" w:rsidRPr="00F13D2D">
        <w:rPr>
          <w:rFonts w:eastAsia="Calibri"/>
          <w:lang w:val="fr-FR"/>
        </w:rPr>
        <w:t>a contribué à l’amélioration de la qualité des soins prodigués à la mère et à l’enfant.</w:t>
      </w:r>
    </w:p>
    <w:p w:rsidR="00E819C1" w:rsidRPr="00E06F1B" w:rsidRDefault="00716E20" w:rsidP="00AA7A93">
      <w:pPr>
        <w:pStyle w:val="H23G"/>
      </w:pPr>
      <w:bookmarkStart w:id="136" w:name="_Toc453672912"/>
      <w:bookmarkStart w:id="137" w:name="_Toc454388753"/>
      <w:r w:rsidRPr="000E17DF">
        <w:tab/>
        <w:t>c)</w:t>
      </w:r>
      <w:r w:rsidRPr="000E17DF">
        <w:tab/>
      </w:r>
      <w:r w:rsidR="00E819C1" w:rsidRPr="00F13D2D">
        <w:t>L’éducation</w:t>
      </w:r>
      <w:bookmarkEnd w:id="136"/>
      <w:bookmarkEnd w:id="137"/>
      <w:r w:rsidR="00E819C1" w:rsidRPr="00F13D2D">
        <w:t xml:space="preserve"> </w:t>
      </w:r>
    </w:p>
    <w:p w:rsidR="00E819C1" w:rsidRPr="00F13D2D" w:rsidRDefault="0055270C" w:rsidP="0055270C">
      <w:pPr>
        <w:pStyle w:val="SingleTxtG"/>
        <w:rPr>
          <w:rFonts w:eastAsia="Calibri"/>
          <w:lang w:val="fr-FR"/>
        </w:rPr>
      </w:pPr>
      <w:r w:rsidRPr="00F13D2D">
        <w:rPr>
          <w:rFonts w:eastAsia="Calibri"/>
          <w:lang w:val="fr-FR"/>
        </w:rPr>
        <w:t>94.</w:t>
      </w:r>
      <w:r w:rsidRPr="00F13D2D">
        <w:rPr>
          <w:rFonts w:eastAsia="Calibri"/>
          <w:lang w:val="fr-FR"/>
        </w:rPr>
        <w:tab/>
      </w:r>
      <w:r w:rsidR="00E819C1" w:rsidRPr="00F13D2D">
        <w:rPr>
          <w:rFonts w:eastAsia="Calibri"/>
          <w:lang w:val="fr-FR"/>
        </w:rPr>
        <w:t>L’enseignement fondamental est obligatoire et gratuit. L’effectif des élèves s’élève à 510</w:t>
      </w:r>
      <w:r w:rsidR="002A5875">
        <w:rPr>
          <w:rFonts w:eastAsia="Calibri"/>
          <w:lang w:val="fr-FR"/>
        </w:rPr>
        <w:t> </w:t>
      </w:r>
      <w:r w:rsidR="00E819C1" w:rsidRPr="00F13D2D">
        <w:rPr>
          <w:rFonts w:eastAsia="Calibri"/>
          <w:lang w:val="fr-FR"/>
        </w:rPr>
        <w:t>000</w:t>
      </w:r>
      <w:r w:rsidR="00FC0832">
        <w:rPr>
          <w:rFonts w:eastAsia="Calibri"/>
          <w:lang w:val="fr-FR"/>
        </w:rPr>
        <w:t> ;</w:t>
      </w:r>
      <w:r w:rsidR="00E819C1" w:rsidRPr="00F13D2D">
        <w:rPr>
          <w:rFonts w:eastAsia="Calibri"/>
          <w:lang w:val="fr-FR"/>
        </w:rPr>
        <w:t xml:space="preserve"> dont 100</w:t>
      </w:r>
      <w:r w:rsidR="002A5875">
        <w:rPr>
          <w:rFonts w:eastAsia="Calibri"/>
          <w:lang w:val="fr-FR"/>
        </w:rPr>
        <w:t> </w:t>
      </w:r>
      <w:r w:rsidR="00E819C1" w:rsidRPr="00F13D2D">
        <w:rPr>
          <w:rFonts w:eastAsia="Calibri"/>
          <w:lang w:val="fr-FR"/>
        </w:rPr>
        <w:t>000 sont au secondaire et 14</w:t>
      </w:r>
      <w:r w:rsidR="002A5875">
        <w:rPr>
          <w:rFonts w:eastAsia="Calibri"/>
          <w:lang w:val="fr-FR"/>
        </w:rPr>
        <w:t> </w:t>
      </w:r>
      <w:r w:rsidR="00E819C1" w:rsidRPr="00F13D2D">
        <w:rPr>
          <w:rFonts w:eastAsia="Calibri"/>
          <w:lang w:val="fr-FR"/>
        </w:rPr>
        <w:t>000 au supérieur, le reste est au fondamental. Le nombre des écoles fondamentales est de 3</w:t>
      </w:r>
      <w:r w:rsidR="002A5875">
        <w:rPr>
          <w:rFonts w:eastAsia="Calibri"/>
          <w:lang w:val="fr-FR"/>
        </w:rPr>
        <w:t> </w:t>
      </w:r>
      <w:r w:rsidR="00E819C1" w:rsidRPr="00F13D2D">
        <w:rPr>
          <w:rFonts w:eastAsia="Calibri"/>
          <w:lang w:val="fr-FR"/>
        </w:rPr>
        <w:t>768 et les établissements secondaires sont de</w:t>
      </w:r>
      <w:r w:rsidR="006C160E" w:rsidRPr="00F13D2D">
        <w:rPr>
          <w:rFonts w:eastAsia="Calibri"/>
          <w:lang w:val="fr-FR"/>
        </w:rPr>
        <w:t xml:space="preserve"> </w:t>
      </w:r>
      <w:r w:rsidR="00E819C1" w:rsidRPr="00F13D2D">
        <w:rPr>
          <w:rFonts w:eastAsia="Calibri"/>
          <w:lang w:val="fr-FR"/>
        </w:rPr>
        <w:t>231 et 3 universités publiques existent. 15</w:t>
      </w:r>
      <w:r w:rsidR="002A5875">
        <w:rPr>
          <w:rFonts w:eastAsia="Calibri"/>
          <w:lang w:val="fr-FR"/>
        </w:rPr>
        <w:t> </w:t>
      </w:r>
      <w:r w:rsidR="00E819C1" w:rsidRPr="00F13D2D">
        <w:rPr>
          <w:rFonts w:eastAsia="Calibri"/>
          <w:lang w:val="fr-FR"/>
        </w:rPr>
        <w:t>000 enseignants du fondamental sont recensés, 5</w:t>
      </w:r>
      <w:r w:rsidR="002E662F">
        <w:rPr>
          <w:rFonts w:eastAsia="Calibri"/>
          <w:lang w:val="fr-FR"/>
        </w:rPr>
        <w:t> </w:t>
      </w:r>
      <w:r w:rsidR="00E819C1" w:rsidRPr="00F13D2D">
        <w:rPr>
          <w:rFonts w:eastAsia="Calibri"/>
          <w:lang w:val="fr-FR"/>
        </w:rPr>
        <w:t xml:space="preserve">000 dans le secondaire et 300 dans le supérieur alors que 310 inspecteurs travaillent dans le primaire. La politique nationale en matière d’éducation est mise en œuvre par le Programme National de Développement du Secteur </w:t>
      </w:r>
      <w:proofErr w:type="spellStart"/>
      <w:r w:rsidR="00E819C1" w:rsidRPr="00F13D2D">
        <w:rPr>
          <w:rFonts w:eastAsia="Calibri"/>
          <w:lang w:val="fr-FR"/>
        </w:rPr>
        <w:t>Educatif</w:t>
      </w:r>
      <w:proofErr w:type="spellEnd"/>
      <w:r w:rsidR="00E819C1" w:rsidRPr="00F13D2D">
        <w:rPr>
          <w:rFonts w:eastAsia="Calibri"/>
          <w:lang w:val="fr-FR"/>
        </w:rPr>
        <w:t xml:space="preserve"> (PNDSE), qui couvre le préscolaire, l’enseignement originel et alphabétisation,</w:t>
      </w:r>
      <w:r w:rsidR="006C160E" w:rsidRPr="00F13D2D">
        <w:rPr>
          <w:rFonts w:eastAsia="Calibri"/>
          <w:lang w:val="fr-FR"/>
        </w:rPr>
        <w:t xml:space="preserve"> </w:t>
      </w:r>
      <w:r w:rsidR="00E819C1" w:rsidRPr="00F13D2D">
        <w:rPr>
          <w:rFonts w:eastAsia="Calibri"/>
          <w:lang w:val="fr-FR"/>
        </w:rPr>
        <w:t xml:space="preserve">les enseignements fondamental et secondaire, la formation technique et professionnelle et l’enseignement supérieur. </w:t>
      </w:r>
    </w:p>
    <w:p w:rsidR="00E819C1" w:rsidRPr="00E06F1B" w:rsidRDefault="00716E20" w:rsidP="00AA7A93">
      <w:pPr>
        <w:pStyle w:val="H23G"/>
      </w:pPr>
      <w:bookmarkStart w:id="138" w:name="_Toc453672913"/>
      <w:bookmarkStart w:id="139" w:name="_Toc454388754"/>
      <w:r w:rsidRPr="000E17DF">
        <w:lastRenderedPageBreak/>
        <w:tab/>
        <w:t>d)</w:t>
      </w:r>
      <w:r w:rsidRPr="000E17DF">
        <w:tab/>
      </w:r>
      <w:r w:rsidR="00E819C1" w:rsidRPr="00F13D2D">
        <w:t>Protection contre les abus</w:t>
      </w:r>
      <w:bookmarkEnd w:id="138"/>
      <w:bookmarkEnd w:id="139"/>
    </w:p>
    <w:p w:rsidR="00E819C1" w:rsidRPr="00F13D2D" w:rsidRDefault="0055270C" w:rsidP="0055270C">
      <w:pPr>
        <w:pStyle w:val="SingleTxtG"/>
        <w:rPr>
          <w:rFonts w:eastAsia="Calibri"/>
          <w:lang w:val="fr-FR"/>
        </w:rPr>
      </w:pPr>
      <w:r w:rsidRPr="00F13D2D">
        <w:rPr>
          <w:rFonts w:eastAsia="Calibri"/>
          <w:lang w:val="fr-FR"/>
        </w:rPr>
        <w:t>95.</w:t>
      </w:r>
      <w:r w:rsidRPr="00F13D2D">
        <w:rPr>
          <w:rFonts w:eastAsia="Calibri"/>
          <w:lang w:val="fr-FR"/>
        </w:rPr>
        <w:tab/>
      </w:r>
      <w:r w:rsidR="00E819C1" w:rsidRPr="00F13D2D">
        <w:rPr>
          <w:rFonts w:eastAsia="Calibri"/>
          <w:lang w:val="fr-FR"/>
        </w:rPr>
        <w:t>Elle se manifeste à travers</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eastAsia="fr-FR"/>
        </w:rPr>
      </w:pPr>
      <w:r w:rsidRPr="00F13D2D">
        <w:rPr>
          <w:rFonts w:eastAsia="Calibri"/>
          <w:lang w:val="fr-FR" w:eastAsia="fr-FR"/>
        </w:rPr>
        <w:t>•</w:t>
      </w:r>
      <w:r w:rsidRPr="00F13D2D">
        <w:rPr>
          <w:rFonts w:eastAsia="Calibri"/>
          <w:lang w:val="fr-FR" w:eastAsia="fr-FR"/>
        </w:rPr>
        <w:tab/>
      </w:r>
      <w:r w:rsidR="00E819C1" w:rsidRPr="00F13D2D">
        <w:rPr>
          <w:rFonts w:eastAsia="Calibri"/>
          <w:lang w:val="fr-FR" w:eastAsia="fr-FR"/>
        </w:rPr>
        <w:t>La création de plusieurs brigades des mineurs au sein de la police</w:t>
      </w:r>
      <w:r w:rsidR="006C160E" w:rsidRPr="00F13D2D">
        <w:rPr>
          <w:rFonts w:eastAsia="Calibri"/>
          <w:lang w:val="fr-FR" w:eastAsia="fr-FR"/>
        </w:rPr>
        <w:t xml:space="preserve"> </w:t>
      </w:r>
      <w:r w:rsidR="00E819C1" w:rsidRPr="00F13D2D">
        <w:rPr>
          <w:rFonts w:eastAsia="Calibri"/>
          <w:lang w:val="fr-FR" w:eastAsia="fr-FR"/>
        </w:rPr>
        <w:t>chargée des</w:t>
      </w:r>
      <w:r w:rsidR="006C160E" w:rsidRPr="00F13D2D">
        <w:rPr>
          <w:rFonts w:eastAsia="Calibri"/>
          <w:lang w:val="fr-FR" w:eastAsia="fr-FR"/>
        </w:rPr>
        <w:t xml:space="preserve"> </w:t>
      </w:r>
      <w:r w:rsidR="00E819C1" w:rsidRPr="00F13D2D">
        <w:rPr>
          <w:rFonts w:eastAsia="Calibri"/>
          <w:lang w:val="fr-FR" w:eastAsia="fr-FR"/>
        </w:rPr>
        <w:t>enquêtes</w:t>
      </w:r>
      <w:r w:rsidR="00FC0832">
        <w:rPr>
          <w:rFonts w:eastAsia="Calibri"/>
          <w:lang w:val="fr-FR" w:eastAsia="fr-FR"/>
        </w:rPr>
        <w:t> ;</w:t>
      </w:r>
      <w:r w:rsidR="00E819C1" w:rsidRPr="00F13D2D">
        <w:rPr>
          <w:rFonts w:eastAsia="Calibri"/>
          <w:lang w:val="fr-FR" w:eastAsia="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eastAsia="fr-FR"/>
        </w:rPr>
      </w:pPr>
      <w:r w:rsidRPr="00F13D2D">
        <w:rPr>
          <w:rFonts w:eastAsia="Calibri"/>
          <w:lang w:val="fr-FR" w:eastAsia="fr-FR"/>
        </w:rPr>
        <w:t>•</w:t>
      </w:r>
      <w:r w:rsidRPr="00F13D2D">
        <w:rPr>
          <w:rFonts w:eastAsia="Calibri"/>
          <w:lang w:val="fr-FR" w:eastAsia="fr-FR"/>
        </w:rPr>
        <w:tab/>
      </w:r>
      <w:r w:rsidR="00E819C1" w:rsidRPr="00F13D2D">
        <w:rPr>
          <w:rFonts w:eastAsia="Calibri"/>
          <w:lang w:val="fr-FR" w:eastAsia="fr-FR"/>
        </w:rPr>
        <w:t>L’initiation par le MASEF d’un important travail de sensibilisation</w:t>
      </w:r>
      <w:r w:rsidR="00031D54">
        <w:rPr>
          <w:rFonts w:eastAsia="Calibri"/>
          <w:lang w:val="fr-FR" w:eastAsia="fr-FR"/>
        </w:rPr>
        <w:t> ;</w:t>
      </w:r>
    </w:p>
    <w:p w:rsidR="00E819C1" w:rsidRPr="00F13D2D" w:rsidRDefault="0055270C" w:rsidP="0055270C">
      <w:pPr>
        <w:pStyle w:val="Bullet1G"/>
        <w:numPr>
          <w:ilvl w:val="0"/>
          <w:numId w:val="0"/>
        </w:numPr>
        <w:tabs>
          <w:tab w:val="left" w:pos="1701"/>
        </w:tabs>
        <w:ind w:left="1701" w:hanging="170"/>
        <w:rPr>
          <w:rFonts w:eastAsia="Calibri"/>
          <w:lang w:val="fr-FR" w:eastAsia="fr-FR"/>
        </w:rPr>
      </w:pPr>
      <w:r w:rsidRPr="00F13D2D">
        <w:rPr>
          <w:rFonts w:eastAsia="Calibri"/>
          <w:lang w:val="fr-FR" w:eastAsia="fr-FR"/>
        </w:rPr>
        <w:t>•</w:t>
      </w:r>
      <w:r w:rsidRPr="00F13D2D">
        <w:rPr>
          <w:rFonts w:eastAsia="Calibri"/>
          <w:lang w:val="fr-FR" w:eastAsia="fr-FR"/>
        </w:rPr>
        <w:tab/>
      </w:r>
      <w:r w:rsidR="00E819C1" w:rsidRPr="00F13D2D">
        <w:rPr>
          <w:rFonts w:eastAsia="Calibri"/>
          <w:lang w:val="fr-FR" w:eastAsia="fr-FR"/>
        </w:rPr>
        <w:t>La prohibition des châtiments corporels et autres formes de violence physique sur les enfants</w:t>
      </w:r>
      <w:r w:rsidR="00031D54">
        <w:rPr>
          <w:rFonts w:eastAsia="Calibri"/>
          <w:lang w:val="fr-FR" w:eastAsia="fr-FR"/>
        </w:rPr>
        <w:t> ;</w:t>
      </w:r>
      <w:r w:rsidR="00E819C1" w:rsidRPr="00F13D2D">
        <w:rPr>
          <w:rFonts w:eastAsia="Calibri"/>
          <w:lang w:val="fr-FR" w:eastAsia="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eastAsia="fr-FR"/>
        </w:rPr>
      </w:pPr>
      <w:r w:rsidRPr="00F13D2D">
        <w:rPr>
          <w:rFonts w:eastAsia="Calibri"/>
          <w:lang w:val="fr-FR" w:eastAsia="fr-FR"/>
        </w:rPr>
        <w:t>•</w:t>
      </w:r>
      <w:r w:rsidRPr="00F13D2D">
        <w:rPr>
          <w:rFonts w:eastAsia="Calibri"/>
          <w:lang w:val="fr-FR" w:eastAsia="fr-FR"/>
        </w:rPr>
        <w:tab/>
      </w:r>
      <w:r w:rsidR="00E819C1" w:rsidRPr="00F13D2D">
        <w:rPr>
          <w:rFonts w:eastAsia="Calibri"/>
          <w:lang w:val="fr-FR" w:eastAsia="fr-FR"/>
        </w:rPr>
        <w:t>L’engagement des ONG qui s’occupent de la protection de l’enfance, à l’aide du soutien financier des donateurs internationaux</w:t>
      </w:r>
      <w:r w:rsidR="00031D54">
        <w:rPr>
          <w:rFonts w:eastAsia="Calibri"/>
          <w:lang w:val="fr-FR" w:eastAsia="fr-FR"/>
        </w:rPr>
        <w:t> ;</w:t>
      </w:r>
      <w:r w:rsidR="00E819C1" w:rsidRPr="00F13D2D">
        <w:rPr>
          <w:rFonts w:eastAsia="Calibri"/>
          <w:lang w:val="fr-FR" w:eastAsia="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eastAsia="fr-FR"/>
        </w:rPr>
      </w:pPr>
      <w:r w:rsidRPr="00F13D2D">
        <w:rPr>
          <w:rFonts w:eastAsia="Calibri"/>
          <w:lang w:val="fr-FR" w:eastAsia="fr-FR"/>
        </w:rPr>
        <w:t>•</w:t>
      </w:r>
      <w:r w:rsidRPr="00F13D2D">
        <w:rPr>
          <w:rFonts w:eastAsia="Calibri"/>
          <w:lang w:val="fr-FR" w:eastAsia="fr-FR"/>
        </w:rPr>
        <w:tab/>
      </w:r>
      <w:r w:rsidR="00E819C1" w:rsidRPr="00F13D2D">
        <w:rPr>
          <w:rFonts w:eastAsia="Calibri"/>
          <w:lang w:val="fr-FR" w:eastAsia="fr-FR"/>
        </w:rPr>
        <w:t>La protection de l’enfant contre les conséquences des litiges familiaux est assurée par le service des litiges familiaux</w:t>
      </w:r>
      <w:r w:rsidR="00031D54">
        <w:rPr>
          <w:rFonts w:eastAsia="Calibri"/>
          <w:lang w:val="fr-FR" w:eastAsia="fr-FR"/>
        </w:rPr>
        <w:t> ;</w:t>
      </w:r>
    </w:p>
    <w:p w:rsidR="00E819C1" w:rsidRPr="00F13D2D" w:rsidRDefault="0055270C" w:rsidP="0055270C">
      <w:pPr>
        <w:pStyle w:val="Bullet1G"/>
        <w:numPr>
          <w:ilvl w:val="0"/>
          <w:numId w:val="0"/>
        </w:numPr>
        <w:tabs>
          <w:tab w:val="left" w:pos="1701"/>
        </w:tabs>
        <w:ind w:left="1701" w:hanging="170"/>
        <w:rPr>
          <w:lang w:val="fr-FR" w:eastAsia="fr-FR"/>
        </w:rPr>
      </w:pPr>
      <w:r w:rsidRPr="00F13D2D">
        <w:rPr>
          <w:lang w:val="fr-FR" w:eastAsia="fr-FR"/>
        </w:rPr>
        <w:t>•</w:t>
      </w:r>
      <w:r w:rsidRPr="00F13D2D">
        <w:rPr>
          <w:lang w:val="fr-FR" w:eastAsia="fr-FR"/>
        </w:rPr>
        <w:tab/>
      </w:r>
      <w:r w:rsidR="00E819C1" w:rsidRPr="00F13D2D">
        <w:rPr>
          <w:lang w:val="fr-FR" w:eastAsia="fr-FR"/>
        </w:rPr>
        <w:t>L’UNICEF soutient la planification, la mise en œuvre, le suivi et l’évaluation des activités visant la protection et le bien-être de</w:t>
      </w:r>
      <w:r w:rsidR="006C160E" w:rsidRPr="00F13D2D">
        <w:rPr>
          <w:lang w:val="fr-FR" w:eastAsia="fr-FR"/>
        </w:rPr>
        <w:t xml:space="preserve"> </w:t>
      </w:r>
      <w:r w:rsidR="00E819C1" w:rsidRPr="00F13D2D">
        <w:rPr>
          <w:lang w:val="fr-FR" w:eastAsia="fr-FR"/>
        </w:rPr>
        <w:t>l’enfant</w:t>
      </w:r>
      <w:r w:rsidR="00031D54">
        <w:rPr>
          <w:lang w:val="fr-FR" w:eastAsia="fr-FR"/>
        </w:rPr>
        <w:t> ;</w:t>
      </w:r>
      <w:r w:rsidR="00E819C1" w:rsidRPr="00F13D2D">
        <w:rPr>
          <w:lang w:val="fr-FR" w:eastAsia="fr-FR"/>
        </w:rPr>
        <w:t xml:space="preserve"> </w:t>
      </w:r>
    </w:p>
    <w:p w:rsidR="00E819C1" w:rsidRPr="00F13D2D" w:rsidRDefault="0055270C" w:rsidP="0055270C">
      <w:pPr>
        <w:pStyle w:val="Bullet1G"/>
        <w:numPr>
          <w:ilvl w:val="0"/>
          <w:numId w:val="0"/>
        </w:numPr>
        <w:tabs>
          <w:tab w:val="left" w:pos="1701"/>
        </w:tabs>
        <w:ind w:left="1701" w:hanging="170"/>
        <w:rPr>
          <w:lang w:val="fr-FR" w:eastAsia="fr-FR"/>
        </w:rPr>
      </w:pPr>
      <w:r w:rsidRPr="00F13D2D">
        <w:rPr>
          <w:lang w:val="fr-FR" w:eastAsia="fr-FR"/>
        </w:rPr>
        <w:t>•</w:t>
      </w:r>
      <w:r w:rsidRPr="00F13D2D">
        <w:rPr>
          <w:lang w:val="fr-FR" w:eastAsia="fr-FR"/>
        </w:rPr>
        <w:tab/>
      </w:r>
      <w:r w:rsidR="00E819C1" w:rsidRPr="00F13D2D">
        <w:rPr>
          <w:lang w:val="fr-FR" w:eastAsia="fr-FR"/>
        </w:rPr>
        <w:t>L’UNFPA soutien, entre autres, les activités pour la promotion féminine ainsi que la</w:t>
      </w:r>
      <w:r w:rsidR="006C160E" w:rsidRPr="00F13D2D">
        <w:rPr>
          <w:lang w:val="fr-FR" w:eastAsia="fr-FR"/>
        </w:rPr>
        <w:t xml:space="preserve"> </w:t>
      </w:r>
      <w:r w:rsidR="00E819C1" w:rsidRPr="00F13D2D">
        <w:rPr>
          <w:lang w:val="fr-FR" w:eastAsia="fr-FR"/>
        </w:rPr>
        <w:t>lutte contre les MGF</w:t>
      </w:r>
      <w:r w:rsidR="00031D54">
        <w:rPr>
          <w:lang w:val="fr-FR" w:eastAsia="fr-FR"/>
        </w:rPr>
        <w:t> ;</w:t>
      </w:r>
      <w:r w:rsidR="00E819C1" w:rsidRPr="00F13D2D">
        <w:rPr>
          <w:lang w:val="fr-FR" w:eastAsia="fr-FR"/>
        </w:rPr>
        <w:t xml:space="preserve"> </w:t>
      </w:r>
    </w:p>
    <w:p w:rsidR="00E819C1" w:rsidRPr="00F13D2D" w:rsidRDefault="0055270C" w:rsidP="0055270C">
      <w:pPr>
        <w:pStyle w:val="Bullet1G"/>
        <w:numPr>
          <w:ilvl w:val="0"/>
          <w:numId w:val="0"/>
        </w:numPr>
        <w:tabs>
          <w:tab w:val="left" w:pos="1701"/>
        </w:tabs>
        <w:ind w:left="1701" w:hanging="170"/>
        <w:rPr>
          <w:lang w:val="fr-FR" w:eastAsia="fr-FR"/>
        </w:rPr>
      </w:pPr>
      <w:r w:rsidRPr="00F13D2D">
        <w:rPr>
          <w:lang w:val="fr-FR" w:eastAsia="fr-FR"/>
        </w:rPr>
        <w:t>•</w:t>
      </w:r>
      <w:r w:rsidRPr="00F13D2D">
        <w:rPr>
          <w:lang w:val="fr-FR" w:eastAsia="fr-FR"/>
        </w:rPr>
        <w:tab/>
      </w:r>
      <w:r w:rsidR="00E819C1" w:rsidRPr="00F13D2D">
        <w:rPr>
          <w:lang w:val="fr-FR" w:eastAsia="fr-FR"/>
        </w:rPr>
        <w:t>La GIZ œuvre à renforcer l’approche genre</w:t>
      </w:r>
      <w:r w:rsidR="006C160E" w:rsidRPr="00F13D2D">
        <w:rPr>
          <w:lang w:val="fr-FR" w:eastAsia="fr-FR"/>
        </w:rPr>
        <w:t xml:space="preserve"> </w:t>
      </w:r>
      <w:r w:rsidR="00E819C1" w:rsidRPr="00F13D2D">
        <w:rPr>
          <w:lang w:val="fr-FR" w:eastAsia="fr-FR"/>
        </w:rPr>
        <w:t>au sein d’un programme de bonne gouvernance.</w:t>
      </w:r>
    </w:p>
    <w:p w:rsidR="00E819C1" w:rsidRPr="00E06F1B" w:rsidRDefault="00716E20" w:rsidP="00AA7A93">
      <w:pPr>
        <w:pStyle w:val="H23G"/>
      </w:pPr>
      <w:bookmarkStart w:id="140" w:name="_Toc453672914"/>
      <w:bookmarkStart w:id="141" w:name="_Toc454388755"/>
      <w:r w:rsidRPr="000E17DF">
        <w:tab/>
      </w:r>
      <w:r w:rsidR="00525A47" w:rsidRPr="00F13D2D">
        <w:t>e</w:t>
      </w:r>
      <w:r w:rsidRPr="00F13D2D">
        <w:t>)</w:t>
      </w:r>
      <w:r w:rsidRPr="00F13D2D">
        <w:tab/>
      </w:r>
      <w:r w:rsidR="00E819C1" w:rsidRPr="00F13D2D">
        <w:t>Renforcement des droits économiques et culturels de l’enfant</w:t>
      </w:r>
      <w:bookmarkEnd w:id="140"/>
      <w:bookmarkEnd w:id="141"/>
    </w:p>
    <w:p w:rsidR="00E819C1" w:rsidRPr="00F13D2D" w:rsidRDefault="0055270C" w:rsidP="0055270C">
      <w:pPr>
        <w:pStyle w:val="SingleTxtG"/>
        <w:rPr>
          <w:rFonts w:eastAsia="Calibri"/>
          <w:lang w:val="fr-FR"/>
        </w:rPr>
      </w:pPr>
      <w:r w:rsidRPr="00F13D2D">
        <w:rPr>
          <w:rFonts w:eastAsia="Calibri"/>
          <w:lang w:val="fr-FR"/>
        </w:rPr>
        <w:t>96.</w:t>
      </w:r>
      <w:r w:rsidRPr="00F13D2D">
        <w:rPr>
          <w:rFonts w:eastAsia="Calibri"/>
          <w:lang w:val="fr-FR"/>
        </w:rPr>
        <w:tab/>
      </w:r>
      <w:r w:rsidR="00E819C1" w:rsidRPr="00F13D2D">
        <w:rPr>
          <w:rFonts w:eastAsia="Calibri"/>
          <w:lang w:val="fr-FR"/>
        </w:rPr>
        <w:t>La Mauritanie a renforcé son engagement, en vue de la promotion et de la protection des droits des femmes, de l</w:t>
      </w:r>
      <w:r w:rsidR="006C160E" w:rsidRPr="00F13D2D">
        <w:rPr>
          <w:rFonts w:eastAsia="Calibri"/>
          <w:lang w:val="fr-FR"/>
        </w:rPr>
        <w:t>’</w:t>
      </w:r>
      <w:r w:rsidR="00E819C1" w:rsidRPr="00F13D2D">
        <w:rPr>
          <w:rFonts w:eastAsia="Calibri"/>
          <w:lang w:val="fr-FR"/>
        </w:rPr>
        <w:t>enfant et des personnes handicapées à travers</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La ratification des conventions internationales y afférentes</w:t>
      </w:r>
      <w:r w:rsidR="00FC0832">
        <w:rPr>
          <w:rFonts w:eastAsia="Calibri"/>
          <w:lang w:val="fr-FR"/>
        </w:rPr>
        <w:t>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w:t>
      </w:r>
      <w:r w:rsidR="006C160E" w:rsidRPr="00F13D2D">
        <w:rPr>
          <w:rFonts w:eastAsia="Calibri"/>
          <w:lang w:val="fr-FR"/>
        </w:rPr>
        <w:t>’</w:t>
      </w:r>
      <w:r w:rsidR="00E819C1" w:rsidRPr="00F13D2D">
        <w:rPr>
          <w:rFonts w:eastAsia="Calibri"/>
          <w:lang w:val="fr-FR"/>
        </w:rPr>
        <w:t>adoption de textes d’application de l’Ordonnance portant protection et promotion des personnes handicapées</w:t>
      </w:r>
      <w:r w:rsidR="00441EC7">
        <w:rPr>
          <w:rFonts w:eastAsia="Calibri"/>
          <w:lang w:val="fr-FR"/>
        </w:rPr>
        <w:t> ;</w:t>
      </w:r>
      <w:r w:rsidR="00E819C1"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La mise en place d’un programme visant à inciter les filles à suivre les filières scientifiques à travers l’attribution des prix (du primaire au supérieur)</w:t>
      </w:r>
      <w:r w:rsidR="00441EC7">
        <w:rPr>
          <w:rFonts w:eastAsia="Calibri"/>
          <w:lang w:val="fr-FR"/>
        </w:rPr>
        <w:t> ;</w:t>
      </w:r>
      <w:r w:rsidR="00E819C1"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L’octroi des bourses pour les filles lauréates</w:t>
      </w:r>
      <w:r w:rsidR="00441EC7">
        <w:rPr>
          <w:rFonts w:eastAsia="Calibri"/>
          <w:lang w:val="fr-FR"/>
        </w:rPr>
        <w:t> ;</w:t>
      </w:r>
      <w:r w:rsidR="00E819C1" w:rsidRPr="00F13D2D">
        <w:rPr>
          <w:rFonts w:eastAsia="Calibri"/>
          <w:lang w:val="fr-FR"/>
        </w:rPr>
        <w:t xml:space="preserve"> </w:t>
      </w:r>
    </w:p>
    <w:p w:rsidR="00E819C1" w:rsidRPr="00F13D2D" w:rsidRDefault="0055270C" w:rsidP="0055270C">
      <w:pPr>
        <w:pStyle w:val="Bullet1G"/>
        <w:numPr>
          <w:ilvl w:val="0"/>
          <w:numId w:val="0"/>
        </w:numPr>
        <w:tabs>
          <w:tab w:val="left" w:pos="1701"/>
        </w:tabs>
        <w:ind w:left="1701" w:hanging="170"/>
        <w:rPr>
          <w:rFonts w:eastAsia="Calibri"/>
          <w:lang w:val="fr-FR"/>
        </w:rPr>
      </w:pPr>
      <w:r w:rsidRPr="00F13D2D">
        <w:rPr>
          <w:rFonts w:eastAsia="Calibri"/>
          <w:lang w:val="fr-FR"/>
        </w:rPr>
        <w:t>•</w:t>
      </w:r>
      <w:r w:rsidRPr="00F13D2D">
        <w:rPr>
          <w:rFonts w:eastAsia="Calibri"/>
          <w:lang w:val="fr-FR"/>
        </w:rPr>
        <w:tab/>
      </w:r>
      <w:r w:rsidR="00E819C1" w:rsidRPr="00F13D2D">
        <w:rPr>
          <w:rFonts w:eastAsia="Calibri"/>
          <w:lang w:val="fr-FR"/>
        </w:rPr>
        <w:t>Le renforcement du programme de formation professionnelle assuré par le centre de formation pour la promotion féminine et le centre de formation pour la petite enfance</w:t>
      </w:r>
      <w:r w:rsidR="00FC0832">
        <w:rPr>
          <w:rFonts w:eastAsia="Calibri"/>
          <w:lang w:val="fr-FR"/>
        </w:rPr>
        <w:t> ;</w:t>
      </w:r>
      <w:r w:rsidR="00E819C1" w:rsidRPr="00F13D2D">
        <w:rPr>
          <w:rFonts w:eastAsia="Calibri"/>
          <w:lang w:val="fr-FR"/>
        </w:rPr>
        <w:t xml:space="preserve"> </w:t>
      </w:r>
    </w:p>
    <w:p w:rsidR="00E819C1" w:rsidRPr="00AA7A93" w:rsidRDefault="0055270C" w:rsidP="0055270C">
      <w:pPr>
        <w:pStyle w:val="Bullet1G"/>
        <w:numPr>
          <w:ilvl w:val="0"/>
          <w:numId w:val="0"/>
        </w:numPr>
        <w:tabs>
          <w:tab w:val="left" w:pos="1701"/>
        </w:tabs>
        <w:ind w:left="1701" w:hanging="170"/>
        <w:rPr>
          <w:rFonts w:eastAsia="Calibri"/>
          <w:lang w:val="fr-FR"/>
        </w:rPr>
      </w:pPr>
      <w:r w:rsidRPr="00AA7A93">
        <w:rPr>
          <w:rFonts w:eastAsia="Calibri"/>
          <w:lang w:val="fr-FR"/>
        </w:rPr>
        <w:t>•</w:t>
      </w:r>
      <w:r w:rsidRPr="00AA7A93">
        <w:rPr>
          <w:rFonts w:eastAsia="Calibri"/>
          <w:lang w:val="fr-FR"/>
        </w:rPr>
        <w:tab/>
      </w:r>
      <w:r w:rsidR="00E819C1" w:rsidRPr="00F13D2D">
        <w:rPr>
          <w:rFonts w:eastAsia="Calibri"/>
          <w:lang w:val="fr-FR"/>
        </w:rPr>
        <w:t xml:space="preserve">L’adaptation du contenu de la formation professionnelle aux besoins du marché par la création des nouvelles filières. </w:t>
      </w:r>
      <w:bookmarkStart w:id="142" w:name="_Toc453672915"/>
    </w:p>
    <w:p w:rsidR="00E819C1" w:rsidRPr="00E06F1B" w:rsidRDefault="00716E20" w:rsidP="00AA7A93">
      <w:pPr>
        <w:pStyle w:val="H23G"/>
      </w:pPr>
      <w:bookmarkStart w:id="143" w:name="_Toc454388756"/>
      <w:r w:rsidRPr="000E17DF">
        <w:tab/>
      </w:r>
      <w:r w:rsidR="00E819C1" w:rsidRPr="00F13D2D">
        <w:t>3</w:t>
      </w:r>
      <w:r w:rsidRPr="00F13D2D">
        <w:t>.</w:t>
      </w:r>
      <w:r w:rsidRPr="00F13D2D">
        <w:tab/>
      </w:r>
      <w:r w:rsidR="00E819C1" w:rsidRPr="00F13D2D">
        <w:t>Ressources budgétaires allouées au secteur de l’enfance</w:t>
      </w:r>
      <w:bookmarkEnd w:id="142"/>
      <w:bookmarkEnd w:id="143"/>
    </w:p>
    <w:p w:rsidR="00E819C1" w:rsidRPr="00F13D2D" w:rsidRDefault="0055270C" w:rsidP="0055270C">
      <w:pPr>
        <w:pStyle w:val="SingleTxtG"/>
        <w:rPr>
          <w:rFonts w:eastAsia="Calibri"/>
          <w:lang w:val="fr-FR"/>
        </w:rPr>
      </w:pPr>
      <w:r w:rsidRPr="00F13D2D">
        <w:rPr>
          <w:rFonts w:eastAsia="Calibri"/>
          <w:lang w:val="fr-FR"/>
        </w:rPr>
        <w:t>97.</w:t>
      </w:r>
      <w:r w:rsidRPr="00F13D2D">
        <w:rPr>
          <w:rFonts w:eastAsia="Calibri"/>
          <w:lang w:val="fr-FR"/>
        </w:rPr>
        <w:tab/>
      </w:r>
      <w:r w:rsidR="00E819C1" w:rsidRPr="00F13D2D">
        <w:rPr>
          <w:rFonts w:eastAsia="Calibri"/>
          <w:lang w:val="fr-FR"/>
        </w:rPr>
        <w:t>Le budget de fonctionnement du MASEF s’élève à plus de deux milliards</w:t>
      </w:r>
      <w:r w:rsidR="006C160E" w:rsidRPr="00F13D2D">
        <w:rPr>
          <w:rFonts w:eastAsia="Calibri"/>
          <w:lang w:val="fr-FR"/>
        </w:rPr>
        <w:t xml:space="preserve"> </w:t>
      </w:r>
      <w:r w:rsidR="00E819C1" w:rsidRPr="00F13D2D">
        <w:rPr>
          <w:rFonts w:eastAsia="Calibri"/>
          <w:lang w:val="fr-FR"/>
        </w:rPr>
        <w:t>d</w:t>
      </w:r>
      <w:r w:rsidR="006C160E" w:rsidRPr="00F13D2D">
        <w:rPr>
          <w:rFonts w:eastAsia="Calibri"/>
          <w:lang w:val="fr-FR"/>
        </w:rPr>
        <w:t>’</w:t>
      </w:r>
      <w:r w:rsidR="00E819C1" w:rsidRPr="00F13D2D">
        <w:rPr>
          <w:rFonts w:eastAsia="Calibri"/>
          <w:lang w:val="fr-FR"/>
        </w:rPr>
        <w:t>ouguiyas. Celui du Ministère de l’éducation nationale s’élève à environ cinquante milliards d</w:t>
      </w:r>
      <w:r w:rsidR="006C160E" w:rsidRPr="00F13D2D">
        <w:rPr>
          <w:rFonts w:eastAsia="Calibri"/>
          <w:lang w:val="fr-FR"/>
        </w:rPr>
        <w:t>’</w:t>
      </w:r>
      <w:r w:rsidR="00E819C1" w:rsidRPr="00F13D2D">
        <w:rPr>
          <w:rFonts w:eastAsia="Calibri"/>
          <w:lang w:val="fr-FR"/>
        </w:rPr>
        <w:t>ouguiyas</w:t>
      </w:r>
      <w:r w:rsidR="00EB3F4D">
        <w:rPr>
          <w:rFonts w:eastAsia="Calibri"/>
          <w:lang w:val="fr-FR"/>
        </w:rPr>
        <w:t>.</w:t>
      </w:r>
      <w:r w:rsidR="006C160E" w:rsidRPr="00F13D2D">
        <w:rPr>
          <w:rFonts w:eastAsia="Calibri"/>
          <w:lang w:val="fr-FR"/>
        </w:rPr>
        <w:t xml:space="preserve"> </w:t>
      </w:r>
      <w:r w:rsidR="00E819C1" w:rsidRPr="00F13D2D">
        <w:rPr>
          <w:rFonts w:eastAsia="Calibri"/>
          <w:lang w:val="fr-FR"/>
        </w:rPr>
        <w:t>Ceux de la culture, de la jeunesse et des sports s</w:t>
      </w:r>
      <w:r w:rsidR="006C160E" w:rsidRPr="00F13D2D">
        <w:rPr>
          <w:rFonts w:eastAsia="Calibri"/>
          <w:lang w:val="fr-FR"/>
        </w:rPr>
        <w:t>’</w:t>
      </w:r>
      <w:r w:rsidR="00E819C1" w:rsidRPr="00F13D2D">
        <w:rPr>
          <w:rFonts w:eastAsia="Calibri"/>
          <w:lang w:val="fr-FR"/>
        </w:rPr>
        <w:t>élèvent à deux milliards d</w:t>
      </w:r>
      <w:r w:rsidR="006C160E" w:rsidRPr="00F13D2D">
        <w:rPr>
          <w:rFonts w:eastAsia="Calibri"/>
          <w:lang w:val="fr-FR"/>
        </w:rPr>
        <w:t>’</w:t>
      </w:r>
      <w:r w:rsidR="00E819C1" w:rsidRPr="00F13D2D">
        <w:rPr>
          <w:rFonts w:eastAsia="Calibri"/>
          <w:lang w:val="fr-FR"/>
        </w:rPr>
        <w:t>ouguiyas</w:t>
      </w:r>
      <w:r w:rsidR="00EB3F4D">
        <w:rPr>
          <w:rFonts w:eastAsia="Calibri"/>
          <w:lang w:val="fr-FR"/>
        </w:rPr>
        <w:t>.</w:t>
      </w:r>
      <w:r w:rsidR="00E819C1" w:rsidRPr="00F13D2D">
        <w:rPr>
          <w:rFonts w:eastAsia="Calibri"/>
          <w:lang w:val="fr-FR"/>
        </w:rPr>
        <w:t xml:space="preserve"> Ces deux budgets sont renforcés par l’octroi de</w:t>
      </w:r>
      <w:r w:rsidR="006C160E" w:rsidRPr="00F13D2D">
        <w:rPr>
          <w:rFonts w:eastAsia="Calibri"/>
          <w:lang w:val="fr-FR"/>
        </w:rPr>
        <w:t xml:space="preserve"> </w:t>
      </w:r>
      <w:r w:rsidR="00E819C1" w:rsidRPr="00F13D2D">
        <w:rPr>
          <w:rFonts w:eastAsia="Calibri"/>
          <w:lang w:val="fr-FR"/>
        </w:rPr>
        <w:t>1</w:t>
      </w:r>
      <w:r w:rsidR="006348D2">
        <w:rPr>
          <w:rFonts w:eastAsia="Calibri"/>
          <w:lang w:val="fr-FR"/>
        </w:rPr>
        <w:t> %</w:t>
      </w:r>
      <w:r w:rsidR="00E819C1" w:rsidRPr="00F13D2D">
        <w:rPr>
          <w:rFonts w:eastAsia="Calibri"/>
          <w:lang w:val="fr-FR"/>
        </w:rPr>
        <w:t xml:space="preserve"> des recettes douanières annuellement affecté aux actions programmées pour le département de la Jeunesse et des Sports. Celui du</w:t>
      </w:r>
      <w:r w:rsidR="006C160E" w:rsidRPr="00F13D2D">
        <w:rPr>
          <w:rFonts w:eastAsia="Calibri"/>
          <w:lang w:val="fr-FR"/>
        </w:rPr>
        <w:t xml:space="preserve"> </w:t>
      </w:r>
      <w:r w:rsidR="00E819C1" w:rsidRPr="00F13D2D">
        <w:rPr>
          <w:rFonts w:eastAsia="Calibri"/>
          <w:lang w:val="fr-FR"/>
        </w:rPr>
        <w:t>Ministère de la santé s</w:t>
      </w:r>
      <w:r w:rsidR="006C160E" w:rsidRPr="00F13D2D">
        <w:rPr>
          <w:rFonts w:eastAsia="Calibri"/>
          <w:lang w:val="fr-FR"/>
        </w:rPr>
        <w:t>’</w:t>
      </w:r>
      <w:r w:rsidR="00E819C1" w:rsidRPr="00F13D2D">
        <w:rPr>
          <w:rFonts w:eastAsia="Calibri"/>
          <w:lang w:val="fr-FR"/>
        </w:rPr>
        <w:t>élève</w:t>
      </w:r>
      <w:r w:rsidR="006C160E" w:rsidRPr="00F13D2D">
        <w:rPr>
          <w:rFonts w:eastAsia="Calibri"/>
          <w:lang w:val="fr-FR"/>
        </w:rPr>
        <w:t xml:space="preserve"> </w:t>
      </w:r>
      <w:r w:rsidR="00E819C1" w:rsidRPr="00F13D2D">
        <w:rPr>
          <w:rFonts w:eastAsia="Calibri"/>
          <w:lang w:val="fr-FR"/>
        </w:rPr>
        <w:t>à plus de douze milliards d</w:t>
      </w:r>
      <w:r w:rsidR="006C160E" w:rsidRPr="00F13D2D">
        <w:rPr>
          <w:rFonts w:eastAsia="Calibri"/>
          <w:lang w:val="fr-FR"/>
        </w:rPr>
        <w:t>’</w:t>
      </w:r>
      <w:r w:rsidR="00E819C1" w:rsidRPr="00F13D2D">
        <w:rPr>
          <w:rFonts w:eastAsia="Calibri"/>
          <w:lang w:val="fr-FR"/>
        </w:rPr>
        <w:t>ouguiyas, celui des affaires islamiques et de l’enseignement originel est de plus de trois milliard d</w:t>
      </w:r>
      <w:r w:rsidR="006C160E" w:rsidRPr="00F13D2D">
        <w:rPr>
          <w:rFonts w:eastAsia="Calibri"/>
          <w:lang w:val="fr-FR"/>
        </w:rPr>
        <w:t>’</w:t>
      </w:r>
      <w:r w:rsidR="00E819C1" w:rsidRPr="00F13D2D">
        <w:rPr>
          <w:rFonts w:eastAsia="Calibri"/>
          <w:lang w:val="fr-FR"/>
        </w:rPr>
        <w:t>ouguiyas. Ces différents</w:t>
      </w:r>
      <w:r w:rsidR="006C160E" w:rsidRPr="00F13D2D">
        <w:rPr>
          <w:rFonts w:eastAsia="Calibri"/>
          <w:lang w:val="fr-FR"/>
        </w:rPr>
        <w:t xml:space="preserve"> </w:t>
      </w:r>
      <w:r w:rsidR="00E819C1" w:rsidRPr="00F13D2D">
        <w:rPr>
          <w:rFonts w:eastAsia="Calibri"/>
          <w:lang w:val="fr-FR"/>
        </w:rPr>
        <w:t>départements consacrent une part importante de leur budget à la promotion et à la protection des droits de l</w:t>
      </w:r>
      <w:r w:rsidR="006C160E" w:rsidRPr="00F13D2D">
        <w:rPr>
          <w:rFonts w:eastAsia="Calibri"/>
          <w:lang w:val="fr-FR"/>
        </w:rPr>
        <w:t>’</w:t>
      </w:r>
      <w:r w:rsidR="00E819C1" w:rsidRPr="00F13D2D">
        <w:rPr>
          <w:rFonts w:eastAsia="Calibri"/>
          <w:lang w:val="fr-FR"/>
        </w:rPr>
        <w:t xml:space="preserve">enfant. </w:t>
      </w:r>
    </w:p>
    <w:p w:rsidR="00E819C1" w:rsidRPr="00AA7A93" w:rsidRDefault="00716E20" w:rsidP="00AA7A93">
      <w:pPr>
        <w:pStyle w:val="H1G"/>
      </w:pPr>
      <w:bookmarkStart w:id="144" w:name="_Toc453672916"/>
      <w:bookmarkStart w:id="145" w:name="_Toc454386599"/>
      <w:bookmarkStart w:id="146" w:name="_Toc454386668"/>
      <w:bookmarkStart w:id="147" w:name="_Toc454388757"/>
      <w:r w:rsidRPr="000E17DF">
        <w:lastRenderedPageBreak/>
        <w:tab/>
        <w:t>F.</w:t>
      </w:r>
      <w:r w:rsidRPr="000E17DF">
        <w:tab/>
      </w:r>
      <w:r w:rsidR="00E819C1" w:rsidRPr="00E06F1B">
        <w:t xml:space="preserve">Mesures prises pour faire connaître largement les principes </w:t>
      </w:r>
      <w:r w:rsidR="00330763">
        <w:br/>
      </w:r>
      <w:r w:rsidR="00E819C1" w:rsidRPr="00E06F1B">
        <w:t>et les dispositions de la</w:t>
      </w:r>
      <w:r w:rsidR="006C160E" w:rsidRPr="00AA7A93">
        <w:t xml:space="preserve"> </w:t>
      </w:r>
      <w:r w:rsidR="00E819C1" w:rsidRPr="00AA7A93">
        <w:t>Convention</w:t>
      </w:r>
      <w:bookmarkEnd w:id="144"/>
      <w:bookmarkEnd w:id="145"/>
      <w:bookmarkEnd w:id="146"/>
      <w:bookmarkEnd w:id="147"/>
    </w:p>
    <w:p w:rsidR="00E819C1" w:rsidRPr="00E06F1B" w:rsidRDefault="00716E20" w:rsidP="00AA7A93">
      <w:pPr>
        <w:pStyle w:val="H23G"/>
      </w:pPr>
      <w:bookmarkStart w:id="148" w:name="_Toc453672917"/>
      <w:bookmarkStart w:id="149" w:name="_Toc454388758"/>
      <w:r w:rsidRPr="00F13D2D">
        <w:tab/>
      </w:r>
      <w:r w:rsidR="00E819C1" w:rsidRPr="00F13D2D">
        <w:t>1</w:t>
      </w:r>
      <w:r w:rsidRPr="00F13D2D">
        <w:t>.</w:t>
      </w:r>
      <w:r w:rsidRPr="00F13D2D">
        <w:tab/>
        <w:t xml:space="preserve">La </w:t>
      </w:r>
      <w:r w:rsidR="00E819C1" w:rsidRPr="00F13D2D">
        <w:rPr>
          <w:lang w:val="fr-FR"/>
        </w:rPr>
        <w:t>cellule</w:t>
      </w:r>
      <w:r w:rsidR="00E819C1" w:rsidRPr="00F13D2D">
        <w:t xml:space="preserve"> de communication du MASEF</w:t>
      </w:r>
      <w:bookmarkEnd w:id="148"/>
      <w:bookmarkEnd w:id="149"/>
    </w:p>
    <w:p w:rsidR="00E819C1" w:rsidRPr="00F13D2D" w:rsidRDefault="0055270C" w:rsidP="0055270C">
      <w:pPr>
        <w:pStyle w:val="SingleTxtG"/>
        <w:rPr>
          <w:rFonts w:eastAsia="Calibri"/>
          <w:lang w:val="fr-FR"/>
        </w:rPr>
      </w:pPr>
      <w:r w:rsidRPr="00F13D2D">
        <w:rPr>
          <w:rFonts w:eastAsia="Calibri"/>
          <w:lang w:val="fr-FR"/>
        </w:rPr>
        <w:t>98.</w:t>
      </w:r>
      <w:r w:rsidRPr="00F13D2D">
        <w:rPr>
          <w:rFonts w:eastAsia="Calibri"/>
          <w:lang w:val="fr-FR"/>
        </w:rPr>
        <w:tab/>
      </w:r>
      <w:r w:rsidR="00E819C1" w:rsidRPr="00F13D2D">
        <w:rPr>
          <w:rFonts w:eastAsia="Calibri"/>
          <w:lang w:val="fr-FR"/>
        </w:rPr>
        <w:t>Cette cellule a réalisé</w:t>
      </w:r>
      <w:r w:rsidR="00FC0832">
        <w:rPr>
          <w:rFonts w:eastAsia="Calibri"/>
          <w:lang w:val="fr-FR"/>
        </w:rPr>
        <w:t> :</w:t>
      </w:r>
      <w:r w:rsidR="00E819C1" w:rsidRPr="00F13D2D">
        <w:rPr>
          <w:rFonts w:eastAsia="Calibri"/>
          <w:lang w:val="fr-FR"/>
        </w:rPr>
        <w:t xml:space="preserve"> (i) plusieurs séminaires de plaidoyer sur la CDE au profit des autorités judiciaires</w:t>
      </w:r>
      <w:r w:rsidR="00FC0832">
        <w:rPr>
          <w:rFonts w:eastAsia="Calibri"/>
          <w:lang w:val="fr-FR"/>
        </w:rPr>
        <w:t> ;</w:t>
      </w:r>
      <w:r w:rsidR="006C160E" w:rsidRPr="00F13D2D">
        <w:rPr>
          <w:rFonts w:eastAsia="Calibri"/>
          <w:lang w:val="fr-FR"/>
        </w:rPr>
        <w:t xml:space="preserve"> </w:t>
      </w:r>
      <w:r w:rsidR="00E819C1" w:rsidRPr="00F13D2D">
        <w:rPr>
          <w:rFonts w:eastAsia="Calibri"/>
          <w:lang w:val="fr-FR"/>
        </w:rPr>
        <w:t>(ii) formation de formateurs sur la CDE</w:t>
      </w:r>
      <w:r w:rsidR="00FC0832">
        <w:rPr>
          <w:rFonts w:eastAsia="Calibri"/>
          <w:lang w:val="fr-FR"/>
        </w:rPr>
        <w:t> ;</w:t>
      </w:r>
      <w:r w:rsidR="00E819C1" w:rsidRPr="00F13D2D">
        <w:rPr>
          <w:rFonts w:eastAsia="Calibri"/>
          <w:lang w:val="fr-FR"/>
        </w:rPr>
        <w:t xml:space="preserve"> (iii) élaboration et vulgarisation d’un guide sur les proc</w:t>
      </w:r>
      <w:r w:rsidR="00490D6F">
        <w:rPr>
          <w:rFonts w:eastAsia="Calibri"/>
          <w:lang w:val="fr-FR"/>
        </w:rPr>
        <w:t>édures judiciaires de la CDE ;</w:t>
      </w:r>
      <w:r w:rsidR="00E819C1" w:rsidRPr="00F13D2D">
        <w:rPr>
          <w:rFonts w:eastAsia="Calibri"/>
          <w:lang w:val="fr-FR"/>
        </w:rPr>
        <w:t xml:space="preserve"> (iv) promulgation d’une fatwa</w:t>
      </w:r>
      <w:r w:rsidR="006C160E" w:rsidRPr="00F13D2D">
        <w:rPr>
          <w:rFonts w:eastAsia="Calibri"/>
          <w:lang w:val="fr-FR"/>
        </w:rPr>
        <w:t xml:space="preserve"> </w:t>
      </w:r>
      <w:r w:rsidR="00E819C1" w:rsidRPr="00F13D2D">
        <w:rPr>
          <w:rFonts w:eastAsia="Calibri"/>
          <w:lang w:val="fr-FR"/>
        </w:rPr>
        <w:t xml:space="preserve">interdisant les MGF ,(v) réalisation d’une étude sur les stéréotypes </w:t>
      </w:r>
      <w:proofErr w:type="spellStart"/>
      <w:r w:rsidR="00E819C1" w:rsidRPr="00F13D2D">
        <w:rPr>
          <w:rFonts w:eastAsia="Calibri"/>
          <w:lang w:val="fr-FR"/>
        </w:rPr>
        <w:t>sexo</w:t>
      </w:r>
      <w:proofErr w:type="spellEnd"/>
      <w:r w:rsidR="00E819C1" w:rsidRPr="00F13D2D">
        <w:rPr>
          <w:rFonts w:eastAsia="Calibri"/>
          <w:lang w:val="fr-FR"/>
        </w:rPr>
        <w:t>-spécifiques</w:t>
      </w:r>
      <w:r w:rsidR="00FC0832">
        <w:rPr>
          <w:rFonts w:eastAsia="Calibri"/>
          <w:lang w:val="fr-FR"/>
        </w:rPr>
        <w:t> ;</w:t>
      </w:r>
      <w:r w:rsidR="00E819C1" w:rsidRPr="00F13D2D">
        <w:rPr>
          <w:rFonts w:eastAsia="Calibri"/>
          <w:lang w:val="fr-FR"/>
        </w:rPr>
        <w:t xml:space="preserve"> (vi) élaboration et mise en œuvre d’un guide sur les procédures opérationnelles standard de lutte contre les violences</w:t>
      </w:r>
      <w:r w:rsidR="00FC0832">
        <w:rPr>
          <w:rFonts w:eastAsia="Calibri"/>
          <w:lang w:val="fr-FR"/>
        </w:rPr>
        <w:t> ;</w:t>
      </w:r>
      <w:r w:rsidR="00E819C1" w:rsidRPr="00F13D2D">
        <w:rPr>
          <w:rFonts w:eastAsia="Calibri"/>
          <w:lang w:val="fr-FR"/>
        </w:rPr>
        <w:t xml:space="preserve"> élaboration d’un module de lutte contre les</w:t>
      </w:r>
      <w:r w:rsidR="006C160E" w:rsidRPr="00F13D2D">
        <w:rPr>
          <w:rFonts w:eastAsia="Calibri"/>
          <w:lang w:val="fr-FR"/>
        </w:rPr>
        <w:t xml:space="preserve"> </w:t>
      </w:r>
      <w:r w:rsidR="00E819C1" w:rsidRPr="00F13D2D">
        <w:rPr>
          <w:rFonts w:eastAsia="Calibri"/>
          <w:lang w:val="fr-FR"/>
        </w:rPr>
        <w:t>MGF</w:t>
      </w:r>
      <w:r w:rsidR="00FC0832">
        <w:rPr>
          <w:rFonts w:eastAsia="Calibri"/>
          <w:lang w:val="fr-FR"/>
        </w:rPr>
        <w:t> ;</w:t>
      </w:r>
      <w:r w:rsidR="00E819C1" w:rsidRPr="00F13D2D">
        <w:rPr>
          <w:rFonts w:eastAsia="Calibri"/>
          <w:lang w:val="fr-FR"/>
        </w:rPr>
        <w:t xml:space="preserve"> (vii)</w:t>
      </w:r>
      <w:r w:rsidR="002E662F">
        <w:rPr>
          <w:rFonts w:eastAsia="Calibri"/>
          <w:lang w:val="fr-FR"/>
        </w:rPr>
        <w:t> </w:t>
      </w:r>
      <w:r w:rsidR="00E819C1" w:rsidRPr="00F13D2D">
        <w:rPr>
          <w:rFonts w:eastAsia="Calibri"/>
          <w:lang w:val="fr-FR"/>
        </w:rPr>
        <w:t>réalisation d’une campagne MGF auprès de 700 imams (leaders religieux)</w:t>
      </w:r>
      <w:r w:rsidR="00FC0832">
        <w:rPr>
          <w:rFonts w:eastAsia="Calibri"/>
          <w:lang w:val="fr-FR"/>
        </w:rPr>
        <w:t> ;</w:t>
      </w:r>
      <w:r w:rsidR="00E819C1" w:rsidRPr="00F13D2D">
        <w:rPr>
          <w:rFonts w:eastAsia="Calibri"/>
          <w:lang w:val="fr-FR"/>
        </w:rPr>
        <w:t xml:space="preserve"> (viii)</w:t>
      </w:r>
      <w:r w:rsidR="002E662F">
        <w:rPr>
          <w:rFonts w:eastAsia="Calibri"/>
          <w:lang w:val="fr-FR"/>
        </w:rPr>
        <w:t> </w:t>
      </w:r>
      <w:r w:rsidR="00E819C1" w:rsidRPr="00F13D2D">
        <w:rPr>
          <w:rFonts w:eastAsia="Calibri"/>
          <w:lang w:val="fr-FR"/>
        </w:rPr>
        <w:t>préparation de l’adhésion de la Mauritanie à la campagne du Secrétaire Générale des Nations Unies contre la violence sur les enfants</w:t>
      </w:r>
      <w:r w:rsidR="00FC0832">
        <w:rPr>
          <w:rFonts w:eastAsia="Calibri"/>
          <w:lang w:val="fr-FR"/>
        </w:rPr>
        <w:t> ;</w:t>
      </w:r>
      <w:r w:rsidR="00E819C1" w:rsidRPr="00F13D2D">
        <w:rPr>
          <w:rFonts w:eastAsia="Calibri"/>
          <w:lang w:val="fr-FR"/>
        </w:rPr>
        <w:t xml:space="preserve"> (ix) réalisation d’un film sur les VBG</w:t>
      </w:r>
      <w:r w:rsidR="00FC0832">
        <w:rPr>
          <w:rFonts w:eastAsia="Calibri"/>
          <w:lang w:val="fr-FR"/>
        </w:rPr>
        <w:t> ;</w:t>
      </w:r>
      <w:r w:rsidR="00E819C1" w:rsidRPr="00F13D2D">
        <w:rPr>
          <w:rFonts w:eastAsia="Calibri"/>
          <w:lang w:val="fr-FR"/>
        </w:rPr>
        <w:t xml:space="preserve"> (x)</w:t>
      </w:r>
      <w:r w:rsidR="002E662F">
        <w:rPr>
          <w:rFonts w:eastAsia="Calibri"/>
          <w:lang w:val="fr-FR"/>
        </w:rPr>
        <w:t> </w:t>
      </w:r>
      <w:r w:rsidR="00E819C1" w:rsidRPr="00F13D2D">
        <w:rPr>
          <w:rFonts w:eastAsia="Calibri"/>
          <w:lang w:val="fr-FR"/>
        </w:rPr>
        <w:t>mise en œuvre d’un programme d’abandon volontaire des MGF dans certaines wilayas à haute prévalence</w:t>
      </w:r>
      <w:r w:rsidR="00FC0832">
        <w:rPr>
          <w:rFonts w:eastAsia="Calibri"/>
          <w:lang w:val="fr-FR"/>
        </w:rPr>
        <w:t> ;</w:t>
      </w:r>
      <w:r w:rsidR="00E819C1" w:rsidRPr="00F13D2D">
        <w:rPr>
          <w:rFonts w:eastAsia="Calibri"/>
          <w:lang w:val="fr-FR"/>
        </w:rPr>
        <w:t xml:space="preserve"> (xi) célébration de la journée tolérance zéro MGF.</w:t>
      </w:r>
      <w:bookmarkStart w:id="150" w:name="_Toc453672918"/>
    </w:p>
    <w:p w:rsidR="00E819C1" w:rsidRPr="00E06F1B" w:rsidRDefault="00716E20" w:rsidP="00AA7A93">
      <w:pPr>
        <w:pStyle w:val="H23G"/>
      </w:pPr>
      <w:bookmarkStart w:id="151" w:name="_Toc454388759"/>
      <w:r w:rsidRPr="000E17DF">
        <w:tab/>
      </w:r>
      <w:r w:rsidR="00E819C1" w:rsidRPr="00F13D2D">
        <w:t>2</w:t>
      </w:r>
      <w:r w:rsidRPr="00F13D2D">
        <w:t>.</w:t>
      </w:r>
      <w:r w:rsidRPr="00F13D2D">
        <w:tab/>
      </w:r>
      <w:r w:rsidR="00E819C1" w:rsidRPr="00F13D2D">
        <w:t>Sensibilisation</w:t>
      </w:r>
      <w:r w:rsidR="006C160E" w:rsidRPr="00F13D2D">
        <w:t xml:space="preserve"> </w:t>
      </w:r>
      <w:r w:rsidR="00E819C1" w:rsidRPr="00F13D2D">
        <w:t>des professionnels de l’enfance</w:t>
      </w:r>
      <w:bookmarkEnd w:id="150"/>
      <w:bookmarkEnd w:id="151"/>
    </w:p>
    <w:p w:rsidR="00E819C1" w:rsidRPr="00F13D2D" w:rsidRDefault="0055270C" w:rsidP="0055270C">
      <w:pPr>
        <w:pStyle w:val="SingleTxtG"/>
        <w:rPr>
          <w:rFonts w:eastAsia="Calibri"/>
          <w:lang w:val="fr-FR"/>
        </w:rPr>
      </w:pPr>
      <w:r w:rsidRPr="00F13D2D">
        <w:rPr>
          <w:rFonts w:eastAsia="Calibri"/>
          <w:lang w:val="fr-FR"/>
        </w:rPr>
        <w:t>99.</w:t>
      </w:r>
      <w:r w:rsidRPr="00F13D2D">
        <w:rPr>
          <w:rFonts w:eastAsia="Calibri"/>
          <w:lang w:val="fr-FR"/>
        </w:rPr>
        <w:tab/>
      </w:r>
      <w:r w:rsidR="00E819C1" w:rsidRPr="00F13D2D">
        <w:rPr>
          <w:rFonts w:eastAsia="Calibri"/>
          <w:lang w:val="fr-FR"/>
        </w:rPr>
        <w:t>Le MASEF a organisé plusieurs séminaires de sensibilisation au profit des enseignants du fondamental et du secondaire sur la CDE. Un effort est déployé pour faire bénéficier les professionnels de l’enfance, et autres catégories de formations continues sur les dispositions de la CDE. L’</w:t>
      </w:r>
      <w:proofErr w:type="spellStart"/>
      <w:r w:rsidR="00E819C1" w:rsidRPr="00F13D2D">
        <w:rPr>
          <w:rFonts w:eastAsia="Calibri"/>
          <w:lang w:val="fr-FR"/>
        </w:rPr>
        <w:t>Ecole</w:t>
      </w:r>
      <w:proofErr w:type="spellEnd"/>
      <w:r w:rsidR="00E819C1" w:rsidRPr="00F13D2D">
        <w:rPr>
          <w:rFonts w:eastAsia="Calibri"/>
          <w:lang w:val="fr-FR"/>
        </w:rPr>
        <w:t xml:space="preserve"> nationale d’Administration, de Journalisme et de magistrature a intégré l’enseignement des droits de l’homme et des droits de l’enfant pour les magistrats et auxiliaires de justice. </w:t>
      </w:r>
    </w:p>
    <w:p w:rsidR="00E819C1" w:rsidRPr="00E06F1B" w:rsidRDefault="00716E20" w:rsidP="00AA7A93">
      <w:pPr>
        <w:pStyle w:val="H23G"/>
      </w:pPr>
      <w:bookmarkStart w:id="152" w:name="_Toc454388760"/>
      <w:r w:rsidRPr="000E17DF">
        <w:tab/>
      </w:r>
      <w:r w:rsidR="00E819C1" w:rsidRPr="00F13D2D">
        <w:t>3</w:t>
      </w:r>
      <w:r w:rsidRPr="00F13D2D">
        <w:t>.</w:t>
      </w:r>
      <w:r w:rsidRPr="00F13D2D">
        <w:tab/>
      </w:r>
      <w:r w:rsidR="00E819C1" w:rsidRPr="00F13D2D">
        <w:t>Promotion de</w:t>
      </w:r>
      <w:r w:rsidR="006C160E" w:rsidRPr="00F13D2D">
        <w:t xml:space="preserve"> </w:t>
      </w:r>
      <w:r w:rsidR="00E819C1" w:rsidRPr="00F13D2D">
        <w:t>la CDE dans</w:t>
      </w:r>
      <w:r w:rsidR="006C160E" w:rsidRPr="00F13D2D">
        <w:t xml:space="preserve"> </w:t>
      </w:r>
      <w:r w:rsidR="00E819C1" w:rsidRPr="00F13D2D">
        <w:t xml:space="preserve">les </w:t>
      </w:r>
      <w:proofErr w:type="spellStart"/>
      <w:r w:rsidR="00E819C1" w:rsidRPr="00F13D2D">
        <w:t>média</w:t>
      </w:r>
      <w:bookmarkEnd w:id="152"/>
      <w:proofErr w:type="spellEnd"/>
    </w:p>
    <w:p w:rsidR="00E819C1" w:rsidRPr="00F13D2D" w:rsidRDefault="0055270C" w:rsidP="0055270C">
      <w:pPr>
        <w:pStyle w:val="SingleTxtG"/>
        <w:rPr>
          <w:rFonts w:eastAsia="Calibri"/>
          <w:lang w:val="fr-FR"/>
        </w:rPr>
      </w:pPr>
      <w:r w:rsidRPr="00F13D2D">
        <w:rPr>
          <w:rFonts w:eastAsia="Calibri"/>
          <w:lang w:val="fr-FR"/>
        </w:rPr>
        <w:t>100.</w:t>
      </w:r>
      <w:r w:rsidRPr="00F13D2D">
        <w:rPr>
          <w:rFonts w:eastAsia="Calibri"/>
          <w:lang w:val="fr-FR"/>
        </w:rPr>
        <w:tab/>
      </w:r>
      <w:r w:rsidR="00E819C1" w:rsidRPr="00F13D2D">
        <w:rPr>
          <w:rFonts w:eastAsia="Calibri"/>
          <w:lang w:val="fr-FR"/>
        </w:rPr>
        <w:t>Des rubriques sont consacrées par les</w:t>
      </w:r>
      <w:r w:rsidR="006C160E" w:rsidRPr="00F13D2D">
        <w:rPr>
          <w:rFonts w:eastAsia="Calibri"/>
          <w:lang w:val="fr-FR"/>
        </w:rPr>
        <w:t xml:space="preserve"> </w:t>
      </w:r>
      <w:r w:rsidR="00E819C1" w:rsidRPr="00F13D2D">
        <w:rPr>
          <w:rFonts w:eastAsia="Calibri"/>
          <w:lang w:val="fr-FR"/>
        </w:rPr>
        <w:t>journaux hebdomadaires à la problématique de l’enfance. Elles y traitent les principes de la CDE, leur application et les difficultés qu’elles posent. Par ailleurs les quotidiens nationaux</w:t>
      </w:r>
      <w:r w:rsidR="006C160E" w:rsidRPr="00F13D2D">
        <w:rPr>
          <w:rFonts w:eastAsia="Calibri"/>
          <w:lang w:val="fr-FR"/>
        </w:rPr>
        <w:t xml:space="preserve"> </w:t>
      </w:r>
      <w:r w:rsidR="00E819C1" w:rsidRPr="00F13D2D">
        <w:rPr>
          <w:rFonts w:eastAsia="Calibri"/>
          <w:lang w:val="fr-FR"/>
        </w:rPr>
        <w:t xml:space="preserve">Horizons et </w:t>
      </w:r>
      <w:proofErr w:type="spellStart"/>
      <w:r w:rsidR="00E819C1" w:rsidRPr="00F13D2D">
        <w:rPr>
          <w:rFonts w:eastAsia="Calibri"/>
          <w:lang w:val="fr-FR"/>
        </w:rPr>
        <w:t>Chaab</w:t>
      </w:r>
      <w:proofErr w:type="spellEnd"/>
      <w:r w:rsidR="006C160E" w:rsidRPr="00F13D2D">
        <w:rPr>
          <w:rFonts w:eastAsia="Calibri"/>
          <w:lang w:val="fr-FR"/>
        </w:rPr>
        <w:t xml:space="preserve"> </w:t>
      </w:r>
      <w:r w:rsidR="00E819C1" w:rsidRPr="00F13D2D">
        <w:rPr>
          <w:rFonts w:eastAsia="Calibri"/>
          <w:lang w:val="fr-FR"/>
        </w:rPr>
        <w:t>consacrent des articles</w:t>
      </w:r>
      <w:r w:rsidR="006C160E" w:rsidRPr="00F13D2D">
        <w:rPr>
          <w:rFonts w:eastAsia="Calibri"/>
          <w:lang w:val="fr-FR"/>
        </w:rPr>
        <w:t xml:space="preserve"> </w:t>
      </w:r>
      <w:r w:rsidR="00E819C1" w:rsidRPr="00F13D2D">
        <w:rPr>
          <w:rFonts w:eastAsia="Calibri"/>
          <w:lang w:val="fr-FR"/>
        </w:rPr>
        <w:t>sur les jeunes</w:t>
      </w:r>
      <w:r w:rsidR="006C160E" w:rsidRPr="00F13D2D">
        <w:rPr>
          <w:rFonts w:eastAsia="Calibri"/>
          <w:lang w:val="fr-FR"/>
        </w:rPr>
        <w:t xml:space="preserve"> </w:t>
      </w:r>
      <w:r w:rsidR="00E819C1" w:rsidRPr="00F13D2D">
        <w:rPr>
          <w:rFonts w:eastAsia="Calibri"/>
          <w:lang w:val="fr-FR"/>
        </w:rPr>
        <w:t>et font souvent le bilan de l’application de la CDE à l’occasion de la célébration d’événements liés à l’enfance. Les sites électroniques et les réseaux sociaux</w:t>
      </w:r>
      <w:r w:rsidR="006C160E" w:rsidRPr="00F13D2D">
        <w:rPr>
          <w:rFonts w:eastAsia="Calibri"/>
          <w:lang w:val="fr-FR"/>
        </w:rPr>
        <w:t xml:space="preserve"> </w:t>
      </w:r>
      <w:r w:rsidR="00E819C1" w:rsidRPr="00F13D2D">
        <w:rPr>
          <w:rFonts w:eastAsia="Calibri"/>
          <w:lang w:val="fr-FR"/>
        </w:rPr>
        <w:t>ont contribué à la vulgarisation et la sensibilisation sur</w:t>
      </w:r>
      <w:r w:rsidR="006C160E" w:rsidRPr="00F13D2D">
        <w:rPr>
          <w:rFonts w:eastAsia="Calibri"/>
          <w:lang w:val="fr-FR"/>
        </w:rPr>
        <w:t xml:space="preserve"> </w:t>
      </w:r>
      <w:r w:rsidR="00E819C1" w:rsidRPr="00F13D2D">
        <w:rPr>
          <w:rFonts w:eastAsia="Calibri"/>
          <w:lang w:val="fr-FR"/>
        </w:rPr>
        <w:t xml:space="preserve">la CDE. </w:t>
      </w:r>
    </w:p>
    <w:p w:rsidR="00E819C1" w:rsidRPr="00E06F1B" w:rsidRDefault="00716E20" w:rsidP="00AA7A93">
      <w:pPr>
        <w:pStyle w:val="H23G"/>
      </w:pPr>
      <w:bookmarkStart w:id="153" w:name="_Toc453672919"/>
      <w:bookmarkStart w:id="154" w:name="_Toc454388761"/>
      <w:r w:rsidRPr="000E17DF">
        <w:tab/>
      </w:r>
      <w:r w:rsidR="00E819C1" w:rsidRPr="00F13D2D">
        <w:t>4</w:t>
      </w:r>
      <w:r w:rsidRPr="00F13D2D">
        <w:t>.</w:t>
      </w:r>
      <w:r w:rsidRPr="00F13D2D">
        <w:tab/>
      </w:r>
      <w:r w:rsidR="00E819C1" w:rsidRPr="00F13D2D">
        <w:t>Rôle de la Société Civile</w:t>
      </w:r>
      <w:r w:rsidR="006C160E" w:rsidRPr="00F13D2D">
        <w:t xml:space="preserve"> </w:t>
      </w:r>
      <w:r w:rsidR="00E819C1" w:rsidRPr="00F13D2D">
        <w:t>dans la promotion de la CDE</w:t>
      </w:r>
      <w:bookmarkEnd w:id="153"/>
      <w:bookmarkEnd w:id="154"/>
    </w:p>
    <w:p w:rsidR="00E819C1" w:rsidRPr="00F13D2D" w:rsidRDefault="0055270C" w:rsidP="0055270C">
      <w:pPr>
        <w:pStyle w:val="SingleTxtG"/>
        <w:rPr>
          <w:rFonts w:eastAsia="Calibri"/>
          <w:lang w:val="fr-FR"/>
        </w:rPr>
      </w:pPr>
      <w:r w:rsidRPr="00F13D2D">
        <w:rPr>
          <w:rFonts w:eastAsia="Calibri"/>
          <w:lang w:val="fr-FR"/>
        </w:rPr>
        <w:t>101.</w:t>
      </w:r>
      <w:r w:rsidRPr="00F13D2D">
        <w:rPr>
          <w:rFonts w:eastAsia="Calibri"/>
          <w:lang w:val="fr-FR"/>
        </w:rPr>
        <w:tab/>
      </w:r>
      <w:r w:rsidR="00E819C1" w:rsidRPr="00F13D2D">
        <w:rPr>
          <w:rFonts w:eastAsia="Calibri"/>
          <w:lang w:val="fr-FR"/>
        </w:rPr>
        <w:t xml:space="preserve">Les associations et ONG ont joué au cours de la période couverte par le rapport un rôle prépondérant dans la diffusion de la culture des droits de l’enfant. Elles ont organisé des campagnes de sensibilisation à l’intérieur du pays sur les dispositions de la CDE. </w:t>
      </w:r>
    </w:p>
    <w:p w:rsidR="00E819C1" w:rsidRPr="00AA7A93" w:rsidRDefault="00716E20" w:rsidP="00AA7A93">
      <w:pPr>
        <w:pStyle w:val="H1G"/>
      </w:pPr>
      <w:bookmarkStart w:id="155" w:name="_Toc453672920"/>
      <w:bookmarkStart w:id="156" w:name="_Toc454388762"/>
      <w:r w:rsidRPr="000E17DF">
        <w:tab/>
      </w:r>
      <w:r w:rsidR="00E819C1" w:rsidRPr="00E06F1B">
        <w:t>G</w:t>
      </w:r>
      <w:r w:rsidRPr="00AA7A93">
        <w:t>.</w:t>
      </w:r>
      <w:r w:rsidRPr="00AA7A93">
        <w:tab/>
      </w:r>
      <w:r w:rsidR="00E819C1" w:rsidRPr="00AA7A93">
        <w:t>Mesures destinées à assurer au rapport une large diffusion</w:t>
      </w:r>
      <w:bookmarkEnd w:id="155"/>
      <w:bookmarkEnd w:id="156"/>
    </w:p>
    <w:p w:rsidR="00E819C1" w:rsidRPr="00F13D2D" w:rsidRDefault="0055270C" w:rsidP="0055270C">
      <w:pPr>
        <w:pStyle w:val="SingleTxtG"/>
        <w:rPr>
          <w:rFonts w:eastAsia="Calibri"/>
          <w:lang w:val="fr-FR"/>
        </w:rPr>
      </w:pPr>
      <w:r w:rsidRPr="00F13D2D">
        <w:rPr>
          <w:rFonts w:eastAsia="Calibri"/>
          <w:lang w:val="fr-FR"/>
        </w:rPr>
        <w:t>102.</w:t>
      </w:r>
      <w:r w:rsidRPr="00F13D2D">
        <w:rPr>
          <w:rFonts w:eastAsia="Calibri"/>
          <w:lang w:val="fr-FR"/>
        </w:rPr>
        <w:tab/>
      </w:r>
      <w:r w:rsidR="00E819C1" w:rsidRPr="00F13D2D">
        <w:rPr>
          <w:rFonts w:eastAsia="Calibri"/>
          <w:lang w:val="fr-FR"/>
        </w:rPr>
        <w:t>La diffusion du rapport a fait l’objet de mesures contribuant à sa large diffusion.</w:t>
      </w:r>
    </w:p>
    <w:p w:rsidR="00E819C1" w:rsidRPr="00E06F1B" w:rsidRDefault="00716E20" w:rsidP="00AA7A93">
      <w:pPr>
        <w:pStyle w:val="H23G"/>
      </w:pPr>
      <w:bookmarkStart w:id="157" w:name="_Toc453672921"/>
      <w:bookmarkStart w:id="158" w:name="_Toc454388763"/>
      <w:r w:rsidRPr="000E17DF">
        <w:tab/>
      </w:r>
      <w:r w:rsidR="00E819C1" w:rsidRPr="00F13D2D">
        <w:t>1</w:t>
      </w:r>
      <w:r w:rsidRPr="00F13D2D">
        <w:t>.</w:t>
      </w:r>
      <w:r w:rsidRPr="00F13D2D">
        <w:tab/>
      </w:r>
      <w:r w:rsidR="00E819C1" w:rsidRPr="00F13D2D">
        <w:t>Méthodologie d’élaboration du rapport</w:t>
      </w:r>
      <w:bookmarkEnd w:id="157"/>
      <w:bookmarkEnd w:id="158"/>
    </w:p>
    <w:p w:rsidR="00E819C1" w:rsidRPr="00F13D2D" w:rsidRDefault="0055270C" w:rsidP="0055270C">
      <w:pPr>
        <w:pStyle w:val="SingleTxtG"/>
        <w:rPr>
          <w:rFonts w:eastAsia="Calibri"/>
          <w:lang w:val="fr-FR"/>
        </w:rPr>
      </w:pPr>
      <w:r w:rsidRPr="00F13D2D">
        <w:rPr>
          <w:rFonts w:eastAsia="Calibri"/>
          <w:lang w:val="fr-FR"/>
        </w:rPr>
        <w:t>103.</w:t>
      </w:r>
      <w:r w:rsidRPr="00F13D2D">
        <w:rPr>
          <w:rFonts w:eastAsia="Calibri"/>
          <w:lang w:val="fr-FR"/>
        </w:rPr>
        <w:tab/>
      </w:r>
      <w:r w:rsidR="00E819C1" w:rsidRPr="00F13D2D">
        <w:rPr>
          <w:rFonts w:eastAsia="Calibri"/>
          <w:lang w:val="fr-FR"/>
        </w:rPr>
        <w:t>La rédaction de ce rapport a été menée à travers une série d’activités d’informations, de réunions techniques, d’interviews, de collecte d’informations avec/et auprès des différents acteurs dans le domaine de l’enfance. Le processus d’élaboration a été conduit en trois phases</w:t>
      </w:r>
      <w:r w:rsidR="00FC0832">
        <w:rPr>
          <w:rFonts w:eastAsia="Calibri"/>
          <w:lang w:val="fr-FR"/>
        </w:rPr>
        <w:t> :</w:t>
      </w:r>
      <w:r w:rsidR="00E819C1" w:rsidRPr="00F13D2D">
        <w:rPr>
          <w:rFonts w:eastAsia="Calibri"/>
          <w:lang w:val="fr-FR"/>
        </w:rPr>
        <w:t xml:space="preserve"> (i) la revue documentaire</w:t>
      </w:r>
      <w:r w:rsidR="00F94D16">
        <w:rPr>
          <w:rFonts w:eastAsia="Calibri"/>
          <w:lang w:val="fr-FR"/>
        </w:rPr>
        <w:t> ;</w:t>
      </w:r>
      <w:r w:rsidR="00E819C1" w:rsidRPr="00F13D2D">
        <w:rPr>
          <w:rFonts w:eastAsia="Calibri"/>
          <w:lang w:val="fr-FR"/>
        </w:rPr>
        <w:t xml:space="preserve"> (ii) la rencontre avec les acteurs évoluant dans le domaine de l’enfance, ainsi qu’avec les bénéficiaires</w:t>
      </w:r>
      <w:r w:rsidR="00F94D16">
        <w:rPr>
          <w:rFonts w:eastAsia="Calibri"/>
          <w:lang w:val="fr-FR"/>
        </w:rPr>
        <w:t> ;</w:t>
      </w:r>
      <w:r w:rsidR="00E819C1" w:rsidRPr="00F13D2D">
        <w:rPr>
          <w:rFonts w:eastAsia="Calibri"/>
          <w:lang w:val="fr-FR"/>
        </w:rPr>
        <w:t xml:space="preserve"> (iii) l’élaboration du premier </w:t>
      </w:r>
      <w:proofErr w:type="spellStart"/>
      <w:r w:rsidR="00E819C1" w:rsidRPr="00F13D2D">
        <w:rPr>
          <w:rFonts w:eastAsia="Calibri"/>
          <w:lang w:val="fr-FR"/>
        </w:rPr>
        <w:t>Draft</w:t>
      </w:r>
      <w:proofErr w:type="spellEnd"/>
      <w:r w:rsidR="00FC0832">
        <w:rPr>
          <w:rFonts w:eastAsia="Calibri"/>
          <w:lang w:val="fr-FR"/>
        </w:rPr>
        <w:t> ;</w:t>
      </w:r>
      <w:r w:rsidR="00E819C1" w:rsidRPr="00F13D2D">
        <w:rPr>
          <w:rFonts w:eastAsia="Calibri"/>
          <w:lang w:val="fr-FR"/>
        </w:rPr>
        <w:t xml:space="preserve"> (iv) qui a été suivie par sa présentation lors d’un atelier de restitution</w:t>
      </w:r>
      <w:r w:rsidR="00FC0832">
        <w:rPr>
          <w:rFonts w:eastAsia="Calibri"/>
          <w:lang w:val="fr-FR"/>
        </w:rPr>
        <w:t> ;</w:t>
      </w:r>
      <w:r w:rsidR="00E819C1" w:rsidRPr="00F13D2D">
        <w:rPr>
          <w:rFonts w:eastAsia="Calibri"/>
          <w:lang w:val="fr-FR"/>
        </w:rPr>
        <w:t xml:space="preserve"> rédaction et dépôt du rapport final. L’approche méthodologique a été basée sur le dialogue, l’action participative, l’analyse selon l’approche droits des enfants. Ce processus est</w:t>
      </w:r>
      <w:r w:rsidR="006C160E" w:rsidRPr="00F13D2D">
        <w:rPr>
          <w:rFonts w:eastAsia="Calibri"/>
          <w:lang w:val="fr-FR"/>
        </w:rPr>
        <w:t xml:space="preserve"> </w:t>
      </w:r>
      <w:r w:rsidR="00E819C1" w:rsidRPr="00F13D2D">
        <w:rPr>
          <w:rFonts w:eastAsia="Calibri"/>
          <w:lang w:val="fr-FR"/>
        </w:rPr>
        <w:t>basé sur un partenariat dynamique et inclusif. Il a permis</w:t>
      </w:r>
      <w:r w:rsidR="006C160E" w:rsidRPr="00F13D2D">
        <w:rPr>
          <w:rFonts w:eastAsia="Calibri"/>
          <w:lang w:val="fr-FR"/>
        </w:rPr>
        <w:t xml:space="preserve"> </w:t>
      </w:r>
      <w:r w:rsidR="00E819C1" w:rsidRPr="00F13D2D">
        <w:rPr>
          <w:rFonts w:eastAsia="Calibri"/>
          <w:lang w:val="fr-FR"/>
        </w:rPr>
        <w:t>de faire l’analyse de l’état actuel de l’application</w:t>
      </w:r>
      <w:r w:rsidR="006C160E" w:rsidRPr="00F13D2D">
        <w:rPr>
          <w:rFonts w:eastAsia="Calibri"/>
          <w:lang w:val="fr-FR"/>
        </w:rPr>
        <w:t xml:space="preserve"> </w:t>
      </w:r>
      <w:r w:rsidR="00E819C1" w:rsidRPr="00F13D2D">
        <w:rPr>
          <w:rFonts w:eastAsia="Calibri"/>
          <w:lang w:val="fr-FR"/>
        </w:rPr>
        <w:t xml:space="preserve">de la CDE. Il met un accent particulier sur les OMD et sur d’autres objectifs assortis d’engagements issus des conférences et sommets mondiaux, régionaux, ou nationaux consacrés au </w:t>
      </w:r>
      <w:proofErr w:type="spellStart"/>
      <w:r w:rsidR="00E819C1" w:rsidRPr="00F13D2D">
        <w:rPr>
          <w:rFonts w:eastAsia="Calibri"/>
          <w:lang w:val="fr-FR"/>
        </w:rPr>
        <w:t>bien être</w:t>
      </w:r>
      <w:proofErr w:type="spellEnd"/>
      <w:r w:rsidR="00E819C1" w:rsidRPr="00F13D2D">
        <w:rPr>
          <w:rFonts w:eastAsia="Calibri"/>
          <w:lang w:val="fr-FR"/>
        </w:rPr>
        <w:t xml:space="preserve"> de l’enfant.</w:t>
      </w:r>
    </w:p>
    <w:p w:rsidR="00E819C1" w:rsidRPr="00F13D2D" w:rsidRDefault="0055270C" w:rsidP="0055270C">
      <w:pPr>
        <w:pStyle w:val="SingleTxtG"/>
        <w:rPr>
          <w:rFonts w:eastAsia="Calibri"/>
          <w:lang w:val="fr-FR"/>
        </w:rPr>
      </w:pPr>
      <w:r w:rsidRPr="00F13D2D">
        <w:rPr>
          <w:rFonts w:eastAsia="Calibri"/>
          <w:lang w:val="fr-FR"/>
        </w:rPr>
        <w:lastRenderedPageBreak/>
        <w:t>104.</w:t>
      </w:r>
      <w:r w:rsidRPr="00F13D2D">
        <w:rPr>
          <w:rFonts w:eastAsia="Calibri"/>
          <w:lang w:val="fr-FR"/>
        </w:rPr>
        <w:tab/>
      </w:r>
      <w:r w:rsidR="00E819C1" w:rsidRPr="00F13D2D">
        <w:rPr>
          <w:rFonts w:eastAsia="Calibri"/>
          <w:lang w:val="fr-FR"/>
        </w:rPr>
        <w:t>En application des dispositions du paragraphe 6 de l’article 44 de la CDE, les Pouvoirs Publics ont pris plusieurs mesures destinées à garantir à toutes les institutions publiques concernées et</w:t>
      </w:r>
      <w:r w:rsidR="006C160E" w:rsidRPr="00F13D2D">
        <w:rPr>
          <w:rFonts w:eastAsia="Calibri"/>
          <w:lang w:val="fr-FR"/>
        </w:rPr>
        <w:t xml:space="preserve"> </w:t>
      </w:r>
      <w:r w:rsidR="00E819C1" w:rsidRPr="00F13D2D">
        <w:rPr>
          <w:rFonts w:eastAsia="Calibri"/>
          <w:lang w:val="fr-FR"/>
        </w:rPr>
        <w:t>la SC, la participation au processus de préparation du rapport</w:t>
      </w:r>
      <w:r w:rsidR="006C160E" w:rsidRPr="00F13D2D">
        <w:rPr>
          <w:rFonts w:eastAsia="Calibri"/>
          <w:lang w:val="fr-FR"/>
        </w:rPr>
        <w:t xml:space="preserve"> </w:t>
      </w:r>
      <w:r w:rsidR="00E819C1" w:rsidRPr="00F13D2D">
        <w:rPr>
          <w:rFonts w:eastAsia="Calibri"/>
          <w:lang w:val="fr-FR"/>
        </w:rPr>
        <w:t>sur la mise en application de la CDE. D’autres mesures ont été prises pour diffuser le rapport et rendre les observations accessibles. Elles répondent aux observations du Comité.</w:t>
      </w:r>
    </w:p>
    <w:p w:rsidR="00E819C1" w:rsidRPr="00E06F1B" w:rsidRDefault="00716E20" w:rsidP="00AA7A93">
      <w:pPr>
        <w:pStyle w:val="H23G"/>
      </w:pPr>
      <w:bookmarkStart w:id="159" w:name="_Toc453672922"/>
      <w:bookmarkStart w:id="160" w:name="_Toc454388764"/>
      <w:r w:rsidRPr="000E17DF">
        <w:tab/>
      </w:r>
      <w:r w:rsidR="00E819C1" w:rsidRPr="00F13D2D">
        <w:t>2</w:t>
      </w:r>
      <w:r w:rsidRPr="00F13D2D">
        <w:t>.</w:t>
      </w:r>
      <w:r w:rsidRPr="00F13D2D">
        <w:tab/>
      </w:r>
      <w:r w:rsidR="00E819C1" w:rsidRPr="00F13D2D">
        <w:t>Participation des départements ministériels à la préparation du rapport</w:t>
      </w:r>
      <w:bookmarkEnd w:id="159"/>
      <w:bookmarkEnd w:id="160"/>
    </w:p>
    <w:p w:rsidR="00E819C1" w:rsidRPr="00F13D2D" w:rsidRDefault="0055270C" w:rsidP="0055270C">
      <w:pPr>
        <w:pStyle w:val="SingleTxtG"/>
        <w:rPr>
          <w:rFonts w:eastAsia="Calibri"/>
          <w:lang w:val="fr-FR"/>
        </w:rPr>
      </w:pPr>
      <w:r w:rsidRPr="00F13D2D">
        <w:rPr>
          <w:rFonts w:eastAsia="Calibri"/>
          <w:lang w:val="fr-FR"/>
        </w:rPr>
        <w:t>105.</w:t>
      </w:r>
      <w:r w:rsidRPr="00F13D2D">
        <w:rPr>
          <w:rFonts w:eastAsia="Calibri"/>
          <w:lang w:val="fr-FR"/>
        </w:rPr>
        <w:tab/>
      </w:r>
      <w:r w:rsidR="00E819C1" w:rsidRPr="00F13D2D">
        <w:rPr>
          <w:rFonts w:eastAsia="Calibri"/>
          <w:lang w:val="fr-FR"/>
        </w:rPr>
        <w:t>Le Gouvernement a mis en place un Comité Technique Interministériel chargé de l</w:t>
      </w:r>
      <w:r w:rsidR="006C160E" w:rsidRPr="00F13D2D">
        <w:rPr>
          <w:rFonts w:eastAsia="Calibri"/>
          <w:lang w:val="fr-FR"/>
        </w:rPr>
        <w:t>’</w:t>
      </w:r>
      <w:r w:rsidR="00E819C1" w:rsidRPr="00F13D2D">
        <w:rPr>
          <w:rFonts w:eastAsia="Calibri"/>
          <w:lang w:val="fr-FR"/>
        </w:rPr>
        <w:t>élaboration des rapports de l</w:t>
      </w:r>
      <w:r w:rsidR="006C160E" w:rsidRPr="00F13D2D">
        <w:rPr>
          <w:rFonts w:eastAsia="Calibri"/>
          <w:lang w:val="fr-FR"/>
        </w:rPr>
        <w:t>’</w:t>
      </w:r>
      <w:r w:rsidR="00AB4E57">
        <w:rPr>
          <w:rFonts w:eastAsia="Calibri"/>
          <w:lang w:val="fr-FR"/>
        </w:rPr>
        <w:t>État</w:t>
      </w:r>
      <w:r w:rsidR="00E819C1" w:rsidRPr="00F13D2D">
        <w:rPr>
          <w:rFonts w:eastAsia="Calibri"/>
          <w:lang w:val="fr-FR"/>
        </w:rPr>
        <w:t xml:space="preserve"> (CTIER). Ce comité est composé de l</w:t>
      </w:r>
      <w:r w:rsidR="006C160E" w:rsidRPr="00F13D2D">
        <w:rPr>
          <w:rFonts w:eastAsia="Calibri"/>
          <w:lang w:val="fr-FR"/>
        </w:rPr>
        <w:t>’</w:t>
      </w:r>
      <w:r w:rsidR="00E819C1" w:rsidRPr="00F13D2D">
        <w:rPr>
          <w:rFonts w:eastAsia="Calibri"/>
          <w:lang w:val="fr-FR"/>
        </w:rPr>
        <w:t>ensemble des départements ministériels ou institutions concernés par les questions des droits de l</w:t>
      </w:r>
      <w:r w:rsidR="006C160E" w:rsidRPr="00F13D2D">
        <w:rPr>
          <w:rFonts w:eastAsia="Calibri"/>
          <w:lang w:val="fr-FR"/>
        </w:rPr>
        <w:t>’</w:t>
      </w:r>
      <w:r w:rsidR="00E819C1" w:rsidRPr="00F13D2D">
        <w:rPr>
          <w:rFonts w:eastAsia="Calibri"/>
          <w:lang w:val="fr-FR"/>
        </w:rPr>
        <w:t xml:space="preserve">homme. </w:t>
      </w:r>
    </w:p>
    <w:p w:rsidR="00E819C1" w:rsidRPr="00E06F1B" w:rsidRDefault="00716E20" w:rsidP="00AA7A93">
      <w:pPr>
        <w:pStyle w:val="H23G"/>
      </w:pPr>
      <w:bookmarkStart w:id="161" w:name="_Toc453672923"/>
      <w:bookmarkStart w:id="162" w:name="_Toc454388765"/>
      <w:r w:rsidRPr="000E17DF">
        <w:tab/>
      </w:r>
      <w:r w:rsidR="00E819C1" w:rsidRPr="00F13D2D">
        <w:t>3</w:t>
      </w:r>
      <w:r w:rsidRPr="00F13D2D">
        <w:t>.</w:t>
      </w:r>
      <w:r w:rsidRPr="00F13D2D">
        <w:tab/>
      </w:r>
      <w:r w:rsidR="00E819C1" w:rsidRPr="00F13D2D">
        <w:t>Mesures de diffusion et de publication du rapport</w:t>
      </w:r>
      <w:bookmarkEnd w:id="161"/>
      <w:bookmarkEnd w:id="162"/>
    </w:p>
    <w:p w:rsidR="00E819C1" w:rsidRPr="00F13D2D" w:rsidRDefault="0055270C" w:rsidP="0055270C">
      <w:pPr>
        <w:pStyle w:val="SingleTxtG"/>
        <w:rPr>
          <w:rFonts w:eastAsia="Calibri"/>
          <w:lang w:val="fr-FR"/>
        </w:rPr>
      </w:pPr>
      <w:r w:rsidRPr="00F13D2D">
        <w:rPr>
          <w:rFonts w:eastAsia="Calibri"/>
          <w:lang w:val="fr-FR"/>
        </w:rPr>
        <w:t>106.</w:t>
      </w:r>
      <w:r w:rsidRPr="00F13D2D">
        <w:rPr>
          <w:rFonts w:eastAsia="Calibri"/>
          <w:lang w:val="fr-FR"/>
        </w:rPr>
        <w:tab/>
      </w:r>
      <w:r w:rsidR="00E819C1" w:rsidRPr="00F13D2D">
        <w:rPr>
          <w:rFonts w:eastAsia="Calibri"/>
          <w:lang w:val="fr-FR"/>
        </w:rPr>
        <w:t>Le rapport est transmis par le CTIER à toutes les parties concernées après la publication des observations du Comité. Les rapports nationaux sur les droits de l’homme, élaborés par le Commissariat aux droits de l’</w:t>
      </w:r>
      <w:r w:rsidR="00D9438A">
        <w:rPr>
          <w:rFonts w:eastAsia="Calibri"/>
          <w:lang w:val="fr-FR"/>
        </w:rPr>
        <w:t>h</w:t>
      </w:r>
      <w:r w:rsidR="00E819C1" w:rsidRPr="00F13D2D">
        <w:rPr>
          <w:rFonts w:eastAsia="Calibri"/>
          <w:lang w:val="fr-FR"/>
        </w:rPr>
        <w:t>omme et à l’Action Humanitaire, font référence aux différents rapports périodiques sur les droits de l’enfant. Soucieux de l’intérêt que représentent les observations du Comité pour l’orientation des programmes et la réorientation des politiques, le</w:t>
      </w:r>
      <w:r w:rsidR="006C160E" w:rsidRPr="00F13D2D">
        <w:rPr>
          <w:rFonts w:eastAsia="Calibri"/>
          <w:lang w:val="fr-FR"/>
        </w:rPr>
        <w:t xml:space="preserve"> </w:t>
      </w:r>
      <w:r w:rsidR="00E819C1" w:rsidRPr="00F13D2D">
        <w:rPr>
          <w:rFonts w:eastAsia="Calibri"/>
          <w:lang w:val="fr-FR"/>
        </w:rPr>
        <w:t>CTIER</w:t>
      </w:r>
      <w:r w:rsidR="006C160E" w:rsidRPr="00F13D2D">
        <w:rPr>
          <w:rFonts w:eastAsia="Calibri"/>
          <w:lang w:val="fr-FR"/>
        </w:rPr>
        <w:t xml:space="preserve"> </w:t>
      </w:r>
      <w:r w:rsidR="00E819C1" w:rsidRPr="00F13D2D">
        <w:rPr>
          <w:rFonts w:eastAsia="Calibri"/>
          <w:lang w:val="fr-FR"/>
        </w:rPr>
        <w:t xml:space="preserve">les transmet systématiquement aux différents ministères et aux organisations non gouvernementales ainsi qu’au parlement. </w:t>
      </w:r>
    </w:p>
    <w:p w:rsidR="00E819C1" w:rsidRPr="00F13D2D" w:rsidRDefault="00716E20" w:rsidP="00DB182A">
      <w:pPr>
        <w:pStyle w:val="H1G"/>
      </w:pPr>
      <w:bookmarkStart w:id="163" w:name="_Toc453672924"/>
      <w:bookmarkStart w:id="164" w:name="_Toc454386600"/>
      <w:bookmarkStart w:id="165" w:name="_Toc454386669"/>
      <w:bookmarkStart w:id="166" w:name="_Toc454388766"/>
      <w:r w:rsidRPr="00F13D2D">
        <w:tab/>
      </w:r>
      <w:r w:rsidRPr="00F13D2D">
        <w:tab/>
      </w:r>
      <w:r w:rsidR="00E819C1" w:rsidRPr="00F13D2D">
        <w:t>Deuxième sous</w:t>
      </w:r>
      <w:r w:rsidR="00A620CC">
        <w:t>-</w:t>
      </w:r>
      <w:r w:rsidR="00E819C1" w:rsidRPr="00F13D2D">
        <w:t>partie </w:t>
      </w:r>
      <w:r w:rsidR="00FC0832">
        <w:t>:</w:t>
      </w:r>
      <w:r w:rsidR="00E819C1" w:rsidRPr="00F13D2D">
        <w:t xml:space="preserve"> </w:t>
      </w:r>
      <w:r w:rsidR="00A620CC" w:rsidRPr="00F13D2D">
        <w:t xml:space="preserve">Définition </w:t>
      </w:r>
      <w:r w:rsidR="00E819C1" w:rsidRPr="00F13D2D">
        <w:t>de l’enfant</w:t>
      </w:r>
      <w:bookmarkEnd w:id="163"/>
      <w:bookmarkEnd w:id="164"/>
      <w:bookmarkEnd w:id="165"/>
      <w:bookmarkEnd w:id="166"/>
    </w:p>
    <w:p w:rsidR="00E819C1" w:rsidRPr="00F13D2D" w:rsidRDefault="0055270C" w:rsidP="0055270C">
      <w:pPr>
        <w:pStyle w:val="SingleTxtG"/>
        <w:rPr>
          <w:rFonts w:eastAsia="Calibri"/>
          <w:lang w:val="fr-FR"/>
        </w:rPr>
      </w:pPr>
      <w:r w:rsidRPr="00F13D2D">
        <w:rPr>
          <w:rFonts w:eastAsia="Calibri"/>
          <w:lang w:val="fr-FR"/>
        </w:rPr>
        <w:t>107.</w:t>
      </w:r>
      <w:r w:rsidRPr="00F13D2D">
        <w:rPr>
          <w:rFonts w:eastAsia="Calibri"/>
          <w:lang w:val="fr-FR"/>
        </w:rPr>
        <w:tab/>
      </w:r>
      <w:r w:rsidR="00E819C1" w:rsidRPr="00F13D2D">
        <w:rPr>
          <w:rFonts w:eastAsia="Calibri"/>
          <w:lang w:val="fr-FR"/>
        </w:rPr>
        <w:t>La définition de l’enfant en droit mauritanien</w:t>
      </w:r>
      <w:r w:rsidR="006C160E" w:rsidRPr="00F13D2D">
        <w:rPr>
          <w:rFonts w:eastAsia="Calibri"/>
          <w:lang w:val="fr-FR"/>
        </w:rPr>
        <w:t xml:space="preserve"> </w:t>
      </w:r>
      <w:r w:rsidR="00E819C1" w:rsidRPr="00F13D2D">
        <w:rPr>
          <w:rFonts w:eastAsia="Calibri"/>
          <w:lang w:val="fr-FR"/>
        </w:rPr>
        <w:t>est conforme à l’article premier de la Convention et les droits qui s’y rattachent sont identiques pour les filles et les garçons. La législation nationale ne fait pas de différence quant aux différents types de responsabilités entre les filles et les garçons</w:t>
      </w:r>
      <w:r w:rsidR="00FC0832">
        <w:rPr>
          <w:rFonts w:eastAsia="Calibri"/>
          <w:lang w:val="fr-FR"/>
        </w:rPr>
        <w:t> :</w:t>
      </w:r>
      <w:r w:rsidR="00E819C1" w:rsidRPr="00F13D2D">
        <w:rPr>
          <w:rFonts w:eastAsia="Calibri"/>
          <w:lang w:val="fr-FR"/>
        </w:rPr>
        <w:t xml:space="preserve"> (i) 6 à 14 ans pour l’enseignement obligatoire</w:t>
      </w:r>
      <w:r w:rsidR="00FC0832">
        <w:rPr>
          <w:rFonts w:eastAsia="Calibri"/>
          <w:lang w:val="fr-FR"/>
        </w:rPr>
        <w:t> ;</w:t>
      </w:r>
      <w:r w:rsidR="00E819C1" w:rsidRPr="00F13D2D">
        <w:rPr>
          <w:rFonts w:eastAsia="Calibri"/>
          <w:lang w:val="fr-FR"/>
        </w:rPr>
        <w:t xml:space="preserve"> (ii) 16 ans </w:t>
      </w:r>
      <w:r w:rsidR="00FC0832">
        <w:rPr>
          <w:rFonts w:eastAsia="Calibri"/>
          <w:lang w:val="fr-FR"/>
        </w:rPr>
        <w:t>:</w:t>
      </w:r>
      <w:r w:rsidR="00E819C1" w:rsidRPr="00F13D2D">
        <w:rPr>
          <w:rFonts w:eastAsia="Calibri"/>
          <w:lang w:val="fr-FR"/>
        </w:rPr>
        <w:t xml:space="preserve"> admission à l’emploi</w:t>
      </w:r>
      <w:r w:rsidR="00FC0832">
        <w:rPr>
          <w:rFonts w:eastAsia="Calibri"/>
          <w:lang w:val="fr-FR"/>
        </w:rPr>
        <w:t> ;</w:t>
      </w:r>
      <w:r w:rsidR="00E819C1" w:rsidRPr="00F13D2D">
        <w:rPr>
          <w:rFonts w:eastAsia="Calibri"/>
          <w:lang w:val="fr-FR"/>
        </w:rPr>
        <w:t xml:space="preserve"> (iii) 18 ans</w:t>
      </w:r>
      <w:r w:rsidR="00FC0832">
        <w:rPr>
          <w:rFonts w:eastAsia="Calibri"/>
          <w:lang w:val="fr-FR"/>
        </w:rPr>
        <w:t> :</w:t>
      </w:r>
      <w:r w:rsidR="00490D6F">
        <w:rPr>
          <w:rFonts w:eastAsia="Calibri"/>
          <w:lang w:val="fr-FR"/>
        </w:rPr>
        <w:t xml:space="preserve"> </w:t>
      </w:r>
      <w:r w:rsidR="00E819C1" w:rsidRPr="00F13D2D">
        <w:rPr>
          <w:rFonts w:eastAsia="Calibri"/>
          <w:lang w:val="fr-FR"/>
        </w:rPr>
        <w:t>travail à risque</w:t>
      </w:r>
      <w:r w:rsidR="00FC0832">
        <w:rPr>
          <w:rFonts w:eastAsia="Calibri"/>
          <w:lang w:val="fr-FR"/>
        </w:rPr>
        <w:t> ;</w:t>
      </w:r>
      <w:r w:rsidR="00E819C1" w:rsidRPr="00F13D2D">
        <w:rPr>
          <w:rFonts w:eastAsia="Calibri"/>
          <w:lang w:val="fr-FR"/>
        </w:rPr>
        <w:t xml:space="preserve"> (iv) 15 ans</w:t>
      </w:r>
      <w:r w:rsidR="00FC0832">
        <w:rPr>
          <w:rFonts w:eastAsia="Calibri"/>
          <w:lang w:val="fr-FR"/>
        </w:rPr>
        <w:t> :</w:t>
      </w:r>
      <w:r w:rsidR="00E819C1" w:rsidRPr="00F13D2D">
        <w:rPr>
          <w:rFonts w:eastAsia="Calibri"/>
          <w:lang w:val="fr-FR"/>
        </w:rPr>
        <w:t xml:space="preserve"> responsabilité pénale</w:t>
      </w:r>
      <w:r w:rsidR="00FC0832">
        <w:rPr>
          <w:rFonts w:eastAsia="Calibri"/>
          <w:lang w:val="fr-FR"/>
        </w:rPr>
        <w:t> ;</w:t>
      </w:r>
      <w:r w:rsidR="00E819C1" w:rsidRPr="00F13D2D">
        <w:rPr>
          <w:rFonts w:eastAsia="Calibri"/>
          <w:lang w:val="fr-FR"/>
        </w:rPr>
        <w:t xml:space="preserve"> (v)</w:t>
      </w:r>
      <w:r w:rsidR="002A5875">
        <w:rPr>
          <w:rFonts w:eastAsia="Calibri"/>
          <w:lang w:val="fr-FR"/>
        </w:rPr>
        <w:t> </w:t>
      </w:r>
      <w:r w:rsidR="00E819C1" w:rsidRPr="00F13D2D">
        <w:rPr>
          <w:rFonts w:eastAsia="Calibri"/>
          <w:lang w:val="fr-FR"/>
        </w:rPr>
        <w:t>18 ans </w:t>
      </w:r>
      <w:r w:rsidR="00FC0832">
        <w:rPr>
          <w:rFonts w:eastAsia="Calibri"/>
          <w:lang w:val="fr-FR"/>
        </w:rPr>
        <w:t>;</w:t>
      </w:r>
      <w:r w:rsidR="00E819C1" w:rsidRPr="00F13D2D">
        <w:rPr>
          <w:rFonts w:eastAsia="Calibri"/>
          <w:lang w:val="fr-FR"/>
        </w:rPr>
        <w:t xml:space="preserve"> âge du mariage</w:t>
      </w:r>
      <w:r w:rsidR="006C160E" w:rsidRPr="00F13D2D">
        <w:rPr>
          <w:rFonts w:eastAsia="Calibri"/>
          <w:lang w:val="fr-FR"/>
        </w:rPr>
        <w:t xml:space="preserve"> </w:t>
      </w:r>
      <w:r w:rsidR="00E819C1" w:rsidRPr="00F13D2D">
        <w:rPr>
          <w:rFonts w:eastAsia="Calibri"/>
          <w:lang w:val="fr-FR"/>
        </w:rPr>
        <w:t xml:space="preserve">selon la loi </w:t>
      </w:r>
      <w:r w:rsidR="00D20B03">
        <w:rPr>
          <w:rFonts w:eastAsia="Calibri"/>
          <w:lang w:val="fr-FR"/>
        </w:rPr>
        <w:t>n</w:t>
      </w:r>
      <w:r w:rsidR="00D20B03" w:rsidRPr="00AA7A93">
        <w:rPr>
          <w:rFonts w:eastAsia="Calibri"/>
          <w:vertAlign w:val="superscript"/>
          <w:lang w:val="fr-FR"/>
        </w:rPr>
        <w:t>o</w:t>
      </w:r>
      <w:r w:rsidR="00D20B03">
        <w:rPr>
          <w:rFonts w:eastAsia="Calibri"/>
          <w:lang w:val="fr-FR"/>
        </w:rPr>
        <w:t> </w:t>
      </w:r>
      <w:r w:rsidR="00E819C1" w:rsidRPr="00F13D2D">
        <w:rPr>
          <w:rFonts w:eastAsia="Calibri"/>
          <w:lang w:val="fr-FR"/>
        </w:rPr>
        <w:t xml:space="preserve">2001-052 portant Code du </w:t>
      </w:r>
      <w:r w:rsidR="00D20B03">
        <w:rPr>
          <w:rFonts w:eastAsia="Calibri"/>
          <w:lang w:val="fr-FR"/>
        </w:rPr>
        <w:t>s</w:t>
      </w:r>
      <w:r w:rsidR="00E819C1" w:rsidRPr="00F13D2D">
        <w:rPr>
          <w:rFonts w:eastAsia="Calibri"/>
          <w:lang w:val="fr-FR"/>
        </w:rPr>
        <w:t xml:space="preserve">tatut </w:t>
      </w:r>
      <w:r w:rsidR="00D20B03">
        <w:rPr>
          <w:rFonts w:eastAsia="Calibri"/>
          <w:lang w:val="fr-FR"/>
        </w:rPr>
        <w:t>p</w:t>
      </w:r>
      <w:r w:rsidR="00E819C1" w:rsidRPr="00F13D2D">
        <w:rPr>
          <w:rFonts w:eastAsia="Calibri"/>
          <w:lang w:val="fr-FR"/>
        </w:rPr>
        <w:t xml:space="preserve">ersonnel. </w:t>
      </w:r>
    </w:p>
    <w:p w:rsidR="00E819C1" w:rsidRPr="00F13D2D" w:rsidRDefault="00525A47" w:rsidP="00DB182A">
      <w:pPr>
        <w:pStyle w:val="H1G"/>
      </w:pPr>
      <w:bookmarkStart w:id="167" w:name="_Toc453672925"/>
      <w:bookmarkStart w:id="168" w:name="_Toc454386601"/>
      <w:bookmarkStart w:id="169" w:name="_Toc454386670"/>
      <w:bookmarkStart w:id="170" w:name="_Toc454388767"/>
      <w:r w:rsidRPr="00F13D2D">
        <w:tab/>
      </w:r>
      <w:r w:rsidRPr="00F13D2D">
        <w:tab/>
      </w:r>
      <w:r w:rsidR="00E819C1" w:rsidRPr="00F13D2D">
        <w:t>Troisième sous</w:t>
      </w:r>
      <w:r w:rsidR="00A620CC">
        <w:t>-</w:t>
      </w:r>
      <w:r w:rsidR="00E819C1" w:rsidRPr="00F13D2D">
        <w:t>partie </w:t>
      </w:r>
      <w:r w:rsidR="00FC0832">
        <w:t>:</w:t>
      </w:r>
      <w:r w:rsidR="00E819C1" w:rsidRPr="00F13D2D">
        <w:t xml:space="preserve"> </w:t>
      </w:r>
      <w:r w:rsidR="00A620CC" w:rsidRPr="00F13D2D">
        <w:t xml:space="preserve">Principes </w:t>
      </w:r>
      <w:r w:rsidR="00E819C1" w:rsidRPr="00F13D2D">
        <w:t>généraux</w:t>
      </w:r>
      <w:bookmarkEnd w:id="167"/>
      <w:bookmarkEnd w:id="168"/>
      <w:bookmarkEnd w:id="169"/>
      <w:bookmarkEnd w:id="170"/>
    </w:p>
    <w:p w:rsidR="00E819C1" w:rsidRPr="00AA7A93" w:rsidRDefault="00525A47" w:rsidP="00AA7A93">
      <w:pPr>
        <w:pStyle w:val="H1G"/>
      </w:pPr>
      <w:bookmarkStart w:id="171" w:name="_Toc453672926"/>
      <w:bookmarkStart w:id="172" w:name="_Toc454386602"/>
      <w:bookmarkStart w:id="173" w:name="_Toc454386671"/>
      <w:bookmarkStart w:id="174" w:name="_Toc454388768"/>
      <w:r w:rsidRPr="000E17DF">
        <w:tab/>
      </w:r>
      <w:r w:rsidR="00E819C1" w:rsidRPr="00E06F1B">
        <w:t>A</w:t>
      </w:r>
      <w:r w:rsidRPr="00AA7A93">
        <w:t>.</w:t>
      </w:r>
      <w:r w:rsidRPr="00AA7A93">
        <w:tab/>
      </w:r>
      <w:r w:rsidR="00E819C1" w:rsidRPr="00AA7A93">
        <w:t>La non-discrimination (art.</w:t>
      </w:r>
      <w:r w:rsidR="00E1315A">
        <w:t> </w:t>
      </w:r>
      <w:r w:rsidR="00E819C1" w:rsidRPr="00E06F1B">
        <w:t>2)</w:t>
      </w:r>
      <w:bookmarkEnd w:id="171"/>
      <w:bookmarkEnd w:id="172"/>
      <w:bookmarkEnd w:id="173"/>
      <w:bookmarkEnd w:id="174"/>
    </w:p>
    <w:p w:rsidR="00E819C1" w:rsidRPr="00E06F1B" w:rsidRDefault="00525A47" w:rsidP="00AA7A93">
      <w:pPr>
        <w:pStyle w:val="H23G"/>
      </w:pPr>
      <w:bookmarkStart w:id="175" w:name="_Toc453672927"/>
      <w:bookmarkStart w:id="176" w:name="_Toc454388769"/>
      <w:r w:rsidRPr="00F13D2D">
        <w:tab/>
      </w:r>
      <w:r w:rsidR="00E819C1" w:rsidRPr="00F13D2D">
        <w:t>1</w:t>
      </w:r>
      <w:r w:rsidRPr="00F13D2D">
        <w:t>.</w:t>
      </w:r>
      <w:r w:rsidRPr="00F13D2D">
        <w:tab/>
      </w:r>
      <w:r w:rsidR="00E819C1" w:rsidRPr="00F13D2D">
        <w:t>Lutte contre la discrimination</w:t>
      </w:r>
      <w:bookmarkEnd w:id="175"/>
      <w:bookmarkEnd w:id="176"/>
    </w:p>
    <w:p w:rsidR="00E819C1" w:rsidRPr="00F13D2D" w:rsidRDefault="0055270C" w:rsidP="0055270C">
      <w:pPr>
        <w:pStyle w:val="SingleTxtG"/>
        <w:rPr>
          <w:rFonts w:eastAsia="Calibri"/>
          <w:lang w:val="fr-FR"/>
        </w:rPr>
      </w:pPr>
      <w:r w:rsidRPr="00F13D2D">
        <w:rPr>
          <w:rFonts w:eastAsia="Calibri"/>
          <w:lang w:val="fr-FR"/>
        </w:rPr>
        <w:t>108.</w:t>
      </w:r>
      <w:r w:rsidRPr="00F13D2D">
        <w:rPr>
          <w:rFonts w:eastAsia="Calibri"/>
          <w:lang w:val="fr-FR"/>
        </w:rPr>
        <w:tab/>
      </w:r>
      <w:r w:rsidR="00E819C1" w:rsidRPr="00F13D2D">
        <w:rPr>
          <w:rFonts w:eastAsia="Calibri"/>
          <w:lang w:val="fr-FR"/>
        </w:rPr>
        <w:t>Le droit mauritanien, à commencer par la Constitution en son article premier, interdit l’incitation aux actes de discrimination raciale et ethnique et contient un ensemble de dispositions pénalisant</w:t>
      </w:r>
      <w:r w:rsidR="006C160E" w:rsidRPr="00F13D2D">
        <w:rPr>
          <w:rFonts w:eastAsia="Calibri"/>
          <w:lang w:val="fr-FR"/>
        </w:rPr>
        <w:t xml:space="preserve"> </w:t>
      </w:r>
      <w:r w:rsidR="00E819C1" w:rsidRPr="00F13D2D">
        <w:rPr>
          <w:rFonts w:eastAsia="Calibri"/>
          <w:lang w:val="fr-FR"/>
        </w:rPr>
        <w:t>toute diffusion d’idées fondées sur la supériorité ou la haine raciale, toute incitation à la discrimination raciale ainsi que tous actes de violence ou provocation dirigés contre toute race ou</w:t>
      </w:r>
      <w:r w:rsidR="006C160E" w:rsidRPr="00F13D2D">
        <w:rPr>
          <w:rFonts w:eastAsia="Calibri"/>
          <w:lang w:val="fr-FR"/>
        </w:rPr>
        <w:t xml:space="preserve"> </w:t>
      </w:r>
      <w:r w:rsidR="00E819C1" w:rsidRPr="00F13D2D">
        <w:rPr>
          <w:rFonts w:eastAsia="Calibri"/>
          <w:lang w:val="fr-FR"/>
        </w:rPr>
        <w:t>tout groupe de personnes d’une autre couleur ou d’une autre origine ethnique. L’article 3 de</w:t>
      </w:r>
      <w:r w:rsidR="006C160E" w:rsidRPr="00F13D2D">
        <w:rPr>
          <w:rFonts w:eastAsia="Calibri"/>
          <w:lang w:val="fr-FR"/>
        </w:rPr>
        <w:t xml:space="preserve"> </w:t>
      </w:r>
      <w:r w:rsidR="00E819C1" w:rsidRPr="00F13D2D">
        <w:rPr>
          <w:rFonts w:eastAsia="Calibri"/>
          <w:lang w:val="fr-FR"/>
        </w:rPr>
        <w:t xml:space="preserve">l’ordonnance </w:t>
      </w:r>
      <w:r w:rsidR="002E662F" w:rsidRPr="00F13D2D">
        <w:rPr>
          <w:rFonts w:eastAsia="Calibri"/>
          <w:lang w:val="fr-FR"/>
        </w:rPr>
        <w:t>n</w:t>
      </w:r>
      <w:r w:rsidR="002E662F" w:rsidRPr="00D94992">
        <w:rPr>
          <w:rFonts w:eastAsia="Calibri"/>
          <w:vertAlign w:val="superscript"/>
          <w:lang w:val="fr-FR"/>
        </w:rPr>
        <w:t>o</w:t>
      </w:r>
      <w:r w:rsidR="002E662F">
        <w:rPr>
          <w:rFonts w:eastAsia="Calibri"/>
          <w:lang w:val="fr-FR"/>
        </w:rPr>
        <w:t> </w:t>
      </w:r>
      <w:r w:rsidR="00E819C1" w:rsidRPr="00F13D2D">
        <w:rPr>
          <w:rFonts w:eastAsia="Calibri"/>
          <w:lang w:val="fr-FR"/>
        </w:rPr>
        <w:t>91-023 du 25 juillet 1991 relative à la liberté de presse interdit la haine, les</w:t>
      </w:r>
      <w:r w:rsidR="006C160E" w:rsidRPr="00F13D2D">
        <w:rPr>
          <w:rFonts w:eastAsia="Calibri"/>
          <w:lang w:val="fr-FR"/>
        </w:rPr>
        <w:t xml:space="preserve"> </w:t>
      </w:r>
      <w:r w:rsidR="00E819C1" w:rsidRPr="00F13D2D">
        <w:rPr>
          <w:rFonts w:eastAsia="Calibri"/>
          <w:lang w:val="fr-FR"/>
        </w:rPr>
        <w:t>préjugés ethniques, régionalistes ou tous actes qualifiés de crimes ou de délits. En outre,</w:t>
      </w:r>
      <w:r w:rsidR="006C160E" w:rsidRPr="00F13D2D">
        <w:rPr>
          <w:rFonts w:eastAsia="Calibri"/>
          <w:lang w:val="fr-FR"/>
        </w:rPr>
        <w:t xml:space="preserve"> </w:t>
      </w:r>
      <w:r w:rsidR="00E819C1" w:rsidRPr="00F13D2D">
        <w:rPr>
          <w:rFonts w:eastAsia="Calibri"/>
          <w:lang w:val="fr-FR"/>
        </w:rPr>
        <w:t xml:space="preserve">l’ordonnance </w:t>
      </w:r>
      <w:r w:rsidR="002E662F" w:rsidRPr="00F13D2D">
        <w:rPr>
          <w:rFonts w:eastAsia="Calibri"/>
          <w:lang w:val="fr-FR"/>
        </w:rPr>
        <w:t>n</w:t>
      </w:r>
      <w:r w:rsidR="002E662F" w:rsidRPr="00D94992">
        <w:rPr>
          <w:rFonts w:eastAsia="Calibri"/>
          <w:vertAlign w:val="superscript"/>
          <w:lang w:val="fr-FR"/>
        </w:rPr>
        <w:t>o</w:t>
      </w:r>
      <w:r w:rsidR="002E662F">
        <w:rPr>
          <w:rFonts w:eastAsia="Calibri"/>
          <w:lang w:val="fr-FR"/>
        </w:rPr>
        <w:t> </w:t>
      </w:r>
      <w:r w:rsidR="00E819C1" w:rsidRPr="00F13D2D">
        <w:rPr>
          <w:rFonts w:eastAsia="Calibri"/>
          <w:lang w:val="fr-FR"/>
        </w:rPr>
        <w:t>091-024 du 25 juillet 1991 relative aux partis politiques dispose en son article 4</w:t>
      </w:r>
      <w:r w:rsidR="006C160E" w:rsidRPr="00F13D2D">
        <w:rPr>
          <w:rFonts w:eastAsia="Calibri"/>
          <w:lang w:val="fr-FR"/>
        </w:rPr>
        <w:t xml:space="preserve"> </w:t>
      </w:r>
      <w:r w:rsidR="00E819C1" w:rsidRPr="00F13D2D">
        <w:rPr>
          <w:rFonts w:eastAsia="Calibri"/>
          <w:lang w:val="fr-FR"/>
        </w:rPr>
        <w:t>que «</w:t>
      </w:r>
      <w:r w:rsidR="00361CD3">
        <w:rPr>
          <w:rFonts w:eastAsia="Calibri"/>
          <w:lang w:val="fr-FR"/>
        </w:rPr>
        <w:t> </w:t>
      </w:r>
      <w:r w:rsidR="003B13CC">
        <w:rPr>
          <w:rFonts w:eastAsia="Calibri"/>
          <w:lang w:val="fr-FR"/>
        </w:rPr>
        <w:t>D</w:t>
      </w:r>
      <w:r w:rsidR="00E819C1" w:rsidRPr="00F13D2D">
        <w:rPr>
          <w:rFonts w:eastAsia="Calibri"/>
          <w:lang w:val="fr-FR"/>
        </w:rPr>
        <w:t>ans leurs statuts, dans leurs programmes, dans leurs discours et dans leur action politique, les partis politiques s’interdisent toute incitation à l’intolérance et à la violence, toute propagande</w:t>
      </w:r>
      <w:r w:rsidR="006C160E" w:rsidRPr="00F13D2D">
        <w:rPr>
          <w:rFonts w:eastAsia="Calibri"/>
          <w:lang w:val="fr-FR"/>
        </w:rPr>
        <w:t xml:space="preserve"> </w:t>
      </w:r>
      <w:r w:rsidR="00E819C1" w:rsidRPr="00F13D2D">
        <w:rPr>
          <w:rFonts w:eastAsia="Calibri"/>
          <w:lang w:val="fr-FR"/>
        </w:rPr>
        <w:t>qui aurait pour but de porter atteinte à l’intégrité du territoire ou à l’unité de la nation</w:t>
      </w:r>
      <w:r w:rsidR="00361CD3">
        <w:rPr>
          <w:rFonts w:eastAsia="Calibri"/>
          <w:lang w:val="fr-FR"/>
        </w:rPr>
        <w:t> </w:t>
      </w:r>
      <w:r w:rsidR="00E819C1" w:rsidRPr="00F13D2D">
        <w:rPr>
          <w:rFonts w:eastAsia="Calibri"/>
          <w:lang w:val="fr-FR"/>
        </w:rPr>
        <w:t>». Les dispositions contenues dans le chapitre intitulé «</w:t>
      </w:r>
      <w:r w:rsidR="003B6C1B">
        <w:rPr>
          <w:rFonts w:eastAsia="Calibri"/>
          <w:lang w:val="fr-FR"/>
        </w:rPr>
        <w:t> </w:t>
      </w:r>
      <w:r w:rsidR="00E819C1" w:rsidRPr="00F13D2D">
        <w:rPr>
          <w:rFonts w:eastAsia="Calibri"/>
          <w:lang w:val="fr-FR"/>
        </w:rPr>
        <w:t>Les crimes et délits contre les</w:t>
      </w:r>
      <w:r w:rsidR="006C160E" w:rsidRPr="00F13D2D">
        <w:rPr>
          <w:rFonts w:eastAsia="Calibri"/>
          <w:lang w:val="fr-FR"/>
        </w:rPr>
        <w:t xml:space="preserve"> </w:t>
      </w:r>
      <w:r w:rsidR="00E819C1" w:rsidRPr="00F13D2D">
        <w:rPr>
          <w:rFonts w:eastAsia="Calibri"/>
          <w:lang w:val="fr-FR"/>
        </w:rPr>
        <w:t>personnes</w:t>
      </w:r>
      <w:r w:rsidR="003B6C1B">
        <w:rPr>
          <w:rFonts w:eastAsia="Calibri"/>
          <w:lang w:val="fr-FR"/>
        </w:rPr>
        <w:t> </w:t>
      </w:r>
      <w:r w:rsidR="00E819C1" w:rsidRPr="00F13D2D">
        <w:rPr>
          <w:rFonts w:eastAsia="Calibri"/>
          <w:lang w:val="fr-FR"/>
        </w:rPr>
        <w:t>» du Code pénal permettent au juge de sanctionner toute pratique raciste selon sa gravité.</w:t>
      </w:r>
    </w:p>
    <w:p w:rsidR="00E819C1" w:rsidRPr="00F13D2D" w:rsidRDefault="0055270C" w:rsidP="0055270C">
      <w:pPr>
        <w:pStyle w:val="SingleTxtG"/>
        <w:rPr>
          <w:rFonts w:eastAsia="Calibri"/>
          <w:lang w:val="fr-FR"/>
        </w:rPr>
      </w:pPr>
      <w:r w:rsidRPr="00F13D2D">
        <w:rPr>
          <w:rFonts w:eastAsia="Calibri"/>
          <w:lang w:val="fr-FR"/>
        </w:rPr>
        <w:t>109.</w:t>
      </w:r>
      <w:r w:rsidRPr="00F13D2D">
        <w:rPr>
          <w:rFonts w:eastAsia="Calibri"/>
          <w:lang w:val="fr-FR"/>
        </w:rPr>
        <w:tab/>
      </w:r>
      <w:r w:rsidR="00E819C1" w:rsidRPr="00F13D2D">
        <w:rPr>
          <w:rFonts w:eastAsia="Calibri"/>
          <w:lang w:val="fr-FR"/>
        </w:rPr>
        <w:t>Le MASEF et le Ministère de l’Intérieur traitent ensemble la</w:t>
      </w:r>
      <w:r w:rsidR="006C160E" w:rsidRPr="00F13D2D">
        <w:rPr>
          <w:rFonts w:eastAsia="Calibri"/>
          <w:lang w:val="fr-FR"/>
        </w:rPr>
        <w:t xml:space="preserve"> </w:t>
      </w:r>
      <w:r w:rsidR="00E819C1" w:rsidRPr="00F13D2D">
        <w:rPr>
          <w:rFonts w:eastAsia="Calibri"/>
          <w:lang w:val="fr-FR"/>
        </w:rPr>
        <w:t>problématique des enfants de la</w:t>
      </w:r>
      <w:r w:rsidR="006C160E" w:rsidRPr="00F13D2D">
        <w:rPr>
          <w:rFonts w:eastAsia="Calibri"/>
          <w:lang w:val="fr-FR"/>
        </w:rPr>
        <w:t xml:space="preserve"> </w:t>
      </w:r>
      <w:r w:rsidR="00E819C1" w:rsidRPr="00F13D2D">
        <w:rPr>
          <w:rFonts w:eastAsia="Calibri"/>
          <w:lang w:val="fr-FR"/>
        </w:rPr>
        <w:t>rue. Un enseignement et une formation professionnelle sont dispensés aux enfants de la rue par le Centre de protection et d</w:t>
      </w:r>
      <w:r w:rsidR="006C160E" w:rsidRPr="00F13D2D">
        <w:rPr>
          <w:rFonts w:eastAsia="Calibri"/>
          <w:lang w:val="fr-FR"/>
        </w:rPr>
        <w:t>’</w:t>
      </w:r>
      <w:r w:rsidR="00E819C1" w:rsidRPr="00F13D2D">
        <w:rPr>
          <w:rFonts w:eastAsia="Calibri"/>
          <w:lang w:val="fr-FR"/>
        </w:rPr>
        <w:t>intégration sociale des enfants (CPISE) et qui bénéficient aussi d’un hébergement. Un programme de lutte contre la mendicité a été mis en œuvre et un projet d’insertion et de formation des enfants mendiants a permis de lutter contre cette pratique.</w:t>
      </w:r>
      <w:r w:rsidR="006C160E" w:rsidRPr="00F13D2D">
        <w:rPr>
          <w:rFonts w:eastAsia="Calibri"/>
          <w:lang w:val="fr-FR"/>
        </w:rPr>
        <w:t xml:space="preserve"> </w:t>
      </w:r>
    </w:p>
    <w:p w:rsidR="00E819C1" w:rsidRPr="00F13D2D" w:rsidRDefault="0055270C" w:rsidP="0055270C">
      <w:pPr>
        <w:pStyle w:val="SingleTxtG"/>
        <w:rPr>
          <w:rFonts w:eastAsia="Calibri"/>
          <w:lang w:val="fr-FR"/>
        </w:rPr>
      </w:pPr>
      <w:r w:rsidRPr="00F13D2D">
        <w:rPr>
          <w:rFonts w:eastAsia="Calibri"/>
          <w:lang w:val="fr-FR"/>
        </w:rPr>
        <w:lastRenderedPageBreak/>
        <w:t>110.</w:t>
      </w:r>
      <w:r w:rsidRPr="00F13D2D">
        <w:rPr>
          <w:rFonts w:eastAsia="Calibri"/>
          <w:lang w:val="fr-FR"/>
        </w:rPr>
        <w:tab/>
      </w:r>
      <w:r w:rsidR="00E819C1" w:rsidRPr="00F13D2D">
        <w:rPr>
          <w:rFonts w:eastAsia="Calibri"/>
          <w:lang w:val="fr-FR"/>
        </w:rPr>
        <w:t xml:space="preserve">Le Gouvernement a organisé le rapatriement de tous les enfants jockeys des </w:t>
      </w:r>
      <w:proofErr w:type="spellStart"/>
      <w:r w:rsidR="00E819C1" w:rsidRPr="00F13D2D">
        <w:rPr>
          <w:rFonts w:eastAsia="Calibri"/>
          <w:lang w:val="fr-FR"/>
        </w:rPr>
        <w:t>Emirats</w:t>
      </w:r>
      <w:proofErr w:type="spellEnd"/>
      <w:r w:rsidR="00E819C1" w:rsidRPr="00F13D2D">
        <w:rPr>
          <w:rFonts w:eastAsia="Calibri"/>
          <w:lang w:val="fr-FR"/>
        </w:rPr>
        <w:t xml:space="preserve"> arabes Unis. Ceux-ci ont bénéficié de compensations. </w:t>
      </w:r>
    </w:p>
    <w:p w:rsidR="00E819C1" w:rsidRPr="00E06F1B" w:rsidRDefault="00525A47" w:rsidP="00AA7A93">
      <w:pPr>
        <w:pStyle w:val="H23G"/>
      </w:pPr>
      <w:bookmarkStart w:id="177" w:name="_Toc453672928"/>
      <w:bookmarkStart w:id="178" w:name="_Toc454388770"/>
      <w:r w:rsidRPr="000E17DF">
        <w:tab/>
      </w:r>
      <w:r w:rsidR="00E819C1" w:rsidRPr="00F13D2D">
        <w:t>2</w:t>
      </w:r>
      <w:r w:rsidRPr="00F13D2D">
        <w:t>.</w:t>
      </w:r>
      <w:r w:rsidRPr="00F13D2D">
        <w:tab/>
        <w:t>Non-discrimination</w:t>
      </w:r>
      <w:r w:rsidR="00E819C1" w:rsidRPr="00F13D2D">
        <w:t xml:space="preserve"> à l’égard des filles</w:t>
      </w:r>
      <w:bookmarkEnd w:id="177"/>
      <w:bookmarkEnd w:id="178"/>
    </w:p>
    <w:p w:rsidR="00E819C1" w:rsidRPr="00F13D2D" w:rsidRDefault="0055270C" w:rsidP="0055270C">
      <w:pPr>
        <w:pStyle w:val="SingleTxtG"/>
        <w:rPr>
          <w:rFonts w:eastAsia="Calibri"/>
          <w:lang w:val="fr-FR"/>
        </w:rPr>
      </w:pPr>
      <w:r w:rsidRPr="00F13D2D">
        <w:rPr>
          <w:rFonts w:eastAsia="Calibri"/>
          <w:lang w:val="fr-FR"/>
        </w:rPr>
        <w:t>111.</w:t>
      </w:r>
      <w:r w:rsidRPr="00F13D2D">
        <w:rPr>
          <w:rFonts w:eastAsia="Calibri"/>
          <w:lang w:val="fr-FR"/>
        </w:rPr>
        <w:tab/>
      </w:r>
      <w:r w:rsidR="00E819C1" w:rsidRPr="00F13D2D">
        <w:rPr>
          <w:rFonts w:eastAsia="Calibri"/>
          <w:lang w:val="fr-FR"/>
        </w:rPr>
        <w:t xml:space="preserve">La </w:t>
      </w:r>
      <w:r w:rsidR="00D20B03" w:rsidRPr="00F13D2D">
        <w:rPr>
          <w:rFonts w:eastAsia="Calibri"/>
          <w:lang w:val="fr-FR"/>
        </w:rPr>
        <w:t xml:space="preserve">Constitution </w:t>
      </w:r>
      <w:r w:rsidR="00E819C1" w:rsidRPr="00F13D2D">
        <w:rPr>
          <w:rFonts w:eastAsia="Calibri"/>
          <w:lang w:val="fr-FR"/>
        </w:rPr>
        <w:t>du 20 juillet 1991 est fondée sur le principe de l’égalité des citoyens sans aucune référence au sexe. Ce principe s’accompagne de celui de l’égalité devant la loi et devant la justice qui permet à la femme et à la fille d’ester en justice et de bénéficier,</w:t>
      </w:r>
      <w:r w:rsidR="006C160E" w:rsidRPr="00F13D2D">
        <w:rPr>
          <w:rFonts w:eastAsia="Calibri"/>
          <w:lang w:val="fr-FR"/>
        </w:rPr>
        <w:t xml:space="preserve"> </w:t>
      </w:r>
      <w:r w:rsidR="00E819C1" w:rsidRPr="00F13D2D">
        <w:rPr>
          <w:rFonts w:eastAsia="Calibri"/>
          <w:lang w:val="fr-FR"/>
        </w:rPr>
        <w:t>le cas échéant,</w:t>
      </w:r>
      <w:r w:rsidR="006C160E" w:rsidRPr="00F13D2D">
        <w:rPr>
          <w:rFonts w:eastAsia="Calibri"/>
          <w:lang w:val="fr-FR"/>
        </w:rPr>
        <w:t xml:space="preserve"> </w:t>
      </w:r>
      <w:r w:rsidR="00E819C1" w:rsidRPr="00F13D2D">
        <w:rPr>
          <w:rFonts w:eastAsia="Calibri"/>
          <w:lang w:val="fr-FR"/>
        </w:rPr>
        <w:t xml:space="preserve">de l’aide juridique et juridictionnelle. </w:t>
      </w:r>
    </w:p>
    <w:p w:rsidR="00E819C1" w:rsidRPr="00F13D2D" w:rsidRDefault="0055270C" w:rsidP="0055270C">
      <w:pPr>
        <w:pStyle w:val="SingleTxtG"/>
        <w:rPr>
          <w:rFonts w:eastAsia="Calibri"/>
          <w:lang w:val="fr-FR"/>
        </w:rPr>
      </w:pPr>
      <w:r w:rsidRPr="00F13D2D">
        <w:rPr>
          <w:rFonts w:eastAsia="Calibri"/>
          <w:lang w:val="fr-FR"/>
        </w:rPr>
        <w:t>112.</w:t>
      </w:r>
      <w:r w:rsidRPr="00F13D2D">
        <w:rPr>
          <w:rFonts w:eastAsia="Calibri"/>
          <w:lang w:val="fr-FR"/>
        </w:rPr>
        <w:tab/>
      </w:r>
      <w:r w:rsidR="00E819C1" w:rsidRPr="00F13D2D">
        <w:rPr>
          <w:rFonts w:eastAsia="Calibri"/>
          <w:lang w:val="fr-FR"/>
        </w:rPr>
        <w:t xml:space="preserve">Les comportements socioculturels défavorables à la femme et à la fille sont régulièrement dénoncés à travers les </w:t>
      </w:r>
      <w:proofErr w:type="spellStart"/>
      <w:r w:rsidR="00E819C1" w:rsidRPr="00F13D2D">
        <w:rPr>
          <w:rFonts w:eastAsia="Calibri"/>
          <w:lang w:val="fr-FR"/>
        </w:rPr>
        <w:t>médias</w:t>
      </w:r>
      <w:proofErr w:type="spellEnd"/>
      <w:r w:rsidR="00E819C1" w:rsidRPr="00F13D2D">
        <w:rPr>
          <w:rFonts w:eastAsia="Calibri"/>
          <w:lang w:val="fr-FR"/>
        </w:rPr>
        <w:t xml:space="preserve"> publics et privés. Des émissions éducatives,</w:t>
      </w:r>
      <w:r w:rsidR="006C160E" w:rsidRPr="00F13D2D">
        <w:rPr>
          <w:rFonts w:eastAsia="Calibri"/>
          <w:lang w:val="fr-FR"/>
        </w:rPr>
        <w:t xml:space="preserve"> </w:t>
      </w:r>
      <w:r w:rsidR="00E819C1" w:rsidRPr="00F13D2D">
        <w:rPr>
          <w:rFonts w:eastAsia="Calibri"/>
          <w:lang w:val="fr-FR"/>
        </w:rPr>
        <w:t>présentant la législation mauritanienne et les normes du droit international concernant la famille, les femmes, les filles</w:t>
      </w:r>
      <w:r w:rsidR="006C160E" w:rsidRPr="00F13D2D">
        <w:rPr>
          <w:rFonts w:eastAsia="Calibri"/>
          <w:lang w:val="fr-FR"/>
        </w:rPr>
        <w:t xml:space="preserve"> </w:t>
      </w:r>
      <w:r w:rsidR="00E819C1" w:rsidRPr="00F13D2D">
        <w:rPr>
          <w:rFonts w:eastAsia="Calibri"/>
          <w:lang w:val="fr-FR"/>
        </w:rPr>
        <w:t xml:space="preserve">les jeunes et les enfants sont diffusées par la chaîne de télévision nationale et les </w:t>
      </w:r>
      <w:proofErr w:type="spellStart"/>
      <w:r w:rsidR="00E819C1" w:rsidRPr="00F13D2D">
        <w:rPr>
          <w:rFonts w:eastAsia="Calibri"/>
          <w:lang w:val="fr-FR"/>
        </w:rPr>
        <w:t>chaines</w:t>
      </w:r>
      <w:proofErr w:type="spellEnd"/>
      <w:r w:rsidR="00E819C1" w:rsidRPr="00F13D2D">
        <w:rPr>
          <w:rFonts w:eastAsia="Calibri"/>
          <w:lang w:val="fr-FR"/>
        </w:rPr>
        <w:t xml:space="preserve"> privées. </w:t>
      </w:r>
    </w:p>
    <w:p w:rsidR="00E819C1" w:rsidRPr="00AA7A93" w:rsidRDefault="00525A47" w:rsidP="00AA7A93">
      <w:pPr>
        <w:pStyle w:val="H1G"/>
      </w:pPr>
      <w:bookmarkStart w:id="179" w:name="_Toc453672929"/>
      <w:bookmarkStart w:id="180" w:name="_Toc454386603"/>
      <w:bookmarkStart w:id="181" w:name="_Toc454386672"/>
      <w:bookmarkStart w:id="182" w:name="_Toc454388771"/>
      <w:r w:rsidRPr="000E17DF">
        <w:tab/>
      </w:r>
      <w:r w:rsidR="00E819C1" w:rsidRPr="00E06F1B">
        <w:t>B</w:t>
      </w:r>
      <w:r w:rsidRPr="00AA7A93">
        <w:t>.</w:t>
      </w:r>
      <w:r w:rsidRPr="00AA7A93">
        <w:tab/>
      </w:r>
      <w:r w:rsidR="00E819C1" w:rsidRPr="00AA7A93">
        <w:t>L’intérêt supérieur de l’enfant (art.</w:t>
      </w:r>
      <w:r w:rsidR="00E1315A">
        <w:t> </w:t>
      </w:r>
      <w:r w:rsidR="00E819C1" w:rsidRPr="00E06F1B">
        <w:t>4)</w:t>
      </w:r>
      <w:bookmarkEnd w:id="179"/>
      <w:bookmarkEnd w:id="180"/>
      <w:bookmarkEnd w:id="181"/>
      <w:bookmarkEnd w:id="182"/>
    </w:p>
    <w:p w:rsidR="00E819C1" w:rsidRPr="00E06F1B" w:rsidRDefault="00525A47" w:rsidP="00AA7A93">
      <w:pPr>
        <w:pStyle w:val="H23G"/>
      </w:pPr>
      <w:bookmarkStart w:id="183" w:name="_Toc453672930"/>
      <w:bookmarkStart w:id="184" w:name="_Toc454388772"/>
      <w:r w:rsidRPr="00F13D2D">
        <w:tab/>
      </w:r>
      <w:r w:rsidR="00E819C1" w:rsidRPr="00F13D2D">
        <w:t>1</w:t>
      </w:r>
      <w:r w:rsidRPr="00F13D2D">
        <w:t>.</w:t>
      </w:r>
      <w:r w:rsidRPr="00F13D2D">
        <w:tab/>
      </w:r>
      <w:r w:rsidR="00E819C1" w:rsidRPr="00F13D2D">
        <w:t>Orientations fondées sur l’intérêt de l’enfant</w:t>
      </w:r>
      <w:bookmarkEnd w:id="183"/>
      <w:bookmarkEnd w:id="184"/>
    </w:p>
    <w:p w:rsidR="00E819C1" w:rsidRPr="00F13D2D" w:rsidRDefault="0055270C" w:rsidP="0055270C">
      <w:pPr>
        <w:pStyle w:val="SingleTxtG"/>
        <w:rPr>
          <w:rFonts w:eastAsia="Calibri"/>
          <w:lang w:val="fr-FR"/>
        </w:rPr>
      </w:pPr>
      <w:r w:rsidRPr="00F13D2D">
        <w:rPr>
          <w:rFonts w:eastAsia="Calibri"/>
          <w:lang w:val="fr-FR"/>
        </w:rPr>
        <w:t>113.</w:t>
      </w:r>
      <w:r w:rsidRPr="00F13D2D">
        <w:rPr>
          <w:rFonts w:eastAsia="Calibri"/>
          <w:lang w:val="fr-FR"/>
        </w:rPr>
        <w:tab/>
      </w:r>
      <w:r w:rsidR="00E819C1" w:rsidRPr="00F13D2D">
        <w:rPr>
          <w:rFonts w:eastAsia="Calibri"/>
          <w:lang w:val="fr-FR"/>
        </w:rPr>
        <w:t>Les parents sont informés et formés sur le respect de l’intérêt de l’enfant par le service de l’éducation parentale du MASEF. Celui-ci est chargé de leur</w:t>
      </w:r>
      <w:r w:rsidR="006C160E" w:rsidRPr="00F13D2D">
        <w:rPr>
          <w:rFonts w:eastAsia="Calibri"/>
          <w:lang w:val="fr-FR"/>
        </w:rPr>
        <w:t xml:space="preserve"> </w:t>
      </w:r>
      <w:r w:rsidR="00E819C1" w:rsidRPr="00F13D2D">
        <w:rPr>
          <w:rFonts w:eastAsia="Calibri"/>
          <w:lang w:val="fr-FR"/>
        </w:rPr>
        <w:t>donner les compétences, les connaissances et la motivation nécessaires pour permettre une protection effective des enfants, identifier et réagir contre d’éventuels cas de discrimination, négligence, ou mauvais traitements. Cette protection est d’autant plus utile</w:t>
      </w:r>
      <w:r w:rsidR="006C160E" w:rsidRPr="00F13D2D">
        <w:rPr>
          <w:rFonts w:eastAsia="Calibri"/>
          <w:lang w:val="fr-FR"/>
        </w:rPr>
        <w:t xml:space="preserve"> </w:t>
      </w:r>
      <w:r w:rsidR="00E819C1" w:rsidRPr="00F13D2D">
        <w:rPr>
          <w:rFonts w:eastAsia="Calibri"/>
          <w:lang w:val="fr-FR"/>
        </w:rPr>
        <w:t>que son efficacité est vitale pour leur bien-être</w:t>
      </w:r>
      <w:r w:rsidR="006C160E" w:rsidRPr="00F13D2D">
        <w:rPr>
          <w:rFonts w:eastAsia="Calibri"/>
          <w:lang w:val="fr-FR"/>
        </w:rPr>
        <w:t xml:space="preserve"> </w:t>
      </w:r>
      <w:r w:rsidR="00E819C1" w:rsidRPr="00F13D2D">
        <w:rPr>
          <w:rFonts w:eastAsia="Calibri"/>
          <w:lang w:val="fr-FR"/>
        </w:rPr>
        <w:t>car, en raison de leur grande vulnérabilité, les enfants</w:t>
      </w:r>
      <w:r w:rsidR="006C160E" w:rsidRPr="00F13D2D">
        <w:rPr>
          <w:rFonts w:eastAsia="Calibri"/>
          <w:lang w:val="fr-FR"/>
        </w:rPr>
        <w:t xml:space="preserve"> </w:t>
      </w:r>
      <w:r w:rsidR="00E819C1" w:rsidRPr="00F13D2D">
        <w:rPr>
          <w:rFonts w:eastAsia="Calibri"/>
          <w:lang w:val="fr-FR"/>
        </w:rPr>
        <w:t>sont plus exposés aux divers problèmes de maltraitance, d’exploitation, de discrimination et de violence.</w:t>
      </w:r>
    </w:p>
    <w:p w:rsidR="00E819C1" w:rsidRPr="00E06F1B" w:rsidRDefault="00525A47" w:rsidP="00AA7A93">
      <w:pPr>
        <w:pStyle w:val="H23G"/>
      </w:pPr>
      <w:bookmarkStart w:id="185" w:name="_Toc453672931"/>
      <w:bookmarkStart w:id="186" w:name="_Toc454388773"/>
      <w:r w:rsidRPr="000E17DF">
        <w:tab/>
      </w:r>
      <w:r w:rsidR="00E819C1" w:rsidRPr="00F13D2D">
        <w:t>2</w:t>
      </w:r>
      <w:r w:rsidRPr="00F13D2D">
        <w:t>.</w:t>
      </w:r>
      <w:r w:rsidRPr="00F13D2D">
        <w:tab/>
      </w:r>
      <w:r w:rsidR="00E819C1" w:rsidRPr="00F13D2D">
        <w:t>Intégration de l’intérêt de l’enfant dans la législation</w:t>
      </w:r>
      <w:bookmarkEnd w:id="185"/>
      <w:bookmarkEnd w:id="186"/>
    </w:p>
    <w:p w:rsidR="00E819C1" w:rsidRPr="00F13D2D" w:rsidRDefault="0055270C" w:rsidP="0055270C">
      <w:pPr>
        <w:pStyle w:val="SingleTxtG"/>
        <w:rPr>
          <w:rFonts w:eastAsia="Calibri"/>
          <w:lang w:val="fr-FR"/>
        </w:rPr>
      </w:pPr>
      <w:r w:rsidRPr="00F13D2D">
        <w:rPr>
          <w:rFonts w:eastAsia="Calibri"/>
          <w:lang w:val="fr-FR"/>
        </w:rPr>
        <w:t>114.</w:t>
      </w:r>
      <w:r w:rsidRPr="00F13D2D">
        <w:rPr>
          <w:rFonts w:eastAsia="Calibri"/>
          <w:lang w:val="fr-FR"/>
        </w:rPr>
        <w:tab/>
      </w:r>
      <w:r w:rsidR="00E819C1" w:rsidRPr="00F13D2D">
        <w:rPr>
          <w:rFonts w:eastAsia="Calibri"/>
          <w:lang w:val="fr-FR"/>
        </w:rPr>
        <w:t>L’intérêt supérieur de l’enfant est</w:t>
      </w:r>
      <w:r w:rsidR="006C160E" w:rsidRPr="00F13D2D">
        <w:rPr>
          <w:rFonts w:eastAsia="Calibri"/>
          <w:lang w:val="fr-FR"/>
        </w:rPr>
        <w:t xml:space="preserve"> </w:t>
      </w:r>
      <w:r w:rsidR="00E819C1" w:rsidRPr="00F13D2D">
        <w:rPr>
          <w:rFonts w:eastAsia="Calibri"/>
          <w:lang w:val="fr-FR"/>
        </w:rPr>
        <w:t>intégré dans le corpus juridique national</w:t>
      </w:r>
      <w:r w:rsidR="006C160E" w:rsidRPr="00F13D2D">
        <w:rPr>
          <w:rFonts w:eastAsia="Calibri"/>
          <w:lang w:val="fr-FR"/>
        </w:rPr>
        <w:t xml:space="preserve"> </w:t>
      </w:r>
      <w:r w:rsidR="00E819C1" w:rsidRPr="00F13D2D">
        <w:rPr>
          <w:rFonts w:eastAsia="Calibri"/>
          <w:lang w:val="fr-FR"/>
        </w:rPr>
        <w:t xml:space="preserve">notamment le Code du </w:t>
      </w:r>
      <w:r w:rsidR="00D20B03">
        <w:rPr>
          <w:rFonts w:eastAsia="Calibri"/>
          <w:lang w:val="fr-FR"/>
        </w:rPr>
        <w:t>s</w:t>
      </w:r>
      <w:r w:rsidR="00E819C1" w:rsidRPr="00F13D2D">
        <w:rPr>
          <w:rFonts w:eastAsia="Calibri"/>
          <w:lang w:val="fr-FR"/>
        </w:rPr>
        <w:t xml:space="preserve">tatut </w:t>
      </w:r>
      <w:r w:rsidR="00D20B03">
        <w:rPr>
          <w:rFonts w:eastAsia="Calibri"/>
          <w:lang w:val="fr-FR"/>
        </w:rPr>
        <w:t>p</w:t>
      </w:r>
      <w:r w:rsidR="00E819C1" w:rsidRPr="00F13D2D">
        <w:rPr>
          <w:rFonts w:eastAsia="Calibri"/>
          <w:lang w:val="fr-FR"/>
        </w:rPr>
        <w:t xml:space="preserve">ersonnel. </w:t>
      </w:r>
    </w:p>
    <w:p w:rsidR="00E819C1" w:rsidRPr="00AA7A93" w:rsidRDefault="00DB182A" w:rsidP="00AA7A93">
      <w:pPr>
        <w:pStyle w:val="H1G"/>
      </w:pPr>
      <w:bookmarkStart w:id="187" w:name="_Toc453672932"/>
      <w:bookmarkStart w:id="188" w:name="_Toc454388774"/>
      <w:r w:rsidRPr="000E17DF">
        <w:tab/>
      </w:r>
      <w:r w:rsidR="00E819C1" w:rsidRPr="00E06F1B">
        <w:t>C</w:t>
      </w:r>
      <w:r w:rsidRPr="00AA7A93">
        <w:t>.</w:t>
      </w:r>
      <w:r w:rsidRPr="00AA7A93">
        <w:tab/>
      </w:r>
      <w:r w:rsidR="00E819C1" w:rsidRPr="00AA7A93">
        <w:t>Le droit à la vie, à la survie et au développement (art.</w:t>
      </w:r>
      <w:r w:rsidR="00E1315A">
        <w:t> </w:t>
      </w:r>
      <w:r w:rsidR="00E819C1" w:rsidRPr="00E06F1B">
        <w:t>6)</w:t>
      </w:r>
      <w:bookmarkEnd w:id="187"/>
      <w:bookmarkEnd w:id="188"/>
    </w:p>
    <w:p w:rsidR="00E819C1" w:rsidRPr="00F13D2D" w:rsidRDefault="0055270C" w:rsidP="0055270C">
      <w:pPr>
        <w:pStyle w:val="SingleTxtG"/>
        <w:rPr>
          <w:rFonts w:eastAsia="Calibri"/>
          <w:lang w:val="fr-FR"/>
        </w:rPr>
      </w:pPr>
      <w:r w:rsidRPr="00F13D2D">
        <w:rPr>
          <w:rFonts w:eastAsia="Calibri"/>
          <w:lang w:val="fr-FR"/>
        </w:rPr>
        <w:t>115.</w:t>
      </w:r>
      <w:r w:rsidRPr="00F13D2D">
        <w:rPr>
          <w:rFonts w:eastAsia="Calibri"/>
          <w:lang w:val="fr-FR"/>
        </w:rPr>
        <w:tab/>
      </w:r>
      <w:r w:rsidR="00E819C1" w:rsidRPr="00F13D2D">
        <w:rPr>
          <w:rFonts w:eastAsia="Calibri"/>
          <w:lang w:val="fr-FR"/>
        </w:rPr>
        <w:t>La peine de mort n</w:t>
      </w:r>
      <w:r w:rsidR="006C160E" w:rsidRPr="00F13D2D">
        <w:rPr>
          <w:rFonts w:eastAsia="Calibri"/>
          <w:lang w:val="fr-FR"/>
        </w:rPr>
        <w:t>’</w:t>
      </w:r>
      <w:r w:rsidR="00E819C1" w:rsidRPr="00F13D2D">
        <w:rPr>
          <w:rFonts w:eastAsia="Calibri"/>
          <w:lang w:val="fr-FR"/>
        </w:rPr>
        <w:t>est pas applicable aux enfants délinquants. La législation protège leur vie</w:t>
      </w:r>
      <w:r w:rsidR="006C160E" w:rsidRPr="00F13D2D">
        <w:rPr>
          <w:rFonts w:eastAsia="Calibri"/>
          <w:lang w:val="fr-FR"/>
        </w:rPr>
        <w:t xml:space="preserve"> </w:t>
      </w:r>
      <w:r w:rsidR="00E819C1" w:rsidRPr="00F13D2D">
        <w:rPr>
          <w:rFonts w:eastAsia="Calibri"/>
          <w:lang w:val="fr-FR"/>
        </w:rPr>
        <w:t>en luttant et condamnant</w:t>
      </w:r>
      <w:r w:rsidR="006C160E" w:rsidRPr="00F13D2D">
        <w:rPr>
          <w:rFonts w:eastAsia="Calibri"/>
          <w:lang w:val="fr-FR"/>
        </w:rPr>
        <w:t xml:space="preserve"> </w:t>
      </w:r>
      <w:r w:rsidR="00E819C1" w:rsidRPr="00F13D2D">
        <w:rPr>
          <w:rFonts w:eastAsia="Calibri"/>
          <w:lang w:val="fr-FR"/>
        </w:rPr>
        <w:t xml:space="preserve">les infanticides. Le </w:t>
      </w:r>
      <w:r w:rsidR="00D20B03" w:rsidRPr="00F13D2D">
        <w:rPr>
          <w:rFonts w:eastAsia="Calibri"/>
          <w:lang w:val="fr-FR"/>
        </w:rPr>
        <w:t xml:space="preserve">Code </w:t>
      </w:r>
      <w:r w:rsidR="00E819C1" w:rsidRPr="00F13D2D">
        <w:rPr>
          <w:rFonts w:eastAsia="Calibri"/>
          <w:lang w:val="fr-FR"/>
        </w:rPr>
        <w:t>pénal punit les actes portant atteinte à la vie de l’enfant notamment (i) l’infanticide (art</w:t>
      </w:r>
      <w:r w:rsidR="00E56F3F">
        <w:rPr>
          <w:rFonts w:eastAsia="Calibri"/>
          <w:lang w:val="fr-FR"/>
        </w:rPr>
        <w:t>. </w:t>
      </w:r>
      <w:r w:rsidR="00E819C1" w:rsidRPr="00F13D2D">
        <w:rPr>
          <w:rFonts w:eastAsia="Calibri"/>
          <w:lang w:val="fr-FR"/>
        </w:rPr>
        <w:t>278 CP)</w:t>
      </w:r>
      <w:r w:rsidR="00FC0832">
        <w:rPr>
          <w:rFonts w:eastAsia="Calibri"/>
          <w:lang w:val="fr-FR"/>
        </w:rPr>
        <w:t> ;</w:t>
      </w:r>
      <w:r w:rsidR="00E819C1" w:rsidRPr="00F13D2D">
        <w:rPr>
          <w:rFonts w:eastAsia="Calibri"/>
          <w:lang w:val="fr-FR"/>
        </w:rPr>
        <w:t xml:space="preserve"> (ii)</w:t>
      </w:r>
      <w:r w:rsidR="006C160E" w:rsidRPr="00F13D2D">
        <w:rPr>
          <w:rFonts w:eastAsia="Calibri"/>
          <w:lang w:val="fr-FR"/>
        </w:rPr>
        <w:t xml:space="preserve"> </w:t>
      </w:r>
      <w:r w:rsidR="00E819C1" w:rsidRPr="00F13D2D">
        <w:rPr>
          <w:rFonts w:eastAsia="Calibri"/>
          <w:lang w:val="fr-FR"/>
        </w:rPr>
        <w:t>l’avortement</w:t>
      </w:r>
      <w:r w:rsidR="006C160E" w:rsidRPr="00F13D2D">
        <w:rPr>
          <w:rFonts w:eastAsia="Calibri"/>
          <w:lang w:val="fr-FR"/>
        </w:rPr>
        <w:t xml:space="preserve"> </w:t>
      </w:r>
      <w:r w:rsidR="00E819C1" w:rsidRPr="00F13D2D">
        <w:rPr>
          <w:rFonts w:eastAsia="Calibri"/>
          <w:lang w:val="fr-FR"/>
        </w:rPr>
        <w:t>(art</w:t>
      </w:r>
      <w:r w:rsidR="00E56F3F">
        <w:rPr>
          <w:rFonts w:eastAsia="Calibri"/>
          <w:lang w:val="fr-FR"/>
        </w:rPr>
        <w:t>. </w:t>
      </w:r>
      <w:r w:rsidR="00E819C1" w:rsidRPr="00F13D2D">
        <w:rPr>
          <w:rFonts w:eastAsia="Calibri"/>
          <w:lang w:val="fr-FR"/>
        </w:rPr>
        <w:t>293 CP)</w:t>
      </w:r>
      <w:r w:rsidR="00FC0832">
        <w:rPr>
          <w:rFonts w:eastAsia="Calibri"/>
          <w:lang w:val="fr-FR"/>
        </w:rPr>
        <w:t> ;</w:t>
      </w:r>
      <w:r w:rsidR="00E819C1" w:rsidRPr="00F13D2D">
        <w:rPr>
          <w:rFonts w:eastAsia="Calibri"/>
          <w:lang w:val="fr-FR"/>
        </w:rPr>
        <w:t xml:space="preserve"> (iii) l’abandon de l’enfant (art</w:t>
      </w:r>
      <w:r w:rsidR="00E56F3F">
        <w:rPr>
          <w:rFonts w:eastAsia="Calibri"/>
          <w:lang w:val="fr-FR"/>
        </w:rPr>
        <w:t>. </w:t>
      </w:r>
      <w:r w:rsidR="00E819C1" w:rsidRPr="00F13D2D">
        <w:rPr>
          <w:rFonts w:eastAsia="Calibri"/>
          <w:lang w:val="fr-FR"/>
        </w:rPr>
        <w:t>326 CP)</w:t>
      </w:r>
      <w:r w:rsidR="00FC0832">
        <w:rPr>
          <w:rFonts w:eastAsia="Calibri"/>
          <w:lang w:val="fr-FR"/>
        </w:rPr>
        <w:t> ;</w:t>
      </w:r>
      <w:r w:rsidR="00E819C1" w:rsidRPr="00F13D2D">
        <w:rPr>
          <w:rFonts w:eastAsia="Calibri"/>
          <w:lang w:val="fr-FR"/>
        </w:rPr>
        <w:t xml:space="preserve"> (iv) le mauvais traitement des enfants (art</w:t>
      </w:r>
      <w:r w:rsidR="00E56F3F">
        <w:rPr>
          <w:rFonts w:eastAsia="Calibri"/>
          <w:lang w:val="fr-FR"/>
        </w:rPr>
        <w:t>. </w:t>
      </w:r>
      <w:r w:rsidR="00E819C1" w:rsidRPr="00F13D2D">
        <w:rPr>
          <w:rFonts w:eastAsia="Calibri"/>
          <w:lang w:val="fr-FR"/>
        </w:rPr>
        <w:t>10 Ordonnance Portant Protection Pénale de l</w:t>
      </w:r>
      <w:r w:rsidR="006C160E" w:rsidRPr="00F13D2D">
        <w:rPr>
          <w:rFonts w:eastAsia="Calibri"/>
          <w:lang w:val="fr-FR"/>
        </w:rPr>
        <w:t>’</w:t>
      </w:r>
      <w:r w:rsidR="00E819C1" w:rsidRPr="00F13D2D">
        <w:rPr>
          <w:rFonts w:eastAsia="Calibri"/>
          <w:lang w:val="fr-FR"/>
        </w:rPr>
        <w:t>Enfant OPPE)</w:t>
      </w:r>
      <w:r w:rsidR="00FC0832">
        <w:rPr>
          <w:rFonts w:eastAsia="Calibri"/>
          <w:lang w:val="fr-FR"/>
        </w:rPr>
        <w:t> ;</w:t>
      </w:r>
      <w:r w:rsidR="00E819C1" w:rsidRPr="00F13D2D">
        <w:rPr>
          <w:rFonts w:eastAsia="Calibri"/>
          <w:lang w:val="fr-FR"/>
        </w:rPr>
        <w:t xml:space="preserve"> l’abus sexuel sur enfants (art</w:t>
      </w:r>
      <w:r w:rsidR="00E56F3F">
        <w:rPr>
          <w:rFonts w:eastAsia="Calibri"/>
          <w:lang w:val="fr-FR"/>
        </w:rPr>
        <w:t>. </w:t>
      </w:r>
      <w:r w:rsidR="00E819C1" w:rsidRPr="00F13D2D">
        <w:rPr>
          <w:rFonts w:eastAsia="Calibri"/>
          <w:lang w:val="fr-FR"/>
        </w:rPr>
        <w:t>25 OPPE)</w:t>
      </w:r>
      <w:r w:rsidR="00FC0832">
        <w:rPr>
          <w:rFonts w:eastAsia="Calibri"/>
          <w:lang w:val="fr-FR"/>
        </w:rPr>
        <w:t> ;</w:t>
      </w:r>
      <w:r w:rsidR="00E819C1" w:rsidRPr="00F13D2D">
        <w:rPr>
          <w:rFonts w:eastAsia="Calibri"/>
          <w:lang w:val="fr-FR"/>
        </w:rPr>
        <w:t xml:space="preserve"> (v) l’abus sexuel commis sur des enfants par des proches ou par des personnes ayant une influence morale sur eux (art</w:t>
      </w:r>
      <w:r w:rsidR="00E56F3F">
        <w:rPr>
          <w:rFonts w:eastAsia="Calibri"/>
          <w:lang w:val="fr-FR"/>
        </w:rPr>
        <w:t>. </w:t>
      </w:r>
      <w:r w:rsidR="00E819C1" w:rsidRPr="00F13D2D">
        <w:rPr>
          <w:rFonts w:eastAsia="Calibri"/>
          <w:lang w:val="fr-FR"/>
        </w:rPr>
        <w:t>27 OPPE.)</w:t>
      </w:r>
      <w:r w:rsidR="00FC0832">
        <w:rPr>
          <w:rFonts w:eastAsia="Calibri"/>
          <w:lang w:val="fr-FR"/>
        </w:rPr>
        <w:t> ;</w:t>
      </w:r>
      <w:r w:rsidR="00E819C1" w:rsidRPr="00F13D2D">
        <w:rPr>
          <w:rFonts w:eastAsia="Calibri"/>
          <w:lang w:val="fr-FR"/>
        </w:rPr>
        <w:t xml:space="preserve"> (vi) l’exploitation sexuelle des enfants et leur soumission à la prostitution (art</w:t>
      </w:r>
      <w:r w:rsidR="00E56F3F">
        <w:rPr>
          <w:rFonts w:eastAsia="Calibri"/>
          <w:lang w:val="fr-FR"/>
        </w:rPr>
        <w:t>. </w:t>
      </w:r>
      <w:r w:rsidR="00E819C1" w:rsidRPr="00F13D2D">
        <w:rPr>
          <w:rFonts w:eastAsia="Calibri"/>
          <w:lang w:val="fr-FR"/>
        </w:rPr>
        <w:t>25 OPPE)</w:t>
      </w:r>
      <w:r w:rsidR="00FC0832">
        <w:rPr>
          <w:rFonts w:eastAsia="Calibri"/>
          <w:lang w:val="fr-FR"/>
        </w:rPr>
        <w:t> ;</w:t>
      </w:r>
      <w:r w:rsidR="00E819C1" w:rsidRPr="00F13D2D">
        <w:rPr>
          <w:rFonts w:eastAsia="Calibri"/>
          <w:lang w:val="fr-FR"/>
        </w:rPr>
        <w:t xml:space="preserve"> (vii) le viol des enfants et actes de violence engendrant la mort (art</w:t>
      </w:r>
      <w:r w:rsidR="00E56F3F">
        <w:rPr>
          <w:rFonts w:eastAsia="Calibri"/>
          <w:lang w:val="fr-FR"/>
        </w:rPr>
        <w:t>. </w:t>
      </w:r>
      <w:r w:rsidR="00E819C1" w:rsidRPr="00F13D2D">
        <w:rPr>
          <w:rFonts w:eastAsia="Calibri"/>
          <w:lang w:val="fr-FR"/>
        </w:rPr>
        <w:t>24 OPPE)</w:t>
      </w:r>
      <w:r w:rsidR="00FC0832">
        <w:rPr>
          <w:rFonts w:eastAsia="Calibri"/>
          <w:lang w:val="fr-FR"/>
        </w:rPr>
        <w:t> ;</w:t>
      </w:r>
      <w:r w:rsidR="00E819C1" w:rsidRPr="00F13D2D">
        <w:rPr>
          <w:rFonts w:eastAsia="Calibri"/>
          <w:lang w:val="fr-FR"/>
        </w:rPr>
        <w:t xml:space="preserve"> (viii) rapt d’enfants et leur détournement (art</w:t>
      </w:r>
      <w:r w:rsidR="00E56F3F">
        <w:rPr>
          <w:rFonts w:eastAsia="Calibri"/>
          <w:lang w:val="fr-FR"/>
        </w:rPr>
        <w:t>. </w:t>
      </w:r>
      <w:r w:rsidR="00E819C1" w:rsidRPr="00F13D2D">
        <w:rPr>
          <w:rFonts w:eastAsia="Calibri"/>
          <w:lang w:val="fr-FR"/>
        </w:rPr>
        <w:t>45 OPPE). Des mesures ont été prises pour enregistrer les décès des enfants</w:t>
      </w:r>
      <w:r w:rsidR="006C160E" w:rsidRPr="00F13D2D">
        <w:rPr>
          <w:rFonts w:eastAsia="Calibri"/>
          <w:lang w:val="fr-FR"/>
        </w:rPr>
        <w:t xml:space="preserve"> </w:t>
      </w:r>
      <w:r w:rsidR="00E819C1" w:rsidRPr="00F13D2D">
        <w:rPr>
          <w:rFonts w:eastAsia="Calibri"/>
          <w:lang w:val="fr-FR"/>
        </w:rPr>
        <w:t>et connaître leurs causes, à travers un système de déclaration permettant l’analyse de toutes les données relatives ces décès selon l’âge et le genre.</w:t>
      </w:r>
    </w:p>
    <w:p w:rsidR="00E819C1" w:rsidRPr="00AA7A93" w:rsidRDefault="00DB182A" w:rsidP="00AA7A93">
      <w:pPr>
        <w:pStyle w:val="H1G"/>
      </w:pPr>
      <w:bookmarkStart w:id="189" w:name="_Toc453672933"/>
      <w:bookmarkStart w:id="190" w:name="_Toc454388775"/>
      <w:r w:rsidRPr="000E17DF">
        <w:tab/>
      </w:r>
      <w:r w:rsidR="00E819C1" w:rsidRPr="00E06F1B">
        <w:t>D</w:t>
      </w:r>
      <w:r w:rsidRPr="00AA7A93">
        <w:t>.</w:t>
      </w:r>
      <w:r w:rsidRPr="00AA7A93">
        <w:tab/>
      </w:r>
      <w:r w:rsidR="00E819C1" w:rsidRPr="00AA7A93">
        <w:t>Le respect des opinions de l’enfant (art.</w:t>
      </w:r>
      <w:r w:rsidR="00E1315A">
        <w:t> </w:t>
      </w:r>
      <w:r w:rsidR="00E819C1" w:rsidRPr="00E06F1B">
        <w:t>12)</w:t>
      </w:r>
      <w:bookmarkEnd w:id="189"/>
      <w:bookmarkEnd w:id="190"/>
    </w:p>
    <w:p w:rsidR="00E819C1" w:rsidRPr="00F13D2D" w:rsidRDefault="0055270C" w:rsidP="0055270C">
      <w:pPr>
        <w:pStyle w:val="SingleTxtG"/>
        <w:rPr>
          <w:rFonts w:eastAsia="Calibri"/>
          <w:lang w:val="fr-FR"/>
        </w:rPr>
      </w:pPr>
      <w:r w:rsidRPr="00F13D2D">
        <w:rPr>
          <w:rFonts w:eastAsia="Calibri"/>
          <w:lang w:val="fr-FR"/>
        </w:rPr>
        <w:t>116.</w:t>
      </w:r>
      <w:r w:rsidRPr="00F13D2D">
        <w:rPr>
          <w:rFonts w:eastAsia="Calibri"/>
          <w:lang w:val="fr-FR"/>
        </w:rPr>
        <w:tab/>
      </w:r>
      <w:r w:rsidR="002157A5" w:rsidRPr="00F13D2D">
        <w:rPr>
          <w:rFonts w:eastAsia="Calibri"/>
          <w:lang w:val="fr-FR"/>
        </w:rPr>
        <w:t xml:space="preserve">Les </w:t>
      </w:r>
      <w:r w:rsidR="00E819C1" w:rsidRPr="00F13D2D">
        <w:rPr>
          <w:rFonts w:eastAsia="Calibri"/>
          <w:lang w:val="fr-FR"/>
        </w:rPr>
        <w:t>tribunaux</w:t>
      </w:r>
      <w:r w:rsidR="006C160E" w:rsidRPr="00F13D2D">
        <w:rPr>
          <w:rFonts w:eastAsia="Calibri"/>
          <w:lang w:val="fr-FR"/>
        </w:rPr>
        <w:t xml:space="preserve"> </w:t>
      </w:r>
      <w:r w:rsidR="00E819C1" w:rsidRPr="00F13D2D">
        <w:rPr>
          <w:rFonts w:eastAsia="Calibri"/>
          <w:lang w:val="fr-FR"/>
        </w:rPr>
        <w:t>garantissent à l’enfant</w:t>
      </w:r>
      <w:r w:rsidR="006C160E" w:rsidRPr="00F13D2D">
        <w:rPr>
          <w:rFonts w:eastAsia="Calibri"/>
          <w:lang w:val="fr-FR"/>
        </w:rPr>
        <w:t xml:space="preserve"> </w:t>
      </w:r>
      <w:r w:rsidR="00E819C1" w:rsidRPr="00F13D2D">
        <w:rPr>
          <w:rFonts w:eastAsia="Calibri"/>
          <w:lang w:val="fr-FR"/>
        </w:rPr>
        <w:t>le droit d’exprimer librement ses opinions qui sont</w:t>
      </w:r>
      <w:r w:rsidR="006C160E" w:rsidRPr="00F13D2D">
        <w:rPr>
          <w:rFonts w:eastAsia="Calibri"/>
          <w:lang w:val="fr-FR"/>
        </w:rPr>
        <w:t xml:space="preserve"> </w:t>
      </w:r>
      <w:r w:rsidR="00E819C1" w:rsidRPr="00F13D2D">
        <w:rPr>
          <w:rFonts w:eastAsia="Calibri"/>
          <w:lang w:val="fr-FR"/>
        </w:rPr>
        <w:t xml:space="preserve">prises en considération conformément à son âge et à son degré de maturité. </w:t>
      </w:r>
    </w:p>
    <w:p w:rsidR="00E819C1" w:rsidRPr="00F13D2D" w:rsidRDefault="00DB182A" w:rsidP="00DB182A">
      <w:pPr>
        <w:pStyle w:val="H1G"/>
      </w:pPr>
      <w:bookmarkStart w:id="191" w:name="_Toc454388776"/>
      <w:r w:rsidRPr="00F13D2D">
        <w:lastRenderedPageBreak/>
        <w:tab/>
      </w:r>
      <w:r w:rsidRPr="00F13D2D">
        <w:tab/>
      </w:r>
      <w:r w:rsidR="00E819C1" w:rsidRPr="00F13D2D">
        <w:t>Quatrième sous</w:t>
      </w:r>
      <w:r w:rsidR="00A620CC">
        <w:t>-</w:t>
      </w:r>
      <w:r w:rsidR="00E819C1" w:rsidRPr="00F13D2D">
        <w:t>partie</w:t>
      </w:r>
      <w:r w:rsidR="00FC0832">
        <w:t> :</w:t>
      </w:r>
      <w:r w:rsidR="00E819C1" w:rsidRPr="00F13D2D">
        <w:t xml:space="preserve"> </w:t>
      </w:r>
      <w:r w:rsidR="00A620CC" w:rsidRPr="00F13D2D">
        <w:t xml:space="preserve">Libertés </w:t>
      </w:r>
      <w:r w:rsidR="00E819C1" w:rsidRPr="00F13D2D">
        <w:t>et droits civils</w:t>
      </w:r>
      <w:bookmarkEnd w:id="191"/>
    </w:p>
    <w:p w:rsidR="00E819C1" w:rsidRPr="00AA7A93" w:rsidRDefault="00DB182A" w:rsidP="00AA7A93">
      <w:pPr>
        <w:pStyle w:val="H1G"/>
      </w:pPr>
      <w:bookmarkStart w:id="192" w:name="_Toc454388777"/>
      <w:r w:rsidRPr="000E17DF">
        <w:tab/>
      </w:r>
      <w:r w:rsidR="00E819C1" w:rsidRPr="00E06F1B">
        <w:t>A</w:t>
      </w:r>
      <w:r w:rsidRPr="00AA7A93">
        <w:t>.</w:t>
      </w:r>
      <w:r w:rsidRPr="00AA7A93">
        <w:tab/>
      </w:r>
      <w:r w:rsidR="00E819C1" w:rsidRPr="00AA7A93">
        <w:t>Le nom et la nationalité (art.</w:t>
      </w:r>
      <w:r w:rsidR="00E1315A">
        <w:t> </w:t>
      </w:r>
      <w:r w:rsidR="00E819C1" w:rsidRPr="00E06F1B">
        <w:t>7)</w:t>
      </w:r>
      <w:bookmarkEnd w:id="192"/>
    </w:p>
    <w:p w:rsidR="00E819C1" w:rsidRPr="00E06F1B" w:rsidRDefault="00DB182A" w:rsidP="00AA7A93">
      <w:pPr>
        <w:pStyle w:val="H23G"/>
      </w:pPr>
      <w:bookmarkStart w:id="193" w:name="_Toc453672934"/>
      <w:bookmarkStart w:id="194" w:name="_Toc454388778"/>
      <w:r w:rsidRPr="00F13D2D">
        <w:tab/>
      </w:r>
      <w:r w:rsidR="00E819C1" w:rsidRPr="00F13D2D">
        <w:t>1</w:t>
      </w:r>
      <w:r w:rsidRPr="00F13D2D">
        <w:t>.</w:t>
      </w:r>
      <w:r w:rsidRPr="00F13D2D">
        <w:tab/>
        <w:t xml:space="preserve">Cadre </w:t>
      </w:r>
      <w:r w:rsidR="00E819C1" w:rsidRPr="00F13D2D">
        <w:t>légal relatif aux déclarations de naissance</w:t>
      </w:r>
      <w:bookmarkEnd w:id="193"/>
      <w:bookmarkEnd w:id="194"/>
    </w:p>
    <w:p w:rsidR="00E819C1" w:rsidRPr="00F13D2D" w:rsidRDefault="0055270C" w:rsidP="0055270C">
      <w:pPr>
        <w:pStyle w:val="SingleTxtG"/>
        <w:rPr>
          <w:rFonts w:eastAsia="Calibri"/>
          <w:lang w:val="fr-FR"/>
        </w:rPr>
      </w:pPr>
      <w:r w:rsidRPr="00F13D2D">
        <w:rPr>
          <w:rFonts w:eastAsia="Calibri"/>
          <w:lang w:val="fr-FR"/>
        </w:rPr>
        <w:t>117.</w:t>
      </w:r>
      <w:r w:rsidRPr="00F13D2D">
        <w:rPr>
          <w:rFonts w:eastAsia="Calibri"/>
          <w:lang w:val="fr-FR"/>
        </w:rPr>
        <w:tab/>
      </w:r>
      <w:r w:rsidR="00E819C1" w:rsidRPr="00F13D2D">
        <w:rPr>
          <w:rFonts w:eastAsia="Calibri"/>
          <w:lang w:val="fr-FR"/>
        </w:rPr>
        <w:t xml:space="preserve">Le cadre légal garantit l’enregistrement des naissances. La recommandation du Comité, dans ce cadre, s’est traduite par la réforme de l’état civil à travers le système d’enrôlement biométrique en vigueur depuis 2011. Il est réalisé par l’Agence Nationale du Registre des Populations et des Titres Sécurisés (ANRPTS). </w:t>
      </w:r>
    </w:p>
    <w:p w:rsidR="00E819C1" w:rsidRPr="00E06F1B" w:rsidRDefault="00DB182A" w:rsidP="00AA7A93">
      <w:pPr>
        <w:pStyle w:val="H23G"/>
      </w:pPr>
      <w:bookmarkStart w:id="195" w:name="_Toc453672935"/>
      <w:bookmarkStart w:id="196" w:name="_Toc454388779"/>
      <w:r w:rsidRPr="000E17DF">
        <w:tab/>
        <w:t>2.</w:t>
      </w:r>
      <w:r w:rsidRPr="000E17DF">
        <w:tab/>
      </w:r>
      <w:r w:rsidR="00E819C1" w:rsidRPr="00F13D2D">
        <w:t>L’enregistrement des nouveaux nés sans filiation</w:t>
      </w:r>
      <w:bookmarkEnd w:id="195"/>
      <w:bookmarkEnd w:id="196"/>
    </w:p>
    <w:p w:rsidR="00E819C1" w:rsidRPr="00F13D2D" w:rsidRDefault="0055270C" w:rsidP="0055270C">
      <w:pPr>
        <w:pStyle w:val="SingleTxtG"/>
        <w:rPr>
          <w:rFonts w:eastAsia="Calibri"/>
          <w:lang w:val="fr-FR"/>
        </w:rPr>
      </w:pPr>
      <w:r w:rsidRPr="00F13D2D">
        <w:rPr>
          <w:rFonts w:eastAsia="Calibri"/>
          <w:lang w:val="fr-FR"/>
        </w:rPr>
        <w:t>118.</w:t>
      </w:r>
      <w:r w:rsidRPr="00F13D2D">
        <w:rPr>
          <w:rFonts w:eastAsia="Calibri"/>
          <w:lang w:val="fr-FR"/>
        </w:rPr>
        <w:tab/>
      </w:r>
      <w:r w:rsidR="00E819C1" w:rsidRPr="00F13D2D">
        <w:rPr>
          <w:rFonts w:eastAsia="Calibri"/>
          <w:lang w:val="fr-FR"/>
        </w:rPr>
        <w:t>Dans le cas de la découverte d’un nouveau-né dont l’identité et la filiation n’ont pu être connues, le procureur de la République adresse une déclaration écrite au chef du centre d’accueil de l’ANRPTS territorialement compétent afin de procéder à son enrôlement.</w:t>
      </w:r>
      <w:r w:rsidR="006C160E" w:rsidRPr="00F13D2D">
        <w:rPr>
          <w:rFonts w:eastAsia="Calibri"/>
          <w:lang w:val="fr-FR"/>
        </w:rPr>
        <w:t xml:space="preserve"> </w:t>
      </w:r>
    </w:p>
    <w:p w:rsidR="00E819C1" w:rsidRPr="00AA7A93" w:rsidRDefault="00DB182A" w:rsidP="00AA7A93">
      <w:pPr>
        <w:pStyle w:val="H1G"/>
      </w:pPr>
      <w:bookmarkStart w:id="197" w:name="_Toc453672936"/>
      <w:bookmarkStart w:id="198" w:name="_Toc454386604"/>
      <w:bookmarkStart w:id="199" w:name="_Toc454386673"/>
      <w:bookmarkStart w:id="200" w:name="_Toc454388780"/>
      <w:r w:rsidRPr="000E17DF">
        <w:tab/>
      </w:r>
      <w:r w:rsidR="00E819C1" w:rsidRPr="00E06F1B">
        <w:t>B</w:t>
      </w:r>
      <w:r w:rsidRPr="00AA7A93">
        <w:t>.</w:t>
      </w:r>
      <w:r w:rsidRPr="00AA7A93">
        <w:tab/>
      </w:r>
      <w:r w:rsidR="00E819C1" w:rsidRPr="00AA7A93">
        <w:t>La préservation de l’identité (art.</w:t>
      </w:r>
      <w:r w:rsidR="00E1315A">
        <w:t> </w:t>
      </w:r>
      <w:r w:rsidR="00E819C1" w:rsidRPr="00E06F1B">
        <w:t>8)</w:t>
      </w:r>
      <w:bookmarkEnd w:id="197"/>
      <w:bookmarkEnd w:id="198"/>
      <w:bookmarkEnd w:id="199"/>
      <w:bookmarkEnd w:id="200"/>
    </w:p>
    <w:p w:rsidR="00E819C1" w:rsidRPr="00E06F1B" w:rsidRDefault="00DB182A" w:rsidP="00AA7A93">
      <w:pPr>
        <w:pStyle w:val="H23G"/>
        <w:rPr>
          <w:bdr w:val="none" w:sz="0" w:space="0" w:color="auto" w:frame="1"/>
        </w:rPr>
      </w:pPr>
      <w:bookmarkStart w:id="201" w:name="_Toc453672937"/>
      <w:bookmarkStart w:id="202" w:name="_Toc454388781"/>
      <w:r w:rsidRPr="00F13D2D">
        <w:rPr>
          <w:bdr w:val="none" w:sz="0" w:space="0" w:color="auto" w:frame="1"/>
        </w:rPr>
        <w:tab/>
      </w:r>
      <w:r w:rsidR="00E819C1" w:rsidRPr="00F13D2D">
        <w:rPr>
          <w:bdr w:val="none" w:sz="0" w:space="0" w:color="auto" w:frame="1"/>
        </w:rPr>
        <w:t>1</w:t>
      </w:r>
      <w:r w:rsidRPr="00F13D2D">
        <w:rPr>
          <w:bdr w:val="none" w:sz="0" w:space="0" w:color="auto" w:frame="1"/>
        </w:rPr>
        <w:t>.</w:t>
      </w:r>
      <w:r w:rsidRPr="00F13D2D">
        <w:rPr>
          <w:bdr w:val="none" w:sz="0" w:space="0" w:color="auto" w:frame="1"/>
        </w:rPr>
        <w:tab/>
      </w:r>
      <w:r w:rsidR="00E819C1" w:rsidRPr="00F13D2D">
        <w:rPr>
          <w:bdr w:val="none" w:sz="0" w:space="0" w:color="auto" w:frame="1"/>
        </w:rPr>
        <w:t>Droit à l’identité</w:t>
      </w:r>
      <w:bookmarkEnd w:id="201"/>
      <w:bookmarkEnd w:id="202"/>
    </w:p>
    <w:p w:rsidR="00E819C1" w:rsidRPr="00F13D2D" w:rsidRDefault="0055270C" w:rsidP="0055270C">
      <w:pPr>
        <w:pStyle w:val="SingleTxtG"/>
        <w:rPr>
          <w:rFonts w:eastAsia="Calibri"/>
          <w:lang w:val="fr-FR"/>
        </w:rPr>
      </w:pPr>
      <w:r w:rsidRPr="00F13D2D">
        <w:rPr>
          <w:rFonts w:eastAsia="Calibri"/>
          <w:lang w:val="fr-FR"/>
        </w:rPr>
        <w:t>119.</w:t>
      </w:r>
      <w:r w:rsidRPr="00F13D2D">
        <w:rPr>
          <w:rFonts w:eastAsia="Calibri"/>
          <w:lang w:val="fr-FR"/>
        </w:rPr>
        <w:tab/>
      </w:r>
      <w:r w:rsidR="00E819C1" w:rsidRPr="00F13D2D">
        <w:rPr>
          <w:rFonts w:eastAsia="Calibri"/>
          <w:lang w:val="fr-FR"/>
        </w:rPr>
        <w:t>Les parents ont le devoir de déclarer le nom, le prénom et la date de naissance du nouveau-né auprès des autorités. En enregistrant la naissance, les Pouvoirs Publics</w:t>
      </w:r>
      <w:r w:rsidR="006C160E" w:rsidRPr="00F13D2D">
        <w:rPr>
          <w:rFonts w:eastAsia="Calibri"/>
          <w:lang w:val="fr-FR"/>
        </w:rPr>
        <w:t xml:space="preserve"> </w:t>
      </w:r>
      <w:r w:rsidR="00E819C1" w:rsidRPr="00F13D2D">
        <w:rPr>
          <w:rFonts w:eastAsia="Calibri"/>
          <w:lang w:val="fr-FR"/>
        </w:rPr>
        <w:t xml:space="preserve">reconnaissent l’existence de l’enfant et officialisent son statut au regard de la loi. </w:t>
      </w:r>
    </w:p>
    <w:p w:rsidR="00E819C1" w:rsidRPr="00E06F1B" w:rsidRDefault="00BE3A4F" w:rsidP="00AA7A93">
      <w:pPr>
        <w:pStyle w:val="H23G"/>
        <w:rPr>
          <w:bdr w:val="none" w:sz="0" w:space="0" w:color="auto" w:frame="1"/>
        </w:rPr>
      </w:pPr>
      <w:bookmarkStart w:id="203" w:name="_Toc453672938"/>
      <w:bookmarkStart w:id="204" w:name="_Toc454388782"/>
      <w:r w:rsidRPr="000E17DF">
        <w:rPr>
          <w:bdr w:val="none" w:sz="0" w:space="0" w:color="auto" w:frame="1"/>
        </w:rPr>
        <w:tab/>
      </w:r>
      <w:r w:rsidR="00E819C1" w:rsidRPr="00F13D2D">
        <w:rPr>
          <w:bdr w:val="none" w:sz="0" w:space="0" w:color="auto" w:frame="1"/>
        </w:rPr>
        <w:t>2</w:t>
      </w:r>
      <w:r w:rsidRPr="00F13D2D">
        <w:rPr>
          <w:bdr w:val="none" w:sz="0" w:space="0" w:color="auto" w:frame="1"/>
        </w:rPr>
        <w:t>.</w:t>
      </w:r>
      <w:r w:rsidRPr="00F13D2D">
        <w:rPr>
          <w:bdr w:val="none" w:sz="0" w:space="0" w:color="auto" w:frame="1"/>
        </w:rPr>
        <w:tab/>
      </w:r>
      <w:r w:rsidR="00E819C1" w:rsidRPr="00F13D2D">
        <w:rPr>
          <w:bdr w:val="none" w:sz="0" w:space="0" w:color="auto" w:frame="1"/>
        </w:rPr>
        <w:t>Le droit à une nationalité</w:t>
      </w:r>
      <w:bookmarkEnd w:id="203"/>
      <w:bookmarkEnd w:id="204"/>
    </w:p>
    <w:p w:rsidR="00E819C1" w:rsidRPr="00F13D2D" w:rsidRDefault="0055270C" w:rsidP="0055270C">
      <w:pPr>
        <w:pStyle w:val="SingleTxtG"/>
        <w:rPr>
          <w:rFonts w:eastAsia="Calibri"/>
          <w:lang w:val="fr-FR"/>
        </w:rPr>
      </w:pPr>
      <w:r w:rsidRPr="00F13D2D">
        <w:rPr>
          <w:rFonts w:eastAsia="Calibri"/>
          <w:lang w:val="fr-FR"/>
        </w:rPr>
        <w:t>120.</w:t>
      </w:r>
      <w:r w:rsidRPr="00F13D2D">
        <w:rPr>
          <w:rFonts w:eastAsia="Calibri"/>
          <w:lang w:val="fr-FR"/>
        </w:rPr>
        <w:tab/>
      </w:r>
      <w:r w:rsidR="00E819C1" w:rsidRPr="00F13D2D">
        <w:rPr>
          <w:rFonts w:eastAsia="Calibri"/>
          <w:lang w:val="fr-FR"/>
        </w:rPr>
        <w:t>Dès la naissance, l’enfant a le droit à une nationalité. La nationalité mauritanienne peut être obtenue soit par le</w:t>
      </w:r>
      <w:r w:rsidR="00FC0832">
        <w:rPr>
          <w:rFonts w:eastAsia="Calibri"/>
          <w:lang w:val="fr-FR"/>
        </w:rPr>
        <w:t> :</w:t>
      </w:r>
      <w:r w:rsidR="00E819C1" w:rsidRPr="00F13D2D">
        <w:rPr>
          <w:rFonts w:eastAsia="Calibri"/>
          <w:lang w:val="fr-FR"/>
        </w:rPr>
        <w:t xml:space="preserve"> (i) Droit du sang</w:t>
      </w:r>
      <w:r w:rsidR="00FC0832">
        <w:rPr>
          <w:rFonts w:eastAsia="Calibri"/>
          <w:lang w:val="fr-FR"/>
        </w:rPr>
        <w:t> :</w:t>
      </w:r>
      <w:r w:rsidR="00E819C1" w:rsidRPr="00F13D2D">
        <w:rPr>
          <w:rFonts w:eastAsia="Calibri"/>
          <w:lang w:val="fr-FR"/>
        </w:rPr>
        <w:t xml:space="preserve"> si ses parents sont mauritaniens</w:t>
      </w:r>
      <w:r w:rsidR="00FC0832">
        <w:rPr>
          <w:rFonts w:eastAsia="Calibri"/>
          <w:lang w:val="fr-FR"/>
        </w:rPr>
        <w:t> ;</w:t>
      </w:r>
      <w:r w:rsidR="00E819C1" w:rsidRPr="00F13D2D">
        <w:rPr>
          <w:rFonts w:eastAsia="Calibri"/>
          <w:lang w:val="fr-FR"/>
        </w:rPr>
        <w:t xml:space="preserve"> soit par le (ii) Droit du sol</w:t>
      </w:r>
      <w:r w:rsidR="00FC0832">
        <w:rPr>
          <w:rFonts w:eastAsia="Calibri"/>
          <w:lang w:val="fr-FR"/>
        </w:rPr>
        <w:t> :</w:t>
      </w:r>
      <w:r w:rsidR="00E819C1" w:rsidRPr="00F13D2D">
        <w:rPr>
          <w:rFonts w:eastAsia="Calibri"/>
          <w:lang w:val="fr-FR"/>
        </w:rPr>
        <w:t xml:space="preserve"> s’il est né</w:t>
      </w:r>
      <w:r w:rsidR="006C160E" w:rsidRPr="00F13D2D">
        <w:rPr>
          <w:rFonts w:eastAsia="Calibri"/>
          <w:lang w:val="fr-FR"/>
        </w:rPr>
        <w:t xml:space="preserve"> </w:t>
      </w:r>
      <w:r w:rsidR="00E819C1" w:rsidRPr="00F13D2D">
        <w:rPr>
          <w:rFonts w:eastAsia="Calibri"/>
          <w:lang w:val="fr-FR"/>
        </w:rPr>
        <w:t>sur le territoire mauritanien</w:t>
      </w:r>
      <w:r w:rsidR="006C160E" w:rsidRPr="00F13D2D">
        <w:rPr>
          <w:rFonts w:eastAsia="Calibri"/>
          <w:lang w:val="fr-FR"/>
        </w:rPr>
        <w:t xml:space="preserve"> </w:t>
      </w:r>
      <w:r w:rsidR="00E819C1" w:rsidRPr="00F13D2D">
        <w:rPr>
          <w:rFonts w:eastAsia="Calibri"/>
          <w:lang w:val="fr-FR"/>
        </w:rPr>
        <w:t>même si ses parents ont une autre nationalité. La nationalité s’acquiert au moment de la déclaration de la naissance. Elle est un attribut de la citoyenneté l’enfant.</w:t>
      </w:r>
      <w:r w:rsidR="006C160E" w:rsidRPr="00F13D2D">
        <w:rPr>
          <w:rFonts w:eastAsia="Calibri"/>
          <w:lang w:val="fr-FR"/>
        </w:rPr>
        <w:t xml:space="preserve"> </w:t>
      </w:r>
      <w:r w:rsidR="00E819C1" w:rsidRPr="00F13D2D">
        <w:rPr>
          <w:rFonts w:eastAsia="Calibri"/>
          <w:lang w:val="fr-FR"/>
        </w:rPr>
        <w:t>Est mauritanien l’enfant nouveau-né trouvé en Mauritanie et dont les parents sont inconnus.</w:t>
      </w:r>
      <w:bookmarkStart w:id="205" w:name="_Toc453672939"/>
      <w:bookmarkStart w:id="206" w:name="_Toc454388783"/>
    </w:p>
    <w:p w:rsidR="00E819C1" w:rsidRPr="00AA7A93" w:rsidRDefault="00BE3A4F" w:rsidP="00AA7A93">
      <w:pPr>
        <w:pStyle w:val="H1G"/>
      </w:pPr>
      <w:r w:rsidRPr="000E17DF">
        <w:tab/>
      </w:r>
      <w:r w:rsidR="00E819C1" w:rsidRPr="00E06F1B">
        <w:t>C</w:t>
      </w:r>
      <w:r w:rsidRPr="00AA7A93">
        <w:t>.</w:t>
      </w:r>
      <w:r w:rsidRPr="00AA7A93">
        <w:tab/>
      </w:r>
      <w:r w:rsidR="00E819C1" w:rsidRPr="00AA7A93">
        <w:t>La liberté d’expression (art.</w:t>
      </w:r>
      <w:r w:rsidR="00E1315A">
        <w:t> </w:t>
      </w:r>
      <w:r w:rsidR="00E819C1" w:rsidRPr="00E06F1B">
        <w:t>13)</w:t>
      </w:r>
      <w:bookmarkEnd w:id="205"/>
      <w:bookmarkEnd w:id="206"/>
    </w:p>
    <w:p w:rsidR="00E819C1" w:rsidRPr="00F13D2D" w:rsidRDefault="0055270C" w:rsidP="0055270C">
      <w:pPr>
        <w:pStyle w:val="SingleTxtG"/>
        <w:rPr>
          <w:rFonts w:eastAsia="Calibri"/>
          <w:lang w:val="fr-FR"/>
        </w:rPr>
      </w:pPr>
      <w:r w:rsidRPr="00F13D2D">
        <w:rPr>
          <w:rFonts w:eastAsia="Calibri"/>
          <w:lang w:val="fr-FR"/>
        </w:rPr>
        <w:t>121.</w:t>
      </w:r>
      <w:r w:rsidRPr="00F13D2D">
        <w:rPr>
          <w:rFonts w:eastAsia="Calibri"/>
          <w:lang w:val="fr-FR"/>
        </w:rPr>
        <w:tab/>
      </w:r>
      <w:r w:rsidR="00E819C1" w:rsidRPr="00F13D2D">
        <w:rPr>
          <w:rFonts w:eastAsia="Calibri"/>
          <w:lang w:val="fr-FR"/>
        </w:rPr>
        <w:t>Le Gouvernement a mis en œuvre un programme permettant aux enfants de s</w:t>
      </w:r>
      <w:r w:rsidR="006C160E" w:rsidRPr="00F13D2D">
        <w:rPr>
          <w:rFonts w:eastAsia="Calibri"/>
          <w:lang w:val="fr-FR"/>
        </w:rPr>
        <w:t>’</w:t>
      </w:r>
      <w:r w:rsidR="00E819C1" w:rsidRPr="00F13D2D">
        <w:rPr>
          <w:rFonts w:eastAsia="Calibri"/>
          <w:lang w:val="fr-FR"/>
        </w:rPr>
        <w:t>exprimer librement sur les questions qui les concerne. Il vise également à sensibiliser l</w:t>
      </w:r>
      <w:r w:rsidR="006C160E" w:rsidRPr="00F13D2D">
        <w:rPr>
          <w:rFonts w:eastAsia="Calibri"/>
          <w:lang w:val="fr-FR"/>
        </w:rPr>
        <w:t>’</w:t>
      </w:r>
      <w:r w:rsidR="00E819C1" w:rsidRPr="00F13D2D">
        <w:rPr>
          <w:rFonts w:eastAsia="Calibri"/>
          <w:lang w:val="fr-FR"/>
        </w:rPr>
        <w:t>opinion nationale</w:t>
      </w:r>
      <w:r w:rsidR="006C160E" w:rsidRPr="00F13D2D">
        <w:rPr>
          <w:rFonts w:eastAsia="Calibri"/>
          <w:lang w:val="fr-FR"/>
        </w:rPr>
        <w:t xml:space="preserve"> </w:t>
      </w:r>
      <w:r w:rsidR="00E819C1" w:rsidRPr="00F13D2D">
        <w:rPr>
          <w:rFonts w:eastAsia="Calibri"/>
          <w:lang w:val="fr-FR"/>
        </w:rPr>
        <w:t>sur la nécessité de la participation des enfants qui passe en premier lieu par la liberté d</w:t>
      </w:r>
      <w:r w:rsidR="006C160E" w:rsidRPr="00F13D2D">
        <w:rPr>
          <w:rFonts w:eastAsia="Calibri"/>
          <w:lang w:val="fr-FR"/>
        </w:rPr>
        <w:t>’</w:t>
      </w:r>
      <w:r w:rsidR="00E819C1" w:rsidRPr="00F13D2D">
        <w:rPr>
          <w:rFonts w:eastAsia="Calibri"/>
          <w:lang w:val="fr-FR"/>
        </w:rPr>
        <w:t>expression. (Parlement des enfants, club des jeunes…).</w:t>
      </w:r>
    </w:p>
    <w:p w:rsidR="00E819C1" w:rsidRPr="00AA7A93" w:rsidRDefault="00BE3A4F" w:rsidP="00AA7A93">
      <w:pPr>
        <w:pStyle w:val="H1G"/>
      </w:pPr>
      <w:bookmarkStart w:id="207" w:name="_Toc453672940"/>
      <w:bookmarkStart w:id="208" w:name="_Toc454388784"/>
      <w:r w:rsidRPr="000E17DF">
        <w:tab/>
      </w:r>
      <w:r w:rsidR="00E819C1" w:rsidRPr="00E06F1B">
        <w:t>D</w:t>
      </w:r>
      <w:r w:rsidRPr="00AA7A93">
        <w:t>.</w:t>
      </w:r>
      <w:r w:rsidRPr="00AA7A93">
        <w:tab/>
      </w:r>
      <w:r w:rsidR="00E819C1" w:rsidRPr="00AA7A93">
        <w:t>La liberté de pensée, de conscience et de religion (art.</w:t>
      </w:r>
      <w:r w:rsidR="00E1315A">
        <w:t> </w:t>
      </w:r>
      <w:r w:rsidR="00E819C1" w:rsidRPr="00E06F1B">
        <w:t>14)</w:t>
      </w:r>
      <w:bookmarkEnd w:id="207"/>
      <w:bookmarkEnd w:id="208"/>
    </w:p>
    <w:p w:rsidR="00E819C1" w:rsidRPr="00F13D2D" w:rsidRDefault="0055270C" w:rsidP="0055270C">
      <w:pPr>
        <w:pStyle w:val="SingleTxtG"/>
        <w:rPr>
          <w:rFonts w:eastAsia="Calibri"/>
          <w:lang w:val="fr-FR"/>
        </w:rPr>
      </w:pPr>
      <w:r w:rsidRPr="00F13D2D">
        <w:rPr>
          <w:rFonts w:eastAsia="Calibri"/>
          <w:lang w:val="fr-FR"/>
        </w:rPr>
        <w:t>122.</w:t>
      </w:r>
      <w:r w:rsidRPr="00F13D2D">
        <w:rPr>
          <w:rFonts w:eastAsia="Calibri"/>
          <w:lang w:val="fr-FR"/>
        </w:rPr>
        <w:tab/>
      </w:r>
      <w:r w:rsidR="00E819C1" w:rsidRPr="00F13D2D">
        <w:rPr>
          <w:rFonts w:eastAsia="Calibri"/>
          <w:lang w:val="fr-FR"/>
        </w:rPr>
        <w:t>La Constitution énonce, en son article 5, que l</w:t>
      </w:r>
      <w:r w:rsidR="006C160E" w:rsidRPr="00F13D2D">
        <w:rPr>
          <w:rFonts w:eastAsia="Calibri"/>
          <w:lang w:val="fr-FR"/>
        </w:rPr>
        <w:t>’</w:t>
      </w:r>
      <w:r w:rsidR="00E819C1" w:rsidRPr="00F13D2D">
        <w:rPr>
          <w:rFonts w:eastAsia="Calibri"/>
          <w:lang w:val="fr-FR"/>
        </w:rPr>
        <w:t>Islam est la religion du peuple et de l</w:t>
      </w:r>
      <w:r w:rsidR="006C160E" w:rsidRPr="00F13D2D">
        <w:rPr>
          <w:rFonts w:eastAsia="Calibri"/>
          <w:lang w:val="fr-FR"/>
        </w:rPr>
        <w:t>’</w:t>
      </w:r>
      <w:r w:rsidR="00E819C1" w:rsidRPr="00F13D2D">
        <w:rPr>
          <w:rFonts w:eastAsia="Calibri"/>
          <w:lang w:val="fr-FR"/>
        </w:rPr>
        <w:t>État. La liberté de pensée</w:t>
      </w:r>
      <w:r w:rsidR="006C160E" w:rsidRPr="00F13D2D">
        <w:rPr>
          <w:rFonts w:eastAsia="Calibri"/>
          <w:lang w:val="fr-FR"/>
        </w:rPr>
        <w:t xml:space="preserve"> </w:t>
      </w:r>
      <w:r w:rsidR="00E819C1" w:rsidRPr="00F13D2D">
        <w:rPr>
          <w:rFonts w:eastAsia="Calibri"/>
          <w:lang w:val="fr-FR"/>
        </w:rPr>
        <w:t>est garantie par l</w:t>
      </w:r>
      <w:r w:rsidR="006C160E" w:rsidRPr="00F13D2D">
        <w:rPr>
          <w:rFonts w:eastAsia="Calibri"/>
          <w:lang w:val="fr-FR"/>
        </w:rPr>
        <w:t>’</w:t>
      </w:r>
      <w:r w:rsidR="00E819C1" w:rsidRPr="00F13D2D">
        <w:rPr>
          <w:rFonts w:eastAsia="Calibri"/>
          <w:lang w:val="fr-FR"/>
        </w:rPr>
        <w:t>article 10 de la Constitution. Les enfants étrangers non musulmans pratiquent librement leur religion.</w:t>
      </w:r>
    </w:p>
    <w:p w:rsidR="00E819C1" w:rsidRPr="00AA7A93" w:rsidRDefault="00BE3A4F" w:rsidP="00AA7A93">
      <w:pPr>
        <w:pStyle w:val="H1G"/>
      </w:pPr>
      <w:bookmarkStart w:id="209" w:name="_Toc453672941"/>
      <w:bookmarkStart w:id="210" w:name="_Toc454388785"/>
      <w:r w:rsidRPr="000E17DF">
        <w:tab/>
      </w:r>
      <w:r w:rsidR="00E819C1" w:rsidRPr="00E06F1B">
        <w:t>E</w:t>
      </w:r>
      <w:r w:rsidRPr="00AA7A93">
        <w:t>.</w:t>
      </w:r>
      <w:r w:rsidRPr="00AA7A93">
        <w:tab/>
      </w:r>
      <w:r w:rsidR="00E819C1" w:rsidRPr="00AA7A93">
        <w:t>La liberté d’association et de réunion pacifique (art.</w:t>
      </w:r>
      <w:r w:rsidR="00E1315A">
        <w:t> </w:t>
      </w:r>
      <w:r w:rsidR="00E819C1" w:rsidRPr="00E06F1B">
        <w:t>15)</w:t>
      </w:r>
      <w:bookmarkEnd w:id="209"/>
      <w:bookmarkEnd w:id="210"/>
    </w:p>
    <w:p w:rsidR="00E819C1" w:rsidRPr="00F13D2D" w:rsidRDefault="0055270C" w:rsidP="0055270C">
      <w:pPr>
        <w:pStyle w:val="SingleTxtG"/>
        <w:rPr>
          <w:rFonts w:eastAsia="Calibri"/>
          <w:lang w:val="fr-FR"/>
        </w:rPr>
      </w:pPr>
      <w:r w:rsidRPr="00F13D2D">
        <w:rPr>
          <w:rFonts w:eastAsia="Calibri"/>
          <w:lang w:val="fr-FR"/>
        </w:rPr>
        <w:t>123.</w:t>
      </w:r>
      <w:r w:rsidRPr="00F13D2D">
        <w:rPr>
          <w:rFonts w:eastAsia="Calibri"/>
          <w:lang w:val="fr-FR"/>
        </w:rPr>
        <w:tab/>
      </w:r>
      <w:r w:rsidR="00E819C1" w:rsidRPr="00F13D2D">
        <w:rPr>
          <w:rFonts w:eastAsia="Calibri"/>
          <w:lang w:val="fr-FR"/>
        </w:rPr>
        <w:t>La liberté d’association et de réunion pacifique est consacrée par le corpus juridique. L</w:t>
      </w:r>
      <w:r w:rsidR="006C160E" w:rsidRPr="00F13D2D">
        <w:rPr>
          <w:rFonts w:eastAsia="Calibri"/>
          <w:lang w:val="fr-FR"/>
        </w:rPr>
        <w:t>’</w:t>
      </w:r>
      <w:r w:rsidR="00E819C1" w:rsidRPr="00F13D2D">
        <w:rPr>
          <w:rFonts w:eastAsia="Calibri"/>
          <w:lang w:val="fr-FR"/>
        </w:rPr>
        <w:t>article 10 de la Constitution garantit la liberté d</w:t>
      </w:r>
      <w:r w:rsidR="006C160E" w:rsidRPr="00F13D2D">
        <w:rPr>
          <w:rFonts w:eastAsia="Calibri"/>
          <w:lang w:val="fr-FR"/>
        </w:rPr>
        <w:t>’</w:t>
      </w:r>
      <w:r w:rsidR="00E819C1" w:rsidRPr="00F13D2D">
        <w:rPr>
          <w:rFonts w:eastAsia="Calibri"/>
          <w:lang w:val="fr-FR"/>
        </w:rPr>
        <w:t>association et de réunion dans le cadre de la loi. Cette disposition s</w:t>
      </w:r>
      <w:r w:rsidR="006C160E" w:rsidRPr="00F13D2D">
        <w:rPr>
          <w:rFonts w:eastAsia="Calibri"/>
          <w:lang w:val="fr-FR"/>
        </w:rPr>
        <w:t>’</w:t>
      </w:r>
      <w:r w:rsidR="00E819C1" w:rsidRPr="00F13D2D">
        <w:rPr>
          <w:rFonts w:eastAsia="Calibri"/>
          <w:lang w:val="fr-FR"/>
        </w:rPr>
        <w:t>applique</w:t>
      </w:r>
      <w:r w:rsidR="006C160E" w:rsidRPr="00F13D2D">
        <w:rPr>
          <w:rFonts w:eastAsia="Calibri"/>
          <w:lang w:val="fr-FR"/>
        </w:rPr>
        <w:t xml:space="preserve"> </w:t>
      </w:r>
      <w:r w:rsidR="00E819C1" w:rsidRPr="00F13D2D">
        <w:rPr>
          <w:rFonts w:eastAsia="Calibri"/>
          <w:lang w:val="fr-FR"/>
        </w:rPr>
        <w:t xml:space="preserve">aux enfants. Il existe plusieurs mouvements de jeunes (scouts, colonies de vacance, clubs, et même </w:t>
      </w:r>
      <w:r w:rsidR="006C160E" w:rsidRPr="00F13D2D">
        <w:rPr>
          <w:rFonts w:eastAsia="Calibri"/>
          <w:lang w:val="fr-FR"/>
        </w:rPr>
        <w:t>« </w:t>
      </w:r>
      <w:r w:rsidR="00E819C1" w:rsidRPr="00F13D2D">
        <w:rPr>
          <w:rFonts w:eastAsia="Calibri"/>
          <w:lang w:val="fr-FR"/>
        </w:rPr>
        <w:t>groupes d</w:t>
      </w:r>
      <w:r w:rsidR="006C160E" w:rsidRPr="00F13D2D">
        <w:rPr>
          <w:rFonts w:eastAsia="Calibri"/>
          <w:lang w:val="fr-FR"/>
        </w:rPr>
        <w:t>’</w:t>
      </w:r>
      <w:r w:rsidR="00E819C1" w:rsidRPr="00F13D2D">
        <w:rPr>
          <w:rFonts w:eastAsia="Calibri"/>
          <w:lang w:val="fr-FR"/>
        </w:rPr>
        <w:t>âges</w:t>
      </w:r>
      <w:r w:rsidR="006C160E" w:rsidRPr="00F13D2D">
        <w:rPr>
          <w:rFonts w:eastAsia="Calibri"/>
          <w:lang w:val="fr-FR"/>
        </w:rPr>
        <w:t> »</w:t>
      </w:r>
      <w:r w:rsidR="00E819C1" w:rsidRPr="00F13D2D">
        <w:rPr>
          <w:rFonts w:eastAsia="Calibri"/>
          <w:lang w:val="fr-FR"/>
        </w:rPr>
        <w:t>) qui constituent des cadres</w:t>
      </w:r>
      <w:r w:rsidR="006C160E" w:rsidRPr="00F13D2D">
        <w:rPr>
          <w:rFonts w:eastAsia="Calibri"/>
          <w:lang w:val="fr-FR"/>
        </w:rPr>
        <w:t xml:space="preserve"> </w:t>
      </w:r>
      <w:r w:rsidR="00E819C1" w:rsidRPr="00F13D2D">
        <w:rPr>
          <w:rFonts w:eastAsia="Calibri"/>
          <w:lang w:val="fr-FR"/>
        </w:rPr>
        <w:t>d</w:t>
      </w:r>
      <w:r w:rsidR="006C160E" w:rsidRPr="00F13D2D">
        <w:rPr>
          <w:rFonts w:eastAsia="Calibri"/>
          <w:lang w:val="fr-FR"/>
        </w:rPr>
        <w:t>’</w:t>
      </w:r>
      <w:r w:rsidR="00E819C1" w:rsidRPr="00F13D2D">
        <w:rPr>
          <w:rFonts w:eastAsia="Calibri"/>
          <w:lang w:val="fr-FR"/>
        </w:rPr>
        <w:t>émancipation des enfants et des jeunes. Dans les établissements secondaires existent des associations culturelles et sportives pour enfants et jeunes.</w:t>
      </w:r>
    </w:p>
    <w:p w:rsidR="00E819C1" w:rsidRPr="00AA7A93" w:rsidRDefault="00BE3A4F" w:rsidP="00AA7A93">
      <w:pPr>
        <w:pStyle w:val="H1G"/>
      </w:pPr>
      <w:bookmarkStart w:id="211" w:name="_Toc453672942"/>
      <w:bookmarkStart w:id="212" w:name="_Toc454388786"/>
      <w:r w:rsidRPr="000E17DF">
        <w:lastRenderedPageBreak/>
        <w:tab/>
      </w:r>
      <w:r w:rsidR="00E819C1" w:rsidRPr="00E06F1B">
        <w:t>F</w:t>
      </w:r>
      <w:r w:rsidRPr="00AA7A93">
        <w:t>.</w:t>
      </w:r>
      <w:r w:rsidRPr="00AA7A93">
        <w:tab/>
      </w:r>
      <w:r w:rsidR="00E819C1" w:rsidRPr="00AA7A93">
        <w:t>La protection de la vie privée (art.</w:t>
      </w:r>
      <w:r w:rsidR="00E1315A">
        <w:t> </w:t>
      </w:r>
      <w:r w:rsidR="00E819C1" w:rsidRPr="00E06F1B">
        <w:t>16)</w:t>
      </w:r>
      <w:bookmarkEnd w:id="211"/>
      <w:bookmarkEnd w:id="212"/>
    </w:p>
    <w:p w:rsidR="00E819C1" w:rsidRPr="00F13D2D" w:rsidRDefault="0055270C" w:rsidP="0055270C">
      <w:pPr>
        <w:pStyle w:val="SingleTxtG"/>
        <w:rPr>
          <w:rFonts w:eastAsia="Calibri"/>
          <w:lang w:val="fr-FR"/>
        </w:rPr>
      </w:pPr>
      <w:r w:rsidRPr="00F13D2D">
        <w:rPr>
          <w:rFonts w:eastAsia="Calibri"/>
          <w:lang w:val="fr-FR"/>
        </w:rPr>
        <w:t>124.</w:t>
      </w:r>
      <w:r w:rsidRPr="00F13D2D">
        <w:rPr>
          <w:rFonts w:eastAsia="Calibri"/>
          <w:lang w:val="fr-FR"/>
        </w:rPr>
        <w:tab/>
      </w:r>
      <w:r w:rsidR="00DB182A" w:rsidRPr="00F13D2D">
        <w:rPr>
          <w:rFonts w:eastAsia="Calibri"/>
          <w:lang w:val="fr-FR"/>
        </w:rPr>
        <w:t>L’</w:t>
      </w:r>
      <w:r w:rsidR="00E819C1" w:rsidRPr="00F13D2D">
        <w:rPr>
          <w:rFonts w:eastAsia="Calibri"/>
          <w:lang w:val="fr-FR"/>
        </w:rPr>
        <w:t>OPPE « punit de deux à six mois d</w:t>
      </w:r>
      <w:r w:rsidR="006C160E" w:rsidRPr="00F13D2D">
        <w:rPr>
          <w:rFonts w:eastAsia="Calibri"/>
          <w:lang w:val="fr-FR"/>
        </w:rPr>
        <w:t>’</w:t>
      </w:r>
      <w:r w:rsidR="00E819C1" w:rsidRPr="00F13D2D">
        <w:rPr>
          <w:rFonts w:eastAsia="Calibri"/>
          <w:lang w:val="fr-FR"/>
        </w:rPr>
        <w:t>emprisonnement et de 160</w:t>
      </w:r>
      <w:r w:rsidR="00CB1C37">
        <w:rPr>
          <w:rFonts w:eastAsia="Calibri"/>
          <w:lang w:val="fr-FR"/>
        </w:rPr>
        <w:t> </w:t>
      </w:r>
      <w:r w:rsidR="00E819C1" w:rsidRPr="00F13D2D">
        <w:rPr>
          <w:rFonts w:eastAsia="Calibri"/>
          <w:lang w:val="fr-FR"/>
        </w:rPr>
        <w:t>000 à 300</w:t>
      </w:r>
      <w:r w:rsidR="00CB1C37">
        <w:rPr>
          <w:rFonts w:eastAsia="Calibri"/>
          <w:lang w:val="fr-FR"/>
        </w:rPr>
        <w:t> </w:t>
      </w:r>
      <w:r w:rsidR="00E819C1" w:rsidRPr="00F13D2D">
        <w:rPr>
          <w:rFonts w:eastAsia="Calibri"/>
          <w:lang w:val="fr-FR"/>
        </w:rPr>
        <w:t>000 ouguiyas d</w:t>
      </w:r>
      <w:r w:rsidR="006C160E" w:rsidRPr="00F13D2D">
        <w:rPr>
          <w:rFonts w:eastAsia="Calibri"/>
          <w:lang w:val="fr-FR"/>
        </w:rPr>
        <w:t>’</w:t>
      </w:r>
      <w:r w:rsidR="00E819C1" w:rsidRPr="00F13D2D">
        <w:rPr>
          <w:rFonts w:eastAsia="Calibri"/>
          <w:lang w:val="fr-FR"/>
        </w:rPr>
        <w:t>amende le fait de porter volontairement atteinte à l</w:t>
      </w:r>
      <w:r w:rsidR="006C160E" w:rsidRPr="00F13D2D">
        <w:rPr>
          <w:rFonts w:eastAsia="Calibri"/>
          <w:lang w:val="fr-FR"/>
        </w:rPr>
        <w:t>’</w:t>
      </w:r>
      <w:r w:rsidR="00E819C1" w:rsidRPr="00F13D2D">
        <w:rPr>
          <w:rFonts w:eastAsia="Calibri"/>
          <w:lang w:val="fr-FR"/>
        </w:rPr>
        <w:t>intimité de la vie privée d</w:t>
      </w:r>
      <w:r w:rsidR="006C160E" w:rsidRPr="00F13D2D">
        <w:rPr>
          <w:rFonts w:eastAsia="Calibri"/>
          <w:lang w:val="fr-FR"/>
        </w:rPr>
        <w:t>’</w:t>
      </w:r>
      <w:r w:rsidR="00E819C1" w:rsidRPr="00F13D2D">
        <w:rPr>
          <w:rFonts w:eastAsia="Calibri"/>
          <w:lang w:val="fr-FR"/>
        </w:rPr>
        <w:t>un enfant, au moyen d</w:t>
      </w:r>
      <w:r w:rsidR="006C160E" w:rsidRPr="00F13D2D">
        <w:rPr>
          <w:rFonts w:eastAsia="Calibri"/>
          <w:lang w:val="fr-FR"/>
        </w:rPr>
        <w:t>’</w:t>
      </w:r>
      <w:r w:rsidR="00E819C1" w:rsidRPr="00F13D2D">
        <w:rPr>
          <w:rFonts w:eastAsia="Calibri"/>
          <w:lang w:val="fr-FR"/>
        </w:rPr>
        <w:t>un procédé quelconque</w:t>
      </w:r>
      <w:r w:rsidR="00361CD3">
        <w:rPr>
          <w:rFonts w:eastAsia="Calibri"/>
          <w:lang w:val="fr-FR"/>
        </w:rPr>
        <w:t> »</w:t>
      </w:r>
      <w:r w:rsidR="00361CD3" w:rsidRPr="00F13D2D">
        <w:rPr>
          <w:rFonts w:eastAsia="Calibri"/>
          <w:lang w:val="fr-FR"/>
        </w:rPr>
        <w:t>.</w:t>
      </w:r>
    </w:p>
    <w:p w:rsidR="00E819C1" w:rsidRPr="00AA7A93" w:rsidRDefault="00BE3A4F" w:rsidP="00AA7A93">
      <w:pPr>
        <w:pStyle w:val="H1G"/>
        <w:rPr>
          <w:rFonts w:eastAsia="Calibri"/>
          <w:lang w:val="fr-FR"/>
        </w:rPr>
      </w:pPr>
      <w:bookmarkStart w:id="213" w:name="_Toc453672943"/>
      <w:r w:rsidRPr="000E17DF">
        <w:rPr>
          <w:rFonts w:eastAsia="Calibri"/>
          <w:lang w:val="fr-FR"/>
        </w:rPr>
        <w:tab/>
      </w:r>
      <w:r w:rsidR="00E819C1" w:rsidRPr="00E06F1B">
        <w:rPr>
          <w:rFonts w:eastAsia="Calibri"/>
          <w:lang w:val="fr-FR"/>
        </w:rPr>
        <w:t>G</w:t>
      </w:r>
      <w:r w:rsidRPr="00AA7A93">
        <w:rPr>
          <w:rFonts w:eastAsia="Calibri"/>
          <w:lang w:val="fr-FR"/>
        </w:rPr>
        <w:t>.</w:t>
      </w:r>
      <w:r w:rsidRPr="00AA7A93">
        <w:rPr>
          <w:rFonts w:eastAsia="Calibri"/>
          <w:lang w:val="fr-FR"/>
        </w:rPr>
        <w:tab/>
      </w:r>
      <w:r w:rsidR="00E819C1" w:rsidRPr="00AA7A93">
        <w:rPr>
          <w:rFonts w:eastAsia="Calibri"/>
          <w:lang w:val="fr-FR"/>
        </w:rPr>
        <w:t>L’accès à une information appropriée (art.</w:t>
      </w:r>
      <w:r w:rsidR="00E1315A">
        <w:rPr>
          <w:rFonts w:eastAsia="Calibri"/>
          <w:lang w:val="fr-FR"/>
        </w:rPr>
        <w:t> </w:t>
      </w:r>
      <w:r w:rsidR="00E819C1" w:rsidRPr="00E06F1B">
        <w:rPr>
          <w:rFonts w:eastAsia="Calibri"/>
          <w:lang w:val="fr-FR"/>
        </w:rPr>
        <w:t>17)</w:t>
      </w:r>
      <w:bookmarkEnd w:id="213"/>
    </w:p>
    <w:p w:rsidR="00E819C1" w:rsidRPr="00F13D2D" w:rsidRDefault="0055270C" w:rsidP="0055270C">
      <w:pPr>
        <w:pStyle w:val="SingleTxtG"/>
        <w:rPr>
          <w:rFonts w:eastAsia="Calibri"/>
          <w:lang w:val="fr-FR"/>
        </w:rPr>
      </w:pPr>
      <w:r w:rsidRPr="00F13D2D">
        <w:rPr>
          <w:rFonts w:eastAsia="Calibri"/>
          <w:lang w:val="fr-FR"/>
        </w:rPr>
        <w:t>125.</w:t>
      </w:r>
      <w:r w:rsidRPr="00F13D2D">
        <w:rPr>
          <w:rFonts w:eastAsia="Calibri"/>
          <w:lang w:val="fr-FR"/>
        </w:rPr>
        <w:tab/>
      </w:r>
      <w:r w:rsidR="00490D6F" w:rsidRPr="00F13D2D">
        <w:rPr>
          <w:rFonts w:eastAsia="Calibri"/>
          <w:lang w:val="fr-FR"/>
        </w:rPr>
        <w:t xml:space="preserve">L’ordonnance </w:t>
      </w:r>
      <w:r w:rsidR="00E819C1" w:rsidRPr="00F13D2D">
        <w:rPr>
          <w:rFonts w:eastAsia="Calibri"/>
          <w:lang w:val="fr-FR"/>
        </w:rPr>
        <w:t>sur la liberté de la presse garantit à l</w:t>
      </w:r>
      <w:r w:rsidR="006C160E" w:rsidRPr="00F13D2D">
        <w:rPr>
          <w:rFonts w:eastAsia="Calibri"/>
          <w:lang w:val="fr-FR"/>
        </w:rPr>
        <w:t>’</w:t>
      </w:r>
      <w:r w:rsidR="00E819C1" w:rsidRPr="00F13D2D">
        <w:rPr>
          <w:rFonts w:eastAsia="Calibri"/>
          <w:lang w:val="fr-FR"/>
        </w:rPr>
        <w:t>enfant l</w:t>
      </w:r>
      <w:r w:rsidR="006C160E" w:rsidRPr="00F13D2D">
        <w:rPr>
          <w:rFonts w:eastAsia="Calibri"/>
          <w:lang w:val="fr-FR"/>
        </w:rPr>
        <w:t>’</w:t>
      </w:r>
      <w:r w:rsidR="00E819C1" w:rsidRPr="00F13D2D">
        <w:rPr>
          <w:rFonts w:eastAsia="Calibri"/>
          <w:lang w:val="fr-FR"/>
        </w:rPr>
        <w:t>accès à une information appropriée. Un organe indépendant de régulation de la presse et de l’</w:t>
      </w:r>
      <w:proofErr w:type="spellStart"/>
      <w:r w:rsidR="00E819C1" w:rsidRPr="00F13D2D">
        <w:rPr>
          <w:rFonts w:eastAsia="Calibri"/>
          <w:lang w:val="fr-FR"/>
        </w:rPr>
        <w:t>audiovisuel</w:t>
      </w:r>
      <w:proofErr w:type="spellEnd"/>
      <w:r w:rsidR="00E819C1" w:rsidRPr="00F13D2D">
        <w:rPr>
          <w:rFonts w:eastAsia="Calibri"/>
          <w:lang w:val="fr-FR"/>
        </w:rPr>
        <w:t xml:space="preserve"> dénommé Haute Autorité de la Presse et de l’</w:t>
      </w:r>
      <w:proofErr w:type="spellStart"/>
      <w:r w:rsidR="00E819C1" w:rsidRPr="00F13D2D">
        <w:rPr>
          <w:rFonts w:eastAsia="Calibri"/>
          <w:lang w:val="fr-FR"/>
        </w:rPr>
        <w:t>Audiovisuel</w:t>
      </w:r>
      <w:proofErr w:type="spellEnd"/>
      <w:r w:rsidR="00E819C1" w:rsidRPr="00F13D2D">
        <w:rPr>
          <w:rFonts w:eastAsia="Calibri"/>
          <w:lang w:val="fr-FR"/>
        </w:rPr>
        <w:t xml:space="preserve"> (HAPA) veille à ce que les principes d’éducation contenus dans la loi sur la presse soient respectés. </w:t>
      </w:r>
    </w:p>
    <w:p w:rsidR="00E819C1" w:rsidRPr="00F13D2D" w:rsidRDefault="00BE3A4F" w:rsidP="00AA7A93">
      <w:pPr>
        <w:pStyle w:val="H1G"/>
        <w:rPr>
          <w:color w:val="000000"/>
          <w:sz w:val="27"/>
          <w:szCs w:val="27"/>
        </w:rPr>
      </w:pPr>
      <w:bookmarkStart w:id="214" w:name="_Toc453672944"/>
      <w:bookmarkStart w:id="215" w:name="_Toc454386605"/>
      <w:bookmarkStart w:id="216" w:name="_Toc454386674"/>
      <w:bookmarkStart w:id="217" w:name="_Toc454388787"/>
      <w:r w:rsidRPr="000E17DF">
        <w:rPr>
          <w:rFonts w:eastAsia="Calibri"/>
        </w:rPr>
        <w:tab/>
        <w:t>H.</w:t>
      </w:r>
      <w:r w:rsidRPr="000E17DF">
        <w:rPr>
          <w:rFonts w:eastAsia="Calibri"/>
        </w:rPr>
        <w:tab/>
      </w:r>
      <w:r w:rsidR="00E819C1" w:rsidRPr="00E06F1B">
        <w:rPr>
          <w:rFonts w:eastAsia="Calibri"/>
        </w:rPr>
        <w:t>Le droit de ne pas être soumis à la torture ni à des peines ou traitements cruels, inhumains ou dégradants y compris les châtiments corporels</w:t>
      </w:r>
      <w:bookmarkEnd w:id="214"/>
      <w:bookmarkEnd w:id="215"/>
      <w:bookmarkEnd w:id="216"/>
      <w:r w:rsidR="00E819C1" w:rsidRPr="00F13D2D">
        <w:rPr>
          <w:color w:val="000000"/>
          <w:sz w:val="27"/>
          <w:szCs w:val="27"/>
        </w:rPr>
        <w:t xml:space="preserve"> </w:t>
      </w:r>
      <w:r w:rsidR="00E819C1" w:rsidRPr="000E17DF">
        <w:rPr>
          <w:color w:val="000000"/>
        </w:rPr>
        <w:t>(art.</w:t>
      </w:r>
      <w:r w:rsidR="00E1315A">
        <w:rPr>
          <w:color w:val="000000"/>
        </w:rPr>
        <w:t> </w:t>
      </w:r>
      <w:r w:rsidR="00E819C1" w:rsidRPr="00E06F1B">
        <w:rPr>
          <w:color w:val="000000"/>
        </w:rPr>
        <w:t>37</w:t>
      </w:r>
      <w:bookmarkEnd w:id="217"/>
      <w:r w:rsidR="00E819C1" w:rsidRPr="00E06F1B">
        <w:rPr>
          <w:color w:val="000000"/>
        </w:rPr>
        <w:t>)</w:t>
      </w:r>
      <w:r w:rsidR="00E819C1" w:rsidRPr="00F13D2D">
        <w:rPr>
          <w:color w:val="000000"/>
          <w:sz w:val="27"/>
          <w:szCs w:val="27"/>
        </w:rPr>
        <w:t xml:space="preserve"> </w:t>
      </w:r>
    </w:p>
    <w:p w:rsidR="00E819C1" w:rsidRPr="00F13D2D" w:rsidRDefault="0055270C" w:rsidP="0055270C">
      <w:pPr>
        <w:pStyle w:val="SingleTxtG"/>
        <w:rPr>
          <w:rFonts w:eastAsia="Calibri"/>
          <w:lang w:val="fr-FR"/>
        </w:rPr>
      </w:pPr>
      <w:r w:rsidRPr="00F13D2D">
        <w:rPr>
          <w:rFonts w:eastAsia="Calibri"/>
          <w:lang w:val="fr-FR"/>
        </w:rPr>
        <w:t>126.</w:t>
      </w:r>
      <w:r w:rsidRPr="00F13D2D">
        <w:rPr>
          <w:rFonts w:eastAsia="Calibri"/>
          <w:lang w:val="fr-FR"/>
        </w:rPr>
        <w:tab/>
      </w:r>
      <w:r w:rsidR="00E819C1" w:rsidRPr="00F13D2D">
        <w:rPr>
          <w:rFonts w:eastAsia="Calibri"/>
          <w:lang w:val="fr-FR"/>
        </w:rPr>
        <w:t>La torture est qualifiée</w:t>
      </w:r>
      <w:r w:rsidR="006C160E" w:rsidRPr="00F13D2D">
        <w:rPr>
          <w:rFonts w:eastAsia="Calibri"/>
          <w:lang w:val="fr-FR"/>
        </w:rPr>
        <w:t xml:space="preserve"> </w:t>
      </w:r>
      <w:r w:rsidR="00E819C1" w:rsidRPr="00F13D2D">
        <w:rPr>
          <w:rFonts w:eastAsia="Calibri"/>
          <w:lang w:val="fr-FR"/>
        </w:rPr>
        <w:t xml:space="preserve">de crime contre l’humanité par la loi. </w:t>
      </w:r>
      <w:r w:rsidR="000E4C19">
        <w:rPr>
          <w:rFonts w:eastAsia="Calibri"/>
          <w:lang w:val="fr-FR"/>
        </w:rPr>
        <w:t>À</w:t>
      </w:r>
      <w:r w:rsidR="00E819C1" w:rsidRPr="00F13D2D">
        <w:rPr>
          <w:rFonts w:eastAsia="Calibri"/>
          <w:lang w:val="fr-FR"/>
        </w:rPr>
        <w:t xml:space="preserve"> cet effet, un mécanisme national de prévention de la torture a été mis en place. La loi dispose que le fait de soumettre un enfant à des tortures ou à des actes de barbarie est puni de six ans de réclusion criminelle. Elle punit de quinze ans de réclusion criminelle l</w:t>
      </w:r>
      <w:r w:rsidR="006C160E" w:rsidRPr="00F13D2D">
        <w:rPr>
          <w:rFonts w:eastAsia="Calibri"/>
          <w:lang w:val="fr-FR"/>
        </w:rPr>
        <w:t>’</w:t>
      </w:r>
      <w:r w:rsidR="00E819C1" w:rsidRPr="00F13D2D">
        <w:rPr>
          <w:rFonts w:eastAsia="Calibri"/>
          <w:lang w:val="fr-FR"/>
        </w:rPr>
        <w:t>auteur de la torture lorsqu</w:t>
      </w:r>
      <w:r w:rsidR="006C160E" w:rsidRPr="00F13D2D">
        <w:rPr>
          <w:rFonts w:eastAsia="Calibri"/>
          <w:lang w:val="fr-FR"/>
        </w:rPr>
        <w:t>’</w:t>
      </w:r>
      <w:r w:rsidR="00E819C1" w:rsidRPr="00F13D2D">
        <w:rPr>
          <w:rFonts w:eastAsia="Calibri"/>
          <w:lang w:val="fr-FR"/>
        </w:rPr>
        <w:t>elle est commise de manière habituelle sur un enfant ou qu’elle a entraîné des séquelles, une mutilation ou une infirmité permanente. Elle le punit de la réclusion criminelle à perpétuité lorsque la torture a entraîné la mort de l</w:t>
      </w:r>
      <w:r w:rsidR="006C160E" w:rsidRPr="00F13D2D">
        <w:rPr>
          <w:rFonts w:eastAsia="Calibri"/>
          <w:lang w:val="fr-FR"/>
        </w:rPr>
        <w:t>’</w:t>
      </w:r>
      <w:r w:rsidR="00E819C1" w:rsidRPr="00F13D2D">
        <w:rPr>
          <w:rFonts w:eastAsia="Calibri"/>
          <w:lang w:val="fr-FR"/>
        </w:rPr>
        <w:t>enfant sans intention de la donner.</w:t>
      </w:r>
    </w:p>
    <w:p w:rsidR="00E819C1" w:rsidRPr="00F13D2D" w:rsidRDefault="00BE3A4F" w:rsidP="00BE3A4F">
      <w:pPr>
        <w:pStyle w:val="H1G"/>
      </w:pPr>
      <w:bookmarkStart w:id="218" w:name="_Toc453672945"/>
      <w:bookmarkStart w:id="219" w:name="_Toc454386606"/>
      <w:bookmarkStart w:id="220" w:name="_Toc454386675"/>
      <w:bookmarkStart w:id="221" w:name="_Toc454388788"/>
      <w:r w:rsidRPr="00F13D2D">
        <w:tab/>
      </w:r>
      <w:r w:rsidRPr="00F13D2D">
        <w:tab/>
      </w:r>
      <w:r w:rsidR="00E819C1" w:rsidRPr="00F13D2D">
        <w:t>Cinquième sous</w:t>
      </w:r>
      <w:r w:rsidR="00A620CC">
        <w:t>-</w:t>
      </w:r>
      <w:r w:rsidR="00E819C1" w:rsidRPr="00F13D2D">
        <w:t>partie</w:t>
      </w:r>
      <w:r w:rsidR="00FC0832">
        <w:t> :</w:t>
      </w:r>
      <w:r w:rsidR="00E819C1" w:rsidRPr="00F13D2D">
        <w:t xml:space="preserve"> </w:t>
      </w:r>
      <w:r w:rsidR="00A620CC" w:rsidRPr="00F13D2D">
        <w:t xml:space="preserve">Milieu </w:t>
      </w:r>
      <w:r w:rsidR="00E819C1" w:rsidRPr="00F13D2D">
        <w:t>familial et protection de remplacement</w:t>
      </w:r>
      <w:bookmarkEnd w:id="218"/>
      <w:bookmarkEnd w:id="219"/>
      <w:bookmarkEnd w:id="220"/>
      <w:bookmarkEnd w:id="221"/>
      <w:r w:rsidR="006C160E" w:rsidRPr="00F13D2D">
        <w:t xml:space="preserve"> </w:t>
      </w:r>
    </w:p>
    <w:p w:rsidR="00E819C1" w:rsidRPr="00AA7A93" w:rsidRDefault="00BE3A4F" w:rsidP="00AA7A93">
      <w:pPr>
        <w:pStyle w:val="H1G"/>
      </w:pPr>
      <w:bookmarkStart w:id="222" w:name="_Toc453672946"/>
      <w:bookmarkStart w:id="223" w:name="_Toc454388789"/>
      <w:r w:rsidRPr="000E17DF">
        <w:tab/>
        <w:t>A.</w:t>
      </w:r>
      <w:r w:rsidRPr="000E17DF">
        <w:tab/>
      </w:r>
      <w:r w:rsidR="00E819C1" w:rsidRPr="00E06F1B">
        <w:t>Orientation parentale (art.</w:t>
      </w:r>
      <w:r w:rsidR="00E1315A">
        <w:t> </w:t>
      </w:r>
      <w:r w:rsidR="00E819C1" w:rsidRPr="00E06F1B">
        <w:t>5)</w:t>
      </w:r>
      <w:bookmarkEnd w:id="222"/>
      <w:bookmarkEnd w:id="223"/>
    </w:p>
    <w:p w:rsidR="00E819C1" w:rsidRPr="00F13D2D" w:rsidRDefault="0055270C" w:rsidP="0055270C">
      <w:pPr>
        <w:pStyle w:val="SingleTxtG"/>
        <w:rPr>
          <w:rFonts w:eastAsia="Calibri"/>
          <w:lang w:val="fr-FR"/>
        </w:rPr>
      </w:pPr>
      <w:r w:rsidRPr="00F13D2D">
        <w:rPr>
          <w:rFonts w:eastAsia="Calibri"/>
          <w:lang w:val="fr-FR"/>
        </w:rPr>
        <w:t>127.</w:t>
      </w:r>
      <w:r w:rsidRPr="00F13D2D">
        <w:rPr>
          <w:rFonts w:eastAsia="Calibri"/>
          <w:lang w:val="fr-FR"/>
        </w:rPr>
        <w:tab/>
      </w:r>
      <w:r w:rsidR="00E819C1" w:rsidRPr="00F13D2D">
        <w:rPr>
          <w:rFonts w:eastAsia="Calibri"/>
          <w:lang w:val="fr-FR"/>
        </w:rPr>
        <w:t>Le cadre légal</w:t>
      </w:r>
      <w:r w:rsidR="006C160E" w:rsidRPr="00F13D2D">
        <w:rPr>
          <w:rFonts w:eastAsia="Calibri"/>
          <w:lang w:val="fr-FR"/>
        </w:rPr>
        <w:t xml:space="preserve"> </w:t>
      </w:r>
      <w:r w:rsidR="00E819C1" w:rsidRPr="00F13D2D">
        <w:rPr>
          <w:rFonts w:eastAsia="Calibri"/>
          <w:lang w:val="fr-FR"/>
        </w:rPr>
        <w:t>garantit le respect des droits et des devoirs parentaux en matière d’orientation de l’enfant et de fourniture des conseils appropriés à l’exercice de</w:t>
      </w:r>
      <w:r w:rsidR="006C160E" w:rsidRPr="00F13D2D">
        <w:rPr>
          <w:rFonts w:eastAsia="Calibri"/>
          <w:lang w:val="fr-FR"/>
        </w:rPr>
        <w:t xml:space="preserve"> </w:t>
      </w:r>
      <w:r w:rsidR="00E819C1" w:rsidRPr="00F13D2D">
        <w:rPr>
          <w:rFonts w:eastAsia="Calibri"/>
          <w:lang w:val="fr-FR"/>
        </w:rPr>
        <w:t>ses droits qui ne sont pas contraires au droit musulman.</w:t>
      </w:r>
      <w:r w:rsidR="006C160E" w:rsidRPr="00F13D2D">
        <w:rPr>
          <w:rFonts w:eastAsia="Calibri"/>
          <w:lang w:val="fr-FR"/>
        </w:rPr>
        <w:t xml:space="preserve"> </w:t>
      </w:r>
      <w:r w:rsidR="00E819C1" w:rsidRPr="00F13D2D">
        <w:rPr>
          <w:rFonts w:eastAsia="Calibri"/>
          <w:lang w:val="fr-FR"/>
        </w:rPr>
        <w:t xml:space="preserve">La </w:t>
      </w:r>
      <w:r w:rsidR="00D20B03" w:rsidRPr="00F13D2D">
        <w:rPr>
          <w:rFonts w:eastAsia="Calibri"/>
          <w:lang w:val="fr-FR"/>
        </w:rPr>
        <w:t xml:space="preserve">Constitution </w:t>
      </w:r>
      <w:r w:rsidR="00E819C1" w:rsidRPr="00F13D2D">
        <w:rPr>
          <w:rFonts w:eastAsia="Calibri"/>
          <w:lang w:val="fr-FR"/>
        </w:rPr>
        <w:t>du 20 juillet 1991 proclame que la famille est la cellule de base de la société. Elle dispose dans</w:t>
      </w:r>
      <w:r w:rsidR="006C160E" w:rsidRPr="00F13D2D">
        <w:rPr>
          <w:rFonts w:eastAsia="Calibri"/>
          <w:lang w:val="fr-FR"/>
        </w:rPr>
        <w:t xml:space="preserve"> </w:t>
      </w:r>
      <w:r w:rsidR="00E819C1" w:rsidRPr="00F13D2D">
        <w:rPr>
          <w:rFonts w:eastAsia="Calibri"/>
          <w:lang w:val="fr-FR"/>
        </w:rPr>
        <w:t xml:space="preserve">son article </w:t>
      </w:r>
      <w:r w:rsidR="00D35569">
        <w:rPr>
          <w:rFonts w:eastAsia="Calibri"/>
          <w:lang w:val="fr-FR"/>
        </w:rPr>
        <w:t>16 que « L</w:t>
      </w:r>
      <w:r w:rsidR="00E819C1" w:rsidRPr="00F13D2D">
        <w:rPr>
          <w:rFonts w:eastAsia="Calibri"/>
          <w:lang w:val="fr-FR"/>
        </w:rPr>
        <w:t>’</w:t>
      </w:r>
      <w:r w:rsidR="00AB4E57">
        <w:rPr>
          <w:rFonts w:eastAsia="Calibri"/>
          <w:lang w:val="fr-FR"/>
        </w:rPr>
        <w:t>État</w:t>
      </w:r>
      <w:r w:rsidR="00E819C1" w:rsidRPr="00F13D2D">
        <w:rPr>
          <w:rFonts w:eastAsia="Calibri"/>
          <w:lang w:val="fr-FR"/>
        </w:rPr>
        <w:t xml:space="preserve"> et la société protègent la famille ». </w:t>
      </w:r>
    </w:p>
    <w:p w:rsidR="00E819C1" w:rsidRPr="00AA7A93" w:rsidRDefault="00BE3A4F" w:rsidP="00AA7A93">
      <w:pPr>
        <w:pStyle w:val="H1G"/>
      </w:pPr>
      <w:bookmarkStart w:id="224" w:name="_Toc453672947"/>
      <w:bookmarkStart w:id="225" w:name="_Toc454388790"/>
      <w:r w:rsidRPr="000E17DF">
        <w:tab/>
      </w:r>
      <w:r w:rsidR="00E819C1" w:rsidRPr="00E06F1B">
        <w:t>B</w:t>
      </w:r>
      <w:r w:rsidRPr="00AA7A93">
        <w:t>.</w:t>
      </w:r>
      <w:r w:rsidRPr="00AA7A93">
        <w:tab/>
      </w:r>
      <w:r w:rsidR="00E819C1" w:rsidRPr="00AA7A93">
        <w:t>Responsabilités parentales (art.</w:t>
      </w:r>
      <w:r w:rsidR="00E1315A">
        <w:t> </w:t>
      </w:r>
      <w:r w:rsidR="00E819C1" w:rsidRPr="00E06F1B">
        <w:t>18, par.</w:t>
      </w:r>
      <w:r w:rsidR="00E1315A">
        <w:t> </w:t>
      </w:r>
      <w:r w:rsidR="00E819C1" w:rsidRPr="00E06F1B">
        <w:t>1 et</w:t>
      </w:r>
      <w:r w:rsidR="00133C21">
        <w:t> </w:t>
      </w:r>
      <w:r w:rsidR="00E819C1" w:rsidRPr="00E06F1B">
        <w:t>2)</w:t>
      </w:r>
      <w:bookmarkEnd w:id="224"/>
      <w:bookmarkEnd w:id="225"/>
    </w:p>
    <w:p w:rsidR="00E819C1" w:rsidRPr="00F13D2D" w:rsidRDefault="0055270C" w:rsidP="0055270C">
      <w:pPr>
        <w:pStyle w:val="SingleTxtG"/>
        <w:rPr>
          <w:rFonts w:eastAsia="Calibri"/>
          <w:lang w:val="fr-FR"/>
        </w:rPr>
      </w:pPr>
      <w:r w:rsidRPr="00F13D2D">
        <w:rPr>
          <w:rFonts w:eastAsia="Calibri"/>
          <w:lang w:val="fr-FR"/>
        </w:rPr>
        <w:t>128.</w:t>
      </w:r>
      <w:r w:rsidRPr="00F13D2D">
        <w:rPr>
          <w:rFonts w:eastAsia="Calibri"/>
          <w:lang w:val="fr-FR"/>
        </w:rPr>
        <w:tab/>
      </w:r>
      <w:r w:rsidR="00E819C1" w:rsidRPr="00F13D2D">
        <w:rPr>
          <w:rFonts w:eastAsia="Calibri"/>
          <w:lang w:val="fr-FR"/>
        </w:rPr>
        <w:t>La législation impose aux parents un ensemble d’obligations dans le domaine éducatif, sanitaire</w:t>
      </w:r>
      <w:r w:rsidR="006C160E" w:rsidRPr="00F13D2D">
        <w:rPr>
          <w:rFonts w:eastAsia="Calibri"/>
          <w:lang w:val="fr-FR"/>
        </w:rPr>
        <w:t xml:space="preserve"> </w:t>
      </w:r>
      <w:r w:rsidR="00E819C1" w:rsidRPr="00F13D2D">
        <w:rPr>
          <w:rFonts w:eastAsia="Calibri"/>
          <w:lang w:val="fr-FR"/>
        </w:rPr>
        <w:t>et</w:t>
      </w:r>
      <w:r w:rsidR="006C160E" w:rsidRPr="00F13D2D">
        <w:rPr>
          <w:rFonts w:eastAsia="Calibri"/>
          <w:lang w:val="fr-FR"/>
        </w:rPr>
        <w:t xml:space="preserve"> </w:t>
      </w:r>
      <w:r w:rsidR="00E819C1" w:rsidRPr="00F13D2D">
        <w:rPr>
          <w:rFonts w:eastAsia="Calibri"/>
          <w:lang w:val="fr-FR"/>
        </w:rPr>
        <w:t>alimentaire</w:t>
      </w:r>
      <w:r w:rsidR="006C160E" w:rsidRPr="00F13D2D">
        <w:rPr>
          <w:rFonts w:eastAsia="Calibri"/>
          <w:lang w:val="fr-FR"/>
        </w:rPr>
        <w:t xml:space="preserve"> </w:t>
      </w:r>
      <w:r w:rsidR="00E819C1" w:rsidRPr="00F13D2D">
        <w:rPr>
          <w:rFonts w:eastAsia="Calibri"/>
          <w:lang w:val="fr-FR"/>
        </w:rPr>
        <w:t xml:space="preserve">qui sont autant de créances au bénéfice de l’enfant. Leur inobservance est assortie de peines pécuniaires et privatives de liberté. </w:t>
      </w:r>
    </w:p>
    <w:p w:rsidR="00E819C1" w:rsidRPr="00AA7A93" w:rsidRDefault="00BE3A4F" w:rsidP="00AA7A93">
      <w:pPr>
        <w:pStyle w:val="H1G"/>
      </w:pPr>
      <w:bookmarkStart w:id="226" w:name="_Toc453672948"/>
      <w:bookmarkStart w:id="227" w:name="_Toc454388791"/>
      <w:r w:rsidRPr="000E17DF">
        <w:tab/>
      </w:r>
      <w:r w:rsidR="00E819C1" w:rsidRPr="00E06F1B">
        <w:t>C</w:t>
      </w:r>
      <w:r w:rsidRPr="00AA7A93">
        <w:t>.</w:t>
      </w:r>
      <w:r w:rsidRPr="00AA7A93">
        <w:tab/>
      </w:r>
      <w:r w:rsidR="00E819C1" w:rsidRPr="00AA7A93">
        <w:t>Séparation d’avec les parents (art.</w:t>
      </w:r>
      <w:r w:rsidR="00E1315A">
        <w:t> </w:t>
      </w:r>
      <w:r w:rsidR="00E819C1" w:rsidRPr="00E06F1B">
        <w:t>9)</w:t>
      </w:r>
      <w:bookmarkEnd w:id="226"/>
      <w:bookmarkEnd w:id="227"/>
    </w:p>
    <w:p w:rsidR="00E819C1" w:rsidRPr="00F13D2D" w:rsidRDefault="0055270C" w:rsidP="0055270C">
      <w:pPr>
        <w:pStyle w:val="SingleTxtG"/>
        <w:rPr>
          <w:rFonts w:eastAsia="Calibri"/>
          <w:lang w:val="fr-FR"/>
        </w:rPr>
      </w:pPr>
      <w:r w:rsidRPr="00F13D2D">
        <w:rPr>
          <w:rFonts w:eastAsia="Calibri"/>
          <w:lang w:val="fr-FR"/>
        </w:rPr>
        <w:t>129.</w:t>
      </w:r>
      <w:r w:rsidRPr="00F13D2D">
        <w:rPr>
          <w:rFonts w:eastAsia="Calibri"/>
          <w:lang w:val="fr-FR"/>
        </w:rPr>
        <w:tab/>
      </w:r>
      <w:r w:rsidR="00E819C1" w:rsidRPr="00F13D2D">
        <w:rPr>
          <w:rFonts w:eastAsia="Calibri"/>
          <w:lang w:val="fr-FR"/>
        </w:rPr>
        <w:t>La loi garantit à l’enfant le droit de ne pas être séparé de sa famille. Ce</w:t>
      </w:r>
      <w:r w:rsidR="006C160E" w:rsidRPr="00F13D2D">
        <w:rPr>
          <w:rFonts w:eastAsia="Calibri"/>
          <w:lang w:val="fr-FR"/>
        </w:rPr>
        <w:t xml:space="preserve"> </w:t>
      </w:r>
      <w:r w:rsidR="00E819C1" w:rsidRPr="00F13D2D">
        <w:rPr>
          <w:rFonts w:eastAsia="Calibri"/>
          <w:lang w:val="fr-FR"/>
        </w:rPr>
        <w:t>principe découle des dispositions de l’articl</w:t>
      </w:r>
      <w:r w:rsidR="003B13CC">
        <w:rPr>
          <w:rFonts w:eastAsia="Calibri"/>
          <w:lang w:val="fr-FR"/>
        </w:rPr>
        <w:t>e 123 du CSP qui dispose que « L</w:t>
      </w:r>
      <w:r w:rsidR="00E819C1" w:rsidRPr="00F13D2D">
        <w:rPr>
          <w:rFonts w:eastAsia="Calibri"/>
          <w:lang w:val="fr-FR"/>
        </w:rPr>
        <w:t>a garde de l’enfant fait partie des obligations mises à la charge du père et de la mère, tant que ces derniers demeurent unis par le mariage. En cas de dissolution du mariage, la garde de l’enfant est co</w:t>
      </w:r>
      <w:r w:rsidR="008213E4">
        <w:rPr>
          <w:rFonts w:eastAsia="Calibri"/>
          <w:lang w:val="fr-FR"/>
        </w:rPr>
        <w:t>nfiée en priorité à la mère… » À</w:t>
      </w:r>
      <w:r w:rsidR="00E819C1" w:rsidRPr="00F13D2D">
        <w:rPr>
          <w:rFonts w:eastAsia="Calibri"/>
          <w:lang w:val="fr-FR"/>
        </w:rPr>
        <w:t xml:space="preserve"> défaut de la garde de la mère, le même article précise, dans l’ordre, les autres personnes habilitées à assurer cette garde (art.</w:t>
      </w:r>
      <w:r w:rsidR="00822918">
        <w:rPr>
          <w:rFonts w:eastAsia="Calibri"/>
          <w:lang w:val="fr-FR"/>
        </w:rPr>
        <w:t> </w:t>
      </w:r>
      <w:r w:rsidR="00E819C1" w:rsidRPr="00F13D2D">
        <w:rPr>
          <w:rFonts w:eastAsia="Calibri"/>
          <w:lang w:val="fr-FR"/>
        </w:rPr>
        <w:t>123 al.</w:t>
      </w:r>
      <w:r w:rsidR="002E662F">
        <w:rPr>
          <w:rFonts w:eastAsia="Calibri"/>
          <w:lang w:val="fr-FR"/>
        </w:rPr>
        <w:t> </w:t>
      </w:r>
      <w:r w:rsidR="00E819C1" w:rsidRPr="00F13D2D">
        <w:rPr>
          <w:rFonts w:eastAsia="Calibri"/>
          <w:lang w:val="fr-FR"/>
        </w:rPr>
        <w:t>2). L’article</w:t>
      </w:r>
      <w:r w:rsidR="00133C21">
        <w:rPr>
          <w:rFonts w:eastAsia="Calibri"/>
          <w:lang w:val="fr-FR"/>
        </w:rPr>
        <w:t> </w:t>
      </w:r>
      <w:r w:rsidR="00E819C1" w:rsidRPr="00F13D2D">
        <w:rPr>
          <w:rFonts w:eastAsia="Calibri"/>
          <w:lang w:val="fr-FR"/>
        </w:rPr>
        <w:t>122</w:t>
      </w:r>
      <w:r w:rsidR="006C160E" w:rsidRPr="00F13D2D">
        <w:rPr>
          <w:rFonts w:eastAsia="Calibri"/>
          <w:lang w:val="fr-FR"/>
        </w:rPr>
        <w:t xml:space="preserve"> </w:t>
      </w:r>
      <w:r w:rsidR="00E819C1" w:rsidRPr="00F13D2D">
        <w:rPr>
          <w:rFonts w:eastAsia="Calibri"/>
          <w:lang w:val="fr-FR"/>
        </w:rPr>
        <w:t>fixe les conditions que doit remplir l’individu devant assurer la garde de l’enfant. En cas de séparati</w:t>
      </w:r>
      <w:r w:rsidR="003B13CC">
        <w:rPr>
          <w:rFonts w:eastAsia="Calibri"/>
          <w:lang w:val="fr-FR"/>
        </w:rPr>
        <w:t>on, l’article 136 énonce que « L</w:t>
      </w:r>
      <w:r w:rsidR="00E819C1" w:rsidRPr="00F13D2D">
        <w:rPr>
          <w:rFonts w:eastAsia="Calibri"/>
          <w:lang w:val="fr-FR"/>
        </w:rPr>
        <w:t xml:space="preserve">orsque la garde de l’enfant est confiée à l’un des parents, l’autre parent ne peut être empêché de lui rendre visite et de s’informer sur sa situation. De même, il peut réclamer le transport chez lui de l’enfant, pour visite, au moins une fois par semaine à moins que le juge n’en dispose autrement dans </w:t>
      </w:r>
      <w:r w:rsidR="00E819C1" w:rsidRPr="00F13D2D">
        <w:rPr>
          <w:rFonts w:eastAsia="Calibri"/>
          <w:lang w:val="fr-FR"/>
        </w:rPr>
        <w:lastRenderedPageBreak/>
        <w:t>l’intérêt de l’enfant. ». Cette</w:t>
      </w:r>
      <w:r w:rsidR="006C160E" w:rsidRPr="00F13D2D">
        <w:rPr>
          <w:rFonts w:eastAsia="Calibri"/>
          <w:lang w:val="fr-FR"/>
        </w:rPr>
        <w:t xml:space="preserve"> </w:t>
      </w:r>
      <w:r w:rsidR="00E819C1" w:rsidRPr="00F13D2D">
        <w:rPr>
          <w:rFonts w:eastAsia="Calibri"/>
          <w:lang w:val="fr-FR"/>
        </w:rPr>
        <w:t>législation est appliquée par les magistrats</w:t>
      </w:r>
      <w:r w:rsidR="006C160E" w:rsidRPr="00F13D2D">
        <w:rPr>
          <w:rFonts w:eastAsia="Calibri"/>
          <w:lang w:val="fr-FR"/>
        </w:rPr>
        <w:t xml:space="preserve"> </w:t>
      </w:r>
      <w:r w:rsidR="00E819C1" w:rsidRPr="00F13D2D">
        <w:rPr>
          <w:rFonts w:eastAsia="Calibri"/>
          <w:lang w:val="fr-FR"/>
        </w:rPr>
        <w:t>et la SC y veille à travers l’accompagnement des enfants en cas de procédure de divorce ou de menace sur l’intérêt de l’enfant.</w:t>
      </w:r>
    </w:p>
    <w:p w:rsidR="00E819C1" w:rsidRPr="00E06F1B" w:rsidRDefault="00BE3A4F" w:rsidP="00AA7A93">
      <w:pPr>
        <w:pStyle w:val="H1G"/>
      </w:pPr>
      <w:bookmarkStart w:id="228" w:name="_Toc453672949"/>
      <w:bookmarkStart w:id="229" w:name="_Toc454388792"/>
      <w:r w:rsidRPr="000E17DF">
        <w:tab/>
      </w:r>
      <w:r w:rsidR="00E819C1" w:rsidRPr="00E06F1B">
        <w:t>D</w:t>
      </w:r>
      <w:r w:rsidRPr="00AA7A93">
        <w:t>.</w:t>
      </w:r>
      <w:r w:rsidRPr="00AA7A93">
        <w:tab/>
      </w:r>
      <w:r w:rsidR="00E819C1" w:rsidRPr="00AA7A93">
        <w:t>Réunification familiale (art.</w:t>
      </w:r>
      <w:r w:rsidR="00822918">
        <w:t> </w:t>
      </w:r>
      <w:r w:rsidR="00E819C1" w:rsidRPr="000E17DF">
        <w:t>10)</w:t>
      </w:r>
      <w:bookmarkEnd w:id="228"/>
      <w:bookmarkEnd w:id="229"/>
    </w:p>
    <w:p w:rsidR="00E819C1" w:rsidRPr="00F13D2D" w:rsidRDefault="0055270C" w:rsidP="0055270C">
      <w:pPr>
        <w:pStyle w:val="SingleTxtG"/>
        <w:rPr>
          <w:rFonts w:eastAsia="Calibri"/>
          <w:lang w:val="fr-FR"/>
        </w:rPr>
      </w:pPr>
      <w:r w:rsidRPr="00F13D2D">
        <w:rPr>
          <w:rFonts w:eastAsia="Calibri"/>
          <w:lang w:val="fr-FR"/>
        </w:rPr>
        <w:t>130.</w:t>
      </w:r>
      <w:r w:rsidRPr="00F13D2D">
        <w:rPr>
          <w:rFonts w:eastAsia="Calibri"/>
          <w:lang w:val="fr-FR"/>
        </w:rPr>
        <w:tab/>
      </w:r>
      <w:r w:rsidR="00E819C1" w:rsidRPr="00F13D2D">
        <w:rPr>
          <w:rFonts w:eastAsia="Calibri"/>
          <w:lang w:val="fr-FR"/>
        </w:rPr>
        <w:t>La Mauritanie est partie à plusieurs conventions internationales des DH (refugiés et migrants) qui consacrent le droit de réunification familiale.</w:t>
      </w:r>
      <w:r w:rsidR="006C160E" w:rsidRPr="00F13D2D">
        <w:rPr>
          <w:rFonts w:eastAsia="Calibri"/>
          <w:lang w:val="fr-FR"/>
        </w:rPr>
        <w:t xml:space="preserve"> </w:t>
      </w:r>
      <w:r w:rsidR="00E819C1" w:rsidRPr="00F13D2D">
        <w:rPr>
          <w:rFonts w:eastAsia="Calibri"/>
          <w:lang w:val="fr-FR"/>
        </w:rPr>
        <w:t xml:space="preserve">Les juridictions donnent droit aux visites au parent non bénéficiaire de la garde, soit sur le territoire de résidence habituelle de l’enfant ou dans le cadre de l’exercice d’un droit de visite transfrontalier. </w:t>
      </w:r>
    </w:p>
    <w:p w:rsidR="00E819C1" w:rsidRPr="00AA7A93" w:rsidRDefault="00BE3A4F" w:rsidP="00AA7A93">
      <w:pPr>
        <w:pStyle w:val="H1G"/>
      </w:pPr>
      <w:bookmarkStart w:id="230" w:name="_Toc453672950"/>
      <w:bookmarkStart w:id="231" w:name="_Toc454388793"/>
      <w:r w:rsidRPr="000E17DF">
        <w:tab/>
      </w:r>
      <w:r w:rsidR="00E819C1" w:rsidRPr="00E06F1B">
        <w:t>E</w:t>
      </w:r>
      <w:r w:rsidRPr="00AA7A93">
        <w:t>.</w:t>
      </w:r>
      <w:r w:rsidRPr="00AA7A93">
        <w:tab/>
      </w:r>
      <w:r w:rsidR="00E819C1" w:rsidRPr="00AA7A93">
        <w:t>Recouvrement de la pension alimentaire de l’enfant (art.</w:t>
      </w:r>
      <w:r w:rsidR="00822918">
        <w:t> </w:t>
      </w:r>
      <w:r w:rsidR="00E819C1" w:rsidRPr="00E06F1B">
        <w:t>27, par.</w:t>
      </w:r>
      <w:r w:rsidR="00822918">
        <w:t> </w:t>
      </w:r>
      <w:r w:rsidR="00E819C1" w:rsidRPr="00E06F1B">
        <w:t>4)</w:t>
      </w:r>
      <w:bookmarkEnd w:id="230"/>
      <w:bookmarkEnd w:id="231"/>
    </w:p>
    <w:p w:rsidR="00E819C1" w:rsidRPr="00F13D2D" w:rsidRDefault="0055270C" w:rsidP="0055270C">
      <w:pPr>
        <w:pStyle w:val="SingleTxtG"/>
        <w:rPr>
          <w:rFonts w:eastAsia="Calibri"/>
          <w:lang w:val="fr-FR"/>
        </w:rPr>
      </w:pPr>
      <w:r w:rsidRPr="00F13D2D">
        <w:rPr>
          <w:rFonts w:eastAsia="Calibri"/>
          <w:lang w:val="fr-FR"/>
        </w:rPr>
        <w:t>131.</w:t>
      </w:r>
      <w:r w:rsidRPr="00F13D2D">
        <w:rPr>
          <w:rFonts w:eastAsia="Calibri"/>
          <w:lang w:val="fr-FR"/>
        </w:rPr>
        <w:tab/>
      </w:r>
      <w:r w:rsidR="00E819C1" w:rsidRPr="00F13D2D">
        <w:rPr>
          <w:rFonts w:eastAsia="Calibri"/>
          <w:lang w:val="fr-FR"/>
        </w:rPr>
        <w:t>Le CSP définit le contenu de la pension alimentaire et fixe les critères de sa détermination. En cas de divorce, la garde de l</w:t>
      </w:r>
      <w:r w:rsidR="006C160E" w:rsidRPr="00F13D2D">
        <w:rPr>
          <w:rFonts w:eastAsia="Calibri"/>
          <w:lang w:val="fr-FR"/>
        </w:rPr>
        <w:t>’</w:t>
      </w:r>
      <w:r w:rsidR="00E819C1" w:rsidRPr="00F13D2D">
        <w:rPr>
          <w:rFonts w:eastAsia="Calibri"/>
          <w:lang w:val="fr-FR"/>
        </w:rPr>
        <w:t>enfant est généralement confiée à la mère et le père doit verser une subvention d</w:t>
      </w:r>
      <w:r w:rsidR="006C160E" w:rsidRPr="00F13D2D">
        <w:rPr>
          <w:rFonts w:eastAsia="Calibri"/>
          <w:lang w:val="fr-FR"/>
        </w:rPr>
        <w:t>’</w:t>
      </w:r>
      <w:r w:rsidR="00E819C1" w:rsidRPr="00F13D2D">
        <w:rPr>
          <w:rFonts w:eastAsia="Calibri"/>
          <w:lang w:val="fr-FR"/>
        </w:rPr>
        <w:t>entretien.</w:t>
      </w:r>
    </w:p>
    <w:p w:rsidR="00E819C1" w:rsidRPr="00F13D2D" w:rsidRDefault="0055270C" w:rsidP="0055270C">
      <w:pPr>
        <w:pStyle w:val="SingleTxtG"/>
        <w:rPr>
          <w:rFonts w:eastAsia="Calibri"/>
          <w:lang w:val="fr-FR"/>
        </w:rPr>
      </w:pPr>
      <w:r w:rsidRPr="00F13D2D">
        <w:rPr>
          <w:rFonts w:eastAsia="Calibri"/>
          <w:lang w:val="fr-FR"/>
        </w:rPr>
        <w:t>132.</w:t>
      </w:r>
      <w:r w:rsidRPr="00F13D2D">
        <w:rPr>
          <w:rFonts w:eastAsia="Calibri"/>
          <w:lang w:val="fr-FR"/>
        </w:rPr>
        <w:tab/>
      </w:r>
      <w:r w:rsidR="00E819C1" w:rsidRPr="00F13D2D">
        <w:rPr>
          <w:rFonts w:eastAsia="Calibri"/>
          <w:lang w:val="fr-FR"/>
        </w:rPr>
        <w:t xml:space="preserve">Le service des litiges familiaux suit les demandes de recouvrement de la pension alimentaire. </w:t>
      </w:r>
      <w:r w:rsidR="000E4C19">
        <w:rPr>
          <w:rFonts w:eastAsia="Calibri"/>
          <w:lang w:val="fr-FR"/>
        </w:rPr>
        <w:t>À</w:t>
      </w:r>
      <w:r w:rsidR="00E819C1" w:rsidRPr="00F13D2D">
        <w:rPr>
          <w:rFonts w:eastAsia="Calibri"/>
          <w:lang w:val="fr-FR"/>
        </w:rPr>
        <w:t xml:space="preserve"> cet effet, il a développé une procédure</w:t>
      </w:r>
      <w:r w:rsidR="006C160E" w:rsidRPr="00F13D2D">
        <w:rPr>
          <w:rFonts w:eastAsia="Calibri"/>
          <w:lang w:val="fr-FR"/>
        </w:rPr>
        <w:t xml:space="preserve"> </w:t>
      </w:r>
      <w:r w:rsidR="00E819C1" w:rsidRPr="00F13D2D">
        <w:rPr>
          <w:rFonts w:eastAsia="Calibri"/>
          <w:lang w:val="fr-FR"/>
        </w:rPr>
        <w:t xml:space="preserve">permettant de trouver un terrain d’entente entre les anciens époux pour le paiement de cette créance. </w:t>
      </w:r>
      <w:r w:rsidR="000E4C19">
        <w:rPr>
          <w:rFonts w:eastAsia="Calibri"/>
          <w:lang w:val="fr-FR"/>
        </w:rPr>
        <w:t>À</w:t>
      </w:r>
      <w:r w:rsidR="00E819C1" w:rsidRPr="00F13D2D">
        <w:rPr>
          <w:rFonts w:eastAsia="Calibri"/>
          <w:lang w:val="fr-FR"/>
        </w:rPr>
        <w:t xml:space="preserve"> défaut d’un tel accord la mère de l’enfant recourt à la justice pour faire valoir les droits à la pension alimentaire.</w:t>
      </w:r>
    </w:p>
    <w:p w:rsidR="00E819C1" w:rsidRPr="00AA7A93" w:rsidRDefault="00BE3A4F" w:rsidP="00AA7A93">
      <w:pPr>
        <w:pStyle w:val="H1G"/>
      </w:pPr>
      <w:bookmarkStart w:id="232" w:name="_Toc453672951"/>
      <w:bookmarkStart w:id="233" w:name="_Toc454388794"/>
      <w:r w:rsidRPr="000E17DF">
        <w:tab/>
      </w:r>
      <w:r w:rsidR="00E819C1" w:rsidRPr="00E06F1B">
        <w:t>F</w:t>
      </w:r>
      <w:r w:rsidRPr="00AA7A93">
        <w:t>.</w:t>
      </w:r>
      <w:r w:rsidRPr="00AA7A93">
        <w:tab/>
      </w:r>
      <w:r w:rsidR="00E819C1" w:rsidRPr="00AA7A93">
        <w:t>Enfants privés de leur milieu familial (art.</w:t>
      </w:r>
      <w:r w:rsidR="00822918">
        <w:t> </w:t>
      </w:r>
      <w:r w:rsidR="00E819C1" w:rsidRPr="00E06F1B">
        <w:t>20)</w:t>
      </w:r>
      <w:bookmarkEnd w:id="232"/>
      <w:bookmarkEnd w:id="233"/>
    </w:p>
    <w:p w:rsidR="00E819C1" w:rsidRPr="00F13D2D" w:rsidRDefault="0055270C" w:rsidP="0055270C">
      <w:pPr>
        <w:pStyle w:val="SingleTxtG"/>
        <w:rPr>
          <w:rFonts w:eastAsia="Calibri"/>
          <w:lang w:val="fr-FR"/>
        </w:rPr>
      </w:pPr>
      <w:r w:rsidRPr="00F13D2D">
        <w:rPr>
          <w:rFonts w:eastAsia="Calibri"/>
          <w:lang w:val="fr-FR"/>
        </w:rPr>
        <w:t>133.</w:t>
      </w:r>
      <w:r w:rsidRPr="00F13D2D">
        <w:rPr>
          <w:rFonts w:eastAsia="Calibri"/>
          <w:lang w:val="fr-FR"/>
        </w:rPr>
        <w:tab/>
      </w:r>
      <w:r w:rsidR="00E819C1" w:rsidRPr="00F13D2D">
        <w:rPr>
          <w:rFonts w:eastAsia="Calibri"/>
          <w:lang w:val="fr-FR"/>
        </w:rPr>
        <w:t>Le CSP</w:t>
      </w:r>
      <w:r w:rsidR="006C160E" w:rsidRPr="00F13D2D">
        <w:rPr>
          <w:rFonts w:eastAsia="Calibri"/>
          <w:lang w:val="fr-FR"/>
        </w:rPr>
        <w:t xml:space="preserve"> </w:t>
      </w:r>
      <w:r w:rsidR="00E819C1" w:rsidRPr="00F13D2D">
        <w:rPr>
          <w:rFonts w:eastAsia="Calibri"/>
          <w:lang w:val="fr-FR"/>
        </w:rPr>
        <w:t xml:space="preserve">garantit à l’enfant, temporairement ou définitivement privé de son milieu familial, différentes mesures de placement. Le juge de la famille est tenu, dans tous les cas, de prendre la décision de placement en garantissant l’intérêt supérieur de l’enfant. Le placement familial se fait sous forme de la </w:t>
      </w:r>
      <w:proofErr w:type="spellStart"/>
      <w:r w:rsidR="00E819C1" w:rsidRPr="00F13D2D">
        <w:rPr>
          <w:rFonts w:eastAsia="Calibri"/>
          <w:lang w:val="fr-FR"/>
        </w:rPr>
        <w:t>kefala</w:t>
      </w:r>
      <w:proofErr w:type="spellEnd"/>
      <w:r w:rsidR="00E819C1" w:rsidRPr="00F13D2D">
        <w:rPr>
          <w:rFonts w:eastAsia="Calibri"/>
          <w:lang w:val="fr-FR"/>
        </w:rPr>
        <w:t xml:space="preserve"> ou</w:t>
      </w:r>
      <w:r w:rsidR="006C160E" w:rsidRPr="00F13D2D">
        <w:rPr>
          <w:rFonts w:eastAsia="Calibri"/>
          <w:lang w:val="fr-FR"/>
        </w:rPr>
        <w:t xml:space="preserve"> </w:t>
      </w:r>
      <w:r w:rsidR="00E819C1" w:rsidRPr="00F13D2D">
        <w:rPr>
          <w:rFonts w:eastAsia="Calibri"/>
          <w:lang w:val="fr-FR"/>
        </w:rPr>
        <w:t>au sein du CPISE.</w:t>
      </w:r>
    </w:p>
    <w:p w:rsidR="00E819C1" w:rsidRPr="00F13D2D" w:rsidRDefault="0055270C" w:rsidP="0055270C">
      <w:pPr>
        <w:pStyle w:val="SingleTxtG"/>
        <w:rPr>
          <w:rFonts w:eastAsia="Calibri"/>
          <w:lang w:val="fr-FR"/>
        </w:rPr>
      </w:pPr>
      <w:r w:rsidRPr="00F13D2D">
        <w:rPr>
          <w:rFonts w:eastAsia="Calibri"/>
          <w:lang w:val="fr-FR"/>
        </w:rPr>
        <w:t>134.</w:t>
      </w:r>
      <w:r w:rsidRPr="00F13D2D">
        <w:rPr>
          <w:rFonts w:eastAsia="Calibri"/>
          <w:lang w:val="fr-FR"/>
        </w:rPr>
        <w:tab/>
      </w:r>
      <w:r w:rsidR="00E819C1" w:rsidRPr="00F13D2D">
        <w:rPr>
          <w:rFonts w:eastAsia="Calibri"/>
          <w:lang w:val="fr-FR"/>
        </w:rPr>
        <w:t>Par ailleurs, en vue de fournir aux enfants sans soutien familial la protection appropriée, les actions suivantes ont été réalisées</w:t>
      </w:r>
      <w:r w:rsidR="00FC0832">
        <w:rPr>
          <w:rFonts w:eastAsia="Calibri"/>
          <w:lang w:val="fr-FR"/>
        </w:rPr>
        <w:t> :</w:t>
      </w:r>
      <w:r w:rsidR="00E819C1" w:rsidRPr="00F13D2D">
        <w:rPr>
          <w:rFonts w:eastAsia="Calibri"/>
          <w:lang w:val="fr-FR"/>
        </w:rPr>
        <w:t xml:space="preserve"> (i) le renforcement des efforts de prise en charge et de sensibilisation par les structures spécialisées et le réseau associatif</w:t>
      </w:r>
      <w:r w:rsidR="00FC0832">
        <w:rPr>
          <w:rFonts w:eastAsia="Calibri"/>
          <w:lang w:val="fr-FR"/>
        </w:rPr>
        <w:t> ;</w:t>
      </w:r>
      <w:r w:rsidR="00E819C1" w:rsidRPr="00F13D2D">
        <w:rPr>
          <w:rFonts w:eastAsia="Calibri"/>
          <w:lang w:val="fr-FR"/>
        </w:rPr>
        <w:t xml:space="preserve"> (ii) la réalisation d’enquête</w:t>
      </w:r>
      <w:r w:rsidR="006C160E" w:rsidRPr="00F13D2D">
        <w:rPr>
          <w:rFonts w:eastAsia="Calibri"/>
          <w:lang w:val="fr-FR"/>
        </w:rPr>
        <w:t xml:space="preserve"> </w:t>
      </w:r>
      <w:r w:rsidR="00E819C1" w:rsidRPr="00F13D2D">
        <w:rPr>
          <w:rFonts w:eastAsia="Calibri"/>
          <w:lang w:val="fr-FR"/>
        </w:rPr>
        <w:t>sur les phénomènes sociaux qui engendrent la perte du soutien social, ainsi que les modes de leur traitement</w:t>
      </w:r>
      <w:r w:rsidR="00FC0832">
        <w:rPr>
          <w:rFonts w:eastAsia="Calibri"/>
          <w:lang w:val="fr-FR"/>
        </w:rPr>
        <w:t> ;</w:t>
      </w:r>
      <w:r w:rsidR="00E819C1" w:rsidRPr="00F13D2D">
        <w:rPr>
          <w:rFonts w:eastAsia="Calibri"/>
          <w:lang w:val="fr-FR"/>
        </w:rPr>
        <w:t xml:space="preserve"> (iii) ouverture d’un centre d’intégration et de protection sociale de l’enfant qui accueille les enfants sans appui familial et ceux se trouvant dans une situation difficile en vue de les placer ou de les réintégrer dans leurs familles. Ce centre est représenté à l’intérieur du pays.</w:t>
      </w:r>
    </w:p>
    <w:p w:rsidR="00E819C1" w:rsidRPr="00AA7A93" w:rsidRDefault="00BE3A4F" w:rsidP="00AA7A93">
      <w:pPr>
        <w:pStyle w:val="H1G"/>
      </w:pPr>
      <w:bookmarkStart w:id="234" w:name="_Toc453672952"/>
      <w:bookmarkStart w:id="235" w:name="_Toc454388795"/>
      <w:r w:rsidRPr="000E17DF">
        <w:tab/>
      </w:r>
      <w:r w:rsidR="00E819C1" w:rsidRPr="00E06F1B">
        <w:t>G</w:t>
      </w:r>
      <w:r w:rsidRPr="00AA7A93">
        <w:t>.</w:t>
      </w:r>
      <w:r w:rsidRPr="00AA7A93">
        <w:tab/>
      </w:r>
      <w:r w:rsidR="00E819C1" w:rsidRPr="00AA7A93">
        <w:t>Adoption (art.</w:t>
      </w:r>
      <w:r w:rsidR="00822918">
        <w:t> </w:t>
      </w:r>
      <w:r w:rsidR="00E819C1" w:rsidRPr="00E06F1B">
        <w:t>21)</w:t>
      </w:r>
      <w:bookmarkEnd w:id="234"/>
      <w:bookmarkEnd w:id="235"/>
    </w:p>
    <w:p w:rsidR="00E819C1" w:rsidRPr="00F13D2D" w:rsidRDefault="0055270C" w:rsidP="0055270C">
      <w:pPr>
        <w:pStyle w:val="SingleTxtG"/>
        <w:rPr>
          <w:rFonts w:eastAsia="Calibri"/>
          <w:lang w:val="fr-FR"/>
        </w:rPr>
      </w:pPr>
      <w:r w:rsidRPr="00F13D2D">
        <w:rPr>
          <w:rFonts w:eastAsia="Calibri"/>
          <w:lang w:val="fr-FR"/>
        </w:rPr>
        <w:t>135.</w:t>
      </w:r>
      <w:r w:rsidRPr="00F13D2D">
        <w:rPr>
          <w:rFonts w:eastAsia="Calibri"/>
          <w:lang w:val="fr-FR"/>
        </w:rPr>
        <w:tab/>
      </w:r>
      <w:r w:rsidR="00E819C1" w:rsidRPr="00F13D2D">
        <w:rPr>
          <w:rFonts w:eastAsia="Calibri"/>
          <w:lang w:val="fr-FR"/>
        </w:rPr>
        <w:t>L</w:t>
      </w:r>
      <w:r w:rsidR="006C160E" w:rsidRPr="00F13D2D">
        <w:rPr>
          <w:rFonts w:eastAsia="Calibri"/>
          <w:lang w:val="fr-FR"/>
        </w:rPr>
        <w:t>’</w:t>
      </w:r>
      <w:r w:rsidR="00E819C1" w:rsidRPr="00F13D2D">
        <w:rPr>
          <w:rFonts w:eastAsia="Calibri"/>
          <w:lang w:val="fr-FR"/>
        </w:rPr>
        <w:t>adoption n</w:t>
      </w:r>
      <w:r w:rsidR="006C160E" w:rsidRPr="00F13D2D">
        <w:rPr>
          <w:rFonts w:eastAsia="Calibri"/>
          <w:lang w:val="fr-FR"/>
        </w:rPr>
        <w:t>’</w:t>
      </w:r>
      <w:r w:rsidR="00E819C1" w:rsidRPr="00F13D2D">
        <w:rPr>
          <w:rFonts w:eastAsia="Calibri"/>
          <w:lang w:val="fr-FR"/>
        </w:rPr>
        <w:t>a aucune valeur juridique et n</w:t>
      </w:r>
      <w:r w:rsidR="006C160E" w:rsidRPr="00F13D2D">
        <w:rPr>
          <w:rFonts w:eastAsia="Calibri"/>
          <w:lang w:val="fr-FR"/>
        </w:rPr>
        <w:t>’</w:t>
      </w:r>
      <w:r w:rsidR="00E819C1" w:rsidRPr="00F13D2D">
        <w:rPr>
          <w:rFonts w:eastAsia="Calibri"/>
          <w:lang w:val="fr-FR"/>
        </w:rPr>
        <w:t>entraîne aucun des effets de la filiation.. Le droit musulman prévoit cependant une forme d</w:t>
      </w:r>
      <w:r w:rsidR="006C160E" w:rsidRPr="00F13D2D">
        <w:rPr>
          <w:rFonts w:eastAsia="Calibri"/>
          <w:lang w:val="fr-FR"/>
        </w:rPr>
        <w:t>’</w:t>
      </w:r>
      <w:r w:rsidR="00E819C1" w:rsidRPr="00F13D2D">
        <w:rPr>
          <w:rFonts w:eastAsia="Calibri"/>
          <w:lang w:val="fr-FR"/>
        </w:rPr>
        <w:t xml:space="preserve">adoption connue sous le nom de </w:t>
      </w:r>
      <w:proofErr w:type="spellStart"/>
      <w:r w:rsidR="00E819C1" w:rsidRPr="00F13D2D">
        <w:rPr>
          <w:rFonts w:eastAsia="Calibri"/>
          <w:lang w:val="fr-FR"/>
        </w:rPr>
        <w:t>Kafalah</w:t>
      </w:r>
      <w:proofErr w:type="spellEnd"/>
      <w:r w:rsidR="00E819C1" w:rsidRPr="00F13D2D">
        <w:rPr>
          <w:rFonts w:eastAsia="Calibri"/>
          <w:lang w:val="fr-FR"/>
        </w:rPr>
        <w:t xml:space="preserve"> de droit ou recueil légal. Toute personne qui postule à la </w:t>
      </w:r>
      <w:proofErr w:type="spellStart"/>
      <w:r w:rsidR="00E819C1" w:rsidRPr="00F13D2D">
        <w:rPr>
          <w:rFonts w:eastAsia="Calibri"/>
          <w:lang w:val="fr-FR"/>
        </w:rPr>
        <w:t>kafala</w:t>
      </w:r>
      <w:proofErr w:type="spellEnd"/>
      <w:r w:rsidR="00E819C1" w:rsidRPr="00F13D2D">
        <w:rPr>
          <w:rFonts w:eastAsia="Calibri"/>
          <w:lang w:val="fr-FR"/>
        </w:rPr>
        <w:t xml:space="preserve"> doit remplir les critères suivants</w:t>
      </w:r>
      <w:r w:rsidR="00FC0832">
        <w:rPr>
          <w:rFonts w:eastAsia="Calibri"/>
          <w:lang w:val="fr-FR"/>
        </w:rPr>
        <w:t> :</w:t>
      </w:r>
      <w:r w:rsidR="00E819C1" w:rsidRPr="00F13D2D">
        <w:rPr>
          <w:rFonts w:eastAsia="Calibri"/>
          <w:lang w:val="fr-FR"/>
        </w:rPr>
        <w:t xml:space="preserve"> (i) Être marié(e)</w:t>
      </w:r>
      <w:r w:rsidR="00FC0832">
        <w:rPr>
          <w:rFonts w:eastAsia="Calibri"/>
          <w:lang w:val="fr-FR"/>
        </w:rPr>
        <w:t> ;</w:t>
      </w:r>
      <w:r w:rsidR="00E819C1" w:rsidRPr="00F13D2D">
        <w:rPr>
          <w:rFonts w:eastAsia="Calibri"/>
          <w:lang w:val="fr-FR"/>
        </w:rPr>
        <w:t xml:space="preserve"> (ii) Être de nationalité mauritanienne</w:t>
      </w:r>
      <w:r w:rsidR="00FC0832">
        <w:rPr>
          <w:rFonts w:eastAsia="Calibri"/>
          <w:lang w:val="fr-FR"/>
        </w:rPr>
        <w:t> ;</w:t>
      </w:r>
      <w:r w:rsidR="00E819C1" w:rsidRPr="00F13D2D">
        <w:rPr>
          <w:rFonts w:eastAsia="Calibri"/>
          <w:lang w:val="fr-FR"/>
        </w:rPr>
        <w:t xml:space="preserve"> (iii) Avoir une source de revenu permanente et avoir un milieu social favorable à l</w:t>
      </w:r>
      <w:r w:rsidR="006C160E" w:rsidRPr="00F13D2D">
        <w:rPr>
          <w:rFonts w:eastAsia="Calibri"/>
          <w:lang w:val="fr-FR"/>
        </w:rPr>
        <w:t>’</w:t>
      </w:r>
      <w:r w:rsidR="00E819C1" w:rsidRPr="00F13D2D">
        <w:rPr>
          <w:rFonts w:eastAsia="Calibri"/>
          <w:lang w:val="fr-FR"/>
        </w:rPr>
        <w:t>éducation et à l</w:t>
      </w:r>
      <w:r w:rsidR="006C160E" w:rsidRPr="00F13D2D">
        <w:rPr>
          <w:rFonts w:eastAsia="Calibri"/>
          <w:lang w:val="fr-FR"/>
        </w:rPr>
        <w:t>’</w:t>
      </w:r>
      <w:r w:rsidR="00E819C1" w:rsidRPr="00F13D2D">
        <w:rPr>
          <w:rFonts w:eastAsia="Calibri"/>
          <w:lang w:val="fr-FR"/>
        </w:rPr>
        <w:t>épanouissement de l</w:t>
      </w:r>
      <w:r w:rsidR="006C160E" w:rsidRPr="00F13D2D">
        <w:rPr>
          <w:rFonts w:eastAsia="Calibri"/>
          <w:lang w:val="fr-FR"/>
        </w:rPr>
        <w:t>’</w:t>
      </w:r>
      <w:r w:rsidR="00E819C1" w:rsidRPr="00F13D2D">
        <w:rPr>
          <w:rFonts w:eastAsia="Calibri"/>
          <w:lang w:val="fr-FR"/>
        </w:rPr>
        <w:t>enfant</w:t>
      </w:r>
      <w:r w:rsidR="00FC0832">
        <w:rPr>
          <w:rFonts w:eastAsia="Calibri"/>
          <w:lang w:val="fr-FR"/>
        </w:rPr>
        <w:t> ;</w:t>
      </w:r>
      <w:r w:rsidR="00E819C1" w:rsidRPr="00F13D2D">
        <w:rPr>
          <w:rFonts w:eastAsia="Calibri"/>
          <w:lang w:val="fr-FR"/>
        </w:rPr>
        <w:t xml:space="preserve"> (iv) Accepter la responsabilité de l</w:t>
      </w:r>
      <w:r w:rsidR="006C160E" w:rsidRPr="00F13D2D">
        <w:rPr>
          <w:rFonts w:eastAsia="Calibri"/>
          <w:lang w:val="fr-FR"/>
        </w:rPr>
        <w:t>’</w:t>
      </w:r>
      <w:r w:rsidR="00E819C1" w:rsidRPr="00F13D2D">
        <w:rPr>
          <w:rFonts w:eastAsia="Calibri"/>
          <w:lang w:val="fr-FR"/>
        </w:rPr>
        <w:t>enfant et l</w:t>
      </w:r>
      <w:r w:rsidR="006C160E" w:rsidRPr="00F13D2D">
        <w:rPr>
          <w:rFonts w:eastAsia="Calibri"/>
          <w:lang w:val="fr-FR"/>
        </w:rPr>
        <w:t>’</w:t>
      </w:r>
      <w:r w:rsidR="00E819C1" w:rsidRPr="00F13D2D">
        <w:rPr>
          <w:rFonts w:eastAsia="Calibri"/>
          <w:lang w:val="fr-FR"/>
        </w:rPr>
        <w:t>assumer pleinement. La priorité est accordée aux couples sans enfants. Par ailleurs, un projet de loi</w:t>
      </w:r>
      <w:r w:rsidR="006C160E" w:rsidRPr="00F13D2D">
        <w:rPr>
          <w:rFonts w:eastAsia="Calibri"/>
          <w:lang w:val="fr-FR"/>
        </w:rPr>
        <w:t xml:space="preserve"> </w:t>
      </w:r>
      <w:r w:rsidR="00E819C1" w:rsidRPr="00F13D2D">
        <w:rPr>
          <w:rFonts w:eastAsia="Calibri"/>
          <w:lang w:val="fr-FR"/>
        </w:rPr>
        <w:t xml:space="preserve">sur la </w:t>
      </w:r>
      <w:proofErr w:type="spellStart"/>
      <w:r w:rsidR="00E819C1" w:rsidRPr="00F13D2D">
        <w:rPr>
          <w:rFonts w:eastAsia="Calibri"/>
          <w:lang w:val="fr-FR"/>
        </w:rPr>
        <w:t>kefala</w:t>
      </w:r>
      <w:proofErr w:type="spellEnd"/>
      <w:r w:rsidR="00E819C1" w:rsidRPr="00F13D2D">
        <w:rPr>
          <w:rFonts w:eastAsia="Calibri"/>
          <w:lang w:val="fr-FR"/>
        </w:rPr>
        <w:t xml:space="preserve"> est en cours d’adoption pour offrir aux enfants qui en ont besoin un statut conforme aux recommandations du Comité. </w:t>
      </w:r>
    </w:p>
    <w:p w:rsidR="00E819C1" w:rsidRPr="00AA7A93" w:rsidRDefault="00BE3A4F" w:rsidP="00AA7A93">
      <w:pPr>
        <w:pStyle w:val="H1G"/>
      </w:pPr>
      <w:bookmarkStart w:id="236" w:name="_Toc453672953"/>
      <w:bookmarkStart w:id="237" w:name="_Toc454388796"/>
      <w:r w:rsidRPr="000E17DF">
        <w:tab/>
      </w:r>
      <w:r w:rsidR="00E819C1" w:rsidRPr="00E06F1B">
        <w:t>H</w:t>
      </w:r>
      <w:r w:rsidRPr="00AA7A93">
        <w:t>.</w:t>
      </w:r>
      <w:r w:rsidRPr="00AA7A93">
        <w:tab/>
      </w:r>
      <w:r w:rsidR="00E819C1" w:rsidRPr="00AA7A93">
        <w:t>Déplacement et non</w:t>
      </w:r>
      <w:r w:rsidR="00E819C1" w:rsidRPr="00AA7A93">
        <w:noBreakHyphen/>
        <w:t>retour illicites (art. 11)</w:t>
      </w:r>
      <w:bookmarkEnd w:id="236"/>
      <w:bookmarkEnd w:id="237"/>
    </w:p>
    <w:p w:rsidR="00E819C1" w:rsidRPr="00F13D2D" w:rsidRDefault="0055270C" w:rsidP="0055270C">
      <w:pPr>
        <w:pStyle w:val="SingleTxtG"/>
        <w:rPr>
          <w:rFonts w:eastAsia="Calibri"/>
          <w:lang w:val="fr-FR"/>
        </w:rPr>
      </w:pPr>
      <w:r w:rsidRPr="00F13D2D">
        <w:rPr>
          <w:rFonts w:eastAsia="Calibri"/>
          <w:lang w:val="fr-FR"/>
        </w:rPr>
        <w:t>136.</w:t>
      </w:r>
      <w:r w:rsidRPr="00F13D2D">
        <w:rPr>
          <w:rFonts w:eastAsia="Calibri"/>
          <w:lang w:val="fr-FR"/>
        </w:rPr>
        <w:tab/>
      </w:r>
      <w:r w:rsidR="00E819C1" w:rsidRPr="00F13D2D">
        <w:rPr>
          <w:rFonts w:eastAsia="Calibri"/>
          <w:lang w:val="fr-FR"/>
        </w:rPr>
        <w:t xml:space="preserve">La Mauritanie a conclu un accord avec les </w:t>
      </w:r>
      <w:proofErr w:type="spellStart"/>
      <w:r w:rsidR="00E819C1" w:rsidRPr="00F13D2D">
        <w:rPr>
          <w:rFonts w:eastAsia="Calibri"/>
          <w:lang w:val="fr-FR"/>
        </w:rPr>
        <w:t>Emirats</w:t>
      </w:r>
      <w:proofErr w:type="spellEnd"/>
      <w:r w:rsidR="00E819C1" w:rsidRPr="00F13D2D">
        <w:rPr>
          <w:rFonts w:eastAsia="Calibri"/>
          <w:lang w:val="fr-FR"/>
        </w:rPr>
        <w:t xml:space="preserve"> arabes unies qui a permis de mettre fin au trafic des enfants</w:t>
      </w:r>
      <w:r w:rsidR="006C160E" w:rsidRPr="00F13D2D">
        <w:rPr>
          <w:rFonts w:eastAsia="Calibri"/>
          <w:lang w:val="fr-FR"/>
        </w:rPr>
        <w:t xml:space="preserve"> </w:t>
      </w:r>
      <w:r w:rsidR="00E819C1" w:rsidRPr="00F13D2D">
        <w:rPr>
          <w:rFonts w:eastAsia="Calibri"/>
          <w:lang w:val="fr-FR"/>
        </w:rPr>
        <w:t>jockeys. Cet accord a permis </w:t>
      </w:r>
      <w:r w:rsidR="00FC0832">
        <w:rPr>
          <w:rFonts w:eastAsia="Calibri"/>
          <w:lang w:val="fr-FR"/>
        </w:rPr>
        <w:t>:</w:t>
      </w:r>
      <w:r w:rsidR="00E819C1" w:rsidRPr="00F13D2D">
        <w:rPr>
          <w:rFonts w:eastAsia="Calibri"/>
          <w:lang w:val="fr-FR"/>
        </w:rPr>
        <w:t xml:space="preserve"> (i) le retour</w:t>
      </w:r>
      <w:r w:rsidR="006C160E" w:rsidRPr="00F13D2D">
        <w:rPr>
          <w:rFonts w:eastAsia="Calibri"/>
          <w:lang w:val="fr-FR"/>
        </w:rPr>
        <w:t xml:space="preserve"> </w:t>
      </w:r>
      <w:r w:rsidR="00E819C1" w:rsidRPr="00F13D2D">
        <w:rPr>
          <w:rFonts w:eastAsia="Calibri"/>
          <w:lang w:val="fr-FR"/>
        </w:rPr>
        <w:t xml:space="preserve">de 530 enfants qui étaient utilisés dans le cadre de la course des chameaux, (ii) l’indemnisation de leurs parents. Par ailleurs, dans le cadre de la résolution de la question des </w:t>
      </w:r>
      <w:proofErr w:type="spellStart"/>
      <w:r w:rsidR="00E819C1" w:rsidRPr="00F13D2D">
        <w:rPr>
          <w:rFonts w:eastAsia="Calibri"/>
          <w:lang w:val="fr-FR"/>
        </w:rPr>
        <w:t>refugiés</w:t>
      </w:r>
      <w:proofErr w:type="spellEnd"/>
      <w:r w:rsidR="00E819C1" w:rsidRPr="00F13D2D">
        <w:rPr>
          <w:rFonts w:eastAsia="Calibri"/>
          <w:lang w:val="fr-FR"/>
        </w:rPr>
        <w:t xml:space="preserve"> mauritaniens </w:t>
      </w:r>
      <w:r w:rsidR="00E819C1" w:rsidRPr="00F13D2D">
        <w:rPr>
          <w:rFonts w:eastAsia="Calibri"/>
          <w:lang w:val="fr-FR"/>
        </w:rPr>
        <w:lastRenderedPageBreak/>
        <w:t>au Sénégal, la Mauritanie a conclu un accord tripartite avec le Sénégal et le HCR pour le rapatriement de tous les mauritaniens y compris les enfants qui se trouvaient au Sénégal suite aux événements douloureux de 1988. Ces deux accords ont permis de faciliter le retour des enfants dans leur pays. Ils constituent la ligne de conduite des Pouvoirs Publics en cas de déplacement des enfants.</w:t>
      </w:r>
    </w:p>
    <w:p w:rsidR="00E819C1" w:rsidRPr="00F13D2D" w:rsidRDefault="0055270C" w:rsidP="0055270C">
      <w:pPr>
        <w:pStyle w:val="SingleTxtG"/>
        <w:rPr>
          <w:rFonts w:eastAsia="Calibri"/>
          <w:lang w:val="fr-FR"/>
        </w:rPr>
      </w:pPr>
      <w:r w:rsidRPr="00F13D2D">
        <w:rPr>
          <w:rFonts w:eastAsia="Calibri"/>
          <w:lang w:val="fr-FR"/>
        </w:rPr>
        <w:t>137.</w:t>
      </w:r>
      <w:r w:rsidRPr="00F13D2D">
        <w:rPr>
          <w:rFonts w:eastAsia="Calibri"/>
          <w:lang w:val="fr-FR"/>
        </w:rPr>
        <w:tab/>
      </w:r>
      <w:r w:rsidR="00E819C1" w:rsidRPr="00F13D2D">
        <w:rPr>
          <w:rFonts w:eastAsia="Calibri"/>
          <w:lang w:val="fr-FR"/>
        </w:rPr>
        <w:t xml:space="preserve">Les </w:t>
      </w:r>
      <w:r w:rsidR="00BE3A4F" w:rsidRPr="00F13D2D">
        <w:rPr>
          <w:rFonts w:eastAsia="Calibri"/>
          <w:lang w:val="fr-FR"/>
        </w:rPr>
        <w:t>réfugiés</w:t>
      </w:r>
      <w:r w:rsidR="00E819C1" w:rsidRPr="00F13D2D">
        <w:rPr>
          <w:rFonts w:eastAsia="Calibri"/>
          <w:lang w:val="fr-FR"/>
        </w:rPr>
        <w:t xml:space="preserve"> maliens dans les camps de M’</w:t>
      </w:r>
      <w:proofErr w:type="spellStart"/>
      <w:r w:rsidR="00E819C1" w:rsidRPr="00F13D2D">
        <w:rPr>
          <w:rFonts w:eastAsia="Calibri"/>
          <w:lang w:val="fr-FR"/>
        </w:rPr>
        <w:t>Berra</w:t>
      </w:r>
      <w:proofErr w:type="spellEnd"/>
      <w:r w:rsidR="00E819C1" w:rsidRPr="00F13D2D">
        <w:rPr>
          <w:rFonts w:eastAsia="Calibri"/>
          <w:lang w:val="fr-FR"/>
        </w:rPr>
        <w:t xml:space="preserve"> et </w:t>
      </w:r>
      <w:proofErr w:type="spellStart"/>
      <w:r w:rsidR="00E819C1" w:rsidRPr="00F13D2D">
        <w:rPr>
          <w:rFonts w:eastAsia="Calibri"/>
          <w:lang w:val="fr-FR"/>
        </w:rPr>
        <w:t>Bassiknou</w:t>
      </w:r>
      <w:proofErr w:type="spellEnd"/>
      <w:r w:rsidR="00E819C1" w:rsidRPr="00F13D2D">
        <w:rPr>
          <w:rFonts w:eastAsia="Calibri"/>
          <w:lang w:val="fr-FR"/>
        </w:rPr>
        <w:t xml:space="preserve"> reçoivent les services de santé, d’éducation et d’alimentation fournis par l’</w:t>
      </w:r>
      <w:r w:rsidR="00AB4E57">
        <w:rPr>
          <w:rFonts w:eastAsia="Calibri"/>
          <w:lang w:val="fr-FR"/>
        </w:rPr>
        <w:t>État</w:t>
      </w:r>
      <w:r w:rsidR="00E819C1" w:rsidRPr="00F13D2D">
        <w:rPr>
          <w:rFonts w:eastAsia="Calibri"/>
          <w:lang w:val="fr-FR"/>
        </w:rPr>
        <w:t xml:space="preserve">. </w:t>
      </w:r>
    </w:p>
    <w:p w:rsidR="00E819C1" w:rsidRPr="00AA7A93" w:rsidRDefault="00BE3A4F" w:rsidP="00AA7A93">
      <w:pPr>
        <w:pStyle w:val="H1G"/>
        <w:rPr>
          <w:rFonts w:eastAsia="Calibri"/>
        </w:rPr>
      </w:pPr>
      <w:bookmarkStart w:id="238" w:name="_Toc453672954"/>
      <w:r w:rsidRPr="000E17DF">
        <w:rPr>
          <w:rFonts w:eastAsia="Calibri"/>
        </w:rPr>
        <w:tab/>
      </w:r>
      <w:r w:rsidR="00E819C1" w:rsidRPr="00E06F1B">
        <w:rPr>
          <w:rFonts w:eastAsia="Calibri"/>
        </w:rPr>
        <w:t>I</w:t>
      </w:r>
      <w:r w:rsidRPr="00AA7A93">
        <w:rPr>
          <w:rFonts w:eastAsia="Calibri"/>
        </w:rPr>
        <w:t>.</w:t>
      </w:r>
      <w:r w:rsidRPr="00AA7A93">
        <w:rPr>
          <w:rFonts w:eastAsia="Calibri"/>
        </w:rPr>
        <w:tab/>
      </w:r>
      <w:r w:rsidR="00E819C1" w:rsidRPr="00AA7A93">
        <w:rPr>
          <w:rFonts w:eastAsia="Calibri"/>
        </w:rPr>
        <w:t>Sévices ou délaissement (art.</w:t>
      </w:r>
      <w:r w:rsidR="00822918">
        <w:rPr>
          <w:rFonts w:eastAsia="Calibri"/>
        </w:rPr>
        <w:t> </w:t>
      </w:r>
      <w:r w:rsidR="00E819C1" w:rsidRPr="00E06F1B">
        <w:rPr>
          <w:rFonts w:eastAsia="Calibri"/>
        </w:rPr>
        <w:t>19), y compris réadaptation</w:t>
      </w:r>
      <w:r w:rsidRPr="00AA7A93">
        <w:rPr>
          <w:rFonts w:eastAsia="Calibri"/>
        </w:rPr>
        <w:t xml:space="preserve"> </w:t>
      </w:r>
      <w:r w:rsidR="00490D6F">
        <w:rPr>
          <w:rFonts w:eastAsia="Calibri"/>
        </w:rPr>
        <w:t>physique et </w:t>
      </w:r>
      <w:r w:rsidR="00E819C1" w:rsidRPr="00AA7A93">
        <w:rPr>
          <w:rFonts w:eastAsia="Calibri"/>
        </w:rPr>
        <w:t>psychologique et réinsertion sociale (art.</w:t>
      </w:r>
      <w:r w:rsidR="00822918">
        <w:rPr>
          <w:rFonts w:eastAsia="Calibri"/>
        </w:rPr>
        <w:t> </w:t>
      </w:r>
      <w:r w:rsidR="00E819C1" w:rsidRPr="00E06F1B">
        <w:rPr>
          <w:rFonts w:eastAsia="Calibri"/>
        </w:rPr>
        <w:t>39)</w:t>
      </w:r>
      <w:bookmarkEnd w:id="238"/>
    </w:p>
    <w:p w:rsidR="00E819C1" w:rsidRPr="00F13D2D" w:rsidRDefault="0055270C" w:rsidP="0055270C">
      <w:pPr>
        <w:pStyle w:val="SingleTxtG"/>
        <w:rPr>
          <w:rFonts w:eastAsia="Calibri"/>
          <w:lang w:val="fr-FR"/>
        </w:rPr>
      </w:pPr>
      <w:r w:rsidRPr="00F13D2D">
        <w:rPr>
          <w:rFonts w:eastAsia="Calibri"/>
          <w:lang w:val="fr-FR"/>
        </w:rPr>
        <w:t>138.</w:t>
      </w:r>
      <w:r w:rsidRPr="00F13D2D">
        <w:rPr>
          <w:rFonts w:eastAsia="Calibri"/>
          <w:lang w:val="fr-FR"/>
        </w:rPr>
        <w:tab/>
      </w:r>
      <w:r w:rsidR="00E819C1" w:rsidRPr="00F13D2D">
        <w:rPr>
          <w:rFonts w:eastAsia="Calibri"/>
          <w:lang w:val="fr-FR"/>
        </w:rPr>
        <w:t>Le cadre stratégique et politique prend en compte la dimension genre et lutte contre la violence</w:t>
      </w:r>
      <w:r w:rsidR="006C160E" w:rsidRPr="00F13D2D">
        <w:rPr>
          <w:rFonts w:eastAsia="Calibri"/>
          <w:lang w:val="fr-FR"/>
        </w:rPr>
        <w:t xml:space="preserve"> </w:t>
      </w:r>
      <w:r w:rsidR="00E819C1" w:rsidRPr="00F13D2D">
        <w:rPr>
          <w:rFonts w:eastAsia="Calibri"/>
          <w:lang w:val="fr-FR"/>
        </w:rPr>
        <w:t xml:space="preserve">sur les enfants. </w:t>
      </w:r>
    </w:p>
    <w:p w:rsidR="00E819C1" w:rsidRPr="00F13D2D" w:rsidRDefault="0055270C" w:rsidP="0055270C">
      <w:pPr>
        <w:pStyle w:val="SingleTxtG"/>
        <w:rPr>
          <w:rFonts w:eastAsia="Calibri"/>
          <w:lang w:val="fr-FR"/>
        </w:rPr>
      </w:pPr>
      <w:r w:rsidRPr="00F13D2D">
        <w:rPr>
          <w:rFonts w:eastAsia="Calibri"/>
          <w:lang w:val="fr-FR"/>
        </w:rPr>
        <w:t>139.</w:t>
      </w:r>
      <w:r w:rsidRPr="00F13D2D">
        <w:rPr>
          <w:rFonts w:eastAsia="Calibri"/>
          <w:lang w:val="fr-FR"/>
        </w:rPr>
        <w:tab/>
      </w:r>
      <w:r w:rsidR="00133C21" w:rsidRPr="00F13D2D">
        <w:rPr>
          <w:rFonts w:eastAsia="Calibri"/>
          <w:lang w:val="fr-FR"/>
        </w:rPr>
        <w:t xml:space="preserve">Le </w:t>
      </w:r>
      <w:r w:rsidR="00E819C1" w:rsidRPr="00F13D2D">
        <w:rPr>
          <w:rFonts w:eastAsia="Calibri"/>
          <w:lang w:val="fr-FR"/>
        </w:rPr>
        <w:t>CARSEC assure</w:t>
      </w:r>
      <w:r w:rsidR="006C160E" w:rsidRPr="00F13D2D">
        <w:rPr>
          <w:rFonts w:eastAsia="Calibri"/>
          <w:lang w:val="fr-FR"/>
        </w:rPr>
        <w:t xml:space="preserve"> </w:t>
      </w:r>
      <w:r w:rsidR="00E819C1" w:rsidRPr="00F13D2D">
        <w:rPr>
          <w:rFonts w:eastAsia="Calibri"/>
          <w:lang w:val="fr-FR"/>
        </w:rPr>
        <w:t>la rééducation des enfants en conflit avec la loi.</w:t>
      </w:r>
      <w:r w:rsidR="00400D35">
        <w:rPr>
          <w:rFonts w:eastAsia="Calibri"/>
          <w:lang w:val="fr-FR"/>
        </w:rPr>
        <w:t xml:space="preserve"> </w:t>
      </w:r>
      <w:r w:rsidR="00E819C1" w:rsidRPr="00F13D2D">
        <w:rPr>
          <w:rFonts w:eastAsia="Calibri"/>
          <w:lang w:val="fr-FR"/>
        </w:rPr>
        <w:t>Le CSP</w:t>
      </w:r>
      <w:r w:rsidR="006C160E" w:rsidRPr="00F13D2D">
        <w:rPr>
          <w:rFonts w:eastAsia="Calibri"/>
          <w:lang w:val="fr-FR"/>
        </w:rPr>
        <w:t xml:space="preserve"> </w:t>
      </w:r>
      <w:r w:rsidR="00E819C1" w:rsidRPr="00F13D2D">
        <w:rPr>
          <w:rFonts w:eastAsia="Calibri"/>
          <w:lang w:val="fr-FR"/>
        </w:rPr>
        <w:t>comprend une série de</w:t>
      </w:r>
      <w:r w:rsidR="006C160E" w:rsidRPr="00F13D2D">
        <w:rPr>
          <w:rFonts w:eastAsia="Calibri"/>
          <w:lang w:val="fr-FR"/>
        </w:rPr>
        <w:t xml:space="preserve"> </w:t>
      </w:r>
      <w:r w:rsidR="00E819C1" w:rsidRPr="00F13D2D">
        <w:rPr>
          <w:rFonts w:eastAsia="Calibri"/>
          <w:lang w:val="fr-FR"/>
        </w:rPr>
        <w:t>dispositions visant à prévenir les situations pouvant</w:t>
      </w:r>
      <w:r w:rsidR="006C160E" w:rsidRPr="00F13D2D">
        <w:rPr>
          <w:rFonts w:eastAsia="Calibri"/>
          <w:lang w:val="fr-FR"/>
        </w:rPr>
        <w:t xml:space="preserve"> </w:t>
      </w:r>
      <w:r w:rsidR="00E819C1" w:rsidRPr="00F13D2D">
        <w:rPr>
          <w:rFonts w:eastAsia="Calibri"/>
          <w:lang w:val="fr-FR"/>
        </w:rPr>
        <w:t>exposer les enfants à la violence.</w:t>
      </w:r>
      <w:r w:rsidR="006C160E" w:rsidRPr="00F13D2D">
        <w:rPr>
          <w:rFonts w:eastAsia="Calibri"/>
          <w:lang w:val="fr-FR"/>
        </w:rPr>
        <w:t xml:space="preserve"> </w:t>
      </w:r>
      <w:r w:rsidR="00E819C1" w:rsidRPr="00F13D2D">
        <w:rPr>
          <w:rFonts w:eastAsia="Calibri"/>
          <w:lang w:val="fr-FR"/>
        </w:rPr>
        <w:t xml:space="preserve">Le </w:t>
      </w:r>
      <w:r w:rsidR="00D20B03" w:rsidRPr="00F13D2D">
        <w:rPr>
          <w:rFonts w:eastAsia="Calibri"/>
          <w:lang w:val="fr-FR"/>
        </w:rPr>
        <w:t xml:space="preserve">Code </w:t>
      </w:r>
      <w:r w:rsidR="00E819C1" w:rsidRPr="00F13D2D">
        <w:rPr>
          <w:rFonts w:eastAsia="Calibri"/>
          <w:lang w:val="fr-FR"/>
        </w:rPr>
        <w:t>du travail interdit le travail des enfants de moins de 16 ans. Les articles 525,</w:t>
      </w:r>
      <w:r w:rsidR="006C160E" w:rsidRPr="00F13D2D">
        <w:rPr>
          <w:rFonts w:eastAsia="Calibri"/>
          <w:lang w:val="fr-FR"/>
        </w:rPr>
        <w:t xml:space="preserve"> </w:t>
      </w:r>
      <w:r w:rsidR="00E819C1" w:rsidRPr="00F13D2D">
        <w:rPr>
          <w:rFonts w:eastAsia="Calibri"/>
          <w:lang w:val="fr-FR"/>
        </w:rPr>
        <w:t>276, 293, 310, 311, 312, 319, 323, 326, 331, 332 et 334 du Code pénal traitent respectivement de</w:t>
      </w:r>
      <w:r w:rsidR="006C160E" w:rsidRPr="00F13D2D">
        <w:rPr>
          <w:rFonts w:eastAsia="Calibri"/>
          <w:lang w:val="fr-FR"/>
        </w:rPr>
        <w:t xml:space="preserve"> </w:t>
      </w:r>
      <w:r w:rsidR="00E819C1" w:rsidRPr="00F13D2D">
        <w:rPr>
          <w:rFonts w:eastAsia="Calibri"/>
          <w:lang w:val="fr-FR"/>
        </w:rPr>
        <w:t>l’interdiction d’utiliser les enfants pour la mendicité, la condamnation de l’infanticide, de</w:t>
      </w:r>
      <w:r w:rsidR="006C160E" w:rsidRPr="00F13D2D">
        <w:rPr>
          <w:rFonts w:eastAsia="Calibri"/>
          <w:lang w:val="fr-FR"/>
        </w:rPr>
        <w:t xml:space="preserve"> </w:t>
      </w:r>
      <w:r w:rsidR="00E819C1" w:rsidRPr="00F13D2D">
        <w:rPr>
          <w:rFonts w:eastAsia="Calibri"/>
          <w:lang w:val="fr-FR"/>
        </w:rPr>
        <w:t>l’avortement, du viol, du proxénétisme, de la prostitution, de la séquestration, de l’enlèvement</w:t>
      </w:r>
      <w:r w:rsidR="006C160E" w:rsidRPr="00F13D2D">
        <w:rPr>
          <w:rFonts w:eastAsia="Calibri"/>
          <w:lang w:val="fr-FR"/>
        </w:rPr>
        <w:t xml:space="preserve"> </w:t>
      </w:r>
      <w:r w:rsidR="00E819C1" w:rsidRPr="00F13D2D">
        <w:rPr>
          <w:rFonts w:eastAsia="Calibri"/>
          <w:lang w:val="fr-FR"/>
        </w:rPr>
        <w:t xml:space="preserve">et du détournement d’enfants. Le </w:t>
      </w:r>
      <w:r w:rsidR="00D20B03" w:rsidRPr="00F13D2D">
        <w:rPr>
          <w:rFonts w:eastAsia="Calibri"/>
          <w:lang w:val="fr-FR"/>
        </w:rPr>
        <w:t xml:space="preserve">Code </w:t>
      </w:r>
      <w:r w:rsidR="00E819C1" w:rsidRPr="00F13D2D">
        <w:rPr>
          <w:rFonts w:eastAsia="Calibri"/>
          <w:lang w:val="fr-FR"/>
        </w:rPr>
        <w:t>des obligations et des contrats demeure le droit commun des réparations et prévoit</w:t>
      </w:r>
      <w:r w:rsidR="006C160E" w:rsidRPr="00F13D2D">
        <w:rPr>
          <w:rFonts w:eastAsia="Calibri"/>
          <w:lang w:val="fr-FR"/>
        </w:rPr>
        <w:t xml:space="preserve"> </w:t>
      </w:r>
      <w:r w:rsidR="00E819C1" w:rsidRPr="00F13D2D">
        <w:rPr>
          <w:rFonts w:eastAsia="Calibri"/>
          <w:lang w:val="fr-FR"/>
        </w:rPr>
        <w:t>des clauses de dommages-intérêts pour toute victime d’infraction, y compris les enfants. La loi relative à la traite des personnes comprend des</w:t>
      </w:r>
      <w:r w:rsidR="006C160E" w:rsidRPr="00F13D2D">
        <w:rPr>
          <w:rFonts w:eastAsia="Calibri"/>
          <w:lang w:val="fr-FR"/>
        </w:rPr>
        <w:t xml:space="preserve"> </w:t>
      </w:r>
      <w:r w:rsidR="00E819C1" w:rsidRPr="00F13D2D">
        <w:rPr>
          <w:rFonts w:eastAsia="Calibri"/>
          <w:lang w:val="fr-FR"/>
        </w:rPr>
        <w:t>dispositions protectrices et répressives à l’encontre des auteurs de violence sur les enfants</w:t>
      </w:r>
      <w:r w:rsidR="00FC0832">
        <w:rPr>
          <w:rFonts w:eastAsia="Calibri"/>
          <w:lang w:val="fr-FR"/>
        </w:rPr>
        <w:t> :</w:t>
      </w:r>
      <w:r w:rsidR="00E819C1" w:rsidRPr="00F13D2D">
        <w:rPr>
          <w:rFonts w:eastAsia="Calibri"/>
          <w:lang w:val="fr-FR"/>
        </w:rPr>
        <w:t xml:space="preserve"> l’enrôlement, le transport, l’hébergement et l’accueil d’enfants aux fins d’exploitation.</w:t>
      </w:r>
      <w:r w:rsidR="006C160E" w:rsidRPr="00F13D2D">
        <w:rPr>
          <w:rFonts w:eastAsia="Calibri"/>
          <w:lang w:val="fr-FR"/>
        </w:rPr>
        <w:t xml:space="preserve"> </w:t>
      </w:r>
      <w:r w:rsidR="00E819C1" w:rsidRPr="00F13D2D">
        <w:rPr>
          <w:rFonts w:eastAsia="Calibri"/>
          <w:lang w:val="fr-FR"/>
        </w:rPr>
        <w:t>L’OPPE met en place un dispositif répressif contre la violence sur les enfants.</w:t>
      </w:r>
    </w:p>
    <w:p w:rsidR="00E819C1" w:rsidRPr="00F13D2D" w:rsidRDefault="0055270C" w:rsidP="0055270C">
      <w:pPr>
        <w:pStyle w:val="SingleTxtG"/>
        <w:rPr>
          <w:rFonts w:eastAsia="Calibri"/>
          <w:lang w:val="fr-FR"/>
        </w:rPr>
      </w:pPr>
      <w:r w:rsidRPr="00F13D2D">
        <w:rPr>
          <w:rFonts w:eastAsia="Calibri"/>
          <w:lang w:val="fr-FR"/>
        </w:rPr>
        <w:t>140.</w:t>
      </w:r>
      <w:r w:rsidRPr="00F13D2D">
        <w:rPr>
          <w:rFonts w:eastAsia="Calibri"/>
          <w:lang w:val="fr-FR"/>
        </w:rPr>
        <w:tab/>
      </w:r>
      <w:r w:rsidR="00E819C1" w:rsidRPr="00F13D2D">
        <w:rPr>
          <w:rFonts w:eastAsia="Calibri"/>
          <w:lang w:val="fr-FR"/>
        </w:rPr>
        <w:t xml:space="preserve">La vente et la traite des enfants font l’objet d’une réglementation répressive aux termes de loi portant répression de la traite des personnes. Le </w:t>
      </w:r>
      <w:r w:rsidR="00D20B03" w:rsidRPr="00F13D2D">
        <w:rPr>
          <w:rFonts w:eastAsia="Calibri"/>
          <w:lang w:val="fr-FR"/>
        </w:rPr>
        <w:t xml:space="preserve">Code </w:t>
      </w:r>
      <w:r w:rsidR="00E819C1" w:rsidRPr="00F13D2D">
        <w:rPr>
          <w:rFonts w:eastAsia="Calibri"/>
          <w:lang w:val="fr-FR"/>
        </w:rPr>
        <w:t>pénal réprime en outre les abus sexuels, y compris la prostitution, le proxénétisme. L’OPPE fournit des détails au sujet de cette</w:t>
      </w:r>
      <w:r w:rsidR="006C160E" w:rsidRPr="00F13D2D">
        <w:rPr>
          <w:rFonts w:eastAsia="Calibri"/>
          <w:lang w:val="fr-FR"/>
        </w:rPr>
        <w:t xml:space="preserve"> </w:t>
      </w:r>
      <w:r w:rsidR="00E819C1" w:rsidRPr="00F13D2D">
        <w:rPr>
          <w:rFonts w:eastAsia="Calibri"/>
          <w:lang w:val="fr-FR"/>
        </w:rPr>
        <w:t>violence et</w:t>
      </w:r>
      <w:r w:rsidR="006C160E" w:rsidRPr="00F13D2D">
        <w:rPr>
          <w:rFonts w:eastAsia="Calibri"/>
          <w:lang w:val="fr-FR"/>
        </w:rPr>
        <w:t xml:space="preserve"> </w:t>
      </w:r>
      <w:r w:rsidR="00E819C1" w:rsidRPr="00F13D2D">
        <w:rPr>
          <w:rFonts w:eastAsia="Calibri"/>
          <w:lang w:val="fr-FR"/>
        </w:rPr>
        <w:t xml:space="preserve">prévoit des sanctions sévères à l’encontre de leurs auteurs et ce conformément à la deuxième recommandation de l’étude du Secrétaire Général des nations sur la violence contre les enfants. </w:t>
      </w:r>
    </w:p>
    <w:p w:rsidR="00E819C1" w:rsidRPr="00F13D2D" w:rsidRDefault="0055270C" w:rsidP="0055270C">
      <w:pPr>
        <w:pStyle w:val="SingleTxtG"/>
        <w:rPr>
          <w:rFonts w:eastAsia="Calibri"/>
          <w:lang w:val="fr-FR"/>
        </w:rPr>
      </w:pPr>
      <w:r w:rsidRPr="00F13D2D">
        <w:rPr>
          <w:rFonts w:eastAsia="Calibri"/>
          <w:lang w:val="fr-FR"/>
        </w:rPr>
        <w:t>141.</w:t>
      </w:r>
      <w:r w:rsidRPr="00F13D2D">
        <w:rPr>
          <w:rFonts w:eastAsia="Calibri"/>
          <w:lang w:val="fr-FR"/>
        </w:rPr>
        <w:tab/>
      </w:r>
      <w:r w:rsidR="00E819C1" w:rsidRPr="00F13D2D">
        <w:rPr>
          <w:rFonts w:eastAsia="Calibri"/>
          <w:lang w:val="fr-FR"/>
        </w:rPr>
        <w:t>Le MASEF dispose de plusieurs assistants sociaux et aides assistants sociaux dont la</w:t>
      </w:r>
      <w:r w:rsidR="006C160E" w:rsidRPr="00F13D2D">
        <w:rPr>
          <w:rFonts w:eastAsia="Calibri"/>
          <w:lang w:val="fr-FR"/>
        </w:rPr>
        <w:t xml:space="preserve"> </w:t>
      </w:r>
      <w:r w:rsidR="00E819C1" w:rsidRPr="00F13D2D">
        <w:rPr>
          <w:rFonts w:eastAsia="Calibri"/>
          <w:lang w:val="fr-FR"/>
        </w:rPr>
        <w:t xml:space="preserve">mission est, entre autres, de fournir des informations détaillées sur les abus contre les enfants. </w:t>
      </w:r>
    </w:p>
    <w:p w:rsidR="00E819C1" w:rsidRPr="00E06F1B" w:rsidRDefault="00BE3A4F" w:rsidP="00AA7A93">
      <w:pPr>
        <w:pStyle w:val="H23G"/>
      </w:pPr>
      <w:bookmarkStart w:id="239" w:name="_Toc453672955"/>
      <w:bookmarkStart w:id="240" w:name="_Toc454388797"/>
      <w:r w:rsidRPr="000E17DF">
        <w:tab/>
      </w:r>
      <w:r w:rsidR="00E819C1" w:rsidRPr="00F13D2D">
        <w:t>1</w:t>
      </w:r>
      <w:r w:rsidRPr="00F13D2D">
        <w:t>.</w:t>
      </w:r>
      <w:r w:rsidRPr="00F13D2D">
        <w:tab/>
      </w:r>
      <w:r w:rsidR="00E819C1" w:rsidRPr="00F13D2D">
        <w:t>Cadre institutionnel de protection des enfants contre la violence</w:t>
      </w:r>
      <w:bookmarkEnd w:id="239"/>
      <w:bookmarkEnd w:id="240"/>
    </w:p>
    <w:p w:rsidR="00E819C1" w:rsidRPr="00F13D2D" w:rsidRDefault="0055270C" w:rsidP="0055270C">
      <w:pPr>
        <w:pStyle w:val="SingleTxtG"/>
        <w:rPr>
          <w:rFonts w:eastAsia="Calibri"/>
          <w:lang w:val="fr-FR"/>
        </w:rPr>
      </w:pPr>
      <w:r w:rsidRPr="00F13D2D">
        <w:rPr>
          <w:rFonts w:eastAsia="Calibri"/>
          <w:lang w:val="fr-FR"/>
        </w:rPr>
        <w:t>142.</w:t>
      </w:r>
      <w:r w:rsidRPr="00F13D2D">
        <w:rPr>
          <w:rFonts w:eastAsia="Calibri"/>
          <w:lang w:val="fr-FR"/>
        </w:rPr>
        <w:tab/>
      </w:r>
      <w:r w:rsidR="00E819C1" w:rsidRPr="00F13D2D">
        <w:rPr>
          <w:rFonts w:eastAsia="Calibri"/>
          <w:lang w:val="fr-FR"/>
        </w:rPr>
        <w:t>Le MASEF est chargé du suivi et de l’application de la CDE, en</w:t>
      </w:r>
      <w:r w:rsidR="006C160E" w:rsidRPr="00F13D2D">
        <w:rPr>
          <w:rFonts w:eastAsia="Calibri"/>
          <w:lang w:val="fr-FR"/>
        </w:rPr>
        <w:t xml:space="preserve"> </w:t>
      </w:r>
      <w:r w:rsidR="00E819C1" w:rsidRPr="00F13D2D">
        <w:rPr>
          <w:rFonts w:eastAsia="Calibri"/>
          <w:lang w:val="fr-FR"/>
        </w:rPr>
        <w:t>collaboration avec les différentes institutions publiques et privées</w:t>
      </w:r>
      <w:r w:rsidR="006C02FE">
        <w:rPr>
          <w:rFonts w:eastAsia="Calibri"/>
          <w:lang w:val="fr-FR"/>
        </w:rPr>
        <w:t> :</w:t>
      </w:r>
      <w:r w:rsidR="00E819C1" w:rsidRPr="00F13D2D">
        <w:rPr>
          <w:rFonts w:eastAsia="Calibri"/>
          <w:lang w:val="fr-FR"/>
        </w:rPr>
        <w:t xml:space="preserve"> (i) le</w:t>
      </w:r>
      <w:r w:rsidR="006C160E" w:rsidRPr="00F13D2D">
        <w:rPr>
          <w:rFonts w:eastAsia="Calibri"/>
          <w:lang w:val="fr-FR"/>
        </w:rPr>
        <w:t xml:space="preserve"> </w:t>
      </w:r>
      <w:r w:rsidR="006C02FE">
        <w:rPr>
          <w:rFonts w:eastAsia="Calibri"/>
          <w:lang w:val="fr-FR"/>
        </w:rPr>
        <w:t>ministère de la justice ;</w:t>
      </w:r>
      <w:r w:rsidR="006C160E" w:rsidRPr="00F13D2D">
        <w:rPr>
          <w:rFonts w:eastAsia="Calibri"/>
          <w:lang w:val="fr-FR"/>
        </w:rPr>
        <w:t xml:space="preserve"> </w:t>
      </w:r>
      <w:r w:rsidR="00E819C1" w:rsidRPr="00F13D2D">
        <w:rPr>
          <w:rFonts w:eastAsia="Calibri"/>
          <w:lang w:val="fr-FR"/>
        </w:rPr>
        <w:t>(ii) le</w:t>
      </w:r>
      <w:r w:rsidR="006C160E" w:rsidRPr="00F13D2D">
        <w:rPr>
          <w:rFonts w:eastAsia="Calibri"/>
          <w:lang w:val="fr-FR"/>
        </w:rPr>
        <w:t xml:space="preserve"> </w:t>
      </w:r>
      <w:r w:rsidR="006C02FE">
        <w:rPr>
          <w:rFonts w:eastAsia="Calibri"/>
          <w:lang w:val="fr-FR"/>
        </w:rPr>
        <w:t>ministère de l’éducation ;</w:t>
      </w:r>
      <w:r w:rsidR="00E819C1" w:rsidRPr="00F13D2D">
        <w:rPr>
          <w:rFonts w:eastAsia="Calibri"/>
          <w:lang w:val="fr-FR"/>
        </w:rPr>
        <w:t xml:space="preserve"> (i</w:t>
      </w:r>
      <w:r w:rsidR="006C02FE">
        <w:rPr>
          <w:rFonts w:eastAsia="Calibri"/>
          <w:lang w:val="fr-FR"/>
        </w:rPr>
        <w:t>ii) le ministère de la jeunesse ; (iv</w:t>
      </w:r>
      <w:r w:rsidR="00E819C1" w:rsidRPr="00F13D2D">
        <w:rPr>
          <w:rFonts w:eastAsia="Calibri"/>
          <w:lang w:val="fr-FR"/>
        </w:rPr>
        <w:t>) le commissariat</w:t>
      </w:r>
      <w:r w:rsidR="006C160E" w:rsidRPr="00F13D2D">
        <w:rPr>
          <w:rFonts w:eastAsia="Calibri"/>
          <w:lang w:val="fr-FR"/>
        </w:rPr>
        <w:t xml:space="preserve"> </w:t>
      </w:r>
      <w:r w:rsidR="00E819C1" w:rsidRPr="00F13D2D">
        <w:rPr>
          <w:rFonts w:eastAsia="Calibri"/>
          <w:lang w:val="fr-FR"/>
        </w:rPr>
        <w:t>aux droits de l’homme et à l’action humanitaire. Le ministère de la justice, le ministère de l’éducation nationale et le ministère de la jeunesse</w:t>
      </w:r>
      <w:r w:rsidR="006C160E" w:rsidRPr="00F13D2D">
        <w:rPr>
          <w:rFonts w:eastAsia="Calibri"/>
          <w:lang w:val="fr-FR"/>
        </w:rPr>
        <w:t xml:space="preserve"> </w:t>
      </w:r>
      <w:r w:rsidR="00E819C1" w:rsidRPr="00F13D2D">
        <w:rPr>
          <w:rFonts w:eastAsia="Calibri"/>
          <w:lang w:val="fr-FR"/>
        </w:rPr>
        <w:t>ont chacun pour sa part un service chargé de la question de la</w:t>
      </w:r>
      <w:r w:rsidR="006C160E" w:rsidRPr="00F13D2D">
        <w:rPr>
          <w:rFonts w:eastAsia="Calibri"/>
          <w:lang w:val="fr-FR"/>
        </w:rPr>
        <w:t xml:space="preserve"> </w:t>
      </w:r>
      <w:r w:rsidR="00E819C1" w:rsidRPr="00F13D2D">
        <w:rPr>
          <w:rFonts w:eastAsia="Calibri"/>
          <w:lang w:val="fr-FR"/>
        </w:rPr>
        <w:t>violence à l’égard des enfants.</w:t>
      </w:r>
      <w:r w:rsidR="006C160E" w:rsidRPr="00F13D2D">
        <w:rPr>
          <w:rFonts w:eastAsia="Calibri"/>
          <w:lang w:val="fr-FR"/>
        </w:rPr>
        <w:t xml:space="preserve"> </w:t>
      </w:r>
      <w:r w:rsidR="00E819C1" w:rsidRPr="00F13D2D">
        <w:rPr>
          <w:rFonts w:eastAsia="Calibri"/>
          <w:lang w:val="fr-FR"/>
        </w:rPr>
        <w:t>Des instances publiques consultativ</w:t>
      </w:r>
      <w:r w:rsidR="006C02FE">
        <w:rPr>
          <w:rFonts w:eastAsia="Calibri"/>
          <w:lang w:val="fr-FR"/>
        </w:rPr>
        <w:t>es comme</w:t>
      </w:r>
      <w:r w:rsidR="00E819C1" w:rsidRPr="00F13D2D">
        <w:rPr>
          <w:rFonts w:eastAsia="Calibri"/>
          <w:lang w:val="fr-FR"/>
        </w:rPr>
        <w:t xml:space="preserve"> le conseil national de l’enfance</w:t>
      </w:r>
      <w:r w:rsidR="00343BA6">
        <w:rPr>
          <w:rFonts w:eastAsia="Calibri"/>
          <w:lang w:val="fr-FR"/>
        </w:rPr>
        <w:t xml:space="preserve"> </w:t>
      </w:r>
      <w:r w:rsidR="00E819C1" w:rsidRPr="00F13D2D">
        <w:rPr>
          <w:rFonts w:eastAsia="Calibri"/>
          <w:lang w:val="fr-FR"/>
        </w:rPr>
        <w:t>(CNE)</w:t>
      </w:r>
      <w:r w:rsidR="006C160E" w:rsidRPr="00F13D2D">
        <w:rPr>
          <w:rFonts w:eastAsia="Calibri"/>
          <w:lang w:val="fr-FR"/>
        </w:rPr>
        <w:t xml:space="preserve"> </w:t>
      </w:r>
      <w:r w:rsidR="0036795C">
        <w:rPr>
          <w:rFonts w:eastAsia="Calibri"/>
          <w:lang w:val="fr-FR"/>
        </w:rPr>
        <w:t>organe créé</w:t>
      </w:r>
      <w:r w:rsidR="006C160E" w:rsidRPr="00F13D2D">
        <w:rPr>
          <w:rFonts w:eastAsia="Calibri"/>
          <w:lang w:val="fr-FR"/>
        </w:rPr>
        <w:t xml:space="preserve"> </w:t>
      </w:r>
      <w:r w:rsidR="00E819C1" w:rsidRPr="00F13D2D">
        <w:rPr>
          <w:rFonts w:eastAsia="Calibri"/>
          <w:lang w:val="fr-FR"/>
        </w:rPr>
        <w:t>auprès de la Primature sont égalem</w:t>
      </w:r>
      <w:r w:rsidR="006C02FE">
        <w:rPr>
          <w:rFonts w:eastAsia="Calibri"/>
          <w:lang w:val="fr-FR"/>
        </w:rPr>
        <w:t xml:space="preserve">ent des mécanismes officiels. </w:t>
      </w:r>
      <w:r w:rsidR="00E819C1" w:rsidRPr="00F13D2D">
        <w:rPr>
          <w:rFonts w:eastAsia="Calibri"/>
          <w:lang w:val="fr-FR"/>
        </w:rPr>
        <w:t>Il existe deux groupes pa</w:t>
      </w:r>
      <w:r w:rsidR="006C02FE">
        <w:rPr>
          <w:rFonts w:eastAsia="Calibri"/>
          <w:lang w:val="fr-FR"/>
        </w:rPr>
        <w:t xml:space="preserve">rlementaires pour l’enfance. </w:t>
      </w:r>
      <w:r w:rsidR="00E819C1" w:rsidRPr="00F13D2D">
        <w:rPr>
          <w:rFonts w:eastAsia="Calibri"/>
          <w:lang w:val="fr-FR"/>
        </w:rPr>
        <w:t>Une Association de</w:t>
      </w:r>
      <w:r w:rsidR="00343BA6">
        <w:rPr>
          <w:rFonts w:eastAsia="Calibri"/>
          <w:lang w:val="fr-FR"/>
        </w:rPr>
        <w:t>s Maires Défenseurs de l’Enfant</w:t>
      </w:r>
      <w:r w:rsidR="00E819C1" w:rsidRPr="00F13D2D">
        <w:rPr>
          <w:rFonts w:eastAsia="Calibri"/>
          <w:lang w:val="fr-FR"/>
        </w:rPr>
        <w:t xml:space="preserve"> regroupe la quasi-totalité des Maires.</w:t>
      </w:r>
      <w:r w:rsidR="006C160E" w:rsidRPr="00F13D2D">
        <w:rPr>
          <w:rFonts w:eastAsia="Calibri"/>
          <w:lang w:val="fr-FR"/>
        </w:rPr>
        <w:t xml:space="preserve"> </w:t>
      </w:r>
      <w:r w:rsidR="00E819C1" w:rsidRPr="00F13D2D">
        <w:rPr>
          <w:rFonts w:eastAsia="Calibri"/>
          <w:lang w:val="fr-FR"/>
        </w:rPr>
        <w:t>La coordination entre ces différentes structures se fait sur la base d’échanges périodiques des</w:t>
      </w:r>
      <w:r w:rsidR="006C160E" w:rsidRPr="00F13D2D">
        <w:rPr>
          <w:rFonts w:eastAsia="Calibri"/>
          <w:lang w:val="fr-FR"/>
        </w:rPr>
        <w:t xml:space="preserve"> </w:t>
      </w:r>
      <w:r w:rsidR="00E819C1" w:rsidRPr="00F13D2D">
        <w:rPr>
          <w:rFonts w:eastAsia="Calibri"/>
          <w:lang w:val="fr-FR"/>
        </w:rPr>
        <w:t>données, de rencontres diverses dans des séminaires, consacrés à la question de la violence à sur les enfants.</w:t>
      </w:r>
    </w:p>
    <w:p w:rsidR="00E819C1" w:rsidRPr="00F13D2D" w:rsidRDefault="0055270C" w:rsidP="0055270C">
      <w:pPr>
        <w:pStyle w:val="SingleTxtG"/>
        <w:rPr>
          <w:rFonts w:eastAsia="Calibri"/>
          <w:lang w:val="fr-FR"/>
        </w:rPr>
      </w:pPr>
      <w:r w:rsidRPr="00F13D2D">
        <w:rPr>
          <w:rFonts w:eastAsia="Calibri"/>
          <w:lang w:val="fr-FR"/>
        </w:rPr>
        <w:t>143.</w:t>
      </w:r>
      <w:r w:rsidRPr="00F13D2D">
        <w:rPr>
          <w:rFonts w:eastAsia="Calibri"/>
          <w:lang w:val="fr-FR"/>
        </w:rPr>
        <w:tab/>
      </w:r>
      <w:r w:rsidR="00E819C1" w:rsidRPr="00F13D2D">
        <w:rPr>
          <w:rFonts w:eastAsia="Calibri"/>
          <w:lang w:val="fr-FR"/>
        </w:rPr>
        <w:t>Une part des moyens, affectés de</w:t>
      </w:r>
      <w:r w:rsidR="006C160E" w:rsidRPr="00F13D2D">
        <w:rPr>
          <w:rFonts w:eastAsia="Calibri"/>
          <w:lang w:val="fr-FR"/>
        </w:rPr>
        <w:t xml:space="preserve"> </w:t>
      </w:r>
      <w:r w:rsidR="00E819C1" w:rsidRPr="00F13D2D">
        <w:rPr>
          <w:rFonts w:eastAsia="Calibri"/>
          <w:lang w:val="fr-FR"/>
        </w:rPr>
        <w:t>façon générale à l’enfance, est allouée à la lutte contre la violence à l’égard des enfants.</w:t>
      </w:r>
      <w:r w:rsidR="006C160E" w:rsidRPr="00F13D2D">
        <w:rPr>
          <w:rFonts w:eastAsia="Calibri"/>
          <w:lang w:val="fr-FR"/>
        </w:rPr>
        <w:t xml:space="preserve"> </w:t>
      </w:r>
    </w:p>
    <w:p w:rsidR="00E819C1" w:rsidRPr="00E06F1B" w:rsidRDefault="00BE3A4F" w:rsidP="00AA7A93">
      <w:pPr>
        <w:pStyle w:val="H23G"/>
      </w:pPr>
      <w:bookmarkStart w:id="241" w:name="_Toc453672956"/>
      <w:bookmarkStart w:id="242" w:name="_Toc454388798"/>
      <w:r w:rsidRPr="000E17DF">
        <w:tab/>
      </w:r>
      <w:r w:rsidR="00E819C1" w:rsidRPr="00F13D2D">
        <w:t>2</w:t>
      </w:r>
      <w:r w:rsidRPr="00F13D2D">
        <w:t>.</w:t>
      </w:r>
      <w:r w:rsidRPr="00F13D2D">
        <w:tab/>
      </w:r>
      <w:r w:rsidR="000E1482">
        <w:t>Rôle de la Société c</w:t>
      </w:r>
      <w:r w:rsidR="00E819C1" w:rsidRPr="00F13D2D">
        <w:t>ivile dans la lutte contre la violence à l’égard des enfants</w:t>
      </w:r>
      <w:bookmarkEnd w:id="241"/>
      <w:bookmarkEnd w:id="242"/>
      <w:r w:rsidR="00E819C1" w:rsidRPr="00F13D2D">
        <w:t xml:space="preserve"> </w:t>
      </w:r>
    </w:p>
    <w:p w:rsidR="00E819C1" w:rsidRPr="00F13D2D" w:rsidRDefault="0055270C" w:rsidP="0055270C">
      <w:pPr>
        <w:pStyle w:val="SingleTxtG"/>
        <w:rPr>
          <w:rFonts w:eastAsia="Calibri"/>
          <w:lang w:val="fr-FR"/>
        </w:rPr>
      </w:pPr>
      <w:r w:rsidRPr="00F13D2D">
        <w:rPr>
          <w:rFonts w:eastAsia="Calibri"/>
          <w:lang w:val="fr-FR"/>
        </w:rPr>
        <w:t>144.</w:t>
      </w:r>
      <w:r w:rsidRPr="00F13D2D">
        <w:rPr>
          <w:rFonts w:eastAsia="Calibri"/>
          <w:lang w:val="fr-FR"/>
        </w:rPr>
        <w:tab/>
      </w:r>
      <w:r w:rsidR="000E1482">
        <w:rPr>
          <w:rFonts w:eastAsia="Calibri"/>
          <w:lang w:val="fr-FR"/>
        </w:rPr>
        <w:t>La Société c</w:t>
      </w:r>
      <w:r w:rsidR="00E819C1" w:rsidRPr="00F13D2D">
        <w:rPr>
          <w:rFonts w:eastAsia="Calibri"/>
          <w:lang w:val="fr-FR"/>
        </w:rPr>
        <w:t xml:space="preserve">ivile a entrepris une série d’initiatives pour lutter contre la violence à l’égard des enfants. </w:t>
      </w:r>
      <w:r w:rsidR="000E4C19">
        <w:rPr>
          <w:rFonts w:eastAsia="Calibri"/>
          <w:lang w:val="fr-FR"/>
        </w:rPr>
        <w:t>À</w:t>
      </w:r>
      <w:r w:rsidR="00E819C1" w:rsidRPr="00F13D2D">
        <w:rPr>
          <w:rFonts w:eastAsia="Calibri"/>
          <w:lang w:val="fr-FR"/>
        </w:rPr>
        <w:t xml:space="preserve"> titre d’exemple, l’AMSME a organisé plusieurs</w:t>
      </w:r>
      <w:r w:rsidR="006C160E" w:rsidRPr="00F13D2D">
        <w:rPr>
          <w:rFonts w:eastAsia="Calibri"/>
          <w:lang w:val="fr-FR"/>
        </w:rPr>
        <w:t xml:space="preserve"> </w:t>
      </w:r>
      <w:r w:rsidR="00E819C1" w:rsidRPr="00F13D2D">
        <w:rPr>
          <w:rFonts w:eastAsia="Calibri"/>
          <w:lang w:val="fr-FR"/>
        </w:rPr>
        <w:t>séminaires</w:t>
      </w:r>
      <w:r w:rsidR="006C160E" w:rsidRPr="00F13D2D">
        <w:rPr>
          <w:rFonts w:eastAsia="Calibri"/>
          <w:lang w:val="fr-FR"/>
        </w:rPr>
        <w:t xml:space="preserve"> </w:t>
      </w:r>
      <w:r w:rsidR="00E819C1" w:rsidRPr="00F13D2D">
        <w:rPr>
          <w:rFonts w:eastAsia="Calibri"/>
          <w:lang w:val="fr-FR"/>
        </w:rPr>
        <w:t xml:space="preserve">sur la </w:t>
      </w:r>
      <w:r w:rsidR="00E819C1" w:rsidRPr="00F13D2D">
        <w:rPr>
          <w:rFonts w:eastAsia="Calibri"/>
          <w:lang w:val="fr-FR"/>
        </w:rPr>
        <w:lastRenderedPageBreak/>
        <w:t>violence sexuelle, a ouvert un centre de</w:t>
      </w:r>
      <w:r w:rsidR="006C160E" w:rsidRPr="00F13D2D">
        <w:rPr>
          <w:rFonts w:eastAsia="Calibri"/>
          <w:lang w:val="fr-FR"/>
        </w:rPr>
        <w:t xml:space="preserve"> </w:t>
      </w:r>
      <w:r w:rsidR="00E819C1" w:rsidRPr="00F13D2D">
        <w:rPr>
          <w:rFonts w:eastAsia="Calibri"/>
          <w:lang w:val="fr-FR"/>
        </w:rPr>
        <w:t xml:space="preserve">prise en charge </w:t>
      </w:r>
      <w:proofErr w:type="spellStart"/>
      <w:r w:rsidR="00E819C1" w:rsidRPr="00F13D2D">
        <w:rPr>
          <w:rFonts w:eastAsia="Calibri"/>
          <w:lang w:val="fr-FR"/>
        </w:rPr>
        <w:t>psychosociale</w:t>
      </w:r>
      <w:proofErr w:type="spellEnd"/>
      <w:r w:rsidR="00E819C1" w:rsidRPr="00F13D2D">
        <w:rPr>
          <w:rFonts w:eastAsia="Calibri"/>
          <w:lang w:val="fr-FR"/>
        </w:rPr>
        <w:t xml:space="preserve"> des victimes de viol et a organisé des campagnes de sensibilisation et de formation des groupes concernés (personnel du centre,</w:t>
      </w:r>
      <w:r w:rsidR="006C160E" w:rsidRPr="00F13D2D">
        <w:rPr>
          <w:rFonts w:eastAsia="Calibri"/>
          <w:lang w:val="fr-FR"/>
        </w:rPr>
        <w:t xml:space="preserve"> </w:t>
      </w:r>
      <w:r w:rsidR="00E819C1" w:rsidRPr="00F13D2D">
        <w:rPr>
          <w:rFonts w:eastAsia="Calibri"/>
          <w:lang w:val="fr-FR"/>
        </w:rPr>
        <w:t>médecins). L’Association Nationale pour l’Appui à l’Initiative Féminine pour la Protection Infantile et</w:t>
      </w:r>
      <w:r w:rsidR="006C160E" w:rsidRPr="00F13D2D">
        <w:rPr>
          <w:rFonts w:eastAsia="Calibri"/>
          <w:lang w:val="fr-FR"/>
        </w:rPr>
        <w:t xml:space="preserve"> </w:t>
      </w:r>
      <w:r w:rsidR="00E819C1" w:rsidRPr="00F13D2D">
        <w:rPr>
          <w:rFonts w:eastAsia="Calibri"/>
          <w:lang w:val="fr-FR"/>
        </w:rPr>
        <w:t>Environnementale (ANAIF-PIE) a pour sa part fait des activités de</w:t>
      </w:r>
      <w:r w:rsidR="006C160E" w:rsidRPr="00F13D2D">
        <w:rPr>
          <w:rFonts w:eastAsia="Calibri"/>
          <w:lang w:val="fr-FR"/>
        </w:rPr>
        <w:t xml:space="preserve"> </w:t>
      </w:r>
      <w:r w:rsidR="00E819C1" w:rsidRPr="00F13D2D">
        <w:rPr>
          <w:rFonts w:eastAsia="Calibri"/>
          <w:lang w:val="fr-FR"/>
        </w:rPr>
        <w:t>sensibilisation et constitué des groupes de repérage des enfants victimes.</w:t>
      </w:r>
      <w:r w:rsidR="006C160E" w:rsidRPr="00F13D2D">
        <w:rPr>
          <w:rFonts w:eastAsia="Calibri"/>
          <w:lang w:val="fr-FR"/>
        </w:rPr>
        <w:t xml:space="preserve"> </w:t>
      </w:r>
      <w:r w:rsidR="00E819C1" w:rsidRPr="00F13D2D">
        <w:rPr>
          <w:rFonts w:eastAsia="Calibri"/>
          <w:lang w:val="fr-FR"/>
        </w:rPr>
        <w:t>L’Association Enfants et Développement a réalisé</w:t>
      </w:r>
      <w:r w:rsidR="006C160E" w:rsidRPr="00F13D2D">
        <w:rPr>
          <w:rFonts w:eastAsia="Calibri"/>
          <w:lang w:val="fr-FR"/>
        </w:rPr>
        <w:t xml:space="preserve"> </w:t>
      </w:r>
      <w:r w:rsidR="00E819C1" w:rsidRPr="00F13D2D">
        <w:rPr>
          <w:rFonts w:eastAsia="Calibri"/>
          <w:lang w:val="fr-FR"/>
        </w:rPr>
        <w:t>une étude sur l’identification</w:t>
      </w:r>
      <w:r w:rsidR="006C160E" w:rsidRPr="00F13D2D">
        <w:rPr>
          <w:rFonts w:eastAsia="Calibri"/>
          <w:lang w:val="fr-FR"/>
        </w:rPr>
        <w:t xml:space="preserve"> </w:t>
      </w:r>
      <w:r w:rsidR="00E819C1" w:rsidRPr="00F13D2D">
        <w:rPr>
          <w:rFonts w:eastAsia="Calibri"/>
          <w:lang w:val="fr-FR"/>
        </w:rPr>
        <w:t>des principales formes de violence exercées contre les enfants de la rue.</w:t>
      </w:r>
      <w:r w:rsidR="006C160E" w:rsidRPr="00F13D2D">
        <w:rPr>
          <w:rFonts w:eastAsia="Calibri"/>
          <w:lang w:val="fr-FR"/>
        </w:rPr>
        <w:t xml:space="preserve"> </w:t>
      </w:r>
      <w:r w:rsidR="00E819C1" w:rsidRPr="00F13D2D">
        <w:rPr>
          <w:rFonts w:eastAsia="Calibri"/>
          <w:lang w:val="fr-FR"/>
        </w:rPr>
        <w:t>L’Association des journalistes défenseurs des droits des femmes et des enfants assure une action de sensibilisation à travers des articles parus dans la presse et ce conformément à la quatrième recommandation de l’étude du Secrétaire Général des nations sur la violence contre les enfants. Une action spécifique pour les enfants victimes d’exploitation sexuelle par la création et le développement de centres d’écoute, d’action de réhabilitation, de protection et de</w:t>
      </w:r>
      <w:r w:rsidR="006C160E" w:rsidRPr="00F13D2D">
        <w:rPr>
          <w:rFonts w:eastAsia="Calibri"/>
          <w:lang w:val="fr-FR"/>
        </w:rPr>
        <w:t xml:space="preserve"> </w:t>
      </w:r>
      <w:r w:rsidR="00E819C1" w:rsidRPr="00F13D2D">
        <w:rPr>
          <w:rFonts w:eastAsia="Calibri"/>
          <w:lang w:val="fr-FR"/>
        </w:rPr>
        <w:t>réintégration sociale, a été</w:t>
      </w:r>
      <w:r w:rsidR="006C160E" w:rsidRPr="00F13D2D">
        <w:rPr>
          <w:rFonts w:eastAsia="Calibri"/>
          <w:lang w:val="fr-FR"/>
        </w:rPr>
        <w:t xml:space="preserve"> </w:t>
      </w:r>
      <w:r w:rsidR="00E819C1" w:rsidRPr="00F13D2D">
        <w:rPr>
          <w:rFonts w:eastAsia="Calibri"/>
          <w:lang w:val="fr-FR"/>
        </w:rPr>
        <w:t>initiée par une coordination d’ONG. Le forum national de promotion des droits des femmes et de l’enfant</w:t>
      </w:r>
      <w:r w:rsidR="006C160E" w:rsidRPr="00F13D2D">
        <w:rPr>
          <w:rFonts w:eastAsia="Calibri"/>
          <w:lang w:val="fr-FR"/>
        </w:rPr>
        <w:t xml:space="preserve"> </w:t>
      </w:r>
      <w:r w:rsidR="00E819C1" w:rsidRPr="00F13D2D">
        <w:rPr>
          <w:rFonts w:eastAsia="Calibri"/>
          <w:lang w:val="fr-FR"/>
        </w:rPr>
        <w:t>assure une assistance juridique et judiciaire pour les victimes de violence viols,</w:t>
      </w:r>
      <w:r w:rsidR="006C160E" w:rsidRPr="00F13D2D">
        <w:rPr>
          <w:rFonts w:eastAsia="Calibri"/>
          <w:lang w:val="fr-FR"/>
        </w:rPr>
        <w:t xml:space="preserve"> </w:t>
      </w:r>
      <w:r w:rsidR="00E819C1" w:rsidRPr="00F13D2D">
        <w:rPr>
          <w:rFonts w:eastAsia="Calibri"/>
          <w:lang w:val="fr-FR"/>
        </w:rPr>
        <w:t>enfants des rues Talibés, L’association des femmes Chefs de Famille et l’Association de lutte contre la dépendance possèdent chacune un centre d’accueil des enfants victimes de violences et leur apportent soutien et encadrement.</w:t>
      </w:r>
    </w:p>
    <w:p w:rsidR="00E819C1" w:rsidRPr="00F13D2D" w:rsidRDefault="0055270C" w:rsidP="0055270C">
      <w:pPr>
        <w:pStyle w:val="SingleTxtG"/>
        <w:rPr>
          <w:rFonts w:eastAsia="Calibri"/>
          <w:lang w:val="fr-FR"/>
        </w:rPr>
      </w:pPr>
      <w:r w:rsidRPr="00F13D2D">
        <w:rPr>
          <w:rFonts w:eastAsia="Calibri"/>
          <w:lang w:val="fr-FR"/>
        </w:rPr>
        <w:t>145.</w:t>
      </w:r>
      <w:r w:rsidRPr="00F13D2D">
        <w:rPr>
          <w:rFonts w:eastAsia="Calibri"/>
          <w:lang w:val="fr-FR"/>
        </w:rPr>
        <w:tab/>
      </w:r>
      <w:r w:rsidR="00E819C1" w:rsidRPr="00F13D2D">
        <w:rPr>
          <w:rFonts w:eastAsia="Calibri"/>
          <w:lang w:val="fr-FR"/>
        </w:rPr>
        <w:t xml:space="preserve">Les Pouvoirs Publics encouragent la prise en charge </w:t>
      </w:r>
      <w:proofErr w:type="spellStart"/>
      <w:r w:rsidR="00E819C1" w:rsidRPr="00F13D2D">
        <w:rPr>
          <w:rFonts w:eastAsia="Calibri"/>
          <w:lang w:val="fr-FR"/>
        </w:rPr>
        <w:t>psychosociale</w:t>
      </w:r>
      <w:proofErr w:type="spellEnd"/>
      <w:r w:rsidR="00E819C1" w:rsidRPr="00F13D2D">
        <w:rPr>
          <w:rFonts w:eastAsia="Calibri"/>
          <w:lang w:val="fr-FR"/>
        </w:rPr>
        <w:t xml:space="preserve"> et sanitaire des victimes de violence sexuelle (viol) et ce conformément à la sixième recommandation de l’étude du Secrétaire Général des nations unies sur la violence contre les enfants. Dans ce cadre Le MASEF, en collaboration avec la majorité des ONG concernées, a établi</w:t>
      </w:r>
      <w:r w:rsidR="006C160E" w:rsidRPr="00F13D2D">
        <w:rPr>
          <w:rFonts w:eastAsia="Calibri"/>
          <w:lang w:val="fr-FR"/>
        </w:rPr>
        <w:t xml:space="preserve"> </w:t>
      </w:r>
      <w:r w:rsidR="00E819C1" w:rsidRPr="00F13D2D">
        <w:rPr>
          <w:rFonts w:eastAsia="Calibri"/>
          <w:lang w:val="fr-FR"/>
        </w:rPr>
        <w:t>un</w:t>
      </w:r>
      <w:r w:rsidR="006C160E" w:rsidRPr="00F13D2D">
        <w:rPr>
          <w:rFonts w:eastAsia="Calibri"/>
          <w:lang w:val="fr-FR"/>
        </w:rPr>
        <w:t xml:space="preserve"> </w:t>
      </w:r>
      <w:r w:rsidR="00E819C1" w:rsidRPr="00F13D2D">
        <w:rPr>
          <w:rFonts w:eastAsia="Calibri"/>
          <w:lang w:val="fr-FR"/>
        </w:rPr>
        <w:t>répertoire des pratiques préjudiciables aux enfants identifiées. Des médecins, des Ulémas, des</w:t>
      </w:r>
      <w:r w:rsidR="006C160E" w:rsidRPr="00F13D2D">
        <w:rPr>
          <w:rFonts w:eastAsia="Calibri"/>
          <w:lang w:val="fr-FR"/>
        </w:rPr>
        <w:t xml:space="preserve"> </w:t>
      </w:r>
      <w:r w:rsidR="00E819C1" w:rsidRPr="00F13D2D">
        <w:rPr>
          <w:rFonts w:eastAsia="Calibri"/>
          <w:lang w:val="fr-FR"/>
        </w:rPr>
        <w:t>sociologues et représentants de la SC ont été associés à l’élaboration de ce</w:t>
      </w:r>
      <w:r w:rsidR="006C160E" w:rsidRPr="00F13D2D">
        <w:rPr>
          <w:rFonts w:eastAsia="Calibri"/>
          <w:lang w:val="fr-FR"/>
        </w:rPr>
        <w:t xml:space="preserve"> </w:t>
      </w:r>
      <w:r w:rsidR="00E819C1" w:rsidRPr="00F13D2D">
        <w:rPr>
          <w:rFonts w:eastAsia="Calibri"/>
          <w:lang w:val="fr-FR"/>
        </w:rPr>
        <w:t>répertoire. Un programme de lutte contre les MGF</w:t>
      </w:r>
      <w:r w:rsidR="006C160E" w:rsidRPr="00F13D2D">
        <w:rPr>
          <w:rFonts w:eastAsia="Calibri"/>
          <w:lang w:val="fr-FR"/>
        </w:rPr>
        <w:t xml:space="preserve"> </w:t>
      </w:r>
      <w:r w:rsidR="00E819C1" w:rsidRPr="00F13D2D">
        <w:rPr>
          <w:rFonts w:eastAsia="Calibri"/>
          <w:lang w:val="fr-FR"/>
        </w:rPr>
        <w:t>a été mis en œuvre pour informer et sensibiliser les populations. 75 Imams ont reçu une formation pour mener cette campagne. Ils ont ensuite été relayés par des animatrices locales. Cette campagne a</w:t>
      </w:r>
      <w:r w:rsidR="006C160E" w:rsidRPr="00F13D2D">
        <w:rPr>
          <w:rFonts w:eastAsia="Calibri"/>
          <w:lang w:val="fr-FR"/>
        </w:rPr>
        <w:t xml:space="preserve"> </w:t>
      </w:r>
      <w:r w:rsidR="00E819C1" w:rsidRPr="00F13D2D">
        <w:rPr>
          <w:rFonts w:eastAsia="Calibri"/>
          <w:lang w:val="fr-FR"/>
        </w:rPr>
        <w:t>ciblé les régions les plus affectées et où le taux de scolarisation des filles est faible.</w:t>
      </w:r>
      <w:r w:rsidR="006C160E" w:rsidRPr="00F13D2D">
        <w:rPr>
          <w:rFonts w:eastAsia="Calibri"/>
          <w:lang w:val="fr-FR"/>
        </w:rPr>
        <w:t xml:space="preserve"> </w:t>
      </w:r>
      <w:r w:rsidR="00E819C1" w:rsidRPr="00F13D2D">
        <w:rPr>
          <w:rFonts w:eastAsia="Calibri"/>
          <w:lang w:val="fr-FR"/>
        </w:rPr>
        <w:t>La campagne a</w:t>
      </w:r>
      <w:r w:rsidR="006C160E" w:rsidRPr="00F13D2D">
        <w:rPr>
          <w:rFonts w:eastAsia="Calibri"/>
          <w:lang w:val="fr-FR"/>
        </w:rPr>
        <w:t xml:space="preserve"> </w:t>
      </w:r>
      <w:r w:rsidR="00E819C1" w:rsidRPr="00F13D2D">
        <w:rPr>
          <w:rFonts w:eastAsia="Calibri"/>
          <w:lang w:val="fr-FR"/>
        </w:rPr>
        <w:t xml:space="preserve">abordé des sujets </w:t>
      </w:r>
      <w:proofErr w:type="spellStart"/>
      <w:r w:rsidR="00E819C1" w:rsidRPr="00F13D2D">
        <w:rPr>
          <w:rFonts w:eastAsia="Calibri"/>
          <w:lang w:val="fr-FR"/>
        </w:rPr>
        <w:t>jusque là</w:t>
      </w:r>
      <w:proofErr w:type="spellEnd"/>
      <w:r w:rsidR="00E819C1" w:rsidRPr="00F13D2D">
        <w:rPr>
          <w:rFonts w:eastAsia="Calibri"/>
          <w:lang w:val="fr-FR"/>
        </w:rPr>
        <w:t xml:space="preserve"> tabous en Mauritanie.</w:t>
      </w:r>
      <w:r w:rsidR="006C160E" w:rsidRPr="00F13D2D">
        <w:rPr>
          <w:rFonts w:eastAsia="Calibri"/>
          <w:lang w:val="fr-FR"/>
        </w:rPr>
        <w:t xml:space="preserve"> </w:t>
      </w:r>
      <w:r w:rsidR="00E819C1" w:rsidRPr="00F13D2D">
        <w:rPr>
          <w:rFonts w:eastAsia="Calibri"/>
          <w:lang w:val="fr-FR"/>
        </w:rPr>
        <w:t>L’Association des Femmes Juristes ainsi que des journalistes de radios rurales ont bénéficié d’une formation dans ce cadre. Il existe des programmes communs entre les structures officielles et certaines ONG, à</w:t>
      </w:r>
      <w:r w:rsidR="006C160E" w:rsidRPr="00F13D2D">
        <w:rPr>
          <w:rFonts w:eastAsia="Calibri"/>
          <w:lang w:val="fr-FR"/>
        </w:rPr>
        <w:t xml:space="preserve"> </w:t>
      </w:r>
      <w:r w:rsidR="00E819C1" w:rsidRPr="00F13D2D">
        <w:rPr>
          <w:rFonts w:eastAsia="Calibri"/>
          <w:lang w:val="fr-FR"/>
        </w:rPr>
        <w:t>l’exemple du programme d’enfants de la rue avec l’ONG AEDM aussi bien à Nouakchott</w:t>
      </w:r>
      <w:r w:rsidR="006C160E" w:rsidRPr="00F13D2D">
        <w:rPr>
          <w:rFonts w:eastAsia="Calibri"/>
          <w:lang w:val="fr-FR"/>
        </w:rPr>
        <w:t xml:space="preserve"> </w:t>
      </w:r>
      <w:r w:rsidR="00E819C1" w:rsidRPr="00F13D2D">
        <w:rPr>
          <w:rFonts w:eastAsia="Calibri"/>
          <w:lang w:val="fr-FR"/>
        </w:rPr>
        <w:t xml:space="preserve">qu’à Nouadhibou. </w:t>
      </w:r>
    </w:p>
    <w:p w:rsidR="00E819C1" w:rsidRPr="00F13D2D" w:rsidRDefault="0055270C" w:rsidP="0055270C">
      <w:pPr>
        <w:pStyle w:val="SingleTxtG"/>
        <w:rPr>
          <w:rFonts w:eastAsia="Calibri"/>
          <w:lang w:val="fr-FR"/>
        </w:rPr>
      </w:pPr>
      <w:r w:rsidRPr="00F13D2D">
        <w:rPr>
          <w:rFonts w:eastAsia="Calibri"/>
          <w:lang w:val="fr-FR"/>
        </w:rPr>
        <w:t>146.</w:t>
      </w:r>
      <w:r w:rsidRPr="00F13D2D">
        <w:rPr>
          <w:rFonts w:eastAsia="Calibri"/>
          <w:lang w:val="fr-FR"/>
        </w:rPr>
        <w:tab/>
      </w:r>
      <w:r w:rsidR="00E819C1" w:rsidRPr="00F13D2D">
        <w:rPr>
          <w:rFonts w:eastAsia="Calibri"/>
          <w:lang w:val="fr-FR"/>
        </w:rPr>
        <w:t>Le programme de coopération Mauritanie- Unicef vise à promouvoir un</w:t>
      </w:r>
      <w:r w:rsidR="006C160E" w:rsidRPr="00F13D2D">
        <w:rPr>
          <w:rFonts w:eastAsia="Calibri"/>
          <w:lang w:val="fr-FR"/>
        </w:rPr>
        <w:t xml:space="preserve"> </w:t>
      </w:r>
      <w:r w:rsidR="00E819C1" w:rsidRPr="00F13D2D">
        <w:rPr>
          <w:rFonts w:eastAsia="Calibri"/>
          <w:lang w:val="fr-FR"/>
        </w:rPr>
        <w:t>environnement favorable à la protection des enfants et particulièrement les enfants les plus vulnérables</w:t>
      </w:r>
      <w:r w:rsidR="006C160E" w:rsidRPr="00F13D2D">
        <w:rPr>
          <w:rFonts w:eastAsia="Calibri"/>
          <w:lang w:val="fr-FR"/>
        </w:rPr>
        <w:t xml:space="preserve"> </w:t>
      </w:r>
      <w:r w:rsidR="00E819C1" w:rsidRPr="00F13D2D">
        <w:rPr>
          <w:rFonts w:eastAsia="Calibri"/>
          <w:lang w:val="fr-FR"/>
        </w:rPr>
        <w:t xml:space="preserve">à travers l’appui au développement des politiques et législations nationales. Le cyber forum de la SC et la </w:t>
      </w:r>
      <w:proofErr w:type="spellStart"/>
      <w:r w:rsidR="00E819C1" w:rsidRPr="00F13D2D">
        <w:rPr>
          <w:rFonts w:eastAsia="Calibri"/>
          <w:lang w:val="fr-FR"/>
        </w:rPr>
        <w:t>plateforme</w:t>
      </w:r>
      <w:proofErr w:type="spellEnd"/>
      <w:r w:rsidR="00E819C1" w:rsidRPr="00F13D2D">
        <w:rPr>
          <w:rFonts w:eastAsia="Calibri"/>
          <w:lang w:val="fr-FR"/>
        </w:rPr>
        <w:t xml:space="preserve"> des acteurs non étatiques</w:t>
      </w:r>
      <w:r w:rsidR="006C160E" w:rsidRPr="00F13D2D">
        <w:rPr>
          <w:rFonts w:eastAsia="Calibri"/>
          <w:lang w:val="fr-FR"/>
        </w:rPr>
        <w:t xml:space="preserve"> </w:t>
      </w:r>
      <w:r w:rsidR="00E819C1" w:rsidRPr="00F13D2D">
        <w:rPr>
          <w:rFonts w:eastAsia="Calibri"/>
          <w:lang w:val="fr-FR"/>
        </w:rPr>
        <w:t>constituent un cadre de concertation et de dialogue entre les</w:t>
      </w:r>
      <w:r w:rsidR="006C160E" w:rsidRPr="00F13D2D">
        <w:rPr>
          <w:rFonts w:eastAsia="Calibri"/>
          <w:lang w:val="fr-FR"/>
        </w:rPr>
        <w:t xml:space="preserve"> </w:t>
      </w:r>
      <w:r w:rsidR="00E819C1" w:rsidRPr="00F13D2D">
        <w:rPr>
          <w:rFonts w:eastAsia="Calibri"/>
          <w:lang w:val="fr-FR"/>
        </w:rPr>
        <w:t>ONG et le Gouvernement. Plusieurs</w:t>
      </w:r>
      <w:r w:rsidR="006C160E" w:rsidRPr="00F13D2D">
        <w:rPr>
          <w:rFonts w:eastAsia="Calibri"/>
          <w:lang w:val="fr-FR"/>
        </w:rPr>
        <w:t xml:space="preserve"> </w:t>
      </w:r>
      <w:r w:rsidR="00E819C1" w:rsidRPr="00F13D2D">
        <w:rPr>
          <w:rFonts w:eastAsia="Calibri"/>
          <w:lang w:val="fr-FR"/>
        </w:rPr>
        <w:t>journalistes ont été formés avec l’appui de l’UNICEF. Des journalistes de la Radio Rurale</w:t>
      </w:r>
      <w:r w:rsidR="006C160E" w:rsidRPr="00F13D2D">
        <w:rPr>
          <w:rFonts w:eastAsia="Calibri"/>
          <w:lang w:val="fr-FR"/>
        </w:rPr>
        <w:t xml:space="preserve"> </w:t>
      </w:r>
      <w:r w:rsidR="00E819C1" w:rsidRPr="00F13D2D">
        <w:rPr>
          <w:rFonts w:eastAsia="Calibri"/>
          <w:lang w:val="fr-FR"/>
        </w:rPr>
        <w:t>ont également bénéficié d’une formation et ont participé à des campagnes de</w:t>
      </w:r>
      <w:r w:rsidR="006C160E" w:rsidRPr="00F13D2D">
        <w:rPr>
          <w:rFonts w:eastAsia="Calibri"/>
          <w:lang w:val="fr-FR"/>
        </w:rPr>
        <w:t xml:space="preserve"> </w:t>
      </w:r>
      <w:r w:rsidR="00E819C1" w:rsidRPr="00F13D2D">
        <w:rPr>
          <w:rFonts w:eastAsia="Calibri"/>
          <w:lang w:val="fr-FR"/>
        </w:rPr>
        <w:t>sensibilisation.</w:t>
      </w:r>
    </w:p>
    <w:p w:rsidR="00E819C1" w:rsidRPr="00E06F1B" w:rsidRDefault="00BE3A4F" w:rsidP="00AA7A93">
      <w:pPr>
        <w:pStyle w:val="H23G"/>
      </w:pPr>
      <w:bookmarkStart w:id="243" w:name="_Toc453672957"/>
      <w:bookmarkStart w:id="244" w:name="_Toc454388799"/>
      <w:r w:rsidRPr="000E17DF">
        <w:tab/>
      </w:r>
      <w:r w:rsidR="00E819C1" w:rsidRPr="00F13D2D">
        <w:t>3</w:t>
      </w:r>
      <w:r w:rsidRPr="00F13D2D">
        <w:t>.</w:t>
      </w:r>
      <w:r w:rsidRPr="00F13D2D">
        <w:tab/>
      </w:r>
      <w:r w:rsidR="00E819C1" w:rsidRPr="00F13D2D">
        <w:t>Participation des</w:t>
      </w:r>
      <w:r w:rsidR="006C160E" w:rsidRPr="00F13D2D">
        <w:t xml:space="preserve"> </w:t>
      </w:r>
      <w:r w:rsidR="00E819C1" w:rsidRPr="00F13D2D">
        <w:t>enfants à la lutte contre la violence</w:t>
      </w:r>
      <w:bookmarkEnd w:id="243"/>
      <w:bookmarkEnd w:id="244"/>
      <w:r w:rsidR="00E819C1" w:rsidRPr="00F13D2D">
        <w:t xml:space="preserve"> </w:t>
      </w:r>
    </w:p>
    <w:p w:rsidR="00E819C1" w:rsidRPr="00F13D2D" w:rsidRDefault="0055270C" w:rsidP="0055270C">
      <w:pPr>
        <w:pStyle w:val="SingleTxtG"/>
        <w:rPr>
          <w:rFonts w:eastAsia="Calibri"/>
          <w:lang w:val="fr-FR"/>
        </w:rPr>
      </w:pPr>
      <w:r w:rsidRPr="00F13D2D">
        <w:rPr>
          <w:rFonts w:eastAsia="Calibri"/>
          <w:lang w:val="fr-FR"/>
        </w:rPr>
        <w:t>147.</w:t>
      </w:r>
      <w:r w:rsidRPr="00F13D2D">
        <w:rPr>
          <w:rFonts w:eastAsia="Calibri"/>
          <w:lang w:val="fr-FR"/>
        </w:rPr>
        <w:tab/>
      </w:r>
      <w:r w:rsidR="00E819C1" w:rsidRPr="00F13D2D">
        <w:rPr>
          <w:rFonts w:eastAsia="Calibri"/>
          <w:lang w:val="fr-FR"/>
        </w:rPr>
        <w:t>Les enfants participent de façon horizontale</w:t>
      </w:r>
      <w:r w:rsidR="006C160E" w:rsidRPr="00F13D2D">
        <w:rPr>
          <w:rFonts w:eastAsia="Calibri"/>
          <w:lang w:val="fr-FR"/>
        </w:rPr>
        <w:t xml:space="preserve"> </w:t>
      </w:r>
      <w:r w:rsidR="00E819C1" w:rsidRPr="00F13D2D">
        <w:rPr>
          <w:rFonts w:eastAsia="Calibri"/>
          <w:lang w:val="fr-FR"/>
        </w:rPr>
        <w:t>à la lutte contre les violences qui les concernent en premier lieu à travers le parlement des enfants et le conseil municipal des enfants conformément à la septième recommandation de l’étude du Secrétaire Général des nations unies</w:t>
      </w:r>
      <w:r w:rsidR="006C160E" w:rsidRPr="00F13D2D">
        <w:rPr>
          <w:rFonts w:eastAsia="Calibri"/>
          <w:lang w:val="fr-FR"/>
        </w:rPr>
        <w:t xml:space="preserve"> </w:t>
      </w:r>
      <w:r w:rsidR="00E819C1" w:rsidRPr="00F13D2D">
        <w:rPr>
          <w:rFonts w:eastAsia="Calibri"/>
          <w:lang w:val="fr-FR"/>
        </w:rPr>
        <w:t>sur la violence contre les enfants. Verticalement c’est à travers</w:t>
      </w:r>
      <w:r w:rsidR="006C160E" w:rsidRPr="00F13D2D">
        <w:rPr>
          <w:rFonts w:eastAsia="Calibri"/>
          <w:lang w:val="fr-FR"/>
        </w:rPr>
        <w:t xml:space="preserve"> </w:t>
      </w:r>
      <w:r w:rsidR="00E819C1" w:rsidRPr="00F13D2D">
        <w:rPr>
          <w:rFonts w:eastAsia="Calibri"/>
          <w:lang w:val="fr-FR"/>
        </w:rPr>
        <w:t>certains programmes initiés dans des écoles que l’on</w:t>
      </w:r>
      <w:r w:rsidR="006C160E" w:rsidRPr="00F13D2D">
        <w:rPr>
          <w:rFonts w:eastAsia="Calibri"/>
          <w:lang w:val="fr-FR"/>
        </w:rPr>
        <w:t xml:space="preserve"> </w:t>
      </w:r>
      <w:r w:rsidR="00E819C1" w:rsidRPr="00F13D2D">
        <w:rPr>
          <w:rFonts w:eastAsia="Calibri"/>
          <w:lang w:val="fr-FR"/>
        </w:rPr>
        <w:t>prend en compte leurs avis et suggestions.</w:t>
      </w:r>
      <w:r w:rsidR="006C160E" w:rsidRPr="00F13D2D">
        <w:rPr>
          <w:rFonts w:eastAsia="Calibri"/>
          <w:lang w:val="fr-FR"/>
        </w:rPr>
        <w:t xml:space="preserve"> </w:t>
      </w:r>
      <w:r w:rsidR="00E819C1" w:rsidRPr="00F13D2D">
        <w:rPr>
          <w:rFonts w:eastAsia="Calibri"/>
          <w:lang w:val="fr-FR"/>
        </w:rPr>
        <w:t>Les ONG font intervenir des enfants dans le cadre de la vulgarisation de la</w:t>
      </w:r>
      <w:r w:rsidR="006C160E" w:rsidRPr="00F13D2D">
        <w:rPr>
          <w:rFonts w:eastAsia="Calibri"/>
          <w:lang w:val="fr-FR"/>
        </w:rPr>
        <w:t xml:space="preserve"> </w:t>
      </w:r>
      <w:r w:rsidR="003D0AAF" w:rsidRPr="00F13D2D">
        <w:rPr>
          <w:rFonts w:eastAsia="Calibri"/>
          <w:lang w:val="fr-FR"/>
        </w:rPr>
        <w:t xml:space="preserve">Convention </w:t>
      </w:r>
      <w:r w:rsidR="00E819C1" w:rsidRPr="00F13D2D">
        <w:rPr>
          <w:rFonts w:eastAsia="Calibri"/>
          <w:lang w:val="fr-FR"/>
        </w:rPr>
        <w:t>des droits de l’enfant. Les enfants pratiquent la sensibilisation c</w:t>
      </w:r>
      <w:r w:rsidR="008F451F">
        <w:rPr>
          <w:rFonts w:eastAsia="Calibri"/>
          <w:lang w:val="fr-FR"/>
        </w:rPr>
        <w:t xml:space="preserve">ontre ce phénomène à travers </w:t>
      </w:r>
      <w:r w:rsidR="00E819C1" w:rsidRPr="00F13D2D">
        <w:rPr>
          <w:rFonts w:eastAsia="Calibri"/>
          <w:lang w:val="fr-FR"/>
        </w:rPr>
        <w:t>les messages et l’information diffusés par tous les canaux</w:t>
      </w:r>
      <w:r w:rsidR="00FC0832">
        <w:rPr>
          <w:rFonts w:eastAsia="Calibri"/>
          <w:lang w:val="fr-FR"/>
        </w:rPr>
        <w:t> :</w:t>
      </w:r>
      <w:r w:rsidR="00E819C1" w:rsidRPr="00F13D2D">
        <w:rPr>
          <w:rFonts w:eastAsia="Calibri"/>
          <w:lang w:val="fr-FR"/>
        </w:rPr>
        <w:t xml:space="preserve"> Presse écrite,</w:t>
      </w:r>
      <w:r w:rsidR="006C160E" w:rsidRPr="00F13D2D">
        <w:rPr>
          <w:rFonts w:eastAsia="Calibri"/>
          <w:lang w:val="fr-FR"/>
        </w:rPr>
        <w:t xml:space="preserve"> </w:t>
      </w:r>
      <w:r w:rsidR="00E819C1" w:rsidRPr="00F13D2D">
        <w:rPr>
          <w:rFonts w:eastAsia="Calibri"/>
          <w:lang w:val="fr-FR"/>
        </w:rPr>
        <w:t>Radio, Télévision, Théâtre,</w:t>
      </w:r>
      <w:r w:rsidR="006C160E" w:rsidRPr="00F13D2D">
        <w:rPr>
          <w:rFonts w:eastAsia="Calibri"/>
          <w:lang w:val="fr-FR"/>
        </w:rPr>
        <w:t xml:space="preserve"> </w:t>
      </w:r>
      <w:proofErr w:type="spellStart"/>
      <w:r w:rsidR="00E819C1" w:rsidRPr="00F13D2D">
        <w:rPr>
          <w:rFonts w:eastAsia="Calibri"/>
          <w:lang w:val="fr-FR"/>
        </w:rPr>
        <w:t>Ecoles</w:t>
      </w:r>
      <w:proofErr w:type="spellEnd"/>
      <w:r w:rsidR="00E819C1" w:rsidRPr="00F13D2D">
        <w:rPr>
          <w:rFonts w:eastAsia="Calibri"/>
          <w:lang w:val="fr-FR"/>
        </w:rPr>
        <w:t>, Affiches</w:t>
      </w:r>
      <w:r w:rsidR="00133C21">
        <w:rPr>
          <w:rFonts w:eastAsia="Calibri"/>
          <w:lang w:val="fr-FR"/>
        </w:rPr>
        <w:t>.</w:t>
      </w:r>
    </w:p>
    <w:p w:rsidR="00E819C1" w:rsidRPr="00F13D2D" w:rsidRDefault="0055270C" w:rsidP="0055270C">
      <w:pPr>
        <w:pStyle w:val="SingleTxtG"/>
        <w:rPr>
          <w:rFonts w:eastAsia="Calibri"/>
          <w:lang w:val="fr-FR"/>
        </w:rPr>
      </w:pPr>
      <w:r w:rsidRPr="00F13D2D">
        <w:rPr>
          <w:rFonts w:eastAsia="Calibri"/>
          <w:lang w:val="fr-FR"/>
        </w:rPr>
        <w:t>148.</w:t>
      </w:r>
      <w:r w:rsidRPr="00F13D2D">
        <w:rPr>
          <w:rFonts w:eastAsia="Calibri"/>
          <w:lang w:val="fr-FR"/>
        </w:rPr>
        <w:tab/>
      </w:r>
      <w:r w:rsidR="00E819C1" w:rsidRPr="00F13D2D">
        <w:rPr>
          <w:rFonts w:eastAsia="Calibri"/>
          <w:lang w:val="fr-FR"/>
        </w:rPr>
        <w:t>Le gouvernement a élaboré et exécuté</w:t>
      </w:r>
      <w:r w:rsidR="006C160E" w:rsidRPr="00F13D2D">
        <w:rPr>
          <w:rFonts w:eastAsia="Calibri"/>
          <w:lang w:val="fr-FR"/>
        </w:rPr>
        <w:t xml:space="preserve"> </w:t>
      </w:r>
      <w:r w:rsidR="00E819C1" w:rsidRPr="00F13D2D">
        <w:rPr>
          <w:rFonts w:eastAsia="Calibri"/>
          <w:lang w:val="fr-FR"/>
        </w:rPr>
        <w:t>un Plan National d’Action pour le Suivi et la mise en œuvre de la CDE. Ce plan est étalé sur neuf ans et constitue</w:t>
      </w:r>
      <w:r w:rsidR="006C160E" w:rsidRPr="00F13D2D">
        <w:rPr>
          <w:rFonts w:eastAsia="Calibri"/>
          <w:lang w:val="fr-FR"/>
        </w:rPr>
        <w:t xml:space="preserve"> </w:t>
      </w:r>
      <w:r w:rsidR="00E819C1" w:rsidRPr="00F13D2D">
        <w:rPr>
          <w:rFonts w:eastAsia="Calibri"/>
          <w:lang w:val="fr-FR"/>
        </w:rPr>
        <w:t>la référence en matière de politique globale de lutte</w:t>
      </w:r>
      <w:r w:rsidR="006C160E" w:rsidRPr="00F13D2D">
        <w:rPr>
          <w:rFonts w:eastAsia="Calibri"/>
          <w:lang w:val="fr-FR"/>
        </w:rPr>
        <w:t xml:space="preserve"> </w:t>
      </w:r>
      <w:r w:rsidR="00E819C1" w:rsidRPr="00F13D2D">
        <w:rPr>
          <w:rFonts w:eastAsia="Calibri"/>
          <w:lang w:val="fr-FR"/>
        </w:rPr>
        <w:t>contre la violence à l’égard des enfants.</w:t>
      </w:r>
      <w:r w:rsidR="006C160E" w:rsidRPr="00F13D2D">
        <w:rPr>
          <w:rFonts w:eastAsia="Calibri"/>
          <w:lang w:val="fr-FR"/>
        </w:rPr>
        <w:t xml:space="preserve"> </w:t>
      </w:r>
      <w:r w:rsidR="00E819C1" w:rsidRPr="00F13D2D">
        <w:rPr>
          <w:rFonts w:eastAsia="Calibri"/>
          <w:lang w:val="fr-FR"/>
        </w:rPr>
        <w:t>Ce plan d’action comprend toutes les formes de lutte qu’il y a à mener contre les différentes manifestations de la violence à l’égard des enfants</w:t>
      </w:r>
      <w:r w:rsidR="00FC0832">
        <w:rPr>
          <w:rFonts w:eastAsia="Calibri"/>
          <w:lang w:val="fr-FR"/>
        </w:rPr>
        <w:t> :</w:t>
      </w:r>
      <w:r w:rsidR="00E819C1" w:rsidRPr="00F13D2D">
        <w:rPr>
          <w:rFonts w:eastAsia="Calibri"/>
          <w:lang w:val="fr-FR"/>
        </w:rPr>
        <w:t xml:space="preserve"> la prévention, la protection,</w:t>
      </w:r>
      <w:r w:rsidR="006C160E" w:rsidRPr="00F13D2D">
        <w:rPr>
          <w:rFonts w:eastAsia="Calibri"/>
          <w:lang w:val="fr-FR"/>
        </w:rPr>
        <w:t xml:space="preserve"> </w:t>
      </w:r>
      <w:r w:rsidR="00E819C1" w:rsidRPr="00F13D2D">
        <w:rPr>
          <w:rFonts w:eastAsia="Calibri"/>
          <w:lang w:val="fr-FR"/>
        </w:rPr>
        <w:t>l’assistance médicale, psychologique, juridique, sociale</w:t>
      </w:r>
      <w:r w:rsidR="006C160E" w:rsidRPr="00F13D2D">
        <w:rPr>
          <w:rFonts w:eastAsia="Calibri"/>
          <w:lang w:val="fr-FR"/>
        </w:rPr>
        <w:t xml:space="preserve"> </w:t>
      </w:r>
      <w:r w:rsidR="00E819C1" w:rsidRPr="00F13D2D">
        <w:rPr>
          <w:rFonts w:eastAsia="Calibri"/>
          <w:lang w:val="fr-FR"/>
        </w:rPr>
        <w:t>au profit des victimes ainsi que les</w:t>
      </w:r>
      <w:r w:rsidR="006C160E" w:rsidRPr="00F13D2D">
        <w:rPr>
          <w:rFonts w:eastAsia="Calibri"/>
          <w:lang w:val="fr-FR"/>
        </w:rPr>
        <w:t xml:space="preserve"> </w:t>
      </w:r>
      <w:r w:rsidR="00E819C1" w:rsidRPr="00F13D2D">
        <w:rPr>
          <w:rFonts w:eastAsia="Calibri"/>
          <w:lang w:val="fr-FR"/>
        </w:rPr>
        <w:t>lois réprimant les auteurs de violences. Un second plan d’action est en exécution par l’</w:t>
      </w:r>
      <w:r w:rsidR="00AB4E57">
        <w:rPr>
          <w:rFonts w:eastAsia="Calibri"/>
          <w:lang w:val="fr-FR"/>
        </w:rPr>
        <w:t>État</w:t>
      </w:r>
      <w:r w:rsidR="00E819C1" w:rsidRPr="00F13D2D">
        <w:rPr>
          <w:rFonts w:eastAsia="Calibri"/>
          <w:lang w:val="fr-FR"/>
        </w:rPr>
        <w:t xml:space="preserve"> depuis la </w:t>
      </w:r>
      <w:r w:rsidR="00E819C1" w:rsidRPr="00F13D2D">
        <w:rPr>
          <w:rFonts w:eastAsia="Calibri"/>
          <w:lang w:val="fr-FR"/>
        </w:rPr>
        <w:lastRenderedPageBreak/>
        <w:t>conférence de New York dans sa session spéciale aux enfants. Le Gouvernement envisage l’intégrer à la SCAPP afin de mettre l’enfant au cœur de la lutte contre la pauvreté.</w:t>
      </w:r>
    </w:p>
    <w:p w:rsidR="00E819C1" w:rsidRPr="00AA7A93" w:rsidRDefault="00BE3A4F" w:rsidP="00AA7A93">
      <w:pPr>
        <w:pStyle w:val="H1G"/>
      </w:pPr>
      <w:bookmarkStart w:id="245" w:name="_Toc453672958"/>
      <w:bookmarkStart w:id="246" w:name="_Toc454388800"/>
      <w:r w:rsidRPr="000E17DF">
        <w:tab/>
      </w:r>
      <w:r w:rsidR="00E819C1" w:rsidRPr="00E06F1B">
        <w:t>J</w:t>
      </w:r>
      <w:r w:rsidRPr="00AA7A93">
        <w:t>.</w:t>
      </w:r>
      <w:r w:rsidRPr="00AA7A93">
        <w:tab/>
      </w:r>
      <w:r w:rsidR="00E819C1" w:rsidRPr="00AA7A93">
        <w:t>Examen périodique du placement (art.</w:t>
      </w:r>
      <w:r w:rsidR="00400D35">
        <w:t> </w:t>
      </w:r>
      <w:r w:rsidR="00E819C1" w:rsidRPr="00E06F1B">
        <w:t>25)</w:t>
      </w:r>
      <w:bookmarkEnd w:id="245"/>
      <w:bookmarkEnd w:id="246"/>
    </w:p>
    <w:p w:rsidR="00E819C1" w:rsidRPr="00F13D2D" w:rsidRDefault="0055270C" w:rsidP="0055270C">
      <w:pPr>
        <w:pStyle w:val="SingleTxtG"/>
        <w:rPr>
          <w:rFonts w:eastAsia="Calibri"/>
          <w:lang w:val="fr-FR"/>
        </w:rPr>
      </w:pPr>
      <w:r w:rsidRPr="00F13D2D">
        <w:rPr>
          <w:rFonts w:eastAsia="Calibri"/>
          <w:lang w:val="fr-FR"/>
        </w:rPr>
        <w:t>149.</w:t>
      </w:r>
      <w:r w:rsidRPr="00F13D2D">
        <w:rPr>
          <w:rFonts w:eastAsia="Calibri"/>
          <w:lang w:val="fr-FR"/>
        </w:rPr>
        <w:tab/>
      </w:r>
      <w:r w:rsidR="00E819C1" w:rsidRPr="00F13D2D">
        <w:rPr>
          <w:rFonts w:eastAsia="Calibri"/>
          <w:lang w:val="fr-FR"/>
        </w:rPr>
        <w:t>Les experts du MASEF procèdent après le placement à des visites répétées à la nouvelle famille de l</w:t>
      </w:r>
      <w:r w:rsidR="006C160E" w:rsidRPr="00F13D2D">
        <w:rPr>
          <w:rFonts w:eastAsia="Calibri"/>
          <w:lang w:val="fr-FR"/>
        </w:rPr>
        <w:t>’</w:t>
      </w:r>
      <w:r w:rsidR="00E819C1" w:rsidRPr="00F13D2D">
        <w:rPr>
          <w:rFonts w:eastAsia="Calibri"/>
          <w:lang w:val="fr-FR"/>
        </w:rPr>
        <w:t xml:space="preserve">enfant à laquelle ils apportent leurs concours (prise en charge de soins médicaux, surveillance psychologique, aide financière, etc.) et le cas échéant lui retirent le placement en cas de </w:t>
      </w:r>
      <w:r w:rsidR="008D0F45" w:rsidRPr="00F13D2D">
        <w:rPr>
          <w:rFonts w:eastAsia="Calibri"/>
          <w:lang w:val="fr-FR"/>
        </w:rPr>
        <w:t>non-respect</w:t>
      </w:r>
      <w:r w:rsidR="00E819C1" w:rsidRPr="00F13D2D">
        <w:rPr>
          <w:rFonts w:eastAsia="Calibri"/>
          <w:lang w:val="fr-FR"/>
        </w:rPr>
        <w:t xml:space="preserve"> des conditions dudit placement.</w:t>
      </w:r>
    </w:p>
    <w:p w:rsidR="00E819C1" w:rsidRPr="00F13D2D" w:rsidRDefault="00BE3A4F" w:rsidP="00BE3A4F">
      <w:pPr>
        <w:pStyle w:val="H1G"/>
      </w:pPr>
      <w:bookmarkStart w:id="247" w:name="_Toc454388801"/>
      <w:r w:rsidRPr="00F13D2D">
        <w:tab/>
      </w:r>
      <w:r w:rsidRPr="00F13D2D">
        <w:tab/>
      </w:r>
      <w:r w:rsidR="00E819C1" w:rsidRPr="00F13D2D">
        <w:t>Sixième sous</w:t>
      </w:r>
      <w:r w:rsidR="00133C21">
        <w:t>-</w:t>
      </w:r>
      <w:r w:rsidR="00E819C1" w:rsidRPr="00F13D2D">
        <w:t>partie</w:t>
      </w:r>
      <w:r w:rsidR="00FC0832">
        <w:t> :</w:t>
      </w:r>
      <w:r w:rsidR="00E819C1" w:rsidRPr="00F13D2D">
        <w:t xml:space="preserve"> </w:t>
      </w:r>
      <w:r w:rsidR="00A620CC" w:rsidRPr="00F13D2D">
        <w:t xml:space="preserve">Santé </w:t>
      </w:r>
      <w:r w:rsidR="00E819C1" w:rsidRPr="00F13D2D">
        <w:t>et bien-être</w:t>
      </w:r>
      <w:bookmarkEnd w:id="247"/>
    </w:p>
    <w:p w:rsidR="00E819C1" w:rsidRPr="00AA7A93" w:rsidRDefault="00BE3A4F" w:rsidP="00AA7A93">
      <w:pPr>
        <w:pStyle w:val="H1G"/>
      </w:pPr>
      <w:bookmarkStart w:id="248" w:name="_Toc453672959"/>
      <w:bookmarkStart w:id="249" w:name="_Toc454386607"/>
      <w:bookmarkStart w:id="250" w:name="_Toc454386676"/>
      <w:bookmarkStart w:id="251" w:name="_Toc454388802"/>
      <w:r w:rsidRPr="000E17DF">
        <w:tab/>
      </w:r>
      <w:r w:rsidR="00E819C1" w:rsidRPr="00E06F1B">
        <w:t>A</w:t>
      </w:r>
      <w:r w:rsidRPr="00AA7A93">
        <w:t>.</w:t>
      </w:r>
      <w:r w:rsidRPr="00AA7A93">
        <w:tab/>
      </w:r>
      <w:r w:rsidR="00E819C1" w:rsidRPr="00AA7A93">
        <w:t>Les enfants porteurs de handicap (art.</w:t>
      </w:r>
      <w:r w:rsidR="00400D35">
        <w:t> </w:t>
      </w:r>
      <w:r w:rsidR="00E819C1" w:rsidRPr="00E06F1B">
        <w:t>23)</w:t>
      </w:r>
      <w:bookmarkEnd w:id="248"/>
      <w:bookmarkEnd w:id="249"/>
      <w:bookmarkEnd w:id="250"/>
      <w:bookmarkEnd w:id="251"/>
    </w:p>
    <w:p w:rsidR="00E819C1" w:rsidRPr="00F13D2D" w:rsidRDefault="0055270C" w:rsidP="0055270C">
      <w:pPr>
        <w:pStyle w:val="SingleTxtG"/>
        <w:rPr>
          <w:rFonts w:eastAsia="Calibri"/>
          <w:lang w:val="fr-FR"/>
        </w:rPr>
      </w:pPr>
      <w:r w:rsidRPr="00F13D2D">
        <w:rPr>
          <w:rFonts w:eastAsia="Calibri"/>
          <w:lang w:val="fr-FR"/>
        </w:rPr>
        <w:t>150.</w:t>
      </w:r>
      <w:r w:rsidRPr="00F13D2D">
        <w:rPr>
          <w:rFonts w:eastAsia="Calibri"/>
          <w:lang w:val="fr-FR"/>
        </w:rPr>
        <w:tab/>
      </w:r>
      <w:r w:rsidR="00E819C1" w:rsidRPr="00F13D2D">
        <w:rPr>
          <w:rFonts w:eastAsia="Calibri"/>
          <w:lang w:val="fr-FR"/>
        </w:rPr>
        <w:t>La Mauritanie a adopté l’ordonnance n</w:t>
      </w:r>
      <w:r w:rsidR="00133C21" w:rsidRPr="00AA7A93">
        <w:rPr>
          <w:rFonts w:eastAsia="Calibri"/>
          <w:vertAlign w:val="superscript"/>
          <w:lang w:val="fr-FR"/>
        </w:rPr>
        <w:t>o</w:t>
      </w:r>
      <w:r w:rsidR="00133C21">
        <w:rPr>
          <w:rFonts w:eastAsia="Calibri"/>
          <w:lang w:val="fr-FR"/>
        </w:rPr>
        <w:t> </w:t>
      </w:r>
      <w:r w:rsidR="00E819C1" w:rsidRPr="00F13D2D">
        <w:rPr>
          <w:rFonts w:eastAsia="Calibri"/>
          <w:lang w:val="fr-FR"/>
        </w:rPr>
        <w:t xml:space="preserve">2006.043 du 23 novembre 2006 relative à la promotion et la protection des personnes handicapées et ses deux décrets d’application relatifs respectivement au conseil multi partenarial chargé de la promotion des personnes handicapées et à la définition de </w:t>
      </w:r>
      <w:proofErr w:type="spellStart"/>
      <w:r w:rsidR="00E819C1" w:rsidRPr="00F13D2D">
        <w:rPr>
          <w:rFonts w:eastAsia="Calibri"/>
          <w:lang w:val="fr-FR"/>
        </w:rPr>
        <w:t>l’handicap</w:t>
      </w:r>
      <w:proofErr w:type="spellEnd"/>
      <w:r w:rsidR="00E819C1" w:rsidRPr="00F13D2D">
        <w:rPr>
          <w:rFonts w:eastAsia="Calibri"/>
          <w:lang w:val="fr-FR"/>
        </w:rPr>
        <w:t>. Elle a également ratifié la</w:t>
      </w:r>
      <w:r w:rsidR="006C160E" w:rsidRPr="00F13D2D">
        <w:rPr>
          <w:rFonts w:eastAsia="Calibri"/>
          <w:lang w:val="fr-FR"/>
        </w:rPr>
        <w:t xml:space="preserve"> </w:t>
      </w:r>
      <w:r w:rsidR="003D0AAF" w:rsidRPr="00F13D2D">
        <w:rPr>
          <w:rFonts w:eastAsia="Calibri"/>
          <w:lang w:val="fr-FR"/>
        </w:rPr>
        <w:t xml:space="preserve">Convention </w:t>
      </w:r>
      <w:r w:rsidR="00E819C1" w:rsidRPr="00F13D2D">
        <w:rPr>
          <w:rFonts w:eastAsia="Calibri"/>
          <w:lang w:val="fr-FR"/>
        </w:rPr>
        <w:t>internationale des personnes handicapées le 3 avril 2012.</w:t>
      </w:r>
    </w:p>
    <w:p w:rsidR="00E819C1" w:rsidRPr="00F13D2D" w:rsidRDefault="0055270C" w:rsidP="0055270C">
      <w:pPr>
        <w:pStyle w:val="SingleTxtG"/>
        <w:rPr>
          <w:rFonts w:eastAsia="Calibri"/>
          <w:lang w:val="fr-FR"/>
        </w:rPr>
      </w:pPr>
      <w:r w:rsidRPr="00F13D2D">
        <w:rPr>
          <w:rFonts w:eastAsia="Calibri"/>
          <w:lang w:val="fr-FR"/>
        </w:rPr>
        <w:t>151.</w:t>
      </w:r>
      <w:r w:rsidRPr="00F13D2D">
        <w:rPr>
          <w:rFonts w:eastAsia="Calibri"/>
          <w:lang w:val="fr-FR"/>
        </w:rPr>
        <w:tab/>
      </w:r>
      <w:r w:rsidR="00E819C1" w:rsidRPr="00F13D2D">
        <w:rPr>
          <w:rFonts w:eastAsia="Calibri"/>
          <w:lang w:val="fr-FR"/>
        </w:rPr>
        <w:t>Plusieurs structures gouvernementales sont concernées par les problèmes des personnes handicapées. Le MASEF, le CNORF, le CNP, le Ministère de l’</w:t>
      </w:r>
      <w:proofErr w:type="spellStart"/>
      <w:r w:rsidR="00E819C1" w:rsidRPr="00F13D2D">
        <w:rPr>
          <w:rFonts w:eastAsia="Calibri"/>
          <w:lang w:val="fr-FR"/>
        </w:rPr>
        <w:t>Education</w:t>
      </w:r>
      <w:proofErr w:type="spellEnd"/>
      <w:r w:rsidR="00E819C1" w:rsidRPr="00F13D2D">
        <w:rPr>
          <w:rFonts w:eastAsia="Calibri"/>
          <w:lang w:val="fr-FR"/>
        </w:rPr>
        <w:t xml:space="preserve"> Nationale, le Ministère de la Justice, le Ministère de la Culture, de la Jeunesse et des Sports, le Ministère de la Communication et des Relations avec le Parlement, le Ministère à l’Enseignement Originel et l’ANRPTS, le Commissariat aux </w:t>
      </w:r>
      <w:r w:rsidR="00D9438A">
        <w:rPr>
          <w:rFonts w:eastAsia="Calibri"/>
          <w:lang w:val="fr-FR"/>
        </w:rPr>
        <w:t>d</w:t>
      </w:r>
      <w:r w:rsidR="00E819C1" w:rsidRPr="00F13D2D">
        <w:rPr>
          <w:rFonts w:eastAsia="Calibri"/>
          <w:lang w:val="fr-FR"/>
        </w:rPr>
        <w:t>roits de l’</w:t>
      </w:r>
      <w:r w:rsidR="00D9438A">
        <w:rPr>
          <w:rFonts w:eastAsia="Calibri"/>
          <w:lang w:val="fr-FR"/>
        </w:rPr>
        <w:t>h</w:t>
      </w:r>
      <w:r w:rsidR="00E819C1" w:rsidRPr="00F13D2D">
        <w:rPr>
          <w:rFonts w:eastAsia="Calibri"/>
          <w:lang w:val="fr-FR"/>
        </w:rPr>
        <w:t>omme et à l’action humanitaire, le Commissariat à la Sécurité Alimentaire et la Caisse Nationale de Sécurité Sociale. Le MASEF a une direction qui s’occupe</w:t>
      </w:r>
      <w:r w:rsidR="006C160E" w:rsidRPr="00F13D2D">
        <w:rPr>
          <w:rFonts w:eastAsia="Calibri"/>
          <w:lang w:val="fr-FR"/>
        </w:rPr>
        <w:t xml:space="preserve"> </w:t>
      </w:r>
      <w:r w:rsidR="00E819C1" w:rsidRPr="00F13D2D">
        <w:rPr>
          <w:rFonts w:eastAsia="Calibri"/>
          <w:lang w:val="fr-FR"/>
        </w:rPr>
        <w:t xml:space="preserve">spécifiquement de l’insertion des enfants handicapés. Par ailleurs, en dehors de l’administration centrale du MASEF, chacune des </w:t>
      </w:r>
      <w:r w:rsidR="00E819C1" w:rsidRPr="00F13D2D">
        <w:rPr>
          <w:rFonts w:eastAsia="Calibri"/>
          <w:i/>
          <w:lang w:val="fr-FR"/>
        </w:rPr>
        <w:t>wilayas</w:t>
      </w:r>
      <w:r w:rsidR="00E819C1" w:rsidRPr="00F13D2D">
        <w:rPr>
          <w:rFonts w:eastAsia="Calibri"/>
          <w:lang w:val="fr-FR"/>
        </w:rPr>
        <w:t xml:space="preserve"> dispose au moins d’un responsable de niveau assistant social formé par l’</w:t>
      </w:r>
      <w:proofErr w:type="spellStart"/>
      <w:r w:rsidR="00E819C1" w:rsidRPr="00F13D2D">
        <w:rPr>
          <w:rFonts w:eastAsia="Calibri"/>
          <w:lang w:val="fr-FR"/>
        </w:rPr>
        <w:t>Ecole</w:t>
      </w:r>
      <w:proofErr w:type="spellEnd"/>
      <w:r w:rsidR="00E819C1" w:rsidRPr="00F13D2D">
        <w:rPr>
          <w:rFonts w:eastAsia="Calibri"/>
          <w:lang w:val="fr-FR"/>
        </w:rPr>
        <w:t xml:space="preserve"> Nationale de Santé Publique (ENSP).</w:t>
      </w:r>
      <w:r w:rsidR="006C160E" w:rsidRPr="00F13D2D">
        <w:rPr>
          <w:rFonts w:eastAsia="Calibri"/>
          <w:lang w:val="fr-FR"/>
        </w:rPr>
        <w:t xml:space="preserve"> </w:t>
      </w:r>
      <w:r w:rsidR="00E819C1" w:rsidRPr="00F13D2D">
        <w:rPr>
          <w:rFonts w:eastAsia="Calibri"/>
          <w:lang w:val="fr-FR"/>
        </w:rPr>
        <w:t xml:space="preserve">Quant aux autres structures publiques, elles élaborent et mettent en œuvre des politiques et des programmes en faveur de l’enfance en général. Les enfants souffrant d’invalidités ou d’incapacités permanentes, qui sont parfois pris en charge dans le cadre des prestations fournies par ces structures, le sont au même titre que les autres enfants, sans que leurs besoins spécifiques soient pris en compte (structures de santé, écoles…). </w:t>
      </w:r>
    </w:p>
    <w:p w:rsidR="00E819C1" w:rsidRPr="00F13D2D" w:rsidRDefault="0055270C" w:rsidP="0055270C">
      <w:pPr>
        <w:pStyle w:val="SingleTxtG"/>
        <w:rPr>
          <w:rFonts w:eastAsia="Calibri"/>
          <w:lang w:val="fr-FR"/>
        </w:rPr>
      </w:pPr>
      <w:r w:rsidRPr="00F13D2D">
        <w:rPr>
          <w:rFonts w:eastAsia="Calibri"/>
          <w:lang w:val="fr-FR"/>
        </w:rPr>
        <w:t>152.</w:t>
      </w:r>
      <w:r w:rsidRPr="00F13D2D">
        <w:rPr>
          <w:rFonts w:eastAsia="Calibri"/>
          <w:lang w:val="fr-FR"/>
        </w:rPr>
        <w:tab/>
      </w:r>
      <w:r w:rsidR="00E819C1" w:rsidRPr="00F13D2D">
        <w:rPr>
          <w:rFonts w:eastAsia="Calibri"/>
          <w:lang w:val="fr-FR"/>
        </w:rPr>
        <w:t>Plusieurs Organisations de la Société Civile s’intéressent au sort des personnes handicapées. Elles sont généralement organisées par type de handicap. Ces associations s’occupent des personnes handicapées de manière générale et mènent, dans la mesure de leurs moyens, des activités en faveur des enfants handicapés en particulier. D’autres ONG s’intéressent aux enfants handicapés, sans qu’il</w:t>
      </w:r>
      <w:r w:rsidR="008F451F">
        <w:rPr>
          <w:rFonts w:eastAsia="Calibri"/>
          <w:lang w:val="fr-FR"/>
        </w:rPr>
        <w:t xml:space="preserve">s constituent leur unique cible, </w:t>
      </w:r>
      <w:r w:rsidR="00E819C1" w:rsidRPr="00F13D2D">
        <w:rPr>
          <w:rFonts w:eastAsia="Calibri"/>
          <w:lang w:val="fr-FR"/>
        </w:rPr>
        <w:t xml:space="preserve">… </w:t>
      </w:r>
    </w:p>
    <w:p w:rsidR="00E819C1" w:rsidRPr="00F13D2D" w:rsidRDefault="0055270C" w:rsidP="0055270C">
      <w:pPr>
        <w:pStyle w:val="SingleTxtG"/>
        <w:rPr>
          <w:rFonts w:eastAsia="Calibri"/>
          <w:lang w:val="fr-FR"/>
        </w:rPr>
      </w:pPr>
      <w:r w:rsidRPr="00F13D2D">
        <w:rPr>
          <w:rFonts w:eastAsia="Calibri"/>
          <w:lang w:val="fr-FR"/>
        </w:rPr>
        <w:t>153.</w:t>
      </w:r>
      <w:r w:rsidRPr="00F13D2D">
        <w:rPr>
          <w:rFonts w:eastAsia="Calibri"/>
          <w:lang w:val="fr-FR"/>
        </w:rPr>
        <w:tab/>
      </w:r>
      <w:r w:rsidR="00E819C1" w:rsidRPr="00F13D2D">
        <w:rPr>
          <w:rFonts w:eastAsia="Calibri"/>
          <w:lang w:val="fr-FR"/>
        </w:rPr>
        <w:t xml:space="preserve">Des avancées ont été obtenues, à travers la prise en compte des droits des personnes handicapées par le Plan national pour la Protection et la Promotion des </w:t>
      </w:r>
      <w:r w:rsidR="00D9438A">
        <w:rPr>
          <w:rFonts w:eastAsia="Calibri"/>
          <w:lang w:val="fr-FR"/>
        </w:rPr>
        <w:t>d</w:t>
      </w:r>
      <w:r w:rsidR="00E819C1" w:rsidRPr="00F13D2D">
        <w:rPr>
          <w:rFonts w:eastAsia="Calibri"/>
          <w:lang w:val="fr-FR"/>
        </w:rPr>
        <w:t>roits de l’homme. De même, la Stratégie nationale de protection des enfants</w:t>
      </w:r>
      <w:r w:rsidR="006C160E" w:rsidRPr="00F13D2D">
        <w:rPr>
          <w:rFonts w:eastAsia="Calibri"/>
          <w:lang w:val="fr-FR"/>
        </w:rPr>
        <w:t xml:space="preserve"> </w:t>
      </w:r>
      <w:r w:rsidR="00E819C1" w:rsidRPr="00F13D2D">
        <w:rPr>
          <w:rFonts w:eastAsia="Calibri"/>
          <w:lang w:val="fr-FR"/>
        </w:rPr>
        <w:t xml:space="preserve">prévoit plusieurs activités visant la protection des enfants handicapés. Enfin, le CSLP a mis en place des filets de sécurité pour les groupes les plus défavorisés, qui sont entre autres les « enfants en situation difficile et les handicapés moteurs et mentaux ». </w:t>
      </w:r>
    </w:p>
    <w:p w:rsidR="00E819C1" w:rsidRPr="00F13D2D" w:rsidRDefault="0055270C" w:rsidP="0055270C">
      <w:pPr>
        <w:pStyle w:val="SingleTxtG"/>
        <w:rPr>
          <w:rFonts w:eastAsia="Calibri"/>
          <w:lang w:val="fr-FR"/>
        </w:rPr>
      </w:pPr>
      <w:r w:rsidRPr="00F13D2D">
        <w:rPr>
          <w:rFonts w:eastAsia="Calibri"/>
          <w:lang w:val="fr-FR"/>
        </w:rPr>
        <w:t>154.</w:t>
      </w:r>
      <w:r w:rsidRPr="00F13D2D">
        <w:rPr>
          <w:rFonts w:eastAsia="Calibri"/>
          <w:lang w:val="fr-FR"/>
        </w:rPr>
        <w:tab/>
      </w:r>
      <w:r w:rsidR="00E819C1" w:rsidRPr="00F13D2D">
        <w:rPr>
          <w:rFonts w:eastAsia="Calibri"/>
          <w:lang w:val="fr-FR"/>
        </w:rPr>
        <w:t>Plusieurs programmes et projets, émanant des institutions gouvernementales ou de la Société Civile, ont été menés en faveur des enfants handicapés, dans différents domaines. Dans le domaine de la santé</w:t>
      </w:r>
      <w:r w:rsidR="00FC0832">
        <w:rPr>
          <w:rFonts w:eastAsia="Calibri"/>
          <w:lang w:val="fr-FR"/>
        </w:rPr>
        <w:t> ;</w:t>
      </w:r>
      <w:r w:rsidR="00E819C1" w:rsidRPr="00F13D2D">
        <w:rPr>
          <w:rFonts w:eastAsia="Calibri"/>
          <w:lang w:val="fr-FR"/>
        </w:rPr>
        <w:t xml:space="preserve"> (i) La lutte contre les handicaps liés à certaines maladies transmissibles a sensiblement progressé grâce aux Journées Nationales de Vaccination et à la stratégie fixe de vaccination des enfants de 0 à 5 ans. En particulier, l’incidence des invalidités liées à la poliomyélite a sensiblement diminué grâce aux campagnes successives menées pour éradiquer cette maladie. Par ailleurs, les actions réalisées dans le cadre de la lutte contre la lèpre, la tuberculose, la rougeole et la dracunculose ont permis de limiter les incapacités liées à ces maladies. (ii) Plusieurs structures spécialisées contribuant à l’amélioration de la vie des handicapés ont été créées. Le CNORF (Centre National </w:t>
      </w:r>
      <w:r w:rsidR="00E819C1" w:rsidRPr="00F13D2D">
        <w:rPr>
          <w:rFonts w:eastAsia="Calibri"/>
          <w:lang w:val="fr-FR"/>
        </w:rPr>
        <w:lastRenderedPageBreak/>
        <w:t>d’Orthopédie et de Réadaptation Fonctionnelle)</w:t>
      </w:r>
      <w:r w:rsidR="00FC0832">
        <w:rPr>
          <w:rFonts w:eastAsia="Calibri"/>
          <w:lang w:val="fr-FR"/>
        </w:rPr>
        <w:t> :</w:t>
      </w:r>
      <w:r w:rsidR="00E819C1" w:rsidRPr="00F13D2D">
        <w:rPr>
          <w:rFonts w:eastAsia="Calibri"/>
          <w:lang w:val="fr-FR"/>
        </w:rPr>
        <w:t xml:space="preserve"> doté d’une équipe de</w:t>
      </w:r>
      <w:r w:rsidR="006C160E" w:rsidRPr="00F13D2D">
        <w:rPr>
          <w:rFonts w:eastAsia="Calibri"/>
          <w:lang w:val="fr-FR"/>
        </w:rPr>
        <w:t xml:space="preserve"> </w:t>
      </w:r>
      <w:r w:rsidR="00E819C1" w:rsidRPr="00F13D2D">
        <w:rPr>
          <w:rFonts w:eastAsia="Calibri"/>
          <w:lang w:val="fr-FR"/>
        </w:rPr>
        <w:t xml:space="preserve">kinésithérapeutes et de médecins rééducateurs, il dispose de services d’orthopédie, de kinésithérapie et de contrôle, lui permettant d’assurer la rééducation fonctionnelle et l’appareillage des handicapés physiques. Il a </w:t>
      </w:r>
      <w:proofErr w:type="spellStart"/>
      <w:r w:rsidR="00E819C1" w:rsidRPr="00F13D2D">
        <w:rPr>
          <w:rFonts w:eastAsia="Calibri"/>
          <w:lang w:val="fr-FR"/>
        </w:rPr>
        <w:t>effectue</w:t>
      </w:r>
      <w:proofErr w:type="spellEnd"/>
      <w:r w:rsidR="006C160E" w:rsidRPr="00F13D2D">
        <w:rPr>
          <w:rFonts w:eastAsia="Calibri"/>
          <w:lang w:val="fr-FR"/>
        </w:rPr>
        <w:t xml:space="preserve"> </w:t>
      </w:r>
      <w:r w:rsidR="00E819C1" w:rsidRPr="00F13D2D">
        <w:rPr>
          <w:rFonts w:eastAsia="Calibri"/>
          <w:lang w:val="fr-FR"/>
        </w:rPr>
        <w:t>annuellement plus de 10 000 consultations, mené 4</w:t>
      </w:r>
      <w:r w:rsidR="00133C21">
        <w:rPr>
          <w:rFonts w:eastAsia="Calibri"/>
          <w:lang w:val="fr-FR"/>
        </w:rPr>
        <w:t> </w:t>
      </w:r>
      <w:r w:rsidR="00E819C1" w:rsidRPr="00F13D2D">
        <w:rPr>
          <w:rFonts w:eastAsia="Calibri"/>
          <w:lang w:val="fr-FR"/>
        </w:rPr>
        <w:t xml:space="preserve">000 séances de rééducation et réalise 100 appareillages. </w:t>
      </w:r>
    </w:p>
    <w:p w:rsidR="00E819C1" w:rsidRPr="00F13D2D" w:rsidRDefault="0055270C" w:rsidP="0055270C">
      <w:pPr>
        <w:pStyle w:val="SingleTxtG"/>
        <w:rPr>
          <w:rFonts w:eastAsia="Calibri"/>
          <w:lang w:val="fr-FR"/>
        </w:rPr>
      </w:pPr>
      <w:r w:rsidRPr="00F13D2D">
        <w:rPr>
          <w:rFonts w:eastAsia="Calibri"/>
          <w:lang w:val="fr-FR"/>
        </w:rPr>
        <w:t>155.</w:t>
      </w:r>
      <w:r w:rsidRPr="00F13D2D">
        <w:rPr>
          <w:rFonts w:eastAsia="Calibri"/>
          <w:lang w:val="fr-FR"/>
        </w:rPr>
        <w:tab/>
      </w:r>
      <w:r w:rsidR="00E819C1" w:rsidRPr="00F13D2D">
        <w:rPr>
          <w:rFonts w:eastAsia="Calibri"/>
          <w:lang w:val="fr-FR"/>
        </w:rPr>
        <w:t xml:space="preserve">Dans le domaine de la prise en charge, le MASEF assure le financement des frais d’hospitalisation, d’appareillage et d’évacuation sanitaire des enfants handicapés dont les parents sont indigents.. Les parents affiliés au régime de sécurité sociale national peuvent quant à eux bénéficier d’un remboursement partiel de ces frais par la Direction du Budget et des Comptes et la Caisse nationale de Sécurité Sociale. </w:t>
      </w:r>
    </w:p>
    <w:p w:rsidR="00E819C1" w:rsidRPr="00F13D2D" w:rsidRDefault="0055270C" w:rsidP="0055270C">
      <w:pPr>
        <w:pStyle w:val="SingleTxtG"/>
        <w:rPr>
          <w:rFonts w:eastAsia="Calibri"/>
          <w:lang w:val="fr-FR"/>
        </w:rPr>
      </w:pPr>
      <w:r w:rsidRPr="00F13D2D">
        <w:rPr>
          <w:rFonts w:eastAsia="Calibri"/>
          <w:lang w:val="fr-FR"/>
        </w:rPr>
        <w:t>156.</w:t>
      </w:r>
      <w:r w:rsidRPr="00F13D2D">
        <w:rPr>
          <w:rFonts w:eastAsia="Calibri"/>
          <w:lang w:val="fr-FR"/>
        </w:rPr>
        <w:tab/>
      </w:r>
      <w:r w:rsidR="00E819C1" w:rsidRPr="00F13D2D">
        <w:rPr>
          <w:rFonts w:eastAsia="Calibri"/>
          <w:lang w:val="fr-FR"/>
        </w:rPr>
        <w:t>L’ONG « Association pour le Développement Social en Mauritanie » (ADSM) a ouvert, une petite fabrique de tricycles et de fauteuils roulants. Les bénéficiaires sont des femmes et des enfants vivant avec des incapacités motrices permanentes. l’ONG Terre des Hommes prend en charge, à la demande des parents, les frais de traitement et d’évacuation sanitaire de certains enfants handicapés.</w:t>
      </w:r>
    </w:p>
    <w:p w:rsidR="00E819C1" w:rsidRPr="00F13D2D" w:rsidRDefault="0055270C" w:rsidP="0055270C">
      <w:pPr>
        <w:pStyle w:val="SingleTxtG"/>
        <w:rPr>
          <w:rFonts w:eastAsia="Calibri"/>
          <w:lang w:val="fr-FR"/>
        </w:rPr>
      </w:pPr>
      <w:r w:rsidRPr="00F13D2D">
        <w:rPr>
          <w:rFonts w:eastAsia="Calibri"/>
          <w:lang w:val="fr-FR"/>
        </w:rPr>
        <w:t>157.</w:t>
      </w:r>
      <w:r w:rsidRPr="00F13D2D">
        <w:rPr>
          <w:rFonts w:eastAsia="Calibri"/>
          <w:lang w:val="fr-FR"/>
        </w:rPr>
        <w:tab/>
      </w:r>
      <w:r w:rsidR="00E819C1" w:rsidRPr="00F13D2D">
        <w:rPr>
          <w:rFonts w:eastAsia="Calibri"/>
          <w:lang w:val="fr-FR"/>
        </w:rPr>
        <w:t>En matière d’enseignement spécialisé,</w:t>
      </w:r>
      <w:r w:rsidR="006C160E" w:rsidRPr="00F13D2D">
        <w:rPr>
          <w:rFonts w:eastAsia="Calibri"/>
          <w:lang w:val="fr-FR"/>
        </w:rPr>
        <w:t xml:space="preserve"> </w:t>
      </w:r>
      <w:r w:rsidR="00E819C1" w:rsidRPr="00F13D2D">
        <w:rPr>
          <w:rFonts w:eastAsia="Calibri"/>
          <w:lang w:val="fr-FR"/>
        </w:rPr>
        <w:t>les écoles d’enseignement des sourds, muets et aveugles existent depuis 1985 ont été transformées en centre</w:t>
      </w:r>
      <w:r w:rsidR="006C160E" w:rsidRPr="00F13D2D">
        <w:rPr>
          <w:rFonts w:eastAsia="Calibri"/>
          <w:lang w:val="fr-FR"/>
        </w:rPr>
        <w:t xml:space="preserve"> </w:t>
      </w:r>
      <w:r w:rsidR="00E819C1" w:rsidRPr="00F13D2D">
        <w:rPr>
          <w:rFonts w:eastAsia="Calibri"/>
          <w:lang w:val="fr-FR"/>
        </w:rPr>
        <w:t>de formation et de promotion des enfants handicapés.</w:t>
      </w:r>
      <w:r w:rsidR="006C160E" w:rsidRPr="00F13D2D">
        <w:rPr>
          <w:rFonts w:eastAsia="Calibri"/>
          <w:lang w:val="fr-FR"/>
        </w:rPr>
        <w:t xml:space="preserve"> </w:t>
      </w:r>
      <w:r w:rsidR="00E819C1" w:rsidRPr="00F13D2D">
        <w:rPr>
          <w:rFonts w:eastAsia="Calibri"/>
          <w:lang w:val="fr-FR"/>
        </w:rPr>
        <w:t>Certains handicapés moteurs légers parviennent à intégrer le système scolaire, du fait des efforts déployés. Les enfants handicapés moteurs sont inscrits dans des écoles fondamentales.</w:t>
      </w:r>
      <w:r w:rsidR="006C160E" w:rsidRPr="00F13D2D">
        <w:rPr>
          <w:rFonts w:eastAsia="Calibri"/>
          <w:lang w:val="fr-FR"/>
        </w:rPr>
        <w:t xml:space="preserve"> </w:t>
      </w:r>
    </w:p>
    <w:p w:rsidR="00E819C1" w:rsidRPr="00F13D2D" w:rsidRDefault="0055270C" w:rsidP="0055270C">
      <w:pPr>
        <w:pStyle w:val="SingleTxtG"/>
        <w:rPr>
          <w:rFonts w:eastAsia="Calibri"/>
          <w:lang w:val="fr-FR"/>
        </w:rPr>
      </w:pPr>
      <w:r w:rsidRPr="00F13D2D">
        <w:rPr>
          <w:rFonts w:eastAsia="Calibri"/>
          <w:lang w:val="fr-FR"/>
        </w:rPr>
        <w:t>158.</w:t>
      </w:r>
      <w:r w:rsidRPr="00F13D2D">
        <w:rPr>
          <w:rFonts w:eastAsia="Calibri"/>
          <w:lang w:val="fr-FR"/>
        </w:rPr>
        <w:tab/>
      </w:r>
      <w:r w:rsidR="00E819C1" w:rsidRPr="00F13D2D">
        <w:rPr>
          <w:rFonts w:eastAsia="Calibri"/>
          <w:lang w:val="fr-FR"/>
        </w:rPr>
        <w:t xml:space="preserve">Un programme de réinsertion dans la vie active a été mené par l’ONG « Santé et Développement des Femmes et Enfants Handicapés » avec l’appui du Commissariat aux </w:t>
      </w:r>
      <w:r w:rsidR="00D9438A">
        <w:rPr>
          <w:rFonts w:eastAsia="Calibri"/>
          <w:lang w:val="fr-FR"/>
        </w:rPr>
        <w:t>d</w:t>
      </w:r>
      <w:r w:rsidR="00E819C1" w:rsidRPr="00F13D2D">
        <w:rPr>
          <w:rFonts w:eastAsia="Calibri"/>
          <w:lang w:val="fr-FR"/>
        </w:rPr>
        <w:t>roits de l’homme, suite à une enquête sur la mendicité des handicapés, qui a permis de repérer 110 personnes, dont des enfants. Il a financé plusieurs requêtes au profit de 25</w:t>
      </w:r>
      <w:r w:rsidR="00133C21">
        <w:rPr>
          <w:rFonts w:eastAsia="Calibri"/>
          <w:lang w:val="fr-FR"/>
        </w:rPr>
        <w:t> </w:t>
      </w:r>
      <w:r w:rsidR="00E819C1" w:rsidRPr="00F13D2D">
        <w:rPr>
          <w:rFonts w:eastAsia="Calibri"/>
          <w:lang w:val="fr-FR"/>
        </w:rPr>
        <w:t>diplômés handicapés sans emploi. Il a également soutenu des actions de formation professionnelle pour des aveugles, en vue de leur proposer une alternative à la mendicité. De nombreuses personnes atteintes de la lèpre résidant à Nouakchott ont trouvé une source de revenus à travers des projets de gardiennage de véhicules.</w:t>
      </w:r>
    </w:p>
    <w:p w:rsidR="00E819C1" w:rsidRPr="00F13D2D" w:rsidRDefault="0055270C" w:rsidP="0055270C">
      <w:pPr>
        <w:pStyle w:val="SingleTxtG"/>
        <w:rPr>
          <w:rFonts w:eastAsia="Calibri"/>
          <w:lang w:val="fr-FR"/>
        </w:rPr>
      </w:pPr>
      <w:r w:rsidRPr="00F13D2D">
        <w:rPr>
          <w:rFonts w:eastAsia="Calibri"/>
          <w:lang w:val="fr-FR"/>
        </w:rPr>
        <w:t>159.</w:t>
      </w:r>
      <w:r w:rsidRPr="00F13D2D">
        <w:rPr>
          <w:rFonts w:eastAsia="Calibri"/>
          <w:lang w:val="fr-FR"/>
        </w:rPr>
        <w:tab/>
      </w:r>
      <w:r w:rsidR="00E819C1" w:rsidRPr="00F13D2D">
        <w:rPr>
          <w:rFonts w:eastAsia="Calibri"/>
          <w:lang w:val="fr-FR"/>
        </w:rPr>
        <w:t>Ces actions sont complétées par l’activité du MASEF qui s’est traduite par</w:t>
      </w:r>
      <w:r w:rsidR="006C160E" w:rsidRPr="00F13D2D">
        <w:rPr>
          <w:rFonts w:eastAsia="Calibri"/>
          <w:lang w:val="fr-FR"/>
        </w:rPr>
        <w:t xml:space="preserve"> </w:t>
      </w:r>
      <w:r w:rsidR="00E819C1" w:rsidRPr="00F13D2D">
        <w:rPr>
          <w:rFonts w:eastAsia="Calibri"/>
          <w:lang w:val="fr-FR"/>
        </w:rPr>
        <w:t>la création d’une Direction des Personnes Handicapées, la mise en place d’une commission Paritaire chargée de la promotion des personnes handicapées,</w:t>
      </w:r>
      <w:r w:rsidR="006C160E" w:rsidRPr="00F13D2D">
        <w:rPr>
          <w:rFonts w:eastAsia="Calibri"/>
          <w:lang w:val="fr-FR"/>
        </w:rPr>
        <w:t xml:space="preserve"> </w:t>
      </w:r>
      <w:r w:rsidR="00E819C1" w:rsidRPr="00F13D2D">
        <w:rPr>
          <w:rFonts w:eastAsia="Calibri"/>
          <w:lang w:val="fr-FR"/>
        </w:rPr>
        <w:t>le renforcement des capacités des organisations natio</w:t>
      </w:r>
      <w:r w:rsidR="008F451F">
        <w:rPr>
          <w:rFonts w:eastAsia="Calibri"/>
          <w:lang w:val="fr-FR"/>
        </w:rPr>
        <w:t>nales des personnes handicapées</w:t>
      </w:r>
      <w:r w:rsidR="00E819C1" w:rsidRPr="00F13D2D">
        <w:rPr>
          <w:rFonts w:eastAsia="Calibri"/>
          <w:lang w:val="fr-FR"/>
        </w:rPr>
        <w:t>, l</w:t>
      </w:r>
      <w:r w:rsidR="006C160E" w:rsidRPr="00F13D2D">
        <w:rPr>
          <w:rFonts w:eastAsia="Calibri"/>
          <w:lang w:val="fr-FR"/>
        </w:rPr>
        <w:t>’</w:t>
      </w:r>
      <w:r w:rsidR="00E819C1" w:rsidRPr="00F13D2D">
        <w:rPr>
          <w:rFonts w:eastAsia="Calibri"/>
          <w:lang w:val="fr-FR"/>
        </w:rPr>
        <w:t>appui à l’accessibilité fonctionnelle des personnes handicapées, la scolarisation d</w:t>
      </w:r>
      <w:r w:rsidR="006C160E" w:rsidRPr="00F13D2D">
        <w:rPr>
          <w:rFonts w:eastAsia="Calibri"/>
          <w:lang w:val="fr-FR"/>
        </w:rPr>
        <w:t>’</w:t>
      </w:r>
      <w:r w:rsidR="00E819C1" w:rsidRPr="00F13D2D">
        <w:rPr>
          <w:rFonts w:eastAsia="Calibri"/>
          <w:lang w:val="fr-FR"/>
        </w:rPr>
        <w:t>enfants sourds muets et aveugles et l’appareillage d</w:t>
      </w:r>
      <w:r w:rsidR="006C160E" w:rsidRPr="00F13D2D">
        <w:rPr>
          <w:rFonts w:eastAsia="Calibri"/>
          <w:lang w:val="fr-FR"/>
        </w:rPr>
        <w:t>’</w:t>
      </w:r>
      <w:r w:rsidR="00E819C1" w:rsidRPr="00F13D2D">
        <w:rPr>
          <w:rFonts w:eastAsia="Calibri"/>
          <w:lang w:val="fr-FR"/>
        </w:rPr>
        <w:t>enfants sourds, le</w:t>
      </w:r>
      <w:r w:rsidR="006C160E" w:rsidRPr="00F13D2D">
        <w:rPr>
          <w:rFonts w:eastAsia="Calibri"/>
          <w:lang w:val="fr-FR"/>
        </w:rPr>
        <w:t xml:space="preserve"> </w:t>
      </w:r>
      <w:r w:rsidR="00E819C1" w:rsidRPr="00F13D2D">
        <w:rPr>
          <w:rFonts w:eastAsia="Calibri"/>
          <w:lang w:val="fr-FR"/>
        </w:rPr>
        <w:t>renforcement de capacités des enseignants en langue des signes et braille et l’habilitation de</w:t>
      </w:r>
      <w:r w:rsidR="006C160E" w:rsidRPr="00F13D2D">
        <w:rPr>
          <w:rFonts w:eastAsia="Calibri"/>
          <w:lang w:val="fr-FR"/>
        </w:rPr>
        <w:t xml:space="preserve"> </w:t>
      </w:r>
      <w:r w:rsidR="00E819C1" w:rsidRPr="00F13D2D">
        <w:rPr>
          <w:rFonts w:eastAsia="Calibri"/>
          <w:lang w:val="fr-FR"/>
        </w:rPr>
        <w:t>parents d’enfants sourds muets et aveugles en langue des signes et braille, l’ouverture de classes intégratrices au profit d’enfants déficients auditifs,</w:t>
      </w:r>
      <w:r w:rsidR="006C160E" w:rsidRPr="00F13D2D">
        <w:rPr>
          <w:rFonts w:eastAsia="Calibri"/>
          <w:lang w:val="fr-FR"/>
        </w:rPr>
        <w:t xml:space="preserve"> </w:t>
      </w:r>
      <w:r w:rsidR="00E819C1" w:rsidRPr="00F13D2D">
        <w:rPr>
          <w:rFonts w:eastAsia="Calibri"/>
          <w:lang w:val="fr-FR"/>
        </w:rPr>
        <w:t>le renforcement des infrastructures pour personnes handicapées</w:t>
      </w:r>
      <w:r w:rsidR="006C160E" w:rsidRPr="00F13D2D">
        <w:rPr>
          <w:rFonts w:eastAsia="Calibri"/>
          <w:lang w:val="fr-FR"/>
        </w:rPr>
        <w:t xml:space="preserve"> </w:t>
      </w:r>
      <w:r w:rsidR="00E819C1" w:rsidRPr="00F13D2D">
        <w:rPr>
          <w:rFonts w:eastAsia="Calibri"/>
          <w:lang w:val="fr-FR"/>
        </w:rPr>
        <w:t>et la</w:t>
      </w:r>
      <w:r w:rsidR="006C160E" w:rsidRPr="00F13D2D">
        <w:rPr>
          <w:rFonts w:eastAsia="Calibri"/>
          <w:lang w:val="fr-FR"/>
        </w:rPr>
        <w:t xml:space="preserve"> </w:t>
      </w:r>
      <w:r w:rsidR="00E819C1" w:rsidRPr="00F13D2D">
        <w:rPr>
          <w:rFonts w:eastAsia="Calibri"/>
          <w:lang w:val="fr-FR"/>
        </w:rPr>
        <w:t>distribution de lotissements à usage d’habitation.</w:t>
      </w:r>
    </w:p>
    <w:p w:rsidR="00E819C1" w:rsidRPr="00F13D2D" w:rsidRDefault="0055270C" w:rsidP="0055270C">
      <w:pPr>
        <w:pStyle w:val="SingleTxtG"/>
        <w:rPr>
          <w:rFonts w:eastAsia="Calibri"/>
          <w:lang w:val="fr-FR"/>
        </w:rPr>
      </w:pPr>
      <w:r w:rsidRPr="00F13D2D">
        <w:rPr>
          <w:rFonts w:eastAsia="Calibri"/>
          <w:lang w:val="fr-FR"/>
        </w:rPr>
        <w:t>160.</w:t>
      </w:r>
      <w:r w:rsidRPr="00F13D2D">
        <w:rPr>
          <w:rFonts w:eastAsia="Calibri"/>
          <w:lang w:val="fr-FR"/>
        </w:rPr>
        <w:tab/>
      </w:r>
      <w:r w:rsidR="00E819C1" w:rsidRPr="00F13D2D">
        <w:rPr>
          <w:rFonts w:eastAsia="Calibri"/>
          <w:lang w:val="fr-FR"/>
        </w:rPr>
        <w:t>Une progression favorable aux enfants handicapés a été constatée dans les réalisations de la direction en charge de leurs dossier dans les domaines suivants </w:t>
      </w:r>
      <w:r w:rsidR="00FC0832">
        <w:rPr>
          <w:rFonts w:eastAsia="Calibri"/>
          <w:lang w:val="fr-FR"/>
        </w:rPr>
        <w:t>:</w:t>
      </w:r>
      <w:r w:rsidR="00E819C1" w:rsidRPr="00F13D2D">
        <w:rPr>
          <w:rFonts w:eastAsia="Calibri"/>
          <w:lang w:val="fr-FR"/>
        </w:rPr>
        <w:t xml:space="preserve"> (i) 337 sourds muets scolarisés </w:t>
      </w:r>
      <w:r w:rsidR="00FC0832">
        <w:rPr>
          <w:rFonts w:eastAsia="Calibri"/>
          <w:lang w:val="fr-FR"/>
        </w:rPr>
        <w:t>;</w:t>
      </w:r>
      <w:r w:rsidR="00E819C1" w:rsidRPr="00F13D2D">
        <w:rPr>
          <w:rFonts w:eastAsia="Calibri"/>
          <w:lang w:val="fr-FR"/>
        </w:rPr>
        <w:t xml:space="preserve"> (ii) 300 fauteuils roulants, 800 béquilles</w:t>
      </w:r>
      <w:r w:rsidR="00FC0832">
        <w:rPr>
          <w:rFonts w:eastAsia="Calibri"/>
          <w:lang w:val="fr-FR"/>
        </w:rPr>
        <w:t> ;</w:t>
      </w:r>
      <w:r w:rsidR="00E819C1" w:rsidRPr="00F13D2D">
        <w:rPr>
          <w:rFonts w:eastAsia="Calibri"/>
          <w:lang w:val="fr-FR"/>
        </w:rPr>
        <w:t xml:space="preserve"> (iii) 400 cannes blanches</w:t>
      </w:r>
      <w:r w:rsidR="00FC0832">
        <w:rPr>
          <w:rFonts w:eastAsia="Calibri"/>
          <w:lang w:val="fr-FR"/>
        </w:rPr>
        <w:t> ;</w:t>
      </w:r>
      <w:r w:rsidR="00E819C1" w:rsidRPr="00F13D2D">
        <w:rPr>
          <w:rFonts w:eastAsia="Calibri"/>
          <w:lang w:val="fr-FR"/>
        </w:rPr>
        <w:t xml:space="preserve"> 110 enfants polyhandicapés pris en charge</w:t>
      </w:r>
      <w:r w:rsidR="00FC0832">
        <w:rPr>
          <w:rFonts w:eastAsia="Calibri"/>
          <w:lang w:val="fr-FR"/>
        </w:rPr>
        <w:t> ;</w:t>
      </w:r>
      <w:r w:rsidR="00E819C1" w:rsidRPr="00F13D2D">
        <w:rPr>
          <w:rFonts w:eastAsia="Calibri"/>
          <w:lang w:val="fr-FR"/>
        </w:rPr>
        <w:t xml:space="preserve"> (iv) 38 </w:t>
      </w:r>
      <w:proofErr w:type="spellStart"/>
      <w:r w:rsidR="00E819C1" w:rsidRPr="00F13D2D">
        <w:rPr>
          <w:rFonts w:eastAsia="Calibri"/>
          <w:lang w:val="fr-FR"/>
        </w:rPr>
        <w:t>microprojets</w:t>
      </w:r>
      <w:proofErr w:type="spellEnd"/>
      <w:r w:rsidR="00E819C1" w:rsidRPr="00F13D2D">
        <w:rPr>
          <w:rFonts w:eastAsia="Calibri"/>
          <w:lang w:val="fr-FR"/>
        </w:rPr>
        <w:t xml:space="preserve"> individuels bénéficiant aux personnes handicapées toutes catégories d’handicap</w:t>
      </w:r>
      <w:r w:rsidR="00FC0832">
        <w:rPr>
          <w:rFonts w:eastAsia="Calibri"/>
          <w:lang w:val="fr-FR"/>
        </w:rPr>
        <w:t> ;</w:t>
      </w:r>
      <w:r w:rsidR="00E819C1" w:rsidRPr="00F13D2D">
        <w:rPr>
          <w:rFonts w:eastAsia="Calibri"/>
          <w:lang w:val="fr-FR"/>
        </w:rPr>
        <w:t xml:space="preserve"> (v) 18 </w:t>
      </w:r>
      <w:proofErr w:type="spellStart"/>
      <w:r w:rsidR="00E819C1" w:rsidRPr="00F13D2D">
        <w:rPr>
          <w:rFonts w:eastAsia="Calibri"/>
          <w:lang w:val="fr-FR"/>
        </w:rPr>
        <w:t>microprojets</w:t>
      </w:r>
      <w:proofErr w:type="spellEnd"/>
      <w:r w:rsidR="00E819C1" w:rsidRPr="00F13D2D">
        <w:rPr>
          <w:rFonts w:eastAsia="Calibri"/>
          <w:lang w:val="fr-FR"/>
        </w:rPr>
        <w:t xml:space="preserve"> (16 individuels et 2 collectifs) bénéficiant aux personnes handicapées toutes catégories de handicap</w:t>
      </w:r>
      <w:r w:rsidR="00FC0832">
        <w:rPr>
          <w:rFonts w:eastAsia="Calibri"/>
          <w:lang w:val="fr-FR"/>
        </w:rPr>
        <w:t> ;</w:t>
      </w:r>
      <w:r w:rsidR="00E819C1" w:rsidRPr="00F13D2D">
        <w:rPr>
          <w:rFonts w:eastAsia="Calibri"/>
          <w:lang w:val="fr-FR"/>
        </w:rPr>
        <w:t xml:space="preserve"> (vi) 58 </w:t>
      </w:r>
      <w:proofErr w:type="spellStart"/>
      <w:r w:rsidR="00E819C1" w:rsidRPr="00F13D2D">
        <w:rPr>
          <w:rFonts w:eastAsia="Calibri"/>
          <w:lang w:val="fr-FR"/>
        </w:rPr>
        <w:t>microprojets</w:t>
      </w:r>
      <w:proofErr w:type="spellEnd"/>
      <w:r w:rsidR="00E819C1" w:rsidRPr="00F13D2D">
        <w:rPr>
          <w:rFonts w:eastAsia="Calibri"/>
          <w:lang w:val="fr-FR"/>
        </w:rPr>
        <w:t xml:space="preserve"> (36 individuels et 22 collectifs) créés par les associations au profit de leurs membres</w:t>
      </w:r>
      <w:r w:rsidR="008F451F">
        <w:rPr>
          <w:rFonts w:eastAsia="Calibri"/>
          <w:lang w:val="fr-FR"/>
        </w:rPr>
        <w:t> ;</w:t>
      </w:r>
      <w:r w:rsidR="00E819C1" w:rsidRPr="00F13D2D">
        <w:rPr>
          <w:rFonts w:eastAsia="Calibri"/>
          <w:lang w:val="fr-FR"/>
        </w:rPr>
        <w:t xml:space="preserve"> (vii) 100 personnes handicapées diplômées chômeurs</w:t>
      </w:r>
      <w:r w:rsidR="006C160E" w:rsidRPr="00F13D2D">
        <w:rPr>
          <w:rFonts w:eastAsia="Calibri"/>
          <w:lang w:val="fr-FR"/>
        </w:rPr>
        <w:t xml:space="preserve"> </w:t>
      </w:r>
      <w:r w:rsidR="00E819C1" w:rsidRPr="00F13D2D">
        <w:rPr>
          <w:rFonts w:eastAsia="Calibri"/>
          <w:lang w:val="fr-FR"/>
        </w:rPr>
        <w:t>recrutés dans la fonction publique</w:t>
      </w:r>
      <w:r w:rsidR="00FC0832">
        <w:rPr>
          <w:rFonts w:eastAsia="Calibri"/>
          <w:lang w:val="fr-FR"/>
        </w:rPr>
        <w:t> ;</w:t>
      </w:r>
      <w:r w:rsidR="00E819C1" w:rsidRPr="00F13D2D">
        <w:rPr>
          <w:rFonts w:eastAsia="Calibri"/>
          <w:lang w:val="fr-FR"/>
        </w:rPr>
        <w:t xml:space="preserve"> (viii) 53 personnes handicapées toutes catégories de handicap bénéficiaire de l’assistance financière </w:t>
      </w:r>
      <w:r w:rsidR="00FC0832">
        <w:rPr>
          <w:rFonts w:eastAsia="Calibri"/>
          <w:lang w:val="fr-FR"/>
        </w:rPr>
        <w:t>;</w:t>
      </w:r>
      <w:r w:rsidR="00E819C1" w:rsidRPr="00F13D2D">
        <w:rPr>
          <w:rFonts w:eastAsia="Calibri"/>
          <w:lang w:val="fr-FR"/>
        </w:rPr>
        <w:t xml:space="preserve"> (ix) 200 lots à usage d’habitats distribués aux personnes souffrant d’habitat</w:t>
      </w:r>
      <w:r w:rsidR="00FC0832">
        <w:rPr>
          <w:rFonts w:eastAsia="Calibri"/>
          <w:lang w:val="fr-FR"/>
        </w:rPr>
        <w:t> ;</w:t>
      </w:r>
      <w:r w:rsidR="00E819C1" w:rsidRPr="00F13D2D">
        <w:rPr>
          <w:rFonts w:eastAsia="Calibri"/>
          <w:lang w:val="fr-FR"/>
        </w:rPr>
        <w:t xml:space="preserve"> (x) 103 personnes handicapées à Aleg, Kaédi, Kiffa et Néma</w:t>
      </w:r>
      <w:r w:rsidR="00FC0832">
        <w:rPr>
          <w:rFonts w:eastAsia="Calibri"/>
          <w:lang w:val="fr-FR"/>
        </w:rPr>
        <w:t> ;</w:t>
      </w:r>
      <w:r w:rsidR="00E819C1" w:rsidRPr="00F13D2D">
        <w:rPr>
          <w:rFonts w:eastAsia="Calibri"/>
          <w:lang w:val="fr-FR"/>
        </w:rPr>
        <w:t xml:space="preserve"> (xi) 50 responsables d’associations formées en montage et gestion des projets</w:t>
      </w:r>
      <w:r w:rsidR="00FC0832">
        <w:rPr>
          <w:rFonts w:eastAsia="Calibri"/>
          <w:lang w:val="fr-FR"/>
        </w:rPr>
        <w:t> ;</w:t>
      </w:r>
      <w:r w:rsidR="008F451F">
        <w:rPr>
          <w:rFonts w:eastAsia="Calibri"/>
          <w:lang w:val="fr-FR"/>
        </w:rPr>
        <w:t xml:space="preserve"> (xii) </w:t>
      </w:r>
      <w:r w:rsidR="00E819C1" w:rsidRPr="00F13D2D">
        <w:rPr>
          <w:rFonts w:eastAsia="Calibri"/>
          <w:lang w:val="fr-FR"/>
        </w:rPr>
        <w:t xml:space="preserve">adoption du décret </w:t>
      </w:r>
      <w:r w:rsidR="00133C21" w:rsidRPr="00F13D2D">
        <w:rPr>
          <w:rFonts w:eastAsia="Calibri"/>
          <w:lang w:val="fr-FR"/>
        </w:rPr>
        <w:t>n</w:t>
      </w:r>
      <w:r w:rsidR="00133C21" w:rsidRPr="00D94992">
        <w:rPr>
          <w:rFonts w:eastAsia="Calibri"/>
          <w:vertAlign w:val="superscript"/>
          <w:lang w:val="fr-FR"/>
        </w:rPr>
        <w:t>o</w:t>
      </w:r>
      <w:r w:rsidR="00133C21">
        <w:rPr>
          <w:rFonts w:eastAsia="Calibri"/>
          <w:lang w:val="fr-FR"/>
        </w:rPr>
        <w:t> </w:t>
      </w:r>
      <w:r w:rsidR="00E819C1" w:rsidRPr="00F13D2D">
        <w:rPr>
          <w:rFonts w:eastAsia="Calibri"/>
          <w:lang w:val="fr-FR"/>
        </w:rPr>
        <w:t xml:space="preserve">2013-129/PM/ définissant la qualité de personnes handicapées et déterminant les mesures de prévention de </w:t>
      </w:r>
      <w:proofErr w:type="spellStart"/>
      <w:r w:rsidR="00E819C1" w:rsidRPr="00F13D2D">
        <w:rPr>
          <w:rFonts w:eastAsia="Calibri"/>
          <w:lang w:val="fr-FR"/>
        </w:rPr>
        <w:t>l</w:t>
      </w:r>
      <w:r w:rsidR="006C160E" w:rsidRPr="00F13D2D">
        <w:rPr>
          <w:rFonts w:eastAsia="Calibri"/>
          <w:lang w:val="fr-FR"/>
        </w:rPr>
        <w:t>’</w:t>
      </w:r>
      <w:r w:rsidR="00E819C1" w:rsidRPr="00F13D2D">
        <w:rPr>
          <w:rFonts w:eastAsia="Calibri"/>
          <w:lang w:val="fr-FR"/>
        </w:rPr>
        <w:t>handicap</w:t>
      </w:r>
      <w:proofErr w:type="spellEnd"/>
      <w:r w:rsidR="00FC0832">
        <w:rPr>
          <w:rFonts w:eastAsia="Calibri"/>
          <w:lang w:val="fr-FR"/>
        </w:rPr>
        <w:t> ;</w:t>
      </w:r>
      <w:r w:rsidR="006C160E" w:rsidRPr="00F13D2D">
        <w:rPr>
          <w:rFonts w:eastAsia="Calibri"/>
          <w:lang w:val="fr-FR"/>
        </w:rPr>
        <w:t xml:space="preserve"> </w:t>
      </w:r>
      <w:r w:rsidR="00E819C1" w:rsidRPr="00F13D2D">
        <w:rPr>
          <w:rFonts w:eastAsia="Calibri"/>
          <w:lang w:val="fr-FR"/>
        </w:rPr>
        <w:t xml:space="preserve">(xiii) Validation de la Stratégie nationale de promotion et de protection des personnes handicapées (xiv) adoption de l’arrêté </w:t>
      </w:r>
      <w:r w:rsidR="00133C21" w:rsidRPr="00F13D2D">
        <w:rPr>
          <w:rFonts w:eastAsia="Calibri"/>
          <w:lang w:val="fr-FR"/>
        </w:rPr>
        <w:t>n</w:t>
      </w:r>
      <w:r w:rsidR="00133C21" w:rsidRPr="00D94992">
        <w:rPr>
          <w:rFonts w:eastAsia="Calibri"/>
          <w:vertAlign w:val="superscript"/>
          <w:lang w:val="fr-FR"/>
        </w:rPr>
        <w:t>o</w:t>
      </w:r>
      <w:r w:rsidR="00133C21">
        <w:rPr>
          <w:rFonts w:eastAsia="Calibri"/>
          <w:lang w:val="fr-FR"/>
        </w:rPr>
        <w:t> </w:t>
      </w:r>
      <w:r w:rsidR="00E819C1" w:rsidRPr="00F13D2D">
        <w:rPr>
          <w:rFonts w:eastAsia="Calibri"/>
          <w:lang w:val="fr-FR"/>
        </w:rPr>
        <w:t xml:space="preserve">22/ 471 du 23 décembre 2013 nommant les membres du conseil multisectoriel chargé de la promotion des personnes handicapées. </w:t>
      </w:r>
    </w:p>
    <w:p w:rsidR="00E819C1" w:rsidRPr="00AA7A93" w:rsidRDefault="008A67C0" w:rsidP="00AA7A93">
      <w:pPr>
        <w:pStyle w:val="H1G"/>
      </w:pPr>
      <w:bookmarkStart w:id="252" w:name="_Toc453672960"/>
      <w:bookmarkStart w:id="253" w:name="_Toc454386608"/>
      <w:bookmarkStart w:id="254" w:name="_Toc454386677"/>
      <w:bookmarkStart w:id="255" w:name="_Toc454388803"/>
      <w:r w:rsidRPr="000E17DF">
        <w:lastRenderedPageBreak/>
        <w:tab/>
      </w:r>
      <w:r w:rsidR="00E819C1" w:rsidRPr="00E06F1B">
        <w:t>B</w:t>
      </w:r>
      <w:r w:rsidRPr="00AA7A93">
        <w:t>.</w:t>
      </w:r>
      <w:r w:rsidRPr="00AA7A93">
        <w:tab/>
      </w:r>
      <w:r w:rsidR="00E819C1" w:rsidRPr="00AA7A93">
        <w:t>La santé</w:t>
      </w:r>
      <w:r w:rsidR="008F451F">
        <w:t xml:space="preserve"> et les services de santé (art. </w:t>
      </w:r>
      <w:r w:rsidR="00E819C1" w:rsidRPr="00AA7A93">
        <w:t>24)</w:t>
      </w:r>
      <w:bookmarkEnd w:id="252"/>
      <w:bookmarkEnd w:id="253"/>
      <w:bookmarkEnd w:id="254"/>
      <w:bookmarkEnd w:id="255"/>
    </w:p>
    <w:p w:rsidR="00E819C1" w:rsidRPr="00E06F1B" w:rsidRDefault="008A67C0" w:rsidP="00AA7A93">
      <w:pPr>
        <w:pStyle w:val="H23G"/>
      </w:pPr>
      <w:bookmarkStart w:id="256" w:name="_Toc453672961"/>
      <w:bookmarkStart w:id="257" w:name="_Toc454388804"/>
      <w:r w:rsidRPr="00F13D2D">
        <w:tab/>
      </w:r>
      <w:r w:rsidR="00E819C1" w:rsidRPr="00F13D2D">
        <w:t>1</w:t>
      </w:r>
      <w:r w:rsidRPr="00F13D2D">
        <w:t>.</w:t>
      </w:r>
      <w:r w:rsidRPr="00F13D2D">
        <w:tab/>
      </w:r>
      <w:r w:rsidR="00E819C1" w:rsidRPr="00F13D2D">
        <w:t>Accroissement des crédits budgétaires de la santé</w:t>
      </w:r>
      <w:bookmarkEnd w:id="256"/>
      <w:bookmarkEnd w:id="257"/>
    </w:p>
    <w:p w:rsidR="00E819C1" w:rsidRPr="00F13D2D" w:rsidRDefault="0055270C" w:rsidP="0055270C">
      <w:pPr>
        <w:pStyle w:val="SingleTxtG"/>
        <w:rPr>
          <w:rFonts w:eastAsia="Calibri"/>
          <w:lang w:val="fr-FR"/>
        </w:rPr>
      </w:pPr>
      <w:r w:rsidRPr="00F13D2D">
        <w:rPr>
          <w:rFonts w:eastAsia="Calibri"/>
          <w:lang w:val="fr-FR"/>
        </w:rPr>
        <w:t>161.</w:t>
      </w:r>
      <w:r w:rsidRPr="00F13D2D">
        <w:rPr>
          <w:rFonts w:eastAsia="Calibri"/>
          <w:lang w:val="fr-FR"/>
        </w:rPr>
        <w:tab/>
      </w:r>
      <w:r w:rsidR="00E819C1" w:rsidRPr="00F13D2D">
        <w:rPr>
          <w:rFonts w:eastAsia="Calibri"/>
          <w:lang w:val="fr-FR"/>
        </w:rPr>
        <w:t>La réalisation de cette recommandation du Comité s’est traduite à travers l’évolution des dépenses de santé dans la période qui précède ce rapport. La dépense publique de santé (DPS) est passée de</w:t>
      </w:r>
      <w:r w:rsidR="006C160E" w:rsidRPr="00F13D2D">
        <w:rPr>
          <w:rFonts w:eastAsia="Calibri"/>
          <w:lang w:val="fr-FR"/>
        </w:rPr>
        <w:t xml:space="preserve"> </w:t>
      </w:r>
      <w:r w:rsidR="00E819C1" w:rsidRPr="00F13D2D">
        <w:rPr>
          <w:rFonts w:eastAsia="Calibri"/>
          <w:lang w:val="fr-FR"/>
        </w:rPr>
        <w:t>10,8 milliards d’ouguiyas (UM) en 2005 à 27,4 milliards d’UM en 2010. Soit une variation annuelle moyenne de 20,5</w:t>
      </w:r>
      <w:r w:rsidR="006348D2">
        <w:rPr>
          <w:rFonts w:eastAsia="Calibri"/>
          <w:lang w:val="fr-FR"/>
        </w:rPr>
        <w:t> %</w:t>
      </w:r>
      <w:r w:rsidR="00E819C1" w:rsidRPr="00F13D2D">
        <w:rPr>
          <w:rFonts w:eastAsia="Calibri"/>
          <w:lang w:val="fr-FR"/>
        </w:rPr>
        <w:t xml:space="preserve"> durant, cette période. Ce qui veut dire que la DPS par habitant en UM, a évolué positivement entre 2005 et 2010, en passant de 3</w:t>
      </w:r>
      <w:r w:rsidR="00133C21">
        <w:rPr>
          <w:rFonts w:eastAsia="Calibri"/>
          <w:lang w:val="fr-FR"/>
        </w:rPr>
        <w:t> </w:t>
      </w:r>
      <w:r w:rsidR="00E819C1" w:rsidRPr="00F13D2D">
        <w:rPr>
          <w:rFonts w:eastAsia="Calibri"/>
          <w:lang w:val="fr-FR"/>
        </w:rPr>
        <w:t>709 à 6</w:t>
      </w:r>
      <w:r w:rsidR="00133C21">
        <w:rPr>
          <w:rFonts w:eastAsia="Calibri"/>
          <w:lang w:val="fr-FR"/>
        </w:rPr>
        <w:t> </w:t>
      </w:r>
      <w:r w:rsidR="00E819C1" w:rsidRPr="00F13D2D">
        <w:rPr>
          <w:rFonts w:eastAsia="Calibri"/>
          <w:lang w:val="fr-FR"/>
        </w:rPr>
        <w:t>171, soit une variation annuelle moyenne de 10,7</w:t>
      </w:r>
      <w:r w:rsidR="006348D2">
        <w:rPr>
          <w:rFonts w:eastAsia="Calibri"/>
          <w:lang w:val="fr-FR"/>
        </w:rPr>
        <w:t> %</w:t>
      </w:r>
      <w:r w:rsidR="00E819C1" w:rsidRPr="00F13D2D">
        <w:rPr>
          <w:rFonts w:eastAsia="Calibri"/>
          <w:lang w:val="fr-FR"/>
        </w:rPr>
        <w:t>. Ce résultat montre l’accroissement, important, des ressources dont bénéficie le secteur de la santé.</w:t>
      </w:r>
      <w:r w:rsidR="006C160E" w:rsidRPr="00F13D2D">
        <w:rPr>
          <w:rFonts w:eastAsia="Calibri"/>
          <w:lang w:val="fr-FR"/>
        </w:rPr>
        <w:t xml:space="preserve"> </w:t>
      </w:r>
    </w:p>
    <w:p w:rsidR="00E819C1" w:rsidRPr="00E06F1B" w:rsidRDefault="008911AF" w:rsidP="00AA7A93">
      <w:pPr>
        <w:pStyle w:val="H23G"/>
      </w:pPr>
      <w:bookmarkStart w:id="258" w:name="_Toc453672962"/>
      <w:bookmarkStart w:id="259" w:name="_Toc454388805"/>
      <w:r w:rsidRPr="000E17DF">
        <w:tab/>
      </w:r>
      <w:r w:rsidR="00E819C1" w:rsidRPr="00F13D2D">
        <w:t>2</w:t>
      </w:r>
      <w:r w:rsidRPr="00F13D2D">
        <w:t>.</w:t>
      </w:r>
      <w:r w:rsidRPr="00F13D2D">
        <w:tab/>
      </w:r>
      <w:r w:rsidR="00E819C1" w:rsidRPr="00F13D2D">
        <w:t>Priorité accordée à la santé</w:t>
      </w:r>
      <w:bookmarkEnd w:id="258"/>
      <w:bookmarkEnd w:id="259"/>
    </w:p>
    <w:p w:rsidR="00E819C1" w:rsidRPr="00F13D2D" w:rsidRDefault="0055270C" w:rsidP="0055270C">
      <w:pPr>
        <w:pStyle w:val="SingleTxtG"/>
        <w:rPr>
          <w:rFonts w:eastAsia="Calibri"/>
          <w:lang w:val="fr-FR"/>
        </w:rPr>
      </w:pPr>
      <w:r w:rsidRPr="00F13D2D">
        <w:rPr>
          <w:rFonts w:eastAsia="Calibri"/>
          <w:lang w:val="fr-FR"/>
        </w:rPr>
        <w:t>162.</w:t>
      </w:r>
      <w:r w:rsidRPr="00F13D2D">
        <w:rPr>
          <w:rFonts w:eastAsia="Calibri"/>
          <w:lang w:val="fr-FR"/>
        </w:rPr>
        <w:tab/>
      </w:r>
      <w:r w:rsidR="00E819C1" w:rsidRPr="00F13D2D">
        <w:rPr>
          <w:rFonts w:eastAsia="Calibri"/>
          <w:lang w:val="fr-FR"/>
        </w:rPr>
        <w:t xml:space="preserve">Conformément à cette recommandation, les principales politiques et stratégies générales et sectorielles font de la santé une priorité nationale dans le développement du pays. </w:t>
      </w:r>
    </w:p>
    <w:p w:rsidR="00E819C1" w:rsidRPr="00E06F1B" w:rsidRDefault="008911AF" w:rsidP="00AA7A93">
      <w:pPr>
        <w:pStyle w:val="H23G"/>
      </w:pPr>
      <w:bookmarkStart w:id="260" w:name="_Toc453672963"/>
      <w:bookmarkStart w:id="261" w:name="_Toc454388806"/>
      <w:r w:rsidRPr="000E17DF">
        <w:tab/>
      </w:r>
      <w:r w:rsidR="00E819C1" w:rsidRPr="00F13D2D">
        <w:t>3</w:t>
      </w:r>
      <w:r w:rsidRPr="00F13D2D">
        <w:t>.</w:t>
      </w:r>
      <w:r w:rsidRPr="00F13D2D">
        <w:tab/>
      </w:r>
      <w:r w:rsidR="00E819C1" w:rsidRPr="00F13D2D">
        <w:t>Mesures relatives à la santé reproductive</w:t>
      </w:r>
      <w:bookmarkEnd w:id="260"/>
      <w:bookmarkEnd w:id="261"/>
    </w:p>
    <w:p w:rsidR="00E819C1" w:rsidRPr="00F13D2D" w:rsidRDefault="0055270C" w:rsidP="0055270C">
      <w:pPr>
        <w:pStyle w:val="SingleTxtG"/>
        <w:rPr>
          <w:rFonts w:eastAsia="Calibri"/>
          <w:lang w:val="fr-FR"/>
        </w:rPr>
      </w:pPr>
      <w:r w:rsidRPr="00F13D2D">
        <w:rPr>
          <w:rFonts w:eastAsia="Calibri"/>
          <w:lang w:val="fr-FR"/>
        </w:rPr>
        <w:t>163.</w:t>
      </w:r>
      <w:r w:rsidRPr="00F13D2D">
        <w:rPr>
          <w:rFonts w:eastAsia="Calibri"/>
          <w:lang w:val="fr-FR"/>
        </w:rPr>
        <w:tab/>
      </w:r>
      <w:r w:rsidR="00E819C1" w:rsidRPr="00F13D2D">
        <w:rPr>
          <w:rFonts w:eastAsia="Calibri"/>
          <w:lang w:val="fr-FR"/>
        </w:rPr>
        <w:t>Conformément à la recommandation du Comité, le gouvernement</w:t>
      </w:r>
      <w:r w:rsidR="006C160E" w:rsidRPr="00F13D2D">
        <w:rPr>
          <w:rFonts w:eastAsia="Calibri"/>
          <w:lang w:val="fr-FR"/>
        </w:rPr>
        <w:t xml:space="preserve"> </w:t>
      </w:r>
      <w:r w:rsidR="00E819C1" w:rsidRPr="00F13D2D">
        <w:rPr>
          <w:rFonts w:eastAsia="Calibri"/>
          <w:lang w:val="fr-FR"/>
        </w:rPr>
        <w:t>met en œuvre</w:t>
      </w:r>
      <w:r w:rsidR="006C160E" w:rsidRPr="00F13D2D">
        <w:rPr>
          <w:rFonts w:eastAsia="Calibri"/>
          <w:lang w:val="fr-FR"/>
        </w:rPr>
        <w:t xml:space="preserve"> </w:t>
      </w:r>
      <w:r w:rsidR="00E819C1" w:rsidRPr="00F13D2D">
        <w:rPr>
          <w:rFonts w:eastAsia="Calibri"/>
          <w:lang w:val="fr-FR"/>
        </w:rPr>
        <w:t>une stratégie de la santé de la reproduction qui comporte plusieurs actions telles que la disponibilité des soins obstétricaux essentiels et d’urgence de base,</w:t>
      </w:r>
      <w:r w:rsidR="006C160E" w:rsidRPr="00F13D2D">
        <w:rPr>
          <w:rFonts w:eastAsia="Calibri"/>
          <w:lang w:val="fr-FR"/>
        </w:rPr>
        <w:t xml:space="preserve"> </w:t>
      </w:r>
      <w:r w:rsidR="00E819C1" w:rsidRPr="00F13D2D">
        <w:rPr>
          <w:rFonts w:eastAsia="Calibri"/>
          <w:lang w:val="fr-FR"/>
        </w:rPr>
        <w:t>la présence de personnel qualifié à l’accouchement, l</w:t>
      </w:r>
      <w:r w:rsidR="006C160E" w:rsidRPr="00F13D2D">
        <w:rPr>
          <w:rFonts w:eastAsia="Calibri"/>
          <w:lang w:val="fr-FR"/>
        </w:rPr>
        <w:t>’</w:t>
      </w:r>
      <w:r w:rsidR="00E819C1" w:rsidRPr="00F13D2D">
        <w:rPr>
          <w:rFonts w:eastAsia="Calibri"/>
          <w:lang w:val="fr-FR"/>
        </w:rPr>
        <w:t>accès des femmes enceintes aux soins prénataux, la prise en charge des complications de l’accouchement, la</w:t>
      </w:r>
      <w:r w:rsidR="006C160E" w:rsidRPr="00F13D2D">
        <w:rPr>
          <w:rFonts w:eastAsia="Calibri"/>
          <w:lang w:val="fr-FR"/>
        </w:rPr>
        <w:t xml:space="preserve"> </w:t>
      </w:r>
      <w:r w:rsidR="00E819C1" w:rsidRPr="00F13D2D">
        <w:rPr>
          <w:rFonts w:eastAsia="Calibri"/>
          <w:lang w:val="fr-FR"/>
        </w:rPr>
        <w:t>disponibilité des produits contraceptifs, la prise en charge de l’infertilité, la</w:t>
      </w:r>
      <w:r w:rsidR="006C160E" w:rsidRPr="00F13D2D">
        <w:rPr>
          <w:rFonts w:eastAsia="Calibri"/>
          <w:lang w:val="fr-FR"/>
        </w:rPr>
        <w:t xml:space="preserve"> </w:t>
      </w:r>
      <w:r w:rsidR="00E819C1" w:rsidRPr="00F13D2D">
        <w:rPr>
          <w:rFonts w:eastAsia="Calibri"/>
          <w:lang w:val="fr-FR"/>
        </w:rPr>
        <w:t xml:space="preserve">lutte contre les MGF, le dépistage et la prise en charge des cancers du col, la prévention de la transmission mère enfant du </w:t>
      </w:r>
      <w:r w:rsidR="00980831" w:rsidRPr="00F13D2D">
        <w:rPr>
          <w:rFonts w:eastAsia="Calibri"/>
          <w:lang w:val="fr-FR"/>
        </w:rPr>
        <w:t>sida</w:t>
      </w:r>
      <w:r w:rsidR="00E819C1" w:rsidRPr="00F13D2D">
        <w:rPr>
          <w:rFonts w:eastAsia="Calibri"/>
          <w:lang w:val="fr-FR"/>
        </w:rPr>
        <w:t>, la prise en charge des fistules obstétricales, la</w:t>
      </w:r>
      <w:r w:rsidR="006C160E" w:rsidRPr="00F13D2D">
        <w:rPr>
          <w:rFonts w:eastAsia="Calibri"/>
          <w:lang w:val="fr-FR"/>
        </w:rPr>
        <w:t xml:space="preserve"> </w:t>
      </w:r>
      <w:r w:rsidR="00E819C1" w:rsidRPr="00F13D2D">
        <w:rPr>
          <w:rFonts w:eastAsia="Calibri"/>
          <w:lang w:val="fr-FR"/>
        </w:rPr>
        <w:t>p</w:t>
      </w:r>
      <w:bookmarkStart w:id="262" w:name="_Toc272836155"/>
      <w:r w:rsidR="00E819C1" w:rsidRPr="00F13D2D">
        <w:rPr>
          <w:rFonts w:eastAsia="Calibri"/>
          <w:lang w:val="fr-FR"/>
        </w:rPr>
        <w:t xml:space="preserve">rise en charge du </w:t>
      </w:r>
      <w:proofErr w:type="spellStart"/>
      <w:r w:rsidR="00E819C1" w:rsidRPr="00F13D2D">
        <w:rPr>
          <w:rFonts w:eastAsia="Calibri"/>
          <w:lang w:val="fr-FR"/>
        </w:rPr>
        <w:t>nouveau né</w:t>
      </w:r>
      <w:proofErr w:type="spellEnd"/>
      <w:r w:rsidR="00E819C1" w:rsidRPr="00F13D2D">
        <w:rPr>
          <w:rFonts w:eastAsia="Calibri"/>
          <w:lang w:val="fr-FR"/>
        </w:rPr>
        <w:t>.</w:t>
      </w:r>
    </w:p>
    <w:p w:rsidR="00E819C1" w:rsidRPr="00F13D2D" w:rsidRDefault="0055270C" w:rsidP="0055270C">
      <w:pPr>
        <w:pStyle w:val="SingleTxtG"/>
        <w:rPr>
          <w:rFonts w:eastAsia="Calibri"/>
          <w:lang w:val="fr-FR"/>
        </w:rPr>
      </w:pPr>
      <w:r w:rsidRPr="00F13D2D">
        <w:rPr>
          <w:rFonts w:eastAsia="Calibri"/>
          <w:lang w:val="fr-FR"/>
        </w:rPr>
        <w:t>164.</w:t>
      </w:r>
      <w:r w:rsidRPr="00F13D2D">
        <w:rPr>
          <w:rFonts w:eastAsia="Calibri"/>
          <w:lang w:val="fr-FR"/>
        </w:rPr>
        <w:tab/>
      </w:r>
      <w:r w:rsidR="00E819C1" w:rsidRPr="00F13D2D">
        <w:rPr>
          <w:rFonts w:eastAsia="Calibri"/>
          <w:lang w:val="fr-FR"/>
        </w:rPr>
        <w:t>La stratégie de la santé reproductive a intégré le renforcement des capacités des structures de santé et leur mise</w:t>
      </w:r>
      <w:r w:rsidR="006C160E" w:rsidRPr="00F13D2D">
        <w:rPr>
          <w:rFonts w:eastAsia="Calibri"/>
          <w:lang w:val="fr-FR"/>
        </w:rPr>
        <w:t xml:space="preserve"> </w:t>
      </w:r>
      <w:r w:rsidR="00E819C1" w:rsidRPr="00F13D2D">
        <w:rPr>
          <w:rFonts w:eastAsia="Calibri"/>
          <w:lang w:val="fr-FR"/>
        </w:rPr>
        <w:t>à niveau</w:t>
      </w:r>
      <w:bookmarkEnd w:id="262"/>
      <w:r w:rsidR="00E819C1" w:rsidRPr="00F13D2D">
        <w:rPr>
          <w:rFonts w:eastAsia="Calibri"/>
          <w:lang w:val="fr-FR"/>
        </w:rPr>
        <w:t>. Cette action s’est traduite par</w:t>
      </w:r>
      <w:r w:rsidR="006C160E" w:rsidRPr="00F13D2D">
        <w:rPr>
          <w:rFonts w:eastAsia="Calibri"/>
          <w:lang w:val="fr-FR"/>
        </w:rPr>
        <w:t xml:space="preserve"> </w:t>
      </w:r>
      <w:r w:rsidR="00E819C1" w:rsidRPr="00F13D2D">
        <w:rPr>
          <w:rFonts w:eastAsia="Calibri"/>
          <w:lang w:val="fr-FR"/>
        </w:rPr>
        <w:t>l’octroi d’équipements médico-chirurgicaux de plusieurs structures de santé du pays (2</w:t>
      </w:r>
      <w:r w:rsidR="00133C21" w:rsidRPr="00AA7A93">
        <w:rPr>
          <w:rFonts w:eastAsia="Calibri"/>
          <w:vertAlign w:val="superscript"/>
          <w:lang w:val="fr-FR"/>
        </w:rPr>
        <w:t>è</w:t>
      </w:r>
      <w:r w:rsidR="00E819C1" w:rsidRPr="00AA7A93">
        <w:rPr>
          <w:rFonts w:eastAsia="Calibri"/>
          <w:vertAlign w:val="superscript"/>
          <w:lang w:val="fr-FR"/>
        </w:rPr>
        <w:t>me</w:t>
      </w:r>
      <w:r w:rsidR="00E819C1" w:rsidRPr="00F13D2D">
        <w:rPr>
          <w:rFonts w:eastAsia="Calibri"/>
          <w:lang w:val="fr-FR"/>
        </w:rPr>
        <w:t xml:space="preserve"> salle d’opération du Centre de Santé de Sebkha, du Centre d’hébergement des femmes souffrant de fistules obstétricale à Nouakchott, du Centre de santé de </w:t>
      </w:r>
      <w:proofErr w:type="spellStart"/>
      <w:r w:rsidR="00E819C1" w:rsidRPr="00F13D2D">
        <w:rPr>
          <w:rFonts w:eastAsia="Calibri"/>
          <w:lang w:val="fr-FR"/>
        </w:rPr>
        <w:t>Guérou</w:t>
      </w:r>
      <w:proofErr w:type="spellEnd"/>
      <w:r w:rsidR="00E819C1" w:rsidRPr="00F13D2D">
        <w:rPr>
          <w:rFonts w:eastAsia="Calibri"/>
          <w:lang w:val="fr-FR"/>
        </w:rPr>
        <w:t xml:space="preserve"> en </w:t>
      </w:r>
      <w:proofErr w:type="spellStart"/>
      <w:r w:rsidR="00E819C1" w:rsidRPr="00F13D2D">
        <w:rPr>
          <w:rFonts w:eastAsia="Calibri"/>
          <w:lang w:val="fr-FR"/>
        </w:rPr>
        <w:t>Assaba</w:t>
      </w:r>
      <w:proofErr w:type="spellEnd"/>
      <w:r w:rsidR="00E819C1" w:rsidRPr="00F13D2D">
        <w:rPr>
          <w:rFonts w:eastAsia="Calibri"/>
          <w:lang w:val="fr-FR"/>
        </w:rPr>
        <w:t xml:space="preserve">, des autres structures de santé de la wilaya du </w:t>
      </w:r>
      <w:proofErr w:type="spellStart"/>
      <w:r w:rsidR="00E819C1" w:rsidRPr="00F13D2D">
        <w:rPr>
          <w:rFonts w:eastAsia="Calibri"/>
          <w:lang w:val="fr-FR"/>
        </w:rPr>
        <w:t>Gorgol</w:t>
      </w:r>
      <w:proofErr w:type="spellEnd"/>
      <w:r w:rsidR="00E819C1" w:rsidRPr="00F13D2D">
        <w:rPr>
          <w:rFonts w:eastAsia="Calibri"/>
          <w:lang w:val="fr-FR"/>
        </w:rPr>
        <w:t xml:space="preserve">), des Hôpitaux (Cheikh </w:t>
      </w:r>
      <w:proofErr w:type="spellStart"/>
      <w:r w:rsidR="00E819C1" w:rsidRPr="00F13D2D">
        <w:rPr>
          <w:rFonts w:eastAsia="Calibri"/>
          <w:lang w:val="fr-FR"/>
        </w:rPr>
        <w:t>Zayed</w:t>
      </w:r>
      <w:proofErr w:type="spellEnd"/>
      <w:r w:rsidR="00E819C1" w:rsidRPr="00F13D2D">
        <w:rPr>
          <w:rFonts w:eastAsia="Calibri"/>
          <w:lang w:val="fr-FR"/>
        </w:rPr>
        <w:t>, CHR de Kiffa, CHR de Kaédi)</w:t>
      </w:r>
      <w:r w:rsidR="006C160E" w:rsidRPr="00F13D2D">
        <w:rPr>
          <w:rFonts w:eastAsia="Calibri"/>
          <w:lang w:val="fr-FR"/>
        </w:rPr>
        <w:t xml:space="preserve"> </w:t>
      </w:r>
      <w:r w:rsidR="00E819C1" w:rsidRPr="00F13D2D">
        <w:rPr>
          <w:rFonts w:eastAsia="Calibri"/>
          <w:lang w:val="fr-FR"/>
        </w:rPr>
        <w:t xml:space="preserve">leur permettant d’offrir des soins obstétricaux d’urgences complets (SOUC), le financement de la construction d’un bloc opératoire indépendant pour la maternité et un pavillon d’hospitalisation à l’Hôpital Cheikh </w:t>
      </w:r>
      <w:proofErr w:type="spellStart"/>
      <w:r w:rsidR="00E819C1" w:rsidRPr="00F13D2D">
        <w:rPr>
          <w:rFonts w:eastAsia="Calibri"/>
          <w:lang w:val="fr-FR"/>
        </w:rPr>
        <w:t>Zayed</w:t>
      </w:r>
      <w:proofErr w:type="spellEnd"/>
      <w:r w:rsidR="00E819C1" w:rsidRPr="00F13D2D">
        <w:rPr>
          <w:rFonts w:eastAsia="Calibri"/>
          <w:lang w:val="fr-FR"/>
        </w:rPr>
        <w:t xml:space="preserve"> (HCZ) l</w:t>
      </w:r>
      <w:r w:rsidR="006C160E" w:rsidRPr="00F13D2D">
        <w:rPr>
          <w:rFonts w:eastAsia="Calibri"/>
          <w:lang w:val="fr-FR"/>
        </w:rPr>
        <w:t>’</w:t>
      </w:r>
      <w:r w:rsidR="00E819C1" w:rsidRPr="00F13D2D">
        <w:rPr>
          <w:rFonts w:eastAsia="Calibri"/>
          <w:lang w:val="fr-FR"/>
        </w:rPr>
        <w:t>achat des équipements de bloc opératoire, la mise à disposition d’ambulances au niveau des structures de santé (accès aux SOUC)</w:t>
      </w:r>
      <w:r w:rsidR="006C160E" w:rsidRPr="00F13D2D">
        <w:rPr>
          <w:rFonts w:eastAsia="Calibri"/>
          <w:lang w:val="fr-FR"/>
        </w:rPr>
        <w:t xml:space="preserve"> </w:t>
      </w:r>
      <w:r w:rsidR="00E819C1" w:rsidRPr="00F13D2D">
        <w:rPr>
          <w:rFonts w:eastAsia="Calibri"/>
          <w:lang w:val="fr-FR"/>
        </w:rPr>
        <w:t>la formation en recherche opérationnelle (personnel de santé de l’</w:t>
      </w:r>
      <w:proofErr w:type="spellStart"/>
      <w:r w:rsidR="00E819C1" w:rsidRPr="00F13D2D">
        <w:rPr>
          <w:rFonts w:eastAsia="Calibri"/>
          <w:lang w:val="fr-FR"/>
        </w:rPr>
        <w:t>Assaba</w:t>
      </w:r>
      <w:proofErr w:type="spellEnd"/>
      <w:r w:rsidR="00E819C1" w:rsidRPr="00F13D2D">
        <w:rPr>
          <w:rFonts w:eastAsia="Calibri"/>
          <w:lang w:val="fr-FR"/>
        </w:rPr>
        <w:t>), la disponibilité contraceptifs au niveau des structures de santé, avec introduction de nouvelles méthodes la disponibilité de préservatifs dans le cadre de la prévention des IST/VIH/</w:t>
      </w:r>
      <w:r w:rsidR="00980831" w:rsidRPr="00F13D2D">
        <w:rPr>
          <w:rFonts w:eastAsia="Calibri"/>
          <w:lang w:val="fr-FR"/>
        </w:rPr>
        <w:t>sida</w:t>
      </w:r>
      <w:r w:rsidR="00E819C1" w:rsidRPr="00F13D2D">
        <w:rPr>
          <w:rFonts w:eastAsia="Calibri"/>
          <w:lang w:val="fr-FR"/>
        </w:rPr>
        <w:t>, à travers l’implication des organisations de la SC (ONG</w:t>
      </w:r>
      <w:r w:rsidR="006C160E" w:rsidRPr="00F13D2D">
        <w:rPr>
          <w:rFonts w:eastAsia="Calibri"/>
          <w:lang w:val="fr-FR"/>
        </w:rPr>
        <w:t xml:space="preserve"> </w:t>
      </w:r>
      <w:r w:rsidR="00E819C1" w:rsidRPr="00F13D2D">
        <w:rPr>
          <w:rFonts w:eastAsia="Calibri"/>
          <w:lang w:val="fr-FR"/>
        </w:rPr>
        <w:t>nationales et internationales)</w:t>
      </w:r>
      <w:r w:rsidR="00064350">
        <w:rPr>
          <w:rFonts w:eastAsia="Calibri"/>
          <w:lang w:val="fr-FR"/>
        </w:rPr>
        <w:t>.</w:t>
      </w:r>
    </w:p>
    <w:p w:rsidR="00E819C1" w:rsidRPr="00F13D2D" w:rsidRDefault="0055270C" w:rsidP="0055270C">
      <w:pPr>
        <w:pStyle w:val="SingleTxtG"/>
        <w:rPr>
          <w:rFonts w:eastAsia="Calibri"/>
          <w:lang w:val="fr-FR"/>
        </w:rPr>
      </w:pPr>
      <w:r w:rsidRPr="00F13D2D">
        <w:rPr>
          <w:rFonts w:eastAsia="Calibri"/>
          <w:lang w:val="fr-FR"/>
        </w:rPr>
        <w:t>165.</w:t>
      </w:r>
      <w:r w:rsidRPr="00F13D2D">
        <w:rPr>
          <w:rFonts w:eastAsia="Calibri"/>
          <w:lang w:val="fr-FR"/>
        </w:rPr>
        <w:tab/>
      </w:r>
      <w:r w:rsidR="00E819C1" w:rsidRPr="00F13D2D">
        <w:rPr>
          <w:rFonts w:eastAsia="Calibri"/>
          <w:lang w:val="fr-FR"/>
        </w:rPr>
        <w:t>Dans le domaine de la formation du personnel, le programme national de la santé de la reproduction a formé les</w:t>
      </w:r>
      <w:r w:rsidR="006C160E" w:rsidRPr="00F13D2D">
        <w:rPr>
          <w:rFonts w:eastAsia="Calibri"/>
          <w:lang w:val="fr-FR"/>
        </w:rPr>
        <w:t xml:space="preserve"> </w:t>
      </w:r>
      <w:r w:rsidR="00E819C1" w:rsidRPr="00F13D2D">
        <w:rPr>
          <w:rFonts w:eastAsia="Calibri"/>
          <w:lang w:val="fr-FR"/>
        </w:rPr>
        <w:t xml:space="preserve">médecins, gynécologues, pédiatres, </w:t>
      </w:r>
      <w:proofErr w:type="spellStart"/>
      <w:r w:rsidR="00E819C1" w:rsidRPr="00F13D2D">
        <w:rPr>
          <w:rFonts w:eastAsia="Calibri"/>
          <w:lang w:val="fr-FR"/>
        </w:rPr>
        <w:t>sages femmes</w:t>
      </w:r>
      <w:proofErr w:type="spellEnd"/>
      <w:r w:rsidR="00E819C1" w:rsidRPr="00F13D2D">
        <w:rPr>
          <w:rFonts w:eastAsia="Calibri"/>
          <w:lang w:val="fr-FR"/>
        </w:rPr>
        <w:t>, techniciens d’anesthésie en techniques de prestations de services de SR notamment</w:t>
      </w:r>
      <w:r w:rsidR="00064350">
        <w:rPr>
          <w:rFonts w:eastAsia="Calibri"/>
          <w:lang w:val="fr-FR"/>
        </w:rPr>
        <w:t xml:space="preserve"> </w:t>
      </w:r>
      <w:r w:rsidR="00E819C1" w:rsidRPr="00F13D2D">
        <w:rPr>
          <w:rFonts w:eastAsia="Calibri"/>
          <w:lang w:val="fr-FR"/>
        </w:rPr>
        <w:t xml:space="preserve">les Soins Obstétricaux et </w:t>
      </w:r>
      <w:proofErr w:type="spellStart"/>
      <w:r w:rsidR="00E819C1" w:rsidRPr="00F13D2D">
        <w:rPr>
          <w:rFonts w:eastAsia="Calibri"/>
          <w:lang w:val="fr-FR"/>
        </w:rPr>
        <w:t>néonataux</w:t>
      </w:r>
      <w:proofErr w:type="spellEnd"/>
      <w:r w:rsidR="00E819C1" w:rsidRPr="00F13D2D">
        <w:rPr>
          <w:rFonts w:eastAsia="Calibri"/>
          <w:lang w:val="fr-FR"/>
        </w:rPr>
        <w:t xml:space="preserve"> d’urgence, les infirmiers chefs de postes et accoucheuses</w:t>
      </w:r>
      <w:r w:rsidR="00064350">
        <w:rPr>
          <w:rFonts w:eastAsia="Calibri"/>
          <w:lang w:val="fr-FR"/>
        </w:rPr>
        <w:t xml:space="preserve"> </w:t>
      </w:r>
      <w:r w:rsidR="00E819C1" w:rsidRPr="00F13D2D">
        <w:rPr>
          <w:rFonts w:eastAsia="Calibri"/>
          <w:lang w:val="fr-FR"/>
        </w:rPr>
        <w:t>auxiliaires sur les soins obstétricaux essentiels.</w:t>
      </w:r>
      <w:r w:rsidR="006C160E" w:rsidRPr="00F13D2D">
        <w:rPr>
          <w:rFonts w:eastAsia="Calibri"/>
          <w:lang w:val="fr-FR"/>
        </w:rPr>
        <w:t xml:space="preserve"> </w:t>
      </w:r>
      <w:r w:rsidR="00E819C1" w:rsidRPr="00F13D2D">
        <w:rPr>
          <w:rFonts w:eastAsia="Calibri"/>
          <w:lang w:val="fr-FR"/>
        </w:rPr>
        <w:t>Il a permis la Planification familiale et l</w:t>
      </w:r>
      <w:r w:rsidR="006C160E" w:rsidRPr="00F13D2D">
        <w:rPr>
          <w:rFonts w:eastAsia="Calibri"/>
          <w:lang w:val="fr-FR"/>
        </w:rPr>
        <w:t>’</w:t>
      </w:r>
      <w:r w:rsidR="00E819C1" w:rsidRPr="00F13D2D">
        <w:rPr>
          <w:rFonts w:eastAsia="Calibri"/>
          <w:lang w:val="fr-FR"/>
        </w:rPr>
        <w:t>usage de nouvelles techniques,</w:t>
      </w:r>
      <w:r w:rsidR="006C160E" w:rsidRPr="00F13D2D">
        <w:rPr>
          <w:rFonts w:eastAsia="Calibri"/>
          <w:lang w:val="fr-FR"/>
        </w:rPr>
        <w:t xml:space="preserve"> </w:t>
      </w:r>
      <w:r w:rsidR="00E819C1" w:rsidRPr="00F13D2D">
        <w:rPr>
          <w:rFonts w:eastAsia="Calibri"/>
          <w:lang w:val="fr-FR"/>
        </w:rPr>
        <w:t>la prise en charge thérapeutique de la fistule obstétricale, la Formation en gestion des programmes de</w:t>
      </w:r>
      <w:r w:rsidR="006C160E" w:rsidRPr="00F13D2D">
        <w:rPr>
          <w:rFonts w:eastAsia="Calibri"/>
          <w:lang w:val="fr-FR"/>
        </w:rPr>
        <w:t xml:space="preserve"> </w:t>
      </w:r>
      <w:r w:rsidR="00E819C1" w:rsidRPr="00F13D2D">
        <w:rPr>
          <w:rFonts w:eastAsia="Calibri"/>
          <w:lang w:val="fr-FR"/>
        </w:rPr>
        <w:t xml:space="preserve">la SR sur le forfait obstétrical. </w:t>
      </w:r>
    </w:p>
    <w:p w:rsidR="00E819C1" w:rsidRPr="00F13D2D" w:rsidRDefault="0055270C" w:rsidP="0055270C">
      <w:pPr>
        <w:pStyle w:val="SingleTxtG"/>
        <w:rPr>
          <w:rFonts w:eastAsia="Calibri"/>
          <w:lang w:val="fr-FR"/>
        </w:rPr>
      </w:pPr>
      <w:r w:rsidRPr="00F13D2D">
        <w:rPr>
          <w:rFonts w:eastAsia="Calibri"/>
          <w:lang w:val="fr-FR"/>
        </w:rPr>
        <w:t>166.</w:t>
      </w:r>
      <w:r w:rsidRPr="00F13D2D">
        <w:rPr>
          <w:rFonts w:eastAsia="Calibri"/>
          <w:lang w:val="fr-FR"/>
        </w:rPr>
        <w:tab/>
      </w:r>
      <w:r w:rsidR="00E819C1" w:rsidRPr="00F13D2D">
        <w:rPr>
          <w:rFonts w:eastAsia="Calibri"/>
          <w:lang w:val="fr-FR"/>
        </w:rPr>
        <w:t>Dans le domaine du plaidoyer le Projet national de la Santé de la Reproduction a réalisé les actions suivantes </w:t>
      </w:r>
      <w:r w:rsidR="00FC0832">
        <w:rPr>
          <w:rFonts w:eastAsia="Calibri"/>
          <w:lang w:val="fr-FR"/>
        </w:rPr>
        <w:t>:</w:t>
      </w:r>
      <w:r w:rsidR="00E819C1" w:rsidRPr="00F13D2D">
        <w:rPr>
          <w:rFonts w:eastAsia="Calibri"/>
          <w:lang w:val="fr-FR"/>
        </w:rPr>
        <w:t xml:space="preserve"> le plaidoyer en direction des décideurs, des leaders d’opinion (élus locaux, chefs communautaires et religieux) et</w:t>
      </w:r>
      <w:r w:rsidR="006C160E" w:rsidRPr="00F13D2D">
        <w:rPr>
          <w:rFonts w:eastAsia="Calibri"/>
          <w:lang w:val="fr-FR"/>
        </w:rPr>
        <w:t xml:space="preserve"> </w:t>
      </w:r>
      <w:r w:rsidR="00E819C1" w:rsidRPr="00F13D2D">
        <w:rPr>
          <w:rFonts w:eastAsia="Calibri"/>
          <w:lang w:val="fr-FR"/>
        </w:rPr>
        <w:t>des partenaires au développement, la sensibilisation, l</w:t>
      </w:r>
      <w:r w:rsidR="006C160E" w:rsidRPr="00F13D2D">
        <w:rPr>
          <w:rFonts w:eastAsia="Calibri"/>
          <w:lang w:val="fr-FR"/>
        </w:rPr>
        <w:t>’</w:t>
      </w:r>
      <w:r w:rsidR="00E819C1" w:rsidRPr="00F13D2D">
        <w:rPr>
          <w:rFonts w:eastAsia="Calibri"/>
          <w:lang w:val="fr-FR"/>
        </w:rPr>
        <w:t>information, l</w:t>
      </w:r>
      <w:r w:rsidR="006C160E" w:rsidRPr="00F13D2D">
        <w:rPr>
          <w:rFonts w:eastAsia="Calibri"/>
          <w:lang w:val="fr-FR"/>
        </w:rPr>
        <w:t>’</w:t>
      </w:r>
      <w:r w:rsidR="00E819C1" w:rsidRPr="00F13D2D">
        <w:rPr>
          <w:rFonts w:eastAsia="Calibri"/>
          <w:lang w:val="fr-FR"/>
        </w:rPr>
        <w:t>éducation et la communication pour le changement de comportement, en direction des populations, usagers des services de Santé Reproductive.</w:t>
      </w:r>
    </w:p>
    <w:p w:rsidR="00E819C1" w:rsidRPr="00AA7A93" w:rsidRDefault="008911AF" w:rsidP="00AA7A93">
      <w:pPr>
        <w:pStyle w:val="H1G"/>
      </w:pPr>
      <w:bookmarkStart w:id="263" w:name="_Toc453672964"/>
      <w:bookmarkStart w:id="264" w:name="_Toc454388807"/>
      <w:r w:rsidRPr="000E17DF">
        <w:lastRenderedPageBreak/>
        <w:tab/>
      </w:r>
      <w:r w:rsidR="00E819C1" w:rsidRPr="00E06F1B">
        <w:t>C</w:t>
      </w:r>
      <w:r w:rsidRPr="00AA7A93">
        <w:t>.</w:t>
      </w:r>
      <w:r w:rsidRPr="00AA7A93">
        <w:tab/>
      </w:r>
      <w:r w:rsidR="00E819C1" w:rsidRPr="00AA7A93">
        <w:t>La sécurité sociale et les services et établissements de garde</w:t>
      </w:r>
      <w:r w:rsidRPr="00AA7A93">
        <w:t xml:space="preserve"> </w:t>
      </w:r>
      <w:r w:rsidR="00E819C1" w:rsidRPr="00AA7A93">
        <w:t>d’enfants (art.</w:t>
      </w:r>
      <w:r w:rsidR="00400D35">
        <w:t> </w:t>
      </w:r>
      <w:r w:rsidR="00E819C1" w:rsidRPr="00E06F1B">
        <w:t>26 et par.</w:t>
      </w:r>
      <w:r w:rsidR="00400D35">
        <w:t> </w:t>
      </w:r>
      <w:r w:rsidR="00E819C1" w:rsidRPr="00E06F1B">
        <w:t>3 de l’article 27)</w:t>
      </w:r>
      <w:bookmarkEnd w:id="263"/>
      <w:bookmarkEnd w:id="264"/>
    </w:p>
    <w:p w:rsidR="00E819C1" w:rsidRPr="00F13D2D" w:rsidRDefault="0055270C" w:rsidP="0055270C">
      <w:pPr>
        <w:pStyle w:val="SingleTxtG"/>
        <w:rPr>
          <w:rFonts w:eastAsia="Calibri"/>
          <w:lang w:val="fr-FR"/>
        </w:rPr>
      </w:pPr>
      <w:r w:rsidRPr="00F13D2D">
        <w:rPr>
          <w:rFonts w:eastAsia="Calibri"/>
          <w:lang w:val="fr-FR"/>
        </w:rPr>
        <w:t>167.</w:t>
      </w:r>
      <w:r w:rsidRPr="00F13D2D">
        <w:rPr>
          <w:rFonts w:eastAsia="Calibri"/>
          <w:lang w:val="fr-FR"/>
        </w:rPr>
        <w:tab/>
      </w:r>
      <w:r w:rsidR="00E819C1" w:rsidRPr="00F13D2D">
        <w:rPr>
          <w:rFonts w:eastAsia="Calibri"/>
          <w:lang w:val="fr-FR"/>
        </w:rPr>
        <w:t>La Mauritanie a souscrit à la Convention de l’OIT n</w:t>
      </w:r>
      <w:r w:rsidR="003D0AAF" w:rsidRPr="00AA7A93">
        <w:rPr>
          <w:rFonts w:eastAsia="Calibri"/>
          <w:vertAlign w:val="superscript"/>
          <w:lang w:val="fr-FR"/>
        </w:rPr>
        <w:t>o</w:t>
      </w:r>
      <w:r w:rsidR="003D0AAF">
        <w:rPr>
          <w:rFonts w:eastAsia="Calibri"/>
          <w:lang w:val="fr-FR"/>
        </w:rPr>
        <w:t> </w:t>
      </w:r>
      <w:r w:rsidR="00E819C1" w:rsidRPr="00F13D2D">
        <w:rPr>
          <w:rFonts w:eastAsia="Calibri"/>
          <w:lang w:val="fr-FR"/>
        </w:rPr>
        <w:t>102 de 1952 relative à la Sécurité Sociale. Trois régimes de sécurité sociale sont en vigueur</w:t>
      </w:r>
      <w:r w:rsidR="00FC0832">
        <w:rPr>
          <w:rFonts w:eastAsia="Calibri"/>
          <w:lang w:val="fr-FR"/>
        </w:rPr>
        <w:t> :</w:t>
      </w:r>
      <w:r w:rsidR="00E819C1" w:rsidRPr="00F13D2D">
        <w:rPr>
          <w:rFonts w:eastAsia="Calibri"/>
          <w:lang w:val="fr-FR"/>
        </w:rPr>
        <w:t xml:space="preserve"> Le régime géré par la Caisse Nationale de Sécurité Sociale (CNSS) en faveur des travailleurs salariés régis par le Code du </w:t>
      </w:r>
      <w:r w:rsidR="00D20B03">
        <w:rPr>
          <w:rFonts w:eastAsia="Calibri"/>
          <w:lang w:val="fr-FR"/>
        </w:rPr>
        <w:t>t</w:t>
      </w:r>
      <w:r w:rsidR="00E819C1" w:rsidRPr="00F13D2D">
        <w:rPr>
          <w:rFonts w:eastAsia="Calibri"/>
          <w:lang w:val="fr-FR"/>
        </w:rPr>
        <w:t xml:space="preserve">ravail et le Code de la </w:t>
      </w:r>
      <w:r w:rsidR="00D20B03">
        <w:rPr>
          <w:rFonts w:eastAsia="Calibri"/>
          <w:lang w:val="fr-FR"/>
        </w:rPr>
        <w:t>m</w:t>
      </w:r>
      <w:r w:rsidR="00E819C1" w:rsidRPr="00F13D2D">
        <w:rPr>
          <w:rFonts w:eastAsia="Calibri"/>
          <w:lang w:val="fr-FR"/>
        </w:rPr>
        <w:t xml:space="preserve">arine </w:t>
      </w:r>
      <w:r w:rsidR="00D20B03">
        <w:rPr>
          <w:rFonts w:eastAsia="Calibri"/>
          <w:lang w:val="fr-FR"/>
        </w:rPr>
        <w:t>m</w:t>
      </w:r>
      <w:r w:rsidR="00E819C1" w:rsidRPr="00F13D2D">
        <w:rPr>
          <w:rFonts w:eastAsia="Calibri"/>
          <w:lang w:val="fr-FR"/>
        </w:rPr>
        <w:t>archande,</w:t>
      </w:r>
      <w:r w:rsidR="006C160E" w:rsidRPr="00F13D2D">
        <w:rPr>
          <w:rFonts w:eastAsia="Calibri"/>
          <w:lang w:val="fr-FR"/>
        </w:rPr>
        <w:t xml:space="preserve"> </w:t>
      </w:r>
      <w:r w:rsidR="00E819C1" w:rsidRPr="00F13D2D">
        <w:rPr>
          <w:rFonts w:eastAsia="Calibri"/>
          <w:lang w:val="fr-FR"/>
        </w:rPr>
        <w:t>celui de la Caisse des Retraites de l’</w:t>
      </w:r>
      <w:r w:rsidR="00AB4E57">
        <w:rPr>
          <w:rFonts w:eastAsia="Calibri"/>
          <w:lang w:val="fr-FR"/>
        </w:rPr>
        <w:t>État</w:t>
      </w:r>
      <w:r w:rsidR="00E819C1" w:rsidRPr="00F13D2D">
        <w:rPr>
          <w:rFonts w:eastAsia="Calibri"/>
          <w:lang w:val="fr-FR"/>
        </w:rPr>
        <w:t xml:space="preserve"> en faveur des fonctionnaires et, enfin le régime de l’assurance maladie géré par la Caisse Nationale d’Assurance Maladies (CNAM) qui bénéficie aux fonctionnaires, militaires et parlementaires. Il y a également l’Office National de la Médicine du Travail (ONMT), chargé de promouvoir et maintenir le bien-être physique, mental et social de tous les travailleurs. L’enfant bénéficie de la sécurité sociale</w:t>
      </w:r>
      <w:r w:rsidR="006C160E" w:rsidRPr="00F13D2D">
        <w:rPr>
          <w:rFonts w:eastAsia="Calibri"/>
          <w:lang w:val="fr-FR"/>
        </w:rPr>
        <w:t xml:space="preserve"> </w:t>
      </w:r>
      <w:r w:rsidR="00E819C1" w:rsidRPr="00F13D2D">
        <w:rPr>
          <w:rFonts w:eastAsia="Calibri"/>
          <w:lang w:val="fr-FR"/>
        </w:rPr>
        <w:t>s’il est</w:t>
      </w:r>
      <w:r w:rsidR="006C160E" w:rsidRPr="00F13D2D">
        <w:rPr>
          <w:rFonts w:eastAsia="Calibri"/>
          <w:lang w:val="fr-FR"/>
        </w:rPr>
        <w:t xml:space="preserve"> </w:t>
      </w:r>
      <w:r w:rsidR="00E819C1" w:rsidRPr="00F13D2D">
        <w:rPr>
          <w:rFonts w:eastAsia="Calibri"/>
          <w:lang w:val="fr-FR"/>
        </w:rPr>
        <w:t xml:space="preserve">à la charge d’un assuré social assujetti à l’un de ces régimes. </w:t>
      </w:r>
    </w:p>
    <w:p w:rsidR="00E819C1" w:rsidRPr="00F13D2D" w:rsidRDefault="0055270C" w:rsidP="0055270C">
      <w:pPr>
        <w:pStyle w:val="SingleTxtG"/>
        <w:rPr>
          <w:rFonts w:eastAsia="Calibri"/>
          <w:lang w:val="fr-FR"/>
        </w:rPr>
      </w:pPr>
      <w:r w:rsidRPr="00F13D2D">
        <w:rPr>
          <w:rFonts w:eastAsia="Calibri"/>
          <w:lang w:val="fr-FR"/>
        </w:rPr>
        <w:t>168.</w:t>
      </w:r>
      <w:r w:rsidRPr="00F13D2D">
        <w:rPr>
          <w:rFonts w:eastAsia="Calibri"/>
          <w:lang w:val="fr-FR"/>
        </w:rPr>
        <w:tab/>
      </w:r>
      <w:r w:rsidR="00E819C1" w:rsidRPr="00F13D2D">
        <w:rPr>
          <w:rFonts w:eastAsia="Calibri"/>
          <w:lang w:val="fr-FR"/>
        </w:rPr>
        <w:t>Le cadre de protection des droits de l’enfant a été renforcé par la stratégie nationale de</w:t>
      </w:r>
      <w:r w:rsidR="006C160E" w:rsidRPr="00F13D2D">
        <w:rPr>
          <w:rFonts w:eastAsia="Calibri"/>
          <w:lang w:val="fr-FR"/>
        </w:rPr>
        <w:t xml:space="preserve"> </w:t>
      </w:r>
      <w:r w:rsidR="00E819C1" w:rsidRPr="00F13D2D">
        <w:rPr>
          <w:rFonts w:eastAsia="Calibri"/>
          <w:lang w:val="fr-FR"/>
        </w:rPr>
        <w:t xml:space="preserve">protection des enfants et l’instauration de plates-formes régionales de concertation. </w:t>
      </w:r>
    </w:p>
    <w:p w:rsidR="00E819C1" w:rsidRPr="00F13D2D" w:rsidRDefault="0055270C" w:rsidP="0055270C">
      <w:pPr>
        <w:pStyle w:val="SingleTxtG"/>
        <w:rPr>
          <w:rFonts w:eastAsia="Calibri"/>
          <w:lang w:val="fr-FR"/>
        </w:rPr>
      </w:pPr>
      <w:r w:rsidRPr="00F13D2D">
        <w:rPr>
          <w:rFonts w:eastAsia="Calibri"/>
          <w:lang w:val="fr-FR"/>
        </w:rPr>
        <w:t>169.</w:t>
      </w:r>
      <w:r w:rsidRPr="00F13D2D">
        <w:rPr>
          <w:rFonts w:eastAsia="Calibri"/>
          <w:lang w:val="fr-FR"/>
        </w:rPr>
        <w:tab/>
      </w:r>
      <w:r w:rsidR="00E819C1" w:rsidRPr="00F13D2D">
        <w:rPr>
          <w:rFonts w:eastAsia="Calibri"/>
          <w:lang w:val="fr-FR"/>
        </w:rPr>
        <w:t>Le secteur de la Petite Enfance connaît une propension importante. Les modes de garde et d’éducation dans la petite enfance sont les jardins d’enfants publics et privés, les écoles coraniques, les crèches et les garderies communautaires. Ces structures sont en augmentation régulière depuis quelques années, multipliant ainsi le nombre d’enfants inscrits dans le préscolaire. </w:t>
      </w:r>
    </w:p>
    <w:p w:rsidR="00E819C1" w:rsidRPr="00F13D2D" w:rsidRDefault="0055270C" w:rsidP="0055270C">
      <w:pPr>
        <w:pStyle w:val="SingleTxtG"/>
        <w:rPr>
          <w:rFonts w:eastAsia="Calibri"/>
          <w:lang w:val="fr-FR"/>
        </w:rPr>
      </w:pPr>
      <w:r w:rsidRPr="00F13D2D">
        <w:rPr>
          <w:rFonts w:eastAsia="Calibri"/>
          <w:lang w:val="fr-FR"/>
        </w:rPr>
        <w:t>170.</w:t>
      </w:r>
      <w:r w:rsidRPr="00F13D2D">
        <w:rPr>
          <w:rFonts w:eastAsia="Calibri"/>
          <w:lang w:val="fr-FR"/>
        </w:rPr>
        <w:tab/>
      </w:r>
      <w:r w:rsidR="00E819C1" w:rsidRPr="00F13D2D">
        <w:rPr>
          <w:rFonts w:eastAsia="Calibri"/>
          <w:lang w:val="fr-FR"/>
        </w:rPr>
        <w:t>Plusieurs sessions de formation ont été organisées au profit des monitrices de jardins d</w:t>
      </w:r>
      <w:r w:rsidR="006C160E" w:rsidRPr="00F13D2D">
        <w:rPr>
          <w:rFonts w:eastAsia="Calibri"/>
          <w:lang w:val="fr-FR"/>
        </w:rPr>
        <w:t>’</w:t>
      </w:r>
      <w:r w:rsidR="00E819C1" w:rsidRPr="00F13D2D">
        <w:rPr>
          <w:rFonts w:eastAsia="Calibri"/>
          <w:lang w:val="fr-FR"/>
        </w:rPr>
        <w:t>enfants et d</w:t>
      </w:r>
      <w:r w:rsidR="006C160E" w:rsidRPr="00F13D2D">
        <w:rPr>
          <w:rFonts w:eastAsia="Calibri"/>
          <w:lang w:val="fr-FR"/>
        </w:rPr>
        <w:t>’</w:t>
      </w:r>
      <w:r w:rsidR="00E819C1" w:rsidRPr="00F13D2D">
        <w:rPr>
          <w:rFonts w:eastAsia="Calibri"/>
          <w:lang w:val="fr-FR"/>
        </w:rPr>
        <w:t>animatrices, 110 élèves monitrices continuent une formation initiale depuis deux ans dans le centre de formation de la petite enfance et un appui a été</w:t>
      </w:r>
      <w:r w:rsidR="006C160E" w:rsidRPr="00F13D2D">
        <w:rPr>
          <w:rFonts w:eastAsia="Calibri"/>
          <w:lang w:val="fr-FR"/>
        </w:rPr>
        <w:t xml:space="preserve"> </w:t>
      </w:r>
      <w:r w:rsidR="00E819C1" w:rsidRPr="00F13D2D">
        <w:rPr>
          <w:rFonts w:eastAsia="Calibri"/>
          <w:lang w:val="fr-FR"/>
        </w:rPr>
        <w:t>accordé à plus de 100 jardins d</w:t>
      </w:r>
      <w:r w:rsidR="006C160E" w:rsidRPr="00F13D2D">
        <w:rPr>
          <w:rFonts w:eastAsia="Calibri"/>
          <w:lang w:val="fr-FR"/>
        </w:rPr>
        <w:t>’</w:t>
      </w:r>
      <w:r w:rsidR="00E819C1" w:rsidRPr="00F13D2D">
        <w:rPr>
          <w:rFonts w:eastAsia="Calibri"/>
          <w:lang w:val="fr-FR"/>
        </w:rPr>
        <w:t>enfants et garderies communautaires qui ont bénéficié d</w:t>
      </w:r>
      <w:r w:rsidR="006C160E" w:rsidRPr="00F13D2D">
        <w:rPr>
          <w:rFonts w:eastAsia="Calibri"/>
          <w:lang w:val="fr-FR"/>
        </w:rPr>
        <w:t>’</w:t>
      </w:r>
      <w:r w:rsidR="00E819C1" w:rsidRPr="00F13D2D">
        <w:rPr>
          <w:rFonts w:eastAsia="Calibri"/>
          <w:lang w:val="fr-FR"/>
        </w:rPr>
        <w:t>équipements et de tables scolaires. Le nombre global des sortants du centre est de 614 moniteurs de jardins d</w:t>
      </w:r>
      <w:r w:rsidR="006C160E" w:rsidRPr="00F13D2D">
        <w:rPr>
          <w:rFonts w:eastAsia="Calibri"/>
          <w:lang w:val="fr-FR"/>
        </w:rPr>
        <w:t>’</w:t>
      </w:r>
      <w:r w:rsidR="00E819C1" w:rsidRPr="00F13D2D">
        <w:rPr>
          <w:rFonts w:eastAsia="Calibri"/>
          <w:lang w:val="fr-FR"/>
        </w:rPr>
        <w:t>enfants.</w:t>
      </w:r>
    </w:p>
    <w:p w:rsidR="00E819C1" w:rsidRPr="00F13D2D" w:rsidRDefault="0055270C" w:rsidP="0055270C">
      <w:pPr>
        <w:pStyle w:val="SingleTxtG"/>
        <w:rPr>
          <w:rFonts w:eastAsia="Calibri"/>
          <w:lang w:val="fr-FR"/>
        </w:rPr>
      </w:pPr>
      <w:r w:rsidRPr="00F13D2D">
        <w:rPr>
          <w:rFonts w:eastAsia="Calibri"/>
          <w:lang w:val="fr-FR"/>
        </w:rPr>
        <w:t>171.</w:t>
      </w:r>
      <w:r w:rsidRPr="00F13D2D">
        <w:rPr>
          <w:rFonts w:eastAsia="Calibri"/>
          <w:lang w:val="fr-FR"/>
        </w:rPr>
        <w:tab/>
      </w:r>
      <w:r w:rsidR="00E819C1" w:rsidRPr="00F13D2D">
        <w:rPr>
          <w:rFonts w:eastAsia="Calibri"/>
          <w:lang w:val="fr-FR"/>
        </w:rPr>
        <w:t>Plusieurs séminaires de formation sur les axes de la stratégie nationale de l</w:t>
      </w:r>
      <w:r w:rsidR="006C160E" w:rsidRPr="00F13D2D">
        <w:rPr>
          <w:rFonts w:eastAsia="Calibri"/>
          <w:lang w:val="fr-FR"/>
        </w:rPr>
        <w:t>’</w:t>
      </w:r>
      <w:r w:rsidR="00E819C1" w:rsidRPr="00F13D2D">
        <w:rPr>
          <w:rFonts w:eastAsia="Calibri"/>
          <w:lang w:val="fr-FR"/>
        </w:rPr>
        <w:t>éducation parentale ont été organisés au profit des chefs de section enfance dans les coordinations régionales du MASEF et des chefs de réseaux de la petite enfance.</w:t>
      </w:r>
    </w:p>
    <w:p w:rsidR="00E819C1" w:rsidRPr="00F13D2D" w:rsidRDefault="0055270C" w:rsidP="0055270C">
      <w:pPr>
        <w:pStyle w:val="SingleTxtG"/>
        <w:rPr>
          <w:rFonts w:eastAsia="Calibri"/>
          <w:lang w:val="fr-FR"/>
        </w:rPr>
      </w:pPr>
      <w:r w:rsidRPr="00F13D2D">
        <w:rPr>
          <w:rFonts w:eastAsia="Calibri"/>
          <w:lang w:val="fr-FR"/>
        </w:rPr>
        <w:t>172.</w:t>
      </w:r>
      <w:r w:rsidRPr="00F13D2D">
        <w:rPr>
          <w:rFonts w:eastAsia="Calibri"/>
          <w:lang w:val="fr-FR"/>
        </w:rPr>
        <w:tab/>
      </w:r>
      <w:r w:rsidR="00E819C1" w:rsidRPr="00F13D2D">
        <w:rPr>
          <w:rFonts w:eastAsia="Calibri"/>
          <w:lang w:val="fr-FR"/>
        </w:rPr>
        <w:t>Plusieurs jardins d</w:t>
      </w:r>
      <w:r w:rsidR="006C160E" w:rsidRPr="00F13D2D">
        <w:rPr>
          <w:rFonts w:eastAsia="Calibri"/>
          <w:lang w:val="fr-FR"/>
        </w:rPr>
        <w:t>’</w:t>
      </w:r>
      <w:r w:rsidR="00E819C1" w:rsidRPr="00F13D2D">
        <w:rPr>
          <w:rFonts w:eastAsia="Calibri"/>
          <w:lang w:val="fr-FR"/>
        </w:rPr>
        <w:t>enfants publics sont dotés d</w:t>
      </w:r>
      <w:r w:rsidR="006C160E" w:rsidRPr="00F13D2D">
        <w:rPr>
          <w:rFonts w:eastAsia="Calibri"/>
          <w:lang w:val="fr-FR"/>
        </w:rPr>
        <w:t>’</w:t>
      </w:r>
      <w:r w:rsidR="00E819C1" w:rsidRPr="00F13D2D">
        <w:rPr>
          <w:rFonts w:eastAsia="Calibri"/>
          <w:lang w:val="fr-FR"/>
        </w:rPr>
        <w:t>équipements, de matériels nécessaires et d</w:t>
      </w:r>
      <w:r w:rsidR="006C160E" w:rsidRPr="00F13D2D">
        <w:rPr>
          <w:rFonts w:eastAsia="Calibri"/>
          <w:lang w:val="fr-FR"/>
        </w:rPr>
        <w:t>’</w:t>
      </w:r>
      <w:r w:rsidR="00E819C1" w:rsidRPr="00F13D2D">
        <w:rPr>
          <w:rFonts w:eastAsia="Calibri"/>
          <w:lang w:val="fr-FR"/>
        </w:rPr>
        <w:t xml:space="preserve">outils pédagogiques. La stratégie de développement de la petite enfance a </w:t>
      </w:r>
      <w:proofErr w:type="spellStart"/>
      <w:r w:rsidR="00E819C1" w:rsidRPr="00F13D2D">
        <w:rPr>
          <w:rFonts w:eastAsia="Calibri"/>
          <w:lang w:val="fr-FR"/>
        </w:rPr>
        <w:t>bénéficie</w:t>
      </w:r>
      <w:proofErr w:type="spellEnd"/>
      <w:r w:rsidR="00E819C1" w:rsidRPr="00F13D2D">
        <w:rPr>
          <w:rFonts w:eastAsia="Calibri"/>
          <w:lang w:val="fr-FR"/>
        </w:rPr>
        <w:t xml:space="preserve"> de l</w:t>
      </w:r>
      <w:r w:rsidR="006C160E" w:rsidRPr="00F13D2D">
        <w:rPr>
          <w:rFonts w:eastAsia="Calibri"/>
          <w:lang w:val="fr-FR"/>
        </w:rPr>
        <w:t>’</w:t>
      </w:r>
      <w:r w:rsidR="00E819C1" w:rsidRPr="00F13D2D">
        <w:rPr>
          <w:rFonts w:eastAsia="Calibri"/>
          <w:lang w:val="fr-FR"/>
        </w:rPr>
        <w:t xml:space="preserve">appui du programme de coopération Unicef – Gouvernement. </w:t>
      </w:r>
    </w:p>
    <w:p w:rsidR="00E819C1" w:rsidRPr="00AA7A93" w:rsidRDefault="008A67C0" w:rsidP="00AA7A93">
      <w:pPr>
        <w:pStyle w:val="H1G"/>
      </w:pPr>
      <w:bookmarkStart w:id="265" w:name="_Toc453672965"/>
      <w:bookmarkStart w:id="266" w:name="_Toc454388808"/>
      <w:r w:rsidRPr="000E17DF">
        <w:tab/>
      </w:r>
      <w:r w:rsidR="00E819C1" w:rsidRPr="00E06F1B">
        <w:t>D</w:t>
      </w:r>
      <w:r w:rsidRPr="00AA7A93">
        <w:t>.</w:t>
      </w:r>
      <w:r w:rsidRPr="00AA7A93">
        <w:tab/>
      </w:r>
      <w:r w:rsidR="00E819C1" w:rsidRPr="00AA7A93">
        <w:t>Le niveau de vie (art. 27, par. 1 à</w:t>
      </w:r>
      <w:r w:rsidR="00064350">
        <w:t> </w:t>
      </w:r>
      <w:r w:rsidR="00E819C1" w:rsidRPr="00AA7A93">
        <w:t>3)</w:t>
      </w:r>
      <w:bookmarkEnd w:id="265"/>
      <w:bookmarkEnd w:id="266"/>
    </w:p>
    <w:p w:rsidR="00E819C1" w:rsidRPr="00F13D2D" w:rsidRDefault="0055270C" w:rsidP="0055270C">
      <w:pPr>
        <w:pStyle w:val="SingleTxtG"/>
        <w:rPr>
          <w:rFonts w:eastAsia="Calibri"/>
          <w:lang w:val="fr-FR"/>
        </w:rPr>
      </w:pPr>
      <w:r w:rsidRPr="00F13D2D">
        <w:rPr>
          <w:rFonts w:eastAsia="Calibri"/>
          <w:lang w:val="fr-FR"/>
        </w:rPr>
        <w:t>173.</w:t>
      </w:r>
      <w:r w:rsidRPr="00F13D2D">
        <w:rPr>
          <w:rFonts w:eastAsia="Calibri"/>
          <w:lang w:val="fr-FR"/>
        </w:rPr>
        <w:tab/>
      </w:r>
      <w:r w:rsidR="00E819C1" w:rsidRPr="00F13D2D">
        <w:rPr>
          <w:rFonts w:eastAsia="Calibri"/>
          <w:lang w:val="fr-FR"/>
        </w:rPr>
        <w:t>D</w:t>
      </w:r>
      <w:r w:rsidR="006C160E" w:rsidRPr="00F13D2D">
        <w:rPr>
          <w:rFonts w:eastAsia="Calibri"/>
          <w:lang w:val="fr-FR"/>
        </w:rPr>
        <w:t>’</w:t>
      </w:r>
      <w:r w:rsidR="00E819C1" w:rsidRPr="00F13D2D">
        <w:rPr>
          <w:rFonts w:eastAsia="Calibri"/>
          <w:lang w:val="fr-FR"/>
        </w:rPr>
        <w:t>importants efforts ont été fournis au niveau du développement des ressources humaines et de l’expansion des services de base. Dans le secteur de l’éducation, ces efforts se sont traduits par une</w:t>
      </w:r>
      <w:r w:rsidR="006C160E" w:rsidRPr="00F13D2D">
        <w:rPr>
          <w:rFonts w:eastAsia="Calibri"/>
          <w:lang w:val="fr-FR"/>
        </w:rPr>
        <w:t xml:space="preserve"> </w:t>
      </w:r>
      <w:r w:rsidR="00E819C1" w:rsidRPr="00F13D2D">
        <w:rPr>
          <w:rFonts w:eastAsia="Calibri"/>
          <w:lang w:val="fr-FR"/>
        </w:rPr>
        <w:t>augmentation sensible</w:t>
      </w:r>
      <w:r w:rsidR="00FC0832">
        <w:rPr>
          <w:rFonts w:eastAsia="Calibri"/>
          <w:lang w:val="fr-FR"/>
        </w:rPr>
        <w:t> :</w:t>
      </w:r>
      <w:r w:rsidR="00E819C1" w:rsidRPr="00F13D2D">
        <w:rPr>
          <w:rFonts w:eastAsia="Calibri"/>
          <w:lang w:val="fr-FR"/>
        </w:rPr>
        <w:t xml:space="preserve"> (i) du taux brut de scolarisation (TBS) au niveau du fondamental qui est passé de 98,8</w:t>
      </w:r>
      <w:r w:rsidR="006348D2">
        <w:rPr>
          <w:rFonts w:eastAsia="Calibri"/>
          <w:lang w:val="fr-FR"/>
        </w:rPr>
        <w:t> %</w:t>
      </w:r>
      <w:r w:rsidR="00E819C1" w:rsidRPr="00F13D2D">
        <w:rPr>
          <w:rFonts w:eastAsia="Calibri"/>
          <w:lang w:val="fr-FR"/>
        </w:rPr>
        <w:t xml:space="preserve"> en 2010 à 98,9</w:t>
      </w:r>
      <w:r w:rsidR="006348D2">
        <w:rPr>
          <w:rFonts w:eastAsia="Calibri"/>
          <w:lang w:val="fr-FR"/>
        </w:rPr>
        <w:t> %</w:t>
      </w:r>
      <w:r w:rsidR="00E819C1" w:rsidRPr="00F13D2D">
        <w:rPr>
          <w:rFonts w:eastAsia="Calibri"/>
          <w:lang w:val="fr-FR"/>
        </w:rPr>
        <w:t xml:space="preserve"> en 2011, approchant ainsi la cible de 100</w:t>
      </w:r>
      <w:r w:rsidR="006348D2">
        <w:rPr>
          <w:rFonts w:eastAsia="Calibri"/>
          <w:lang w:val="fr-FR"/>
        </w:rPr>
        <w:t> %</w:t>
      </w:r>
      <w:r w:rsidR="00E819C1" w:rsidRPr="00F13D2D">
        <w:rPr>
          <w:rFonts w:eastAsia="Calibri"/>
          <w:lang w:val="fr-FR"/>
        </w:rPr>
        <w:t xml:space="preserve"> en 2015</w:t>
      </w:r>
      <w:r w:rsidR="00FC0832">
        <w:rPr>
          <w:rFonts w:eastAsia="Calibri"/>
          <w:lang w:val="fr-FR"/>
        </w:rPr>
        <w:t> ;</w:t>
      </w:r>
      <w:r w:rsidR="00E819C1" w:rsidRPr="00F13D2D">
        <w:rPr>
          <w:rFonts w:eastAsia="Calibri"/>
          <w:lang w:val="fr-FR"/>
        </w:rPr>
        <w:t xml:space="preserve"> (ii) des</w:t>
      </w:r>
      <w:r w:rsidR="006C160E" w:rsidRPr="00F13D2D">
        <w:rPr>
          <w:rFonts w:eastAsia="Calibri"/>
          <w:lang w:val="fr-FR"/>
        </w:rPr>
        <w:t xml:space="preserve"> </w:t>
      </w:r>
      <w:r w:rsidR="00E819C1" w:rsidRPr="00F13D2D">
        <w:rPr>
          <w:rFonts w:eastAsia="Calibri"/>
          <w:lang w:val="fr-FR"/>
        </w:rPr>
        <w:t>effectifs dans le fondamental (535</w:t>
      </w:r>
      <w:r w:rsidR="002E662F">
        <w:rPr>
          <w:rFonts w:eastAsia="Calibri"/>
          <w:lang w:val="fr-FR"/>
        </w:rPr>
        <w:t> </w:t>
      </w:r>
      <w:r w:rsidR="00E819C1" w:rsidRPr="00F13D2D">
        <w:rPr>
          <w:rFonts w:eastAsia="Calibri"/>
          <w:lang w:val="fr-FR"/>
        </w:rPr>
        <w:t>976 élèves), accompagnée d’une progression du nombre</w:t>
      </w:r>
      <w:r w:rsidR="006C160E" w:rsidRPr="00F13D2D">
        <w:rPr>
          <w:rFonts w:eastAsia="Calibri"/>
          <w:lang w:val="fr-FR"/>
        </w:rPr>
        <w:t xml:space="preserve"> </w:t>
      </w:r>
      <w:r w:rsidR="00E819C1" w:rsidRPr="00F13D2D">
        <w:rPr>
          <w:rFonts w:eastAsia="Calibri"/>
          <w:lang w:val="fr-FR"/>
        </w:rPr>
        <w:t>d’écoles (4</w:t>
      </w:r>
      <w:r w:rsidR="002E662F">
        <w:rPr>
          <w:rFonts w:eastAsia="Calibri"/>
          <w:lang w:val="fr-FR"/>
        </w:rPr>
        <w:t> </w:t>
      </w:r>
      <w:r w:rsidR="00E819C1" w:rsidRPr="00F13D2D">
        <w:rPr>
          <w:rFonts w:eastAsia="Calibri"/>
          <w:lang w:val="fr-FR"/>
        </w:rPr>
        <w:t>075)</w:t>
      </w:r>
      <w:r w:rsidR="00FC0832">
        <w:rPr>
          <w:rFonts w:eastAsia="Calibri"/>
          <w:lang w:val="fr-FR"/>
        </w:rPr>
        <w:t> ;</w:t>
      </w:r>
      <w:r w:rsidR="00E819C1" w:rsidRPr="00F13D2D">
        <w:rPr>
          <w:rFonts w:eastAsia="Calibri"/>
          <w:lang w:val="fr-FR"/>
        </w:rPr>
        <w:t xml:space="preserve"> (iii) de la rétention</w:t>
      </w:r>
      <w:r w:rsidR="00FC0832">
        <w:rPr>
          <w:rFonts w:eastAsia="Calibri"/>
          <w:lang w:val="fr-FR"/>
        </w:rPr>
        <w:t> ;</w:t>
      </w:r>
      <w:r w:rsidR="00E819C1" w:rsidRPr="00F13D2D">
        <w:rPr>
          <w:rFonts w:eastAsia="Calibri"/>
          <w:lang w:val="fr-FR"/>
        </w:rPr>
        <w:t xml:space="preserve"> et (iv)</w:t>
      </w:r>
      <w:r w:rsidR="002E662F">
        <w:rPr>
          <w:rFonts w:eastAsia="Calibri"/>
          <w:lang w:val="fr-FR"/>
        </w:rPr>
        <w:t> </w:t>
      </w:r>
      <w:r w:rsidR="00E819C1" w:rsidRPr="00F13D2D">
        <w:rPr>
          <w:rFonts w:eastAsia="Calibri"/>
          <w:lang w:val="fr-FR"/>
        </w:rPr>
        <w:t xml:space="preserve">du taux de participation des filles. </w:t>
      </w:r>
    </w:p>
    <w:p w:rsidR="00E819C1" w:rsidRPr="00F13D2D" w:rsidRDefault="0055270C" w:rsidP="0055270C">
      <w:pPr>
        <w:pStyle w:val="SingleTxtG"/>
        <w:rPr>
          <w:rFonts w:eastAsia="Calibri"/>
          <w:lang w:val="fr-FR"/>
        </w:rPr>
      </w:pPr>
      <w:r w:rsidRPr="00F13D2D">
        <w:rPr>
          <w:rFonts w:eastAsia="Calibri"/>
          <w:lang w:val="fr-FR"/>
        </w:rPr>
        <w:t>174.</w:t>
      </w:r>
      <w:r w:rsidRPr="00F13D2D">
        <w:rPr>
          <w:rFonts w:eastAsia="Calibri"/>
          <w:lang w:val="fr-FR"/>
        </w:rPr>
        <w:tab/>
      </w:r>
      <w:r w:rsidR="00E819C1" w:rsidRPr="00F13D2D">
        <w:rPr>
          <w:rFonts w:eastAsia="Calibri"/>
          <w:lang w:val="fr-FR"/>
        </w:rPr>
        <w:t>Dans le domaine de la santé, le taux d</w:t>
      </w:r>
      <w:r w:rsidR="006C160E" w:rsidRPr="00F13D2D">
        <w:rPr>
          <w:rFonts w:eastAsia="Calibri"/>
          <w:lang w:val="fr-FR"/>
        </w:rPr>
        <w:t>’</w:t>
      </w:r>
      <w:r w:rsidR="00E819C1" w:rsidRPr="00F13D2D">
        <w:rPr>
          <w:rFonts w:eastAsia="Calibri"/>
          <w:lang w:val="fr-FR"/>
        </w:rPr>
        <w:t>accessibilité géographique aux soins de santé dans un rayon</w:t>
      </w:r>
      <w:r w:rsidR="006C160E" w:rsidRPr="00F13D2D">
        <w:rPr>
          <w:rFonts w:eastAsia="Calibri"/>
          <w:lang w:val="fr-FR"/>
        </w:rPr>
        <w:t xml:space="preserve"> </w:t>
      </w:r>
      <w:r w:rsidR="00E819C1" w:rsidRPr="00F13D2D">
        <w:rPr>
          <w:rFonts w:eastAsia="Calibri"/>
          <w:lang w:val="fr-FR"/>
        </w:rPr>
        <w:t>de 5</w:t>
      </w:r>
      <w:r w:rsidR="002E662F">
        <w:rPr>
          <w:rFonts w:eastAsia="Calibri"/>
          <w:lang w:val="fr-FR"/>
        </w:rPr>
        <w:t> </w:t>
      </w:r>
      <w:r w:rsidR="00E819C1" w:rsidRPr="00F13D2D">
        <w:rPr>
          <w:rFonts w:eastAsia="Calibri"/>
          <w:lang w:val="fr-FR"/>
        </w:rPr>
        <w:t>km a augmenté pour atteindre 80</w:t>
      </w:r>
      <w:r w:rsidR="002E662F">
        <w:rPr>
          <w:rFonts w:eastAsia="Calibri"/>
          <w:lang w:val="fr-FR"/>
        </w:rPr>
        <w:t>,</w:t>
      </w:r>
      <w:r w:rsidR="00E819C1" w:rsidRPr="00F13D2D">
        <w:rPr>
          <w:rFonts w:eastAsia="Calibri"/>
          <w:lang w:val="fr-FR"/>
        </w:rPr>
        <w:t>08</w:t>
      </w:r>
      <w:r w:rsidR="006348D2">
        <w:rPr>
          <w:rFonts w:eastAsia="Calibri"/>
          <w:lang w:val="fr-FR"/>
        </w:rPr>
        <w:t> %</w:t>
      </w:r>
      <w:r w:rsidR="00E819C1" w:rsidRPr="00F13D2D">
        <w:rPr>
          <w:rFonts w:eastAsia="Calibri"/>
          <w:lang w:val="fr-FR"/>
        </w:rPr>
        <w:t>. Le taux de couverture des besoins en eau potable a atteint 52</w:t>
      </w:r>
      <w:r w:rsidR="006348D2">
        <w:rPr>
          <w:rFonts w:eastAsia="Calibri"/>
          <w:lang w:val="fr-FR"/>
        </w:rPr>
        <w:t> %</w:t>
      </w:r>
      <w:r w:rsidR="00E819C1" w:rsidRPr="00F13D2D">
        <w:rPr>
          <w:rFonts w:eastAsia="Calibri"/>
          <w:lang w:val="fr-FR"/>
        </w:rPr>
        <w:t xml:space="preserve"> au niveau national. En milieu urbain (villes de plus de 5</w:t>
      </w:r>
      <w:r w:rsidR="002E662F">
        <w:rPr>
          <w:rFonts w:eastAsia="Calibri"/>
          <w:lang w:val="fr-FR"/>
        </w:rPr>
        <w:t> </w:t>
      </w:r>
      <w:r w:rsidR="00E819C1" w:rsidRPr="00F13D2D">
        <w:rPr>
          <w:rFonts w:eastAsia="Calibri"/>
          <w:lang w:val="fr-FR"/>
        </w:rPr>
        <w:t>000 habitants), le taux d’accès aux branchements privés est de 35</w:t>
      </w:r>
      <w:r w:rsidR="006348D2">
        <w:rPr>
          <w:rFonts w:eastAsia="Calibri"/>
          <w:lang w:val="fr-FR"/>
        </w:rPr>
        <w:t> %</w:t>
      </w:r>
      <w:r w:rsidR="00E819C1" w:rsidRPr="00F13D2D">
        <w:rPr>
          <w:rFonts w:eastAsia="Calibri"/>
          <w:lang w:val="fr-FR"/>
        </w:rPr>
        <w:t xml:space="preserve"> et varie de</w:t>
      </w:r>
      <w:r w:rsidR="006C160E" w:rsidRPr="00F13D2D">
        <w:rPr>
          <w:rFonts w:eastAsia="Calibri"/>
          <w:lang w:val="fr-FR"/>
        </w:rPr>
        <w:t xml:space="preserve"> </w:t>
      </w:r>
      <w:r w:rsidR="00E819C1" w:rsidRPr="00F13D2D">
        <w:rPr>
          <w:rFonts w:eastAsia="Calibri"/>
          <w:lang w:val="fr-FR"/>
        </w:rPr>
        <w:t>façon importante. En milieu rural, 60</w:t>
      </w:r>
      <w:r w:rsidR="006348D2">
        <w:rPr>
          <w:rFonts w:eastAsia="Calibri"/>
          <w:lang w:val="fr-FR"/>
        </w:rPr>
        <w:t> %</w:t>
      </w:r>
      <w:r w:rsidR="00E819C1" w:rsidRPr="00F13D2D">
        <w:rPr>
          <w:rFonts w:eastAsia="Calibri"/>
          <w:lang w:val="fr-FR"/>
        </w:rPr>
        <w:t xml:space="preserve"> des ménages ont accès à l’eau potable.</w:t>
      </w:r>
      <w:r w:rsidR="006C160E" w:rsidRPr="00F13D2D">
        <w:rPr>
          <w:rFonts w:eastAsia="Calibri"/>
          <w:lang w:val="fr-FR"/>
        </w:rPr>
        <w:t xml:space="preserve"> </w:t>
      </w:r>
    </w:p>
    <w:p w:rsidR="00E819C1" w:rsidRPr="00F13D2D" w:rsidRDefault="008A67C0" w:rsidP="008A67C0">
      <w:pPr>
        <w:pStyle w:val="H1G"/>
      </w:pPr>
      <w:bookmarkStart w:id="267" w:name="_Toc453672966"/>
      <w:bookmarkStart w:id="268" w:name="_Toc454386609"/>
      <w:bookmarkStart w:id="269" w:name="_Toc454386678"/>
      <w:bookmarkStart w:id="270" w:name="_Toc454388809"/>
      <w:r w:rsidRPr="00F13D2D">
        <w:tab/>
      </w:r>
      <w:r w:rsidRPr="00F13D2D">
        <w:tab/>
      </w:r>
      <w:r w:rsidR="00E819C1" w:rsidRPr="00F13D2D">
        <w:t>Septième sous</w:t>
      </w:r>
      <w:r w:rsidR="00064350">
        <w:t>-</w:t>
      </w:r>
      <w:r w:rsidR="00E819C1" w:rsidRPr="00F13D2D">
        <w:t>partie </w:t>
      </w:r>
      <w:r w:rsidR="00FC0832">
        <w:t>:</w:t>
      </w:r>
      <w:r w:rsidR="00E819C1" w:rsidRPr="00F13D2D">
        <w:t xml:space="preserve"> </w:t>
      </w:r>
      <w:r w:rsidR="00922AB1" w:rsidRPr="00F13D2D">
        <w:t>Éducation</w:t>
      </w:r>
      <w:r w:rsidR="00E819C1" w:rsidRPr="00F13D2D">
        <w:t>, loisirs et activités culturelles</w:t>
      </w:r>
      <w:bookmarkEnd w:id="267"/>
      <w:bookmarkEnd w:id="268"/>
      <w:bookmarkEnd w:id="269"/>
      <w:bookmarkEnd w:id="270"/>
    </w:p>
    <w:p w:rsidR="00E819C1" w:rsidRPr="00AA7A93" w:rsidRDefault="008A67C0" w:rsidP="00AA7A93">
      <w:pPr>
        <w:pStyle w:val="H1G"/>
      </w:pPr>
      <w:bookmarkStart w:id="271" w:name="_Toc453672967"/>
      <w:bookmarkStart w:id="272" w:name="_Toc454388810"/>
      <w:r w:rsidRPr="000E17DF">
        <w:tab/>
      </w:r>
      <w:r w:rsidR="00E819C1" w:rsidRPr="00E06F1B">
        <w:t>A</w:t>
      </w:r>
      <w:r w:rsidRPr="00AA7A93">
        <w:t>.</w:t>
      </w:r>
      <w:r w:rsidRPr="00AA7A93">
        <w:tab/>
      </w:r>
      <w:r w:rsidR="00E819C1" w:rsidRPr="00AA7A93">
        <w:t>L’éducation,</w:t>
      </w:r>
      <w:r w:rsidR="006C160E" w:rsidRPr="00AA7A93">
        <w:t xml:space="preserve"> </w:t>
      </w:r>
      <w:r w:rsidR="00E819C1" w:rsidRPr="00AA7A93">
        <w:t>la formation et l’orientation professionnelles (art. 28)</w:t>
      </w:r>
      <w:bookmarkEnd w:id="271"/>
      <w:bookmarkEnd w:id="272"/>
    </w:p>
    <w:p w:rsidR="00E819C1" w:rsidRPr="00F13D2D" w:rsidRDefault="0055270C" w:rsidP="0055270C">
      <w:pPr>
        <w:pStyle w:val="SingleTxtG"/>
        <w:rPr>
          <w:rFonts w:eastAsia="Calibri"/>
          <w:lang w:val="fr-FR"/>
        </w:rPr>
      </w:pPr>
      <w:r w:rsidRPr="00F13D2D">
        <w:rPr>
          <w:rFonts w:eastAsia="Calibri"/>
          <w:lang w:val="fr-FR"/>
        </w:rPr>
        <w:t>175.</w:t>
      </w:r>
      <w:r w:rsidRPr="00F13D2D">
        <w:rPr>
          <w:rFonts w:eastAsia="Calibri"/>
          <w:lang w:val="fr-FR"/>
        </w:rPr>
        <w:tab/>
      </w:r>
      <w:r w:rsidR="00E819C1" w:rsidRPr="00F13D2D">
        <w:rPr>
          <w:rFonts w:eastAsia="Calibri"/>
          <w:lang w:val="fr-FR"/>
        </w:rPr>
        <w:t>Conformément à cette série de recommandations, l</w:t>
      </w:r>
      <w:r w:rsidR="006C160E" w:rsidRPr="00F13D2D">
        <w:rPr>
          <w:rFonts w:eastAsia="Calibri"/>
          <w:lang w:val="fr-FR"/>
        </w:rPr>
        <w:t>’</w:t>
      </w:r>
      <w:r w:rsidR="00E819C1" w:rsidRPr="00F13D2D">
        <w:rPr>
          <w:rFonts w:eastAsia="Calibri"/>
          <w:lang w:val="fr-FR"/>
        </w:rPr>
        <w:t>enseignement est gratuit dans le secteur public. Par ailleurs,</w:t>
      </w:r>
      <w:r w:rsidR="006C160E" w:rsidRPr="00F13D2D">
        <w:rPr>
          <w:rFonts w:eastAsia="Calibri"/>
          <w:lang w:val="fr-FR"/>
        </w:rPr>
        <w:t xml:space="preserve"> </w:t>
      </w:r>
      <w:r w:rsidR="00E819C1" w:rsidRPr="00F13D2D">
        <w:rPr>
          <w:rFonts w:eastAsia="Calibri"/>
          <w:lang w:val="fr-FR"/>
        </w:rPr>
        <w:t xml:space="preserve">l’offre éducative a été améliorée par la mise en place d’une </w:t>
      </w:r>
      <w:r w:rsidR="00E819C1" w:rsidRPr="00F13D2D">
        <w:rPr>
          <w:rFonts w:eastAsia="Calibri"/>
          <w:lang w:val="fr-FR"/>
        </w:rPr>
        <w:lastRenderedPageBreak/>
        <w:t>nouvelle organisation de l’offre scolaire (publique et privée), plus adaptée à la demande pour améliorer la rétention dans le fondamental et promouvoir l’équité au secondaire. La qualité de l’enseignement a été améliorée, ainsi que l</w:t>
      </w:r>
      <w:r w:rsidR="006C160E" w:rsidRPr="00F13D2D">
        <w:rPr>
          <w:rFonts w:eastAsia="Calibri"/>
          <w:lang w:val="fr-FR"/>
        </w:rPr>
        <w:t>’</w:t>
      </w:r>
      <w:r w:rsidR="00E819C1" w:rsidRPr="00F13D2D">
        <w:rPr>
          <w:rFonts w:eastAsia="Calibri"/>
          <w:lang w:val="fr-FR"/>
        </w:rPr>
        <w:t>efficacité interne et externe afin de fournir une main d’œuvre qualifiée pour améliorer la productivité du secteur</w:t>
      </w:r>
      <w:r w:rsidR="006C160E" w:rsidRPr="00F13D2D">
        <w:rPr>
          <w:rFonts w:eastAsia="Calibri"/>
          <w:lang w:val="fr-FR"/>
        </w:rPr>
        <w:t xml:space="preserve"> </w:t>
      </w:r>
      <w:r w:rsidR="00E819C1" w:rsidRPr="00F13D2D">
        <w:rPr>
          <w:rFonts w:eastAsia="Calibri"/>
          <w:lang w:val="fr-FR"/>
        </w:rPr>
        <w:t xml:space="preserve">éducatif. </w:t>
      </w:r>
    </w:p>
    <w:p w:rsidR="00E819C1" w:rsidRPr="00AA7A93" w:rsidRDefault="008A67C0" w:rsidP="00AA7A93">
      <w:pPr>
        <w:pStyle w:val="H1G"/>
      </w:pPr>
      <w:bookmarkStart w:id="273" w:name="_Toc453672968"/>
      <w:bookmarkStart w:id="274" w:name="_Toc454388811"/>
      <w:r w:rsidRPr="000E17DF">
        <w:tab/>
      </w:r>
      <w:r w:rsidR="00E819C1" w:rsidRPr="00E06F1B">
        <w:t>B</w:t>
      </w:r>
      <w:r w:rsidRPr="00AA7A93">
        <w:t>.</w:t>
      </w:r>
      <w:r w:rsidRPr="00AA7A93">
        <w:tab/>
      </w:r>
      <w:r w:rsidR="00E819C1" w:rsidRPr="00AA7A93">
        <w:t>Les buts de l’éducation (art.</w:t>
      </w:r>
      <w:r w:rsidR="00400D35">
        <w:t> </w:t>
      </w:r>
      <w:r w:rsidR="00E819C1" w:rsidRPr="00E06F1B">
        <w:t>29)</w:t>
      </w:r>
      <w:bookmarkEnd w:id="273"/>
      <w:bookmarkEnd w:id="274"/>
    </w:p>
    <w:p w:rsidR="00E819C1" w:rsidRPr="00F13D2D" w:rsidRDefault="0055270C" w:rsidP="0055270C">
      <w:pPr>
        <w:pStyle w:val="SingleTxtG"/>
        <w:rPr>
          <w:rFonts w:eastAsia="Calibri"/>
          <w:lang w:val="fr-FR"/>
        </w:rPr>
      </w:pPr>
      <w:r w:rsidRPr="00F13D2D">
        <w:rPr>
          <w:rFonts w:eastAsia="Calibri"/>
          <w:lang w:val="fr-FR"/>
        </w:rPr>
        <w:t>176.</w:t>
      </w:r>
      <w:r w:rsidRPr="00F13D2D">
        <w:rPr>
          <w:rFonts w:eastAsia="Calibri"/>
          <w:lang w:val="fr-FR"/>
        </w:rPr>
        <w:tab/>
      </w:r>
      <w:r w:rsidR="00E819C1" w:rsidRPr="00F13D2D">
        <w:rPr>
          <w:rFonts w:eastAsia="Calibri"/>
          <w:lang w:val="fr-FR"/>
        </w:rPr>
        <w:t>L’éducation est renforcée afin que les enfants bénéficient d’un système éducatif organisé qui intègre l’enseignement des droits de l’enfant.</w:t>
      </w:r>
    </w:p>
    <w:p w:rsidR="00E819C1" w:rsidRPr="00E06F1B" w:rsidRDefault="008A67C0" w:rsidP="00AA7A93">
      <w:pPr>
        <w:pStyle w:val="H23G"/>
      </w:pPr>
      <w:bookmarkStart w:id="275" w:name="_Toc453672969"/>
      <w:bookmarkStart w:id="276" w:name="_Toc454388812"/>
      <w:r w:rsidRPr="000E17DF">
        <w:tab/>
      </w:r>
      <w:r w:rsidR="00E819C1" w:rsidRPr="00F13D2D">
        <w:t>1</w:t>
      </w:r>
      <w:r w:rsidRPr="00F13D2D">
        <w:t>.</w:t>
      </w:r>
      <w:r w:rsidRPr="00F13D2D">
        <w:tab/>
      </w:r>
      <w:r w:rsidR="00E819C1" w:rsidRPr="00F13D2D">
        <w:t>Organisation du système éducatif</w:t>
      </w:r>
      <w:bookmarkEnd w:id="275"/>
      <w:bookmarkEnd w:id="276"/>
    </w:p>
    <w:p w:rsidR="00E819C1" w:rsidRPr="00F13D2D" w:rsidRDefault="0055270C" w:rsidP="0055270C">
      <w:pPr>
        <w:pStyle w:val="SingleTxtG"/>
        <w:rPr>
          <w:rFonts w:eastAsia="Calibri"/>
          <w:lang w:val="fr-FR"/>
        </w:rPr>
      </w:pPr>
      <w:r w:rsidRPr="00F13D2D">
        <w:rPr>
          <w:rFonts w:eastAsia="Calibri"/>
          <w:lang w:val="fr-FR"/>
        </w:rPr>
        <w:t>177.</w:t>
      </w:r>
      <w:r w:rsidRPr="00F13D2D">
        <w:rPr>
          <w:rFonts w:eastAsia="Calibri"/>
          <w:lang w:val="fr-FR"/>
        </w:rPr>
        <w:tab/>
      </w:r>
      <w:r w:rsidR="00E819C1" w:rsidRPr="00F13D2D">
        <w:rPr>
          <w:rFonts w:eastAsia="Calibri"/>
          <w:lang w:val="fr-FR"/>
        </w:rPr>
        <w:t>Le système éducatif est organisé en quatre grands niveaux</w:t>
      </w:r>
      <w:r w:rsidR="00FC0832">
        <w:rPr>
          <w:rFonts w:eastAsia="Calibri"/>
          <w:lang w:val="fr-FR"/>
        </w:rPr>
        <w:t> :</w:t>
      </w:r>
      <w:r w:rsidR="00064350">
        <w:rPr>
          <w:rFonts w:eastAsia="Calibri"/>
          <w:lang w:val="fr-FR"/>
        </w:rPr>
        <w:t xml:space="preserve"> </w:t>
      </w:r>
      <w:r w:rsidR="00E819C1" w:rsidRPr="00F13D2D">
        <w:rPr>
          <w:rFonts w:eastAsia="Calibri"/>
          <w:lang w:val="fr-FR"/>
        </w:rPr>
        <w:t>(i) l’enseignement fondamental. Cet ordre d’enseignement a</w:t>
      </w:r>
      <w:r w:rsidR="006C160E" w:rsidRPr="00F13D2D">
        <w:rPr>
          <w:rFonts w:eastAsia="Calibri"/>
          <w:lang w:val="fr-FR"/>
        </w:rPr>
        <w:t xml:space="preserve"> </w:t>
      </w:r>
      <w:r w:rsidR="00E819C1" w:rsidRPr="00F13D2D">
        <w:rPr>
          <w:rFonts w:eastAsia="Calibri"/>
          <w:lang w:val="fr-FR"/>
        </w:rPr>
        <w:t>pour finalité de dispenser dans les écoles primaires et pour une</w:t>
      </w:r>
      <w:r w:rsidR="006C160E" w:rsidRPr="00F13D2D">
        <w:rPr>
          <w:rFonts w:eastAsia="Calibri"/>
          <w:lang w:val="fr-FR"/>
        </w:rPr>
        <w:t xml:space="preserve"> </w:t>
      </w:r>
      <w:r w:rsidR="00E819C1" w:rsidRPr="00F13D2D">
        <w:rPr>
          <w:rFonts w:eastAsia="Calibri"/>
          <w:lang w:val="fr-FR"/>
        </w:rPr>
        <w:t>durée de six ans une éducation de base à tous les enfants âgés</w:t>
      </w:r>
      <w:r w:rsidR="006C160E" w:rsidRPr="00F13D2D">
        <w:rPr>
          <w:rFonts w:eastAsia="Calibri"/>
          <w:lang w:val="fr-FR"/>
        </w:rPr>
        <w:t xml:space="preserve"> </w:t>
      </w:r>
      <w:r w:rsidR="00E819C1" w:rsidRPr="00F13D2D">
        <w:rPr>
          <w:rFonts w:eastAsia="Calibri"/>
          <w:lang w:val="fr-FR"/>
        </w:rPr>
        <w:t xml:space="preserve">d’au moins six ans sanctionnée par le </w:t>
      </w:r>
      <w:proofErr w:type="spellStart"/>
      <w:r w:rsidR="00E819C1" w:rsidRPr="00F13D2D">
        <w:rPr>
          <w:rFonts w:eastAsia="Calibri"/>
          <w:lang w:val="fr-FR"/>
        </w:rPr>
        <w:t>certiﬁcat</w:t>
      </w:r>
      <w:proofErr w:type="spellEnd"/>
      <w:r w:rsidR="00E819C1" w:rsidRPr="00F13D2D">
        <w:rPr>
          <w:rFonts w:eastAsia="Calibri"/>
          <w:lang w:val="fr-FR"/>
        </w:rPr>
        <w:t xml:space="preserve"> d’études primaires</w:t>
      </w:r>
      <w:r w:rsidR="00FC0832">
        <w:rPr>
          <w:rFonts w:eastAsia="Calibri"/>
          <w:lang w:val="fr-FR"/>
        </w:rPr>
        <w:t> ;</w:t>
      </w:r>
      <w:r w:rsidR="00E819C1" w:rsidRPr="00F13D2D">
        <w:rPr>
          <w:rFonts w:eastAsia="Calibri"/>
          <w:lang w:val="fr-FR"/>
        </w:rPr>
        <w:t xml:space="preserve"> (ii) l’enseignement secondaire général</w:t>
      </w:r>
      <w:r w:rsidR="00FC0832">
        <w:rPr>
          <w:rFonts w:eastAsia="Calibri"/>
          <w:lang w:val="fr-FR"/>
        </w:rPr>
        <w:t> :</w:t>
      </w:r>
      <w:r w:rsidR="00E819C1" w:rsidRPr="00F13D2D">
        <w:rPr>
          <w:rFonts w:eastAsia="Calibri"/>
          <w:lang w:val="fr-FR"/>
        </w:rPr>
        <w:t xml:space="preserve"> ce niveau d’enseignement est organisé en deux cycles</w:t>
      </w:r>
      <w:r w:rsidR="00FC0832">
        <w:rPr>
          <w:rFonts w:eastAsia="Calibri"/>
          <w:lang w:val="fr-FR"/>
        </w:rPr>
        <w:t> :</w:t>
      </w:r>
      <w:r w:rsidR="00E819C1" w:rsidRPr="00F13D2D">
        <w:rPr>
          <w:rFonts w:eastAsia="Calibri"/>
          <w:lang w:val="fr-FR"/>
        </w:rPr>
        <w:t xml:space="preserve"> le premier a pour </w:t>
      </w:r>
      <w:proofErr w:type="spellStart"/>
      <w:r w:rsidR="00E819C1" w:rsidRPr="00F13D2D">
        <w:rPr>
          <w:rFonts w:eastAsia="Calibri"/>
          <w:lang w:val="fr-FR"/>
        </w:rPr>
        <w:t>ﬁnalité</w:t>
      </w:r>
      <w:proofErr w:type="spellEnd"/>
      <w:r w:rsidR="00E819C1" w:rsidRPr="00F13D2D">
        <w:rPr>
          <w:rFonts w:eastAsia="Calibri"/>
          <w:lang w:val="fr-FR"/>
        </w:rPr>
        <w:t xml:space="preserve"> de consolider l’éducation de base et de préparer, soit à la poursuite des études dans l’une des </w:t>
      </w:r>
      <w:proofErr w:type="spellStart"/>
      <w:r w:rsidR="00E819C1" w:rsidRPr="00F13D2D">
        <w:rPr>
          <w:rFonts w:eastAsia="Calibri"/>
          <w:lang w:val="fr-FR"/>
        </w:rPr>
        <w:t>ﬁlières</w:t>
      </w:r>
      <w:proofErr w:type="spellEnd"/>
      <w:r w:rsidR="00E819C1" w:rsidRPr="00F13D2D">
        <w:rPr>
          <w:rFonts w:eastAsia="Calibri"/>
          <w:lang w:val="fr-FR"/>
        </w:rPr>
        <w:t xml:space="preserve"> du second cycle de l’enseignement secondaire général</w:t>
      </w:r>
      <w:r w:rsidR="006C160E" w:rsidRPr="00F13D2D">
        <w:rPr>
          <w:rFonts w:eastAsia="Calibri"/>
          <w:lang w:val="fr-FR"/>
        </w:rPr>
        <w:t xml:space="preserve"> </w:t>
      </w:r>
      <w:r w:rsidR="00E819C1" w:rsidRPr="00F13D2D">
        <w:rPr>
          <w:rFonts w:eastAsia="Calibri"/>
          <w:lang w:val="fr-FR"/>
        </w:rPr>
        <w:t xml:space="preserve">ou technique, soit à l’insertion dans la vie </w:t>
      </w:r>
      <w:proofErr w:type="spellStart"/>
      <w:r w:rsidR="00E819C1" w:rsidRPr="00F13D2D">
        <w:rPr>
          <w:rFonts w:eastAsia="Calibri"/>
          <w:lang w:val="fr-FR"/>
        </w:rPr>
        <w:t>socioéconomique</w:t>
      </w:r>
      <w:proofErr w:type="spellEnd"/>
      <w:r w:rsidR="00E819C1" w:rsidRPr="00F13D2D">
        <w:rPr>
          <w:rFonts w:eastAsia="Calibri"/>
          <w:lang w:val="fr-FR"/>
        </w:rPr>
        <w:t>. Il accueille dans les collèges d’enseignement général les élèves de 6ème</w:t>
      </w:r>
      <w:r w:rsidR="006C160E" w:rsidRPr="00F13D2D">
        <w:rPr>
          <w:rFonts w:eastAsia="Calibri"/>
          <w:lang w:val="fr-FR"/>
        </w:rPr>
        <w:t xml:space="preserve"> </w:t>
      </w:r>
      <w:r w:rsidR="00E819C1" w:rsidRPr="00F13D2D">
        <w:rPr>
          <w:rFonts w:eastAsia="Calibri"/>
          <w:lang w:val="fr-FR"/>
        </w:rPr>
        <w:t>année de l’Enseignement Fondamental admis, à l’issue d’un concours</w:t>
      </w:r>
      <w:r w:rsidR="00FC0832">
        <w:rPr>
          <w:rFonts w:eastAsia="Calibri"/>
          <w:lang w:val="fr-FR"/>
        </w:rPr>
        <w:t> ;</w:t>
      </w:r>
      <w:r w:rsidR="00E819C1" w:rsidRPr="00F13D2D">
        <w:rPr>
          <w:rFonts w:eastAsia="Calibri"/>
          <w:lang w:val="fr-FR"/>
        </w:rPr>
        <w:t xml:space="preserve"> il est sanctionné par le brevet d’études du premier cycle.</w:t>
      </w:r>
      <w:r w:rsidR="006C160E" w:rsidRPr="00F13D2D">
        <w:rPr>
          <w:rFonts w:eastAsia="Calibri"/>
          <w:lang w:val="fr-FR"/>
        </w:rPr>
        <w:t xml:space="preserve"> </w:t>
      </w:r>
      <w:r w:rsidR="00E819C1" w:rsidRPr="00F13D2D">
        <w:rPr>
          <w:rFonts w:eastAsia="Calibri"/>
          <w:lang w:val="fr-FR"/>
        </w:rPr>
        <w:t xml:space="preserve">Le second cycle a pour </w:t>
      </w:r>
      <w:proofErr w:type="spellStart"/>
      <w:r w:rsidR="00E819C1" w:rsidRPr="00F13D2D">
        <w:rPr>
          <w:rFonts w:eastAsia="Calibri"/>
          <w:lang w:val="fr-FR"/>
        </w:rPr>
        <w:t>ﬁnalité</w:t>
      </w:r>
      <w:proofErr w:type="spellEnd"/>
      <w:r w:rsidR="00E819C1" w:rsidRPr="00F13D2D">
        <w:rPr>
          <w:rFonts w:eastAsia="Calibri"/>
          <w:lang w:val="fr-FR"/>
        </w:rPr>
        <w:t xml:space="preserve"> de préparer à l’enseignement supérieur. Il accueille dans les lycées d’enseignement général sur orientation, les élèves ayant achevé avec succès leurs études de premier cycle. Il</w:t>
      </w:r>
      <w:r w:rsidR="00F34E43">
        <w:rPr>
          <w:rFonts w:eastAsia="Calibri"/>
          <w:lang w:val="fr-FR"/>
        </w:rPr>
        <w:t> </w:t>
      </w:r>
      <w:r w:rsidR="00E819C1" w:rsidRPr="00F13D2D">
        <w:rPr>
          <w:rFonts w:eastAsia="Calibri"/>
          <w:lang w:val="fr-FR"/>
        </w:rPr>
        <w:t>est sanctionné par le baccalauréat</w:t>
      </w:r>
      <w:r w:rsidR="00FC0832">
        <w:rPr>
          <w:rFonts w:eastAsia="Calibri"/>
          <w:lang w:val="fr-FR"/>
        </w:rPr>
        <w:t> ;</w:t>
      </w:r>
      <w:r w:rsidR="00E819C1" w:rsidRPr="00F13D2D">
        <w:rPr>
          <w:rFonts w:eastAsia="Calibri"/>
          <w:lang w:val="fr-FR"/>
        </w:rPr>
        <w:t xml:space="preserve"> (iii) la formation technique et professionnelle (FTP)</w:t>
      </w:r>
      <w:r w:rsidR="00FC0832">
        <w:rPr>
          <w:rFonts w:eastAsia="Calibri"/>
          <w:lang w:val="fr-FR"/>
        </w:rPr>
        <w:t> :</w:t>
      </w:r>
      <w:r w:rsidR="00E819C1" w:rsidRPr="00F13D2D">
        <w:rPr>
          <w:rFonts w:eastAsia="Calibri"/>
          <w:lang w:val="fr-FR"/>
        </w:rPr>
        <w:t xml:space="preserve"> cet ordre d’enseignement prépare à l’emploi ou à la poursuite d’études supérieures techniques ou professionnelles. Il comprend</w:t>
      </w:r>
      <w:r w:rsidR="00FC0832">
        <w:rPr>
          <w:rFonts w:eastAsia="Calibri"/>
          <w:lang w:val="fr-FR"/>
        </w:rPr>
        <w:t> :</w:t>
      </w:r>
      <w:r w:rsidR="00E819C1" w:rsidRPr="00F13D2D">
        <w:rPr>
          <w:rFonts w:eastAsia="Calibri"/>
          <w:lang w:val="fr-FR"/>
        </w:rPr>
        <w:t xml:space="preserve"> l’enseignement technique et professionnel, qui recrute sur concours les élèves sortant des premier et second cycles de l’Enseignement Secondaire Général</w:t>
      </w:r>
      <w:r w:rsidR="006C160E" w:rsidRPr="00F13D2D">
        <w:rPr>
          <w:rFonts w:eastAsia="Calibri"/>
          <w:lang w:val="fr-FR"/>
        </w:rPr>
        <w:t xml:space="preserve"> </w:t>
      </w:r>
      <w:r w:rsidR="00E819C1" w:rsidRPr="00F13D2D">
        <w:rPr>
          <w:rFonts w:eastAsia="Calibri"/>
          <w:lang w:val="fr-FR"/>
        </w:rPr>
        <w:t>ou de l’enseignement technique dans des cursus de deux ou trois ans sanctionnés par le brevet d’études professionnelles (BEP), le brevet de technicien (BT), le baccalauréat technique (</w:t>
      </w:r>
      <w:proofErr w:type="spellStart"/>
      <w:r w:rsidR="00E819C1" w:rsidRPr="00F13D2D">
        <w:rPr>
          <w:rFonts w:eastAsia="Calibri"/>
          <w:lang w:val="fr-FR"/>
        </w:rPr>
        <w:t>Bac.T</w:t>
      </w:r>
      <w:proofErr w:type="spellEnd"/>
      <w:r w:rsidR="00E819C1" w:rsidRPr="00F13D2D">
        <w:rPr>
          <w:rFonts w:eastAsia="Calibri"/>
          <w:lang w:val="fr-FR"/>
        </w:rPr>
        <w:t>) et le brevet de technicien supérieur (BTS)</w:t>
      </w:r>
      <w:r w:rsidR="00FC0832">
        <w:rPr>
          <w:rFonts w:eastAsia="Calibri"/>
          <w:lang w:val="fr-FR"/>
        </w:rPr>
        <w:t> ;</w:t>
      </w:r>
      <w:r w:rsidR="00E819C1" w:rsidRPr="00F13D2D">
        <w:rPr>
          <w:rFonts w:eastAsia="Calibri"/>
          <w:lang w:val="fr-FR"/>
        </w:rPr>
        <w:t xml:space="preserve"> deux ans après le bac ou le BT. La réforme prévoit que les élèves sortants de l’EF sans avoir pu accéder aux CEG seront pour la plupart admis dans des centres régionaux de formation professionnelle</w:t>
      </w:r>
      <w:r w:rsidR="00FC0832">
        <w:rPr>
          <w:rFonts w:eastAsia="Calibri"/>
          <w:lang w:val="fr-FR"/>
        </w:rPr>
        <w:t> ;</w:t>
      </w:r>
      <w:r w:rsidR="00064350">
        <w:rPr>
          <w:rFonts w:eastAsia="Calibri"/>
          <w:lang w:val="fr-FR"/>
        </w:rPr>
        <w:t xml:space="preserve"> </w:t>
      </w:r>
      <w:r w:rsidR="00E819C1" w:rsidRPr="00F13D2D">
        <w:rPr>
          <w:rFonts w:eastAsia="Calibri"/>
          <w:lang w:val="fr-FR"/>
        </w:rPr>
        <w:t xml:space="preserve">(iv) la formation professionnelle recrute les adultes de tout âge, pour les préparer à une </w:t>
      </w:r>
      <w:proofErr w:type="spellStart"/>
      <w:r w:rsidR="00E819C1" w:rsidRPr="00F13D2D">
        <w:rPr>
          <w:rFonts w:eastAsia="Calibri"/>
          <w:lang w:val="fr-FR"/>
        </w:rPr>
        <w:t>qualiﬁcation</w:t>
      </w:r>
      <w:proofErr w:type="spellEnd"/>
      <w:r w:rsidR="00E819C1" w:rsidRPr="00F13D2D">
        <w:rPr>
          <w:rFonts w:eastAsia="Calibri"/>
          <w:lang w:val="fr-FR"/>
        </w:rPr>
        <w:t xml:space="preserve"> dans le cadre d’une formation initiale ou continue leur permettant d’accéder à un premier emploi, à s’y maintenir ou, le cas échéant, à se reconvertir</w:t>
      </w:r>
      <w:r w:rsidR="00FC0832">
        <w:rPr>
          <w:rFonts w:eastAsia="Calibri"/>
          <w:lang w:val="fr-FR"/>
        </w:rPr>
        <w:t> ;</w:t>
      </w:r>
      <w:r w:rsidR="00E819C1" w:rsidRPr="00F13D2D">
        <w:rPr>
          <w:rFonts w:eastAsia="Calibri"/>
          <w:lang w:val="fr-FR"/>
        </w:rPr>
        <w:t xml:space="preserve"> (v) l’enseignement supérieur (</w:t>
      </w:r>
      <w:proofErr w:type="spellStart"/>
      <w:r w:rsidR="00E819C1" w:rsidRPr="00F13D2D">
        <w:rPr>
          <w:rFonts w:eastAsia="Calibri"/>
          <w:lang w:val="fr-FR"/>
        </w:rPr>
        <w:t>E.Sup</w:t>
      </w:r>
      <w:proofErr w:type="spellEnd"/>
      <w:r w:rsidR="00E819C1" w:rsidRPr="00F13D2D">
        <w:rPr>
          <w:rFonts w:eastAsia="Calibri"/>
          <w:lang w:val="fr-FR"/>
        </w:rPr>
        <w:t>.)</w:t>
      </w:r>
      <w:r w:rsidR="00FC0832">
        <w:rPr>
          <w:rFonts w:eastAsia="Calibri"/>
          <w:lang w:val="fr-FR"/>
        </w:rPr>
        <w:t> :</w:t>
      </w:r>
      <w:r w:rsidR="00E819C1" w:rsidRPr="00F13D2D">
        <w:rPr>
          <w:rFonts w:eastAsia="Calibri"/>
          <w:lang w:val="fr-FR"/>
        </w:rPr>
        <w:t xml:space="preserve"> ce niveau d’enseignement a pour vocation de préparer à la vie active. Il accueille dans les facultés, les écoles et les instituts supérieurs, les élèves titulaires du baccalauréat pour les préparer aux différents diplômes nationaux d’enseignement supérieur avec des cursus de deux ou quatre ans</w:t>
      </w:r>
      <w:r w:rsidR="009105C3">
        <w:rPr>
          <w:rFonts w:eastAsia="Calibri"/>
          <w:lang w:val="fr-FR"/>
        </w:rPr>
        <w:t> ;</w:t>
      </w:r>
      <w:r w:rsidR="00E819C1" w:rsidRPr="00F13D2D">
        <w:rPr>
          <w:rFonts w:eastAsia="Calibri"/>
          <w:lang w:val="fr-FR"/>
        </w:rPr>
        <w:t xml:space="preserve"> (vii)</w:t>
      </w:r>
      <w:r w:rsidR="009105C3">
        <w:rPr>
          <w:rFonts w:eastAsia="Calibri"/>
          <w:lang w:val="fr-FR"/>
        </w:rPr>
        <w:t> </w:t>
      </w:r>
      <w:r w:rsidR="00E819C1" w:rsidRPr="00F13D2D">
        <w:rPr>
          <w:rFonts w:eastAsia="Calibri"/>
          <w:lang w:val="fr-FR"/>
        </w:rPr>
        <w:t xml:space="preserve">l’enseignement originel délivré par des écoles traditionnelles connues sous le nom de </w:t>
      </w:r>
      <w:proofErr w:type="spellStart"/>
      <w:r w:rsidR="00E819C1" w:rsidRPr="00F13D2D">
        <w:rPr>
          <w:rFonts w:eastAsia="Calibri"/>
          <w:lang w:val="fr-FR"/>
        </w:rPr>
        <w:t>mahdra</w:t>
      </w:r>
      <w:proofErr w:type="spellEnd"/>
      <w:r w:rsidR="00E819C1" w:rsidRPr="00F13D2D">
        <w:rPr>
          <w:rFonts w:eastAsia="Calibri"/>
          <w:lang w:val="fr-FR"/>
        </w:rPr>
        <w:t>. Elles dispensent un enseignement essentiellement basé sur le Coran et le Hadith ainsi que la littérature et les sciences de la langue arabe. Ce type d’écoles et d’enseignement</w:t>
      </w:r>
      <w:r w:rsidR="006C160E" w:rsidRPr="00F13D2D">
        <w:rPr>
          <w:rFonts w:eastAsia="Calibri"/>
          <w:lang w:val="fr-FR"/>
        </w:rPr>
        <w:t xml:space="preserve"> </w:t>
      </w:r>
      <w:r w:rsidR="00E819C1" w:rsidRPr="00F13D2D">
        <w:rPr>
          <w:rFonts w:eastAsia="Calibri"/>
          <w:lang w:val="fr-FR"/>
        </w:rPr>
        <w:t>est répandu dans le pays</w:t>
      </w:r>
      <w:r w:rsidR="00FC0832">
        <w:rPr>
          <w:rFonts w:eastAsia="Calibri"/>
          <w:lang w:val="fr-FR"/>
        </w:rPr>
        <w:t> ;</w:t>
      </w:r>
      <w:r w:rsidR="00E819C1" w:rsidRPr="00F13D2D">
        <w:rPr>
          <w:rFonts w:eastAsia="Calibri"/>
          <w:lang w:val="fr-FR"/>
        </w:rPr>
        <w:t xml:space="preserve"> très prisé par une grande partie de la population, il contribue</w:t>
      </w:r>
      <w:r w:rsidR="006C160E" w:rsidRPr="00F13D2D">
        <w:rPr>
          <w:rFonts w:eastAsia="Calibri"/>
          <w:lang w:val="fr-FR"/>
        </w:rPr>
        <w:t xml:space="preserve"> </w:t>
      </w:r>
      <w:r w:rsidR="00E819C1" w:rsidRPr="00F13D2D">
        <w:rPr>
          <w:rFonts w:eastAsia="Calibri"/>
          <w:lang w:val="fr-FR"/>
        </w:rPr>
        <w:t>à la propagation du savoir.</w:t>
      </w:r>
    </w:p>
    <w:p w:rsidR="00E819C1" w:rsidRPr="00E06F1B" w:rsidRDefault="008A67C0" w:rsidP="00AA7A93">
      <w:pPr>
        <w:pStyle w:val="H23G"/>
      </w:pPr>
      <w:bookmarkStart w:id="277" w:name="_Toc453672970"/>
      <w:bookmarkStart w:id="278" w:name="_Toc454388813"/>
      <w:r w:rsidRPr="000E17DF">
        <w:tab/>
      </w:r>
      <w:r w:rsidR="00E819C1" w:rsidRPr="00F13D2D">
        <w:t>2</w:t>
      </w:r>
      <w:r w:rsidRPr="00F13D2D">
        <w:t>.</w:t>
      </w:r>
      <w:r w:rsidRPr="00F13D2D">
        <w:tab/>
      </w:r>
      <w:r w:rsidR="00E819C1" w:rsidRPr="00F13D2D">
        <w:t>Enseignement des droits de l’enfant</w:t>
      </w:r>
      <w:bookmarkEnd w:id="277"/>
      <w:bookmarkEnd w:id="278"/>
      <w:r w:rsidR="006C160E" w:rsidRPr="00F13D2D">
        <w:t xml:space="preserve"> </w:t>
      </w:r>
    </w:p>
    <w:p w:rsidR="00E819C1" w:rsidRPr="00F13D2D" w:rsidRDefault="0055270C" w:rsidP="0055270C">
      <w:pPr>
        <w:pStyle w:val="SingleTxtG"/>
        <w:rPr>
          <w:rFonts w:eastAsia="Calibri"/>
          <w:lang w:val="fr-FR"/>
        </w:rPr>
      </w:pPr>
      <w:r w:rsidRPr="00F13D2D">
        <w:rPr>
          <w:rFonts w:eastAsia="Calibri"/>
          <w:lang w:val="fr-FR"/>
        </w:rPr>
        <w:t>178.</w:t>
      </w:r>
      <w:r w:rsidRPr="00F13D2D">
        <w:rPr>
          <w:rFonts w:eastAsia="Calibri"/>
          <w:lang w:val="fr-FR"/>
        </w:rPr>
        <w:tab/>
      </w:r>
      <w:r w:rsidR="00E819C1" w:rsidRPr="00F13D2D">
        <w:rPr>
          <w:rFonts w:eastAsia="Calibri"/>
          <w:lang w:val="fr-FR"/>
        </w:rPr>
        <w:t>En application de ses engagements internationaux, la Mauritanie a intégré dans sa législation le caractère obligatoire de la scolarisation. L’adoption de la loi</w:t>
      </w:r>
      <w:r w:rsidR="006C160E" w:rsidRPr="00F13D2D">
        <w:rPr>
          <w:rFonts w:eastAsia="Calibri"/>
          <w:lang w:val="fr-FR"/>
        </w:rPr>
        <w:t xml:space="preserve"> </w:t>
      </w:r>
      <w:r w:rsidR="00E819C1" w:rsidRPr="00F13D2D">
        <w:rPr>
          <w:rFonts w:eastAsia="Calibri"/>
          <w:lang w:val="fr-FR"/>
        </w:rPr>
        <w:t>rendant obligatoire l’enseignement pour tous les enfants de 6 à 14 ans est doublée de sanctions pénales pour les parents qui y contreviennent. Cette disposition législative témoigne de la volonté du Gouvernement de protéger les droits de l’enfant et de promouvoir son accès à l’éducation.</w:t>
      </w:r>
      <w:r w:rsidR="006C160E" w:rsidRPr="00F13D2D">
        <w:rPr>
          <w:rFonts w:eastAsia="Calibri"/>
          <w:lang w:val="fr-FR"/>
        </w:rPr>
        <w:t xml:space="preserve"> </w:t>
      </w:r>
    </w:p>
    <w:p w:rsidR="00E819C1" w:rsidRPr="00F13D2D" w:rsidRDefault="0055270C" w:rsidP="0055270C">
      <w:pPr>
        <w:pStyle w:val="SingleTxtG"/>
        <w:rPr>
          <w:rFonts w:eastAsia="Calibri"/>
          <w:lang w:val="fr-FR"/>
        </w:rPr>
      </w:pPr>
      <w:r w:rsidRPr="00F13D2D">
        <w:rPr>
          <w:rFonts w:eastAsia="Calibri"/>
          <w:lang w:val="fr-FR"/>
        </w:rPr>
        <w:t>179.</w:t>
      </w:r>
      <w:r w:rsidRPr="00F13D2D">
        <w:rPr>
          <w:rFonts w:eastAsia="Calibri"/>
          <w:lang w:val="fr-FR"/>
        </w:rPr>
        <w:tab/>
      </w:r>
      <w:r w:rsidR="00E819C1" w:rsidRPr="00F13D2D">
        <w:rPr>
          <w:rFonts w:eastAsia="Calibri"/>
          <w:lang w:val="fr-FR"/>
        </w:rPr>
        <w:t>Des modules d’enseignement</w:t>
      </w:r>
      <w:r w:rsidR="006C160E" w:rsidRPr="00F13D2D">
        <w:rPr>
          <w:rFonts w:eastAsia="Calibri"/>
          <w:lang w:val="fr-FR"/>
        </w:rPr>
        <w:t xml:space="preserve"> </w:t>
      </w:r>
      <w:r w:rsidR="00E819C1" w:rsidRPr="00F13D2D">
        <w:rPr>
          <w:rFonts w:eastAsia="Calibri"/>
          <w:lang w:val="fr-FR"/>
        </w:rPr>
        <w:t>des droits de l’enfant sont dispensés dans les écoles de magistrature et de police ainsi que dans les nouveaux programmes</w:t>
      </w:r>
      <w:r w:rsidR="006C160E" w:rsidRPr="00F13D2D">
        <w:rPr>
          <w:rFonts w:eastAsia="Calibri"/>
          <w:lang w:val="fr-FR"/>
        </w:rPr>
        <w:t xml:space="preserve"> </w:t>
      </w:r>
      <w:r w:rsidR="00E819C1" w:rsidRPr="00F13D2D">
        <w:rPr>
          <w:rFonts w:eastAsia="Calibri"/>
          <w:lang w:val="fr-FR"/>
        </w:rPr>
        <w:t>du système</w:t>
      </w:r>
      <w:r w:rsidR="006C160E" w:rsidRPr="00F13D2D">
        <w:rPr>
          <w:rFonts w:eastAsia="Calibri"/>
          <w:lang w:val="fr-FR"/>
        </w:rPr>
        <w:t xml:space="preserve"> </w:t>
      </w:r>
      <w:r w:rsidR="00E819C1" w:rsidRPr="00F13D2D">
        <w:rPr>
          <w:rFonts w:eastAsia="Calibri"/>
          <w:lang w:val="fr-FR"/>
        </w:rPr>
        <w:t>de licence, master et doctorat (LMD) des universités publiques et privées.</w:t>
      </w:r>
    </w:p>
    <w:p w:rsidR="00E819C1" w:rsidRPr="00F13D2D" w:rsidRDefault="0055270C" w:rsidP="0055270C">
      <w:pPr>
        <w:pStyle w:val="SingleTxtG"/>
        <w:rPr>
          <w:rFonts w:eastAsia="Calibri"/>
          <w:lang w:val="fr-FR"/>
        </w:rPr>
      </w:pPr>
      <w:r w:rsidRPr="00F13D2D">
        <w:rPr>
          <w:rFonts w:eastAsia="Calibri"/>
          <w:lang w:val="fr-FR"/>
        </w:rPr>
        <w:lastRenderedPageBreak/>
        <w:t>180.</w:t>
      </w:r>
      <w:r w:rsidRPr="00F13D2D">
        <w:rPr>
          <w:rFonts w:eastAsia="Calibri"/>
          <w:lang w:val="fr-FR"/>
        </w:rPr>
        <w:tab/>
      </w:r>
      <w:r w:rsidR="00E819C1" w:rsidRPr="00F13D2D">
        <w:rPr>
          <w:rFonts w:eastAsia="Calibri"/>
          <w:lang w:val="fr-FR"/>
        </w:rPr>
        <w:t>Dans le fondamental et le secondaire les programmes d’instruction civique et religieuse contiennent des chapitres destinés à (i) éduquer les élèves aux valeurs de citoyenneté, (ii) et à connaître leurs droits et obligations conformément à la CDE et à la législation nationale.</w:t>
      </w:r>
    </w:p>
    <w:p w:rsidR="00E819C1" w:rsidRPr="00AA7A93" w:rsidRDefault="008A67C0" w:rsidP="00AA7A93">
      <w:pPr>
        <w:pStyle w:val="H1G"/>
      </w:pPr>
      <w:bookmarkStart w:id="279" w:name="_Toc453672971"/>
      <w:bookmarkStart w:id="280" w:name="_Toc454388814"/>
      <w:r w:rsidRPr="000E17DF">
        <w:tab/>
      </w:r>
      <w:r w:rsidR="00E819C1" w:rsidRPr="00E06F1B">
        <w:t>C</w:t>
      </w:r>
      <w:r w:rsidRPr="00AA7A93">
        <w:t>.</w:t>
      </w:r>
      <w:r w:rsidRPr="00AA7A93">
        <w:tab/>
      </w:r>
      <w:r w:rsidR="00E819C1" w:rsidRPr="00AA7A93">
        <w:t>Le repos, les loisirs, le jeu et les activités culturelles et artistiques (art. 31)</w:t>
      </w:r>
      <w:bookmarkEnd w:id="279"/>
      <w:bookmarkEnd w:id="280"/>
    </w:p>
    <w:p w:rsidR="00E819C1" w:rsidRPr="00F13D2D" w:rsidRDefault="0055270C" w:rsidP="0055270C">
      <w:pPr>
        <w:pStyle w:val="SingleTxtG"/>
        <w:rPr>
          <w:rFonts w:eastAsia="Calibri"/>
          <w:lang w:val="fr-FR"/>
        </w:rPr>
      </w:pPr>
      <w:r w:rsidRPr="00F13D2D">
        <w:rPr>
          <w:rFonts w:eastAsia="Calibri"/>
          <w:lang w:val="fr-FR"/>
        </w:rPr>
        <w:t>181.</w:t>
      </w:r>
      <w:r w:rsidRPr="00F13D2D">
        <w:rPr>
          <w:rFonts w:eastAsia="Calibri"/>
          <w:lang w:val="fr-FR"/>
        </w:rPr>
        <w:tab/>
      </w:r>
      <w:r w:rsidR="00E819C1" w:rsidRPr="00F13D2D">
        <w:rPr>
          <w:rFonts w:eastAsia="Calibri"/>
          <w:lang w:val="fr-FR"/>
        </w:rPr>
        <w:t>Dans les domaines de la culture, de la jeunesse et des sports, le Gouvernement s’est fixé des objectifs qui contribuent à la promotion des jeunes. C’est</w:t>
      </w:r>
      <w:r w:rsidR="006C160E" w:rsidRPr="00F13D2D">
        <w:rPr>
          <w:rFonts w:eastAsia="Calibri"/>
          <w:lang w:val="fr-FR"/>
        </w:rPr>
        <w:t xml:space="preserve"> </w:t>
      </w:r>
      <w:r w:rsidR="00E819C1" w:rsidRPr="00F13D2D">
        <w:rPr>
          <w:rFonts w:eastAsia="Calibri"/>
          <w:lang w:val="fr-FR"/>
        </w:rPr>
        <w:t>ainsi que les plans d’action des Ministères de la Culture, de la</w:t>
      </w:r>
      <w:r w:rsidR="006C160E" w:rsidRPr="00F13D2D">
        <w:rPr>
          <w:rFonts w:eastAsia="Calibri"/>
          <w:lang w:val="fr-FR"/>
        </w:rPr>
        <w:t xml:space="preserve"> </w:t>
      </w:r>
      <w:r w:rsidR="00E819C1" w:rsidRPr="00F13D2D">
        <w:rPr>
          <w:rFonts w:eastAsia="Calibri"/>
          <w:lang w:val="fr-FR"/>
        </w:rPr>
        <w:t>Jeunesse</w:t>
      </w:r>
      <w:r w:rsidR="006C160E" w:rsidRPr="00F13D2D">
        <w:rPr>
          <w:rFonts w:eastAsia="Calibri"/>
          <w:lang w:val="fr-FR"/>
        </w:rPr>
        <w:t xml:space="preserve"> </w:t>
      </w:r>
      <w:r w:rsidR="00E819C1" w:rsidRPr="00F13D2D">
        <w:rPr>
          <w:rFonts w:eastAsia="Calibri"/>
          <w:lang w:val="fr-FR"/>
        </w:rPr>
        <w:t>et des Sports visent les objectifs prioritaires suivants</w:t>
      </w:r>
      <w:r w:rsidR="00F34E43">
        <w:rPr>
          <w:rFonts w:eastAsia="Calibri"/>
          <w:lang w:val="fr-FR"/>
        </w:rPr>
        <w:t> </w:t>
      </w:r>
      <w:r w:rsidR="00FC0832">
        <w:rPr>
          <w:rFonts w:eastAsia="Calibri"/>
          <w:lang w:val="fr-FR"/>
        </w:rPr>
        <w:t>:</w:t>
      </w:r>
      <w:r w:rsidR="00E819C1" w:rsidRPr="00F13D2D">
        <w:rPr>
          <w:rFonts w:eastAsia="Calibri"/>
          <w:lang w:val="fr-FR"/>
        </w:rPr>
        <w:t xml:space="preserve"> (i) développer le patrimoine culturel national</w:t>
      </w:r>
      <w:r w:rsidR="00FC0832">
        <w:rPr>
          <w:rFonts w:eastAsia="Calibri"/>
          <w:lang w:val="fr-FR"/>
        </w:rPr>
        <w:t> ;</w:t>
      </w:r>
      <w:r w:rsidR="00E819C1" w:rsidRPr="00F13D2D">
        <w:rPr>
          <w:rFonts w:eastAsia="Calibri"/>
          <w:lang w:val="fr-FR"/>
        </w:rPr>
        <w:t xml:space="preserve"> ( ii) promouvoir une culture ancrée dans les valeurs de la société</w:t>
      </w:r>
      <w:r w:rsidR="00FC0832">
        <w:rPr>
          <w:rFonts w:eastAsia="Calibri"/>
          <w:lang w:val="fr-FR"/>
        </w:rPr>
        <w:t> ;</w:t>
      </w:r>
      <w:r w:rsidR="00E819C1" w:rsidRPr="00F13D2D">
        <w:rPr>
          <w:rFonts w:eastAsia="Calibri"/>
          <w:lang w:val="fr-FR"/>
        </w:rPr>
        <w:t xml:space="preserve"> ( iii) faire de la culture un facteur de développement économique et social</w:t>
      </w:r>
      <w:r w:rsidR="00FC0832">
        <w:rPr>
          <w:rFonts w:eastAsia="Calibri"/>
          <w:lang w:val="fr-FR"/>
        </w:rPr>
        <w:t> ;</w:t>
      </w:r>
      <w:r w:rsidR="00E819C1" w:rsidRPr="00F13D2D">
        <w:rPr>
          <w:rFonts w:eastAsia="Calibri"/>
          <w:lang w:val="fr-FR"/>
        </w:rPr>
        <w:t xml:space="preserve"> ( iv) promouvoir l’ancrage de la démocratie et des valeurs citoyennes</w:t>
      </w:r>
      <w:r w:rsidR="00FC0832">
        <w:rPr>
          <w:rFonts w:eastAsia="Calibri"/>
          <w:lang w:val="fr-FR"/>
        </w:rPr>
        <w:t> ;</w:t>
      </w:r>
      <w:r w:rsidR="00E819C1" w:rsidRPr="00F13D2D">
        <w:rPr>
          <w:rFonts w:eastAsia="Calibri"/>
          <w:lang w:val="fr-FR"/>
        </w:rPr>
        <w:t xml:space="preserve"> (v) protéger les jeunes contre les fléaux qui les menacent tels que les drogues, les IST, le VIH/</w:t>
      </w:r>
      <w:r w:rsidR="009105C3" w:rsidRPr="00F13D2D">
        <w:rPr>
          <w:rFonts w:eastAsia="Calibri"/>
          <w:lang w:val="fr-FR"/>
        </w:rPr>
        <w:t xml:space="preserve">sida </w:t>
      </w:r>
      <w:r w:rsidR="00E819C1" w:rsidRPr="00F13D2D">
        <w:rPr>
          <w:rFonts w:eastAsia="Calibri"/>
          <w:lang w:val="fr-FR"/>
        </w:rPr>
        <w:t>et l’immigration clandestine</w:t>
      </w:r>
      <w:r w:rsidR="009105C3">
        <w:rPr>
          <w:rFonts w:eastAsia="Calibri"/>
          <w:lang w:val="fr-FR"/>
        </w:rPr>
        <w:t> ;</w:t>
      </w:r>
      <w:r w:rsidR="00E819C1" w:rsidRPr="00F13D2D">
        <w:rPr>
          <w:rFonts w:eastAsia="Calibri"/>
          <w:lang w:val="fr-FR"/>
        </w:rPr>
        <w:t xml:space="preserve"> et (iv) mettre en œuvre une politique de mobilisation et d’encadrement des jeunes à travers des activités socio- éducatives et sportives.</w:t>
      </w:r>
    </w:p>
    <w:p w:rsidR="00E819C1" w:rsidRPr="00F13D2D" w:rsidRDefault="0055270C" w:rsidP="0055270C">
      <w:pPr>
        <w:pStyle w:val="SingleTxtG"/>
        <w:rPr>
          <w:rFonts w:eastAsia="Calibri"/>
          <w:lang w:val="fr-FR"/>
        </w:rPr>
      </w:pPr>
      <w:r w:rsidRPr="00F13D2D">
        <w:rPr>
          <w:rFonts w:eastAsia="Calibri"/>
          <w:lang w:val="fr-FR"/>
        </w:rPr>
        <w:t>182.</w:t>
      </w:r>
      <w:r w:rsidRPr="00F13D2D">
        <w:rPr>
          <w:rFonts w:eastAsia="Calibri"/>
          <w:lang w:val="fr-FR"/>
        </w:rPr>
        <w:tab/>
      </w:r>
      <w:r w:rsidR="00E819C1" w:rsidRPr="00F13D2D">
        <w:rPr>
          <w:rFonts w:eastAsia="Calibri"/>
          <w:lang w:val="fr-FR"/>
        </w:rPr>
        <w:t>Dans le domaine de la culture, les actions réalisées ont porté sur</w:t>
      </w:r>
      <w:r w:rsidR="00FC0832">
        <w:rPr>
          <w:rFonts w:eastAsia="Calibri"/>
          <w:lang w:val="fr-FR"/>
        </w:rPr>
        <w:t> :</w:t>
      </w:r>
      <w:r w:rsidR="00E819C1" w:rsidRPr="00F13D2D">
        <w:rPr>
          <w:rFonts w:eastAsia="Calibri"/>
          <w:lang w:val="fr-FR"/>
        </w:rPr>
        <w:t xml:space="preserve"> (i) la création d’un fonds de réhabilitation urbaine et immobilière des villes anciennes, classées patrimoine mondial de l’humanité</w:t>
      </w:r>
      <w:r w:rsidR="00FC0832">
        <w:rPr>
          <w:rFonts w:eastAsia="Calibri"/>
          <w:lang w:val="fr-FR"/>
        </w:rPr>
        <w:t> ;</w:t>
      </w:r>
      <w:r w:rsidR="00E819C1" w:rsidRPr="00F13D2D">
        <w:rPr>
          <w:rFonts w:eastAsia="Calibri"/>
          <w:lang w:val="fr-FR"/>
        </w:rPr>
        <w:t xml:space="preserve"> (ii) l’organisation de semaines culturelles régionales et départementales et du festival des villes anciennes</w:t>
      </w:r>
      <w:r w:rsidR="00FC0832">
        <w:rPr>
          <w:rFonts w:eastAsia="Calibri"/>
          <w:lang w:val="fr-FR"/>
        </w:rPr>
        <w:t> ;</w:t>
      </w:r>
      <w:r w:rsidR="00E819C1" w:rsidRPr="00F13D2D">
        <w:rPr>
          <w:rFonts w:eastAsia="Calibri"/>
          <w:lang w:val="fr-FR"/>
        </w:rPr>
        <w:t xml:space="preserve"> (iii) l’organisation de plusieurs festivals culturels, de jeunesse et de</w:t>
      </w:r>
      <w:r w:rsidR="006C160E" w:rsidRPr="00F13D2D">
        <w:rPr>
          <w:rFonts w:eastAsia="Calibri"/>
          <w:lang w:val="fr-FR"/>
        </w:rPr>
        <w:t xml:space="preserve"> </w:t>
      </w:r>
      <w:r w:rsidR="00E819C1" w:rsidRPr="00F13D2D">
        <w:rPr>
          <w:rFonts w:eastAsia="Calibri"/>
          <w:lang w:val="fr-FR"/>
        </w:rPr>
        <w:t>sports à l’intérieur du pays</w:t>
      </w:r>
      <w:r w:rsidR="00FC0832">
        <w:rPr>
          <w:rFonts w:eastAsia="Calibri"/>
          <w:lang w:val="fr-FR"/>
        </w:rPr>
        <w:t> ;</w:t>
      </w:r>
      <w:r w:rsidR="00E819C1" w:rsidRPr="00F13D2D">
        <w:rPr>
          <w:rFonts w:eastAsia="Calibri"/>
          <w:lang w:val="fr-FR"/>
        </w:rPr>
        <w:t xml:space="preserve"> (iv) la classification du patrimoine culturel immatériel musical au niveau mondial</w:t>
      </w:r>
      <w:r w:rsidR="00FC0832">
        <w:rPr>
          <w:rFonts w:eastAsia="Calibri"/>
          <w:lang w:val="fr-FR"/>
        </w:rPr>
        <w:t> ;</w:t>
      </w:r>
      <w:r w:rsidR="00E819C1" w:rsidRPr="00F13D2D">
        <w:rPr>
          <w:rFonts w:eastAsia="Calibri"/>
          <w:lang w:val="fr-FR"/>
        </w:rPr>
        <w:t xml:space="preserve"> (v) la réhabilitation de la mosquée de Tichit et des infrastructures de culture, de jeunesse et des sports dans les </w:t>
      </w:r>
      <w:proofErr w:type="spellStart"/>
      <w:r w:rsidR="00E819C1" w:rsidRPr="00F13D2D">
        <w:rPr>
          <w:rFonts w:eastAsia="Calibri"/>
          <w:lang w:val="fr-FR"/>
        </w:rPr>
        <w:t>Moughataa</w:t>
      </w:r>
      <w:proofErr w:type="spellEnd"/>
      <w:r w:rsidR="00E819C1" w:rsidRPr="00F13D2D">
        <w:rPr>
          <w:rFonts w:eastAsia="Calibri"/>
          <w:lang w:val="fr-FR"/>
        </w:rPr>
        <w:t xml:space="preserve"> de Nouakchott</w:t>
      </w:r>
      <w:r w:rsidR="00FC0832">
        <w:rPr>
          <w:rFonts w:eastAsia="Calibri"/>
          <w:lang w:val="fr-FR"/>
        </w:rPr>
        <w:t> ;</w:t>
      </w:r>
      <w:r w:rsidR="00E819C1" w:rsidRPr="00F13D2D">
        <w:rPr>
          <w:rFonts w:eastAsia="Calibri"/>
          <w:lang w:val="fr-FR"/>
        </w:rPr>
        <w:t xml:space="preserve"> et (vi) la Création d’un Institut Mauritanien de la Musique</w:t>
      </w:r>
      <w:r w:rsidR="00FC0832">
        <w:rPr>
          <w:rFonts w:eastAsia="Calibri"/>
          <w:lang w:val="fr-FR"/>
        </w:rPr>
        <w:t> ;</w:t>
      </w:r>
      <w:r w:rsidR="00E819C1" w:rsidRPr="00F13D2D">
        <w:rPr>
          <w:rFonts w:eastAsia="Calibri"/>
          <w:lang w:val="fr-FR"/>
        </w:rPr>
        <w:t xml:space="preserve"> (vii) de l’office national des musées (viii) d’une bibliothèque nationale</w:t>
      </w:r>
      <w:r w:rsidR="00FC0832">
        <w:rPr>
          <w:rFonts w:eastAsia="Calibri"/>
          <w:lang w:val="fr-FR"/>
        </w:rPr>
        <w:t> ;</w:t>
      </w:r>
      <w:r w:rsidR="00E819C1" w:rsidRPr="00F13D2D">
        <w:rPr>
          <w:rFonts w:eastAsia="Calibri"/>
          <w:lang w:val="fr-FR"/>
        </w:rPr>
        <w:t xml:space="preserve"> (ix), la célébration de la journée de la langue arabe</w:t>
      </w:r>
      <w:r w:rsidR="00FC0832">
        <w:rPr>
          <w:rFonts w:eastAsia="Calibri"/>
          <w:lang w:val="fr-FR"/>
        </w:rPr>
        <w:t> ;</w:t>
      </w:r>
      <w:r w:rsidR="00E819C1" w:rsidRPr="00F13D2D">
        <w:rPr>
          <w:rFonts w:eastAsia="Calibri"/>
          <w:lang w:val="fr-FR"/>
        </w:rPr>
        <w:t xml:space="preserve"> (x) l’institutionnalisation du festival de la poésie. </w:t>
      </w:r>
    </w:p>
    <w:p w:rsidR="00E819C1" w:rsidRPr="00F13D2D" w:rsidRDefault="0055270C" w:rsidP="0055270C">
      <w:pPr>
        <w:pStyle w:val="SingleTxtG"/>
        <w:rPr>
          <w:rFonts w:eastAsia="Calibri"/>
          <w:lang w:val="fr-FR"/>
        </w:rPr>
      </w:pPr>
      <w:r w:rsidRPr="00F13D2D">
        <w:rPr>
          <w:rFonts w:eastAsia="Calibri"/>
          <w:lang w:val="fr-FR"/>
        </w:rPr>
        <w:t>183.</w:t>
      </w:r>
      <w:r w:rsidRPr="00F13D2D">
        <w:rPr>
          <w:rFonts w:eastAsia="Calibri"/>
          <w:lang w:val="fr-FR"/>
        </w:rPr>
        <w:tab/>
      </w:r>
      <w:r w:rsidR="00E819C1" w:rsidRPr="00F13D2D">
        <w:rPr>
          <w:rFonts w:eastAsia="Calibri"/>
          <w:lang w:val="fr-FR"/>
        </w:rPr>
        <w:t>Concernant la jeunesse, les actions ont porté sur</w:t>
      </w:r>
      <w:r w:rsidR="00FC0832">
        <w:rPr>
          <w:rFonts w:eastAsia="Calibri"/>
          <w:lang w:val="fr-FR"/>
        </w:rPr>
        <w:t> :</w:t>
      </w:r>
      <w:r w:rsidR="00E819C1" w:rsidRPr="00F13D2D">
        <w:rPr>
          <w:rFonts w:eastAsia="Calibri"/>
          <w:lang w:val="fr-FR"/>
        </w:rPr>
        <w:t xml:space="preserve"> (i) la réhabilitation de l’Office du complexe olympique, du Centre national de formation des cadres de la jeunesse et des sports, de la nouvelle maison des jeunes et de la maison de la culture</w:t>
      </w:r>
      <w:r w:rsidR="00FC0832">
        <w:rPr>
          <w:rFonts w:eastAsia="Calibri"/>
          <w:lang w:val="fr-FR"/>
        </w:rPr>
        <w:t> ;</w:t>
      </w:r>
      <w:r w:rsidR="00E819C1" w:rsidRPr="00F13D2D">
        <w:rPr>
          <w:rFonts w:eastAsia="Calibri"/>
          <w:lang w:val="fr-FR"/>
        </w:rPr>
        <w:t xml:space="preserve"> (ii) la réalisation de la maison des jeunes de Néma et l’inauguration de la maison des jeunes de Tidjikdja</w:t>
      </w:r>
      <w:r w:rsidR="00FC0832">
        <w:rPr>
          <w:rFonts w:eastAsia="Calibri"/>
          <w:lang w:val="fr-FR"/>
        </w:rPr>
        <w:t> ;</w:t>
      </w:r>
      <w:r w:rsidR="00E819C1" w:rsidRPr="00F13D2D">
        <w:rPr>
          <w:rFonts w:eastAsia="Calibri"/>
          <w:lang w:val="fr-FR"/>
        </w:rPr>
        <w:t xml:space="preserve"> (iii) la mise en place de 13 réseaux régionaux des jeunes</w:t>
      </w:r>
      <w:r w:rsidR="00FC0832">
        <w:rPr>
          <w:rFonts w:eastAsia="Calibri"/>
          <w:lang w:val="fr-FR"/>
        </w:rPr>
        <w:t> ;</w:t>
      </w:r>
      <w:r w:rsidR="00E819C1" w:rsidRPr="00F13D2D">
        <w:rPr>
          <w:rFonts w:eastAsia="Calibri"/>
          <w:lang w:val="fr-FR"/>
        </w:rPr>
        <w:t xml:space="preserve"> et (iv) l’adoption d’une politique nationale de la jeunesse, de loisirs et des sports (v)</w:t>
      </w:r>
      <w:r w:rsidR="006C160E" w:rsidRPr="00F13D2D">
        <w:rPr>
          <w:rFonts w:eastAsia="Calibri"/>
          <w:lang w:val="fr-FR"/>
        </w:rPr>
        <w:t xml:space="preserve"> </w:t>
      </w:r>
      <w:r w:rsidR="00E819C1" w:rsidRPr="00F13D2D">
        <w:rPr>
          <w:rFonts w:eastAsia="Calibri"/>
          <w:lang w:val="fr-FR"/>
        </w:rPr>
        <w:t>programmes de sensibilisation de la jeunesse (vi) l</w:t>
      </w:r>
      <w:r w:rsidR="006C160E" w:rsidRPr="00F13D2D">
        <w:rPr>
          <w:rFonts w:eastAsia="Calibri"/>
          <w:lang w:val="fr-FR"/>
        </w:rPr>
        <w:t>’</w:t>
      </w:r>
      <w:r w:rsidR="00E819C1" w:rsidRPr="00F13D2D">
        <w:rPr>
          <w:rFonts w:eastAsia="Calibri"/>
          <w:lang w:val="fr-FR"/>
        </w:rPr>
        <w:t>organisation d’une rencontre de concertation entre le Président de la République et les jeunes et la création du haut conseil de la jeunesse.</w:t>
      </w:r>
    </w:p>
    <w:p w:rsidR="00E819C1" w:rsidRPr="00F13D2D" w:rsidRDefault="0055270C" w:rsidP="0055270C">
      <w:pPr>
        <w:pStyle w:val="SingleTxtG"/>
        <w:rPr>
          <w:rFonts w:eastAsia="Calibri"/>
          <w:lang w:val="fr-FR"/>
        </w:rPr>
      </w:pPr>
      <w:r w:rsidRPr="00F13D2D">
        <w:rPr>
          <w:rFonts w:eastAsia="Calibri"/>
          <w:lang w:val="fr-FR"/>
        </w:rPr>
        <w:t>184.</w:t>
      </w:r>
      <w:r w:rsidRPr="00F13D2D">
        <w:rPr>
          <w:rFonts w:eastAsia="Calibri"/>
          <w:lang w:val="fr-FR"/>
        </w:rPr>
        <w:tab/>
      </w:r>
      <w:r w:rsidR="00E819C1" w:rsidRPr="00F13D2D">
        <w:rPr>
          <w:rFonts w:eastAsia="Calibri"/>
          <w:lang w:val="fr-FR"/>
        </w:rPr>
        <w:t>En matière de sports, les réalisations sont</w:t>
      </w:r>
      <w:r w:rsidR="00FC0832">
        <w:rPr>
          <w:rFonts w:eastAsia="Calibri"/>
          <w:lang w:val="fr-FR"/>
        </w:rPr>
        <w:t> :</w:t>
      </w:r>
      <w:r w:rsidR="00E819C1" w:rsidRPr="00F13D2D">
        <w:rPr>
          <w:rFonts w:eastAsia="Calibri"/>
          <w:lang w:val="fr-FR"/>
        </w:rPr>
        <w:t xml:space="preserve"> (i) la construction des 3 stades (Zouerate, Kiffa, Néma) et de 3 maisons des jeunes (Akjoujt, Nouadhibou, Arafat secteur 18)</w:t>
      </w:r>
      <w:r w:rsidR="00FC0832">
        <w:rPr>
          <w:rFonts w:eastAsia="Calibri"/>
          <w:lang w:val="fr-FR"/>
        </w:rPr>
        <w:t> ;</w:t>
      </w:r>
      <w:r w:rsidR="00E819C1" w:rsidRPr="00F13D2D">
        <w:rPr>
          <w:rFonts w:eastAsia="Calibri"/>
          <w:lang w:val="fr-FR"/>
        </w:rPr>
        <w:t xml:space="preserve"> et (ii)</w:t>
      </w:r>
      <w:r w:rsidR="00F34E43">
        <w:rPr>
          <w:rFonts w:eastAsia="Calibri"/>
          <w:lang w:val="fr-FR"/>
        </w:rPr>
        <w:t> </w:t>
      </w:r>
      <w:r w:rsidR="00E819C1" w:rsidRPr="00F13D2D">
        <w:rPr>
          <w:rFonts w:eastAsia="Calibri"/>
          <w:lang w:val="fr-FR"/>
        </w:rPr>
        <w:t>la finalisation des études du projet de construction d’un parcours sportif vers la plage à Nouakchott et du projet de réalisation d’un stade</w:t>
      </w:r>
      <w:r w:rsidR="006C160E" w:rsidRPr="00F13D2D">
        <w:rPr>
          <w:rFonts w:eastAsia="Calibri"/>
          <w:lang w:val="fr-FR"/>
        </w:rPr>
        <w:t xml:space="preserve"> </w:t>
      </w:r>
      <w:r w:rsidR="00E819C1" w:rsidRPr="00F13D2D">
        <w:rPr>
          <w:rFonts w:eastAsia="Calibri"/>
          <w:lang w:val="fr-FR"/>
        </w:rPr>
        <w:t>à Nouadhibou (iii) la campagne de sensibilisation sur le sport et la santé</w:t>
      </w:r>
      <w:r w:rsidR="00FC0832">
        <w:rPr>
          <w:rFonts w:eastAsia="Calibri"/>
          <w:lang w:val="fr-FR"/>
        </w:rPr>
        <w:t> ;</w:t>
      </w:r>
      <w:r w:rsidR="00E819C1" w:rsidRPr="00F13D2D">
        <w:rPr>
          <w:rFonts w:eastAsia="Calibri"/>
          <w:lang w:val="fr-FR"/>
        </w:rPr>
        <w:t>(iv) la mise en place d’un fonds d’appui pour le développement du mouvement associatif dans le domaine de la culture, de la jeunesse et des sports (v) le programme de formation des Ressources Humaines dans les secteurs de la culture, la jeunesse et les sports pour le secteur public et associatif (vi) l</w:t>
      </w:r>
      <w:r w:rsidR="006C160E" w:rsidRPr="00F13D2D">
        <w:rPr>
          <w:rFonts w:eastAsia="Calibri"/>
          <w:lang w:val="fr-FR"/>
        </w:rPr>
        <w:t>’</w:t>
      </w:r>
      <w:r w:rsidR="00E819C1" w:rsidRPr="00F13D2D">
        <w:rPr>
          <w:rFonts w:eastAsia="Calibri"/>
          <w:lang w:val="fr-FR"/>
        </w:rPr>
        <w:t>organisation d’enquêtes périodiques afin de déterminer les intérêts et les préoccupations des jeunes pour les intégrer dans les politiques et programmes du gouvernement</w:t>
      </w:r>
      <w:r w:rsidR="00FC0832">
        <w:rPr>
          <w:rFonts w:eastAsia="Calibri"/>
          <w:lang w:val="fr-FR"/>
        </w:rPr>
        <w:t> ;</w:t>
      </w:r>
      <w:r w:rsidR="00E819C1" w:rsidRPr="00F13D2D">
        <w:rPr>
          <w:rFonts w:eastAsia="Calibri"/>
          <w:lang w:val="fr-FR"/>
        </w:rPr>
        <w:t xml:space="preserve"> (vii) l</w:t>
      </w:r>
      <w:r w:rsidR="006C160E" w:rsidRPr="00F13D2D">
        <w:rPr>
          <w:rFonts w:eastAsia="Calibri"/>
          <w:lang w:val="fr-FR"/>
        </w:rPr>
        <w:t>’</w:t>
      </w:r>
      <w:r w:rsidR="00E819C1" w:rsidRPr="00F13D2D">
        <w:rPr>
          <w:rFonts w:eastAsia="Calibri"/>
          <w:lang w:val="fr-FR"/>
        </w:rPr>
        <w:t>introduction du sport dans les programmes d’enseignement pour une sensibilisation sur les avantages</w:t>
      </w:r>
      <w:r w:rsidR="006C160E" w:rsidRPr="00F13D2D">
        <w:rPr>
          <w:rFonts w:eastAsia="Calibri"/>
          <w:lang w:val="fr-FR"/>
        </w:rPr>
        <w:t xml:space="preserve"> </w:t>
      </w:r>
      <w:r w:rsidR="00E819C1" w:rsidRPr="00F13D2D">
        <w:rPr>
          <w:rFonts w:eastAsia="Calibri"/>
          <w:lang w:val="fr-FR"/>
        </w:rPr>
        <w:t>de l’éducation physique et sportive en particulier dans les milieux scolaires, (viii) l</w:t>
      </w:r>
      <w:r w:rsidR="006C160E" w:rsidRPr="00F13D2D">
        <w:rPr>
          <w:rFonts w:eastAsia="Calibri"/>
          <w:lang w:val="fr-FR"/>
        </w:rPr>
        <w:t>’</w:t>
      </w:r>
      <w:r w:rsidR="00E819C1" w:rsidRPr="00F13D2D">
        <w:rPr>
          <w:rFonts w:eastAsia="Calibri"/>
          <w:lang w:val="fr-FR"/>
        </w:rPr>
        <w:t>organisation des états généraux du sport (ix) le recrutement et la formation de 50 cadres</w:t>
      </w:r>
      <w:r w:rsidR="00FC0832">
        <w:rPr>
          <w:rFonts w:eastAsia="Calibri"/>
          <w:lang w:val="fr-FR"/>
        </w:rPr>
        <w:t> ;</w:t>
      </w:r>
      <w:r w:rsidR="00E819C1" w:rsidRPr="00F13D2D">
        <w:rPr>
          <w:rFonts w:eastAsia="Calibri"/>
          <w:lang w:val="fr-FR"/>
        </w:rPr>
        <w:t xml:space="preserve"> (ix) l</w:t>
      </w:r>
      <w:r w:rsidR="006C160E" w:rsidRPr="00F13D2D">
        <w:rPr>
          <w:rFonts w:eastAsia="Calibri"/>
          <w:lang w:val="fr-FR"/>
        </w:rPr>
        <w:t>’</w:t>
      </w:r>
      <w:r w:rsidR="00E819C1" w:rsidRPr="00F13D2D">
        <w:rPr>
          <w:rFonts w:eastAsia="Calibri"/>
          <w:lang w:val="fr-FR"/>
        </w:rPr>
        <w:t>organisation périodique de compétitions inter wilayas, (xv) la participation périodique</w:t>
      </w:r>
      <w:r w:rsidR="006C160E" w:rsidRPr="00F13D2D">
        <w:rPr>
          <w:rFonts w:eastAsia="Calibri"/>
          <w:lang w:val="fr-FR"/>
        </w:rPr>
        <w:t xml:space="preserve"> </w:t>
      </w:r>
      <w:r w:rsidR="00E819C1" w:rsidRPr="00F13D2D">
        <w:rPr>
          <w:rFonts w:eastAsia="Calibri"/>
          <w:lang w:val="fr-FR"/>
        </w:rPr>
        <w:t>aux compétitions internationales (xvi) l</w:t>
      </w:r>
      <w:r w:rsidR="006C160E" w:rsidRPr="00F13D2D">
        <w:rPr>
          <w:rFonts w:eastAsia="Calibri"/>
          <w:lang w:val="fr-FR"/>
        </w:rPr>
        <w:t>’</w:t>
      </w:r>
      <w:r w:rsidR="00E819C1" w:rsidRPr="00F13D2D">
        <w:rPr>
          <w:rFonts w:eastAsia="Calibri"/>
          <w:lang w:val="fr-FR"/>
        </w:rPr>
        <w:t>allocation de 1</w:t>
      </w:r>
      <w:r w:rsidR="006348D2">
        <w:rPr>
          <w:rFonts w:eastAsia="Calibri"/>
          <w:lang w:val="fr-FR"/>
        </w:rPr>
        <w:t> %</w:t>
      </w:r>
      <w:r w:rsidR="00E819C1" w:rsidRPr="00F13D2D">
        <w:rPr>
          <w:rFonts w:eastAsia="Calibri"/>
          <w:lang w:val="fr-FR"/>
        </w:rPr>
        <w:t xml:space="preserve"> des recette douanières au développement de la culture et des sports.</w:t>
      </w:r>
    </w:p>
    <w:p w:rsidR="00E819C1" w:rsidRPr="00F13D2D" w:rsidRDefault="008A67C0" w:rsidP="008A67C0">
      <w:pPr>
        <w:pStyle w:val="H1G"/>
      </w:pPr>
      <w:bookmarkStart w:id="281" w:name="_Toc453672972"/>
      <w:bookmarkStart w:id="282" w:name="_Toc454386610"/>
      <w:bookmarkStart w:id="283" w:name="_Toc454386679"/>
      <w:bookmarkStart w:id="284" w:name="_Toc454388815"/>
      <w:r w:rsidRPr="00F13D2D">
        <w:lastRenderedPageBreak/>
        <w:tab/>
      </w:r>
      <w:r w:rsidRPr="00F13D2D">
        <w:tab/>
      </w:r>
      <w:r w:rsidR="00E819C1" w:rsidRPr="00F13D2D">
        <w:t>Huitième sous</w:t>
      </w:r>
      <w:r w:rsidR="00064350">
        <w:t>-</w:t>
      </w:r>
      <w:r w:rsidR="00E819C1" w:rsidRPr="00F13D2D">
        <w:t>partie </w:t>
      </w:r>
      <w:r w:rsidR="00FC0832">
        <w:t>:</w:t>
      </w:r>
      <w:r w:rsidR="00E819C1" w:rsidRPr="00F13D2D">
        <w:t xml:space="preserve"> </w:t>
      </w:r>
      <w:r w:rsidR="00922AB1" w:rsidRPr="00F13D2D">
        <w:t xml:space="preserve">Mesures </w:t>
      </w:r>
      <w:r w:rsidR="00E819C1" w:rsidRPr="00F13D2D">
        <w:t>spéciales de protection de l’enfance</w:t>
      </w:r>
      <w:bookmarkEnd w:id="281"/>
      <w:bookmarkEnd w:id="282"/>
      <w:bookmarkEnd w:id="283"/>
      <w:bookmarkEnd w:id="284"/>
    </w:p>
    <w:p w:rsidR="00E819C1" w:rsidRPr="00AA7A93" w:rsidRDefault="008A67C0" w:rsidP="00AA7A93">
      <w:pPr>
        <w:pStyle w:val="H1G"/>
      </w:pPr>
      <w:bookmarkStart w:id="285" w:name="_Toc453672973"/>
      <w:bookmarkStart w:id="286" w:name="_Toc454388816"/>
      <w:r w:rsidRPr="000E17DF">
        <w:tab/>
      </w:r>
      <w:r w:rsidR="00E819C1" w:rsidRPr="00E06F1B">
        <w:t>A</w:t>
      </w:r>
      <w:r w:rsidRPr="00AA7A93">
        <w:t>.</w:t>
      </w:r>
      <w:r w:rsidRPr="00AA7A93">
        <w:tab/>
      </w:r>
      <w:r w:rsidR="00E819C1" w:rsidRPr="00AA7A93">
        <w:t>Les enfants en situation d’urgence</w:t>
      </w:r>
      <w:bookmarkEnd w:id="285"/>
      <w:bookmarkEnd w:id="286"/>
    </w:p>
    <w:p w:rsidR="00E819C1" w:rsidRPr="00F13D2D" w:rsidRDefault="0055270C" w:rsidP="0055270C">
      <w:pPr>
        <w:pStyle w:val="SingleTxtG"/>
        <w:rPr>
          <w:rFonts w:eastAsia="Calibri"/>
          <w:lang w:val="fr-FR"/>
        </w:rPr>
      </w:pPr>
      <w:r w:rsidRPr="00F13D2D">
        <w:rPr>
          <w:rFonts w:eastAsia="Calibri"/>
          <w:lang w:val="fr-FR"/>
        </w:rPr>
        <w:t>185.</w:t>
      </w:r>
      <w:r w:rsidRPr="00F13D2D">
        <w:rPr>
          <w:rFonts w:eastAsia="Calibri"/>
          <w:lang w:val="fr-FR"/>
        </w:rPr>
        <w:tab/>
      </w:r>
      <w:r w:rsidR="00E819C1" w:rsidRPr="00F13D2D">
        <w:rPr>
          <w:rFonts w:eastAsia="Calibri"/>
          <w:lang w:val="fr-FR"/>
        </w:rPr>
        <w:t xml:space="preserve">La Mauritanie n’est pas en situation de guerre ou de conflit et il n’y a pas d’enfants utilisés dans ce domaine. </w:t>
      </w:r>
    </w:p>
    <w:p w:rsidR="00E819C1" w:rsidRPr="00AA7A93" w:rsidRDefault="008A67C0" w:rsidP="00AA7A93">
      <w:pPr>
        <w:pStyle w:val="H1G"/>
      </w:pPr>
      <w:bookmarkStart w:id="287" w:name="_Toc453672974"/>
      <w:bookmarkStart w:id="288" w:name="_Toc454388817"/>
      <w:r w:rsidRPr="000E17DF">
        <w:tab/>
      </w:r>
      <w:r w:rsidR="00E819C1" w:rsidRPr="00E06F1B">
        <w:t>B</w:t>
      </w:r>
      <w:r w:rsidRPr="00AA7A93">
        <w:t>.</w:t>
      </w:r>
      <w:r w:rsidRPr="00AA7A93">
        <w:tab/>
      </w:r>
      <w:r w:rsidR="00E819C1" w:rsidRPr="00AA7A93">
        <w:t>Les enfants en conflit avec la loi</w:t>
      </w:r>
      <w:bookmarkEnd w:id="287"/>
      <w:bookmarkEnd w:id="288"/>
    </w:p>
    <w:p w:rsidR="00E819C1" w:rsidRPr="00E06F1B" w:rsidRDefault="008A67C0" w:rsidP="00AA7A93">
      <w:pPr>
        <w:pStyle w:val="H23G"/>
      </w:pPr>
      <w:bookmarkStart w:id="289" w:name="_Toc453672975"/>
      <w:bookmarkStart w:id="290" w:name="_Toc454388818"/>
      <w:r w:rsidRPr="00F13D2D">
        <w:tab/>
      </w:r>
      <w:r w:rsidR="00E819C1" w:rsidRPr="00F13D2D">
        <w:t>1</w:t>
      </w:r>
      <w:r w:rsidRPr="00F13D2D">
        <w:t>.</w:t>
      </w:r>
      <w:r w:rsidRPr="00F13D2D">
        <w:tab/>
      </w:r>
      <w:r w:rsidR="00E819C1" w:rsidRPr="00F13D2D">
        <w:t>Système judiciaire protecteur de l’enfant en conflit avec la loi</w:t>
      </w:r>
      <w:r w:rsidR="006C160E" w:rsidRPr="00F13D2D">
        <w:t xml:space="preserve"> </w:t>
      </w:r>
      <w:r w:rsidR="00E819C1" w:rsidRPr="00F13D2D">
        <w:t>(art.</w:t>
      </w:r>
      <w:r w:rsidR="00400D35">
        <w:t> </w:t>
      </w:r>
      <w:r w:rsidR="00E819C1" w:rsidRPr="00F13D2D">
        <w:t>40)</w:t>
      </w:r>
      <w:bookmarkEnd w:id="289"/>
      <w:bookmarkEnd w:id="290"/>
    </w:p>
    <w:p w:rsidR="00E819C1" w:rsidRPr="00F13D2D" w:rsidRDefault="0055270C" w:rsidP="0055270C">
      <w:pPr>
        <w:pStyle w:val="SingleTxtG"/>
        <w:rPr>
          <w:rFonts w:eastAsia="Calibri"/>
          <w:lang w:val="fr-FR"/>
        </w:rPr>
      </w:pPr>
      <w:r w:rsidRPr="00F13D2D">
        <w:rPr>
          <w:rFonts w:eastAsia="Calibri"/>
          <w:lang w:val="fr-FR"/>
        </w:rPr>
        <w:t>186.</w:t>
      </w:r>
      <w:r w:rsidRPr="00F13D2D">
        <w:rPr>
          <w:rFonts w:eastAsia="Calibri"/>
          <w:lang w:val="fr-FR"/>
        </w:rPr>
        <w:tab/>
      </w:r>
      <w:r w:rsidR="00E819C1" w:rsidRPr="00F13D2D">
        <w:rPr>
          <w:rFonts w:eastAsia="Calibri"/>
          <w:lang w:val="fr-FR"/>
        </w:rPr>
        <w:t>L’OPPE contient plusieurs dispositions</w:t>
      </w:r>
      <w:r w:rsidR="006C160E" w:rsidRPr="00F13D2D">
        <w:rPr>
          <w:rFonts w:eastAsia="Calibri"/>
          <w:lang w:val="fr-FR"/>
        </w:rPr>
        <w:t xml:space="preserve"> </w:t>
      </w:r>
      <w:r w:rsidR="00E819C1" w:rsidRPr="00F13D2D">
        <w:rPr>
          <w:rFonts w:eastAsia="Calibri"/>
          <w:lang w:val="fr-FR"/>
        </w:rPr>
        <w:t>qui protègent l’enfant en conflit avec la loi lors du traitement</w:t>
      </w:r>
      <w:r w:rsidR="006C160E" w:rsidRPr="00F13D2D">
        <w:rPr>
          <w:rFonts w:eastAsia="Calibri"/>
          <w:lang w:val="fr-FR"/>
        </w:rPr>
        <w:t xml:space="preserve"> </w:t>
      </w:r>
      <w:r w:rsidR="00E819C1" w:rsidRPr="00F13D2D">
        <w:rPr>
          <w:rFonts w:eastAsia="Calibri"/>
          <w:lang w:val="fr-FR"/>
        </w:rPr>
        <w:t>de son dossier par la justice. Il s’agit notamment de</w:t>
      </w:r>
      <w:r w:rsidR="00FC0832">
        <w:rPr>
          <w:rFonts w:eastAsia="Calibri"/>
          <w:lang w:val="fr-FR"/>
        </w:rPr>
        <w:t> :</w:t>
      </w:r>
      <w:r w:rsidR="00E819C1" w:rsidRPr="00F13D2D">
        <w:rPr>
          <w:rFonts w:eastAsia="Calibri"/>
          <w:lang w:val="fr-FR"/>
        </w:rPr>
        <w:t xml:space="preserve"> </w:t>
      </w:r>
      <w:r w:rsidR="00D66815">
        <w:rPr>
          <w:rFonts w:eastAsia="Calibri"/>
          <w:lang w:val="fr-FR"/>
        </w:rPr>
        <w:t>(i) </w:t>
      </w:r>
      <w:r w:rsidR="00E819C1" w:rsidRPr="00F13D2D">
        <w:rPr>
          <w:rFonts w:eastAsia="Calibri"/>
          <w:lang w:val="fr-FR"/>
        </w:rPr>
        <w:t>l’instauration d’une présomption irréfragable d’irresponsabilité en faveu</w:t>
      </w:r>
      <w:r w:rsidR="00D66815">
        <w:rPr>
          <w:rFonts w:eastAsia="Calibri"/>
          <w:lang w:val="fr-FR"/>
        </w:rPr>
        <w:t>r de l’enfant âgé de moins de 7 </w:t>
      </w:r>
      <w:r w:rsidR="00E819C1" w:rsidRPr="00F13D2D">
        <w:rPr>
          <w:rFonts w:eastAsia="Calibri"/>
          <w:lang w:val="fr-FR"/>
        </w:rPr>
        <w:t>ans (art</w:t>
      </w:r>
      <w:r w:rsidR="00064350">
        <w:rPr>
          <w:rFonts w:eastAsia="Calibri"/>
          <w:lang w:val="fr-FR"/>
        </w:rPr>
        <w:t>. </w:t>
      </w:r>
      <w:r w:rsidR="00E819C1" w:rsidRPr="00F13D2D">
        <w:rPr>
          <w:rFonts w:eastAsia="Calibri"/>
          <w:lang w:val="fr-FR"/>
        </w:rPr>
        <w:t>2-OPPE)</w:t>
      </w:r>
      <w:r w:rsidR="00FC0832">
        <w:rPr>
          <w:rFonts w:eastAsia="Calibri"/>
          <w:lang w:val="fr-FR"/>
        </w:rPr>
        <w:t> ;</w:t>
      </w:r>
      <w:r w:rsidR="00E819C1" w:rsidRPr="00F13D2D">
        <w:rPr>
          <w:rFonts w:eastAsia="Calibri"/>
          <w:lang w:val="fr-FR"/>
        </w:rPr>
        <w:t xml:space="preserve"> (ii) la présence d’un avocat et de l’assistant social</w:t>
      </w:r>
      <w:r w:rsidR="006C160E" w:rsidRPr="00F13D2D">
        <w:rPr>
          <w:rFonts w:eastAsia="Calibri"/>
          <w:lang w:val="fr-FR"/>
        </w:rPr>
        <w:t xml:space="preserve"> </w:t>
      </w:r>
      <w:r w:rsidR="00E819C1" w:rsidRPr="00F13D2D">
        <w:rPr>
          <w:rFonts w:eastAsia="Calibri"/>
          <w:lang w:val="fr-FR"/>
        </w:rPr>
        <w:t>lors de la première audition devant la police judiciaire (art</w:t>
      </w:r>
      <w:r w:rsidR="00064350">
        <w:rPr>
          <w:rFonts w:eastAsia="Calibri"/>
          <w:lang w:val="fr-FR"/>
        </w:rPr>
        <w:t>. </w:t>
      </w:r>
      <w:r w:rsidR="00E819C1" w:rsidRPr="00F13D2D">
        <w:rPr>
          <w:rFonts w:eastAsia="Calibri"/>
          <w:lang w:val="fr-FR"/>
        </w:rPr>
        <w:t>101-103 OPPE)</w:t>
      </w:r>
      <w:r w:rsidR="00FC0832">
        <w:rPr>
          <w:rFonts w:eastAsia="Calibri"/>
          <w:lang w:val="fr-FR"/>
        </w:rPr>
        <w:t> ;</w:t>
      </w:r>
      <w:r w:rsidR="00E819C1" w:rsidRPr="00F13D2D">
        <w:rPr>
          <w:rFonts w:eastAsia="Calibri"/>
          <w:lang w:val="fr-FR"/>
        </w:rPr>
        <w:t xml:space="preserve"> (iii) l’interdiction de la garde à vue de l’enfant âgé de moins de 15 ans (art</w:t>
      </w:r>
      <w:r w:rsidR="00E56F3F">
        <w:rPr>
          <w:rFonts w:eastAsia="Calibri"/>
          <w:lang w:val="fr-FR"/>
        </w:rPr>
        <w:t>. </w:t>
      </w:r>
      <w:r w:rsidR="00E819C1" w:rsidRPr="00F13D2D">
        <w:rPr>
          <w:rFonts w:eastAsia="Calibri"/>
          <w:lang w:val="fr-FR"/>
        </w:rPr>
        <w:t>2 OPPE)</w:t>
      </w:r>
      <w:r w:rsidR="00FC0832">
        <w:rPr>
          <w:rFonts w:eastAsia="Calibri"/>
          <w:lang w:val="fr-FR"/>
        </w:rPr>
        <w:t> ;</w:t>
      </w:r>
      <w:r w:rsidR="00E819C1" w:rsidRPr="00F13D2D">
        <w:rPr>
          <w:rFonts w:eastAsia="Calibri"/>
          <w:lang w:val="fr-FR"/>
        </w:rPr>
        <w:t xml:space="preserve"> (iv) la mise en place de commissariats de police et</w:t>
      </w:r>
      <w:r w:rsidR="006C160E" w:rsidRPr="00F13D2D">
        <w:rPr>
          <w:rFonts w:eastAsia="Calibri"/>
          <w:lang w:val="fr-FR"/>
        </w:rPr>
        <w:t xml:space="preserve"> </w:t>
      </w:r>
      <w:r w:rsidR="00E819C1" w:rsidRPr="00F13D2D">
        <w:rPr>
          <w:rFonts w:eastAsia="Calibri"/>
          <w:lang w:val="fr-FR"/>
        </w:rPr>
        <w:t>de juridictions spécialisées pour enfants (art</w:t>
      </w:r>
      <w:r w:rsidR="00064350">
        <w:rPr>
          <w:rFonts w:eastAsia="Calibri"/>
          <w:lang w:val="fr-FR"/>
        </w:rPr>
        <w:t>. </w:t>
      </w:r>
      <w:r w:rsidR="00E819C1" w:rsidRPr="00F13D2D">
        <w:rPr>
          <w:rFonts w:eastAsia="Calibri"/>
          <w:lang w:val="fr-FR"/>
        </w:rPr>
        <w:t>101-112 et 142 OPPE)</w:t>
      </w:r>
      <w:r w:rsidR="00FC0832">
        <w:rPr>
          <w:rFonts w:eastAsia="Calibri"/>
          <w:lang w:val="fr-FR"/>
        </w:rPr>
        <w:t> ;</w:t>
      </w:r>
      <w:r w:rsidR="00E819C1" w:rsidRPr="00F13D2D">
        <w:rPr>
          <w:rFonts w:eastAsia="Calibri"/>
          <w:lang w:val="fr-FR"/>
        </w:rPr>
        <w:t xml:space="preserve"> (v) la présence dans les tribunaux pour enfants de jurés choisis parmi les spécialistes de l’enfance, à côté des magistrats expérimentés (art</w:t>
      </w:r>
      <w:r w:rsidR="00064350">
        <w:rPr>
          <w:rFonts w:eastAsia="Calibri"/>
          <w:lang w:val="fr-FR"/>
        </w:rPr>
        <w:t>. </w:t>
      </w:r>
      <w:r w:rsidR="00E819C1" w:rsidRPr="00F13D2D">
        <w:rPr>
          <w:rFonts w:eastAsia="Calibri"/>
          <w:lang w:val="fr-FR"/>
        </w:rPr>
        <w:t>42 OPPE)</w:t>
      </w:r>
      <w:r w:rsidR="00FC0832">
        <w:rPr>
          <w:rFonts w:eastAsia="Calibri"/>
          <w:lang w:val="fr-FR"/>
        </w:rPr>
        <w:t> ;</w:t>
      </w:r>
      <w:r w:rsidR="00E819C1" w:rsidRPr="00F13D2D">
        <w:rPr>
          <w:rFonts w:eastAsia="Calibri"/>
          <w:lang w:val="fr-FR"/>
        </w:rPr>
        <w:t xml:space="preserve"> (vi) le recours obligatoire par les tribunaux pour enfants à l’enquête sociale et psychologique qui doit comporter les avis des spécialistes et des propositions constructives de nature à éclairer la juridiction saisie dans ses décisions et les mesures nécessaires et appropriées (art</w:t>
      </w:r>
      <w:r w:rsidR="00064350">
        <w:rPr>
          <w:rFonts w:eastAsia="Calibri"/>
          <w:lang w:val="fr-FR"/>
        </w:rPr>
        <w:t>. </w:t>
      </w:r>
      <w:r w:rsidR="00E819C1" w:rsidRPr="00F13D2D">
        <w:rPr>
          <w:rFonts w:eastAsia="Calibri"/>
          <w:lang w:val="fr-FR"/>
        </w:rPr>
        <w:t>110 OPPE)</w:t>
      </w:r>
      <w:r w:rsidR="00FC0832">
        <w:rPr>
          <w:rFonts w:eastAsia="Calibri"/>
          <w:lang w:val="fr-FR"/>
        </w:rPr>
        <w:t> ;</w:t>
      </w:r>
      <w:r w:rsidR="00E819C1" w:rsidRPr="00F13D2D">
        <w:rPr>
          <w:rFonts w:eastAsia="Calibri"/>
          <w:lang w:val="fr-FR"/>
        </w:rPr>
        <w:t xml:space="preserve"> (vii) le respect de l’intégrité (art</w:t>
      </w:r>
      <w:r w:rsidR="00064350">
        <w:rPr>
          <w:rFonts w:eastAsia="Calibri"/>
          <w:lang w:val="fr-FR"/>
        </w:rPr>
        <w:t>. </w:t>
      </w:r>
      <w:r w:rsidR="00E819C1" w:rsidRPr="00F13D2D">
        <w:rPr>
          <w:rFonts w:eastAsia="Calibri"/>
          <w:lang w:val="fr-FR"/>
        </w:rPr>
        <w:t>21 OPPE) et de la vie privée de l’enfant (art</w:t>
      </w:r>
      <w:r w:rsidR="00064350">
        <w:rPr>
          <w:rFonts w:eastAsia="Calibri"/>
          <w:lang w:val="fr-FR"/>
        </w:rPr>
        <w:t>. </w:t>
      </w:r>
      <w:r w:rsidR="00E819C1" w:rsidRPr="00F13D2D">
        <w:rPr>
          <w:rFonts w:eastAsia="Calibri"/>
          <w:lang w:val="fr-FR"/>
        </w:rPr>
        <w:t>63 OPPE)</w:t>
      </w:r>
      <w:r w:rsidR="00FC0832">
        <w:rPr>
          <w:rFonts w:eastAsia="Calibri"/>
          <w:lang w:val="fr-FR"/>
        </w:rPr>
        <w:t> ;</w:t>
      </w:r>
      <w:r w:rsidR="00E819C1" w:rsidRPr="00F13D2D">
        <w:rPr>
          <w:rFonts w:eastAsia="Calibri"/>
          <w:lang w:val="fr-FR"/>
        </w:rPr>
        <w:t xml:space="preserve"> (viii) la possibilité de correctionnaliser toutes les infractions sauf les homicides volontaires (art</w:t>
      </w:r>
      <w:r w:rsidR="00064350">
        <w:rPr>
          <w:rFonts w:eastAsia="Calibri"/>
          <w:lang w:val="fr-FR"/>
        </w:rPr>
        <w:t>. </w:t>
      </w:r>
      <w:r w:rsidR="00E819C1" w:rsidRPr="00F13D2D">
        <w:rPr>
          <w:rFonts w:eastAsia="Calibri"/>
          <w:lang w:val="fr-FR"/>
        </w:rPr>
        <w:t>3 OPPE)</w:t>
      </w:r>
      <w:r w:rsidR="00FC0832">
        <w:rPr>
          <w:rFonts w:eastAsia="Calibri"/>
          <w:lang w:val="fr-FR"/>
        </w:rPr>
        <w:t> ;</w:t>
      </w:r>
      <w:r w:rsidR="00E819C1" w:rsidRPr="00F13D2D">
        <w:rPr>
          <w:rFonts w:eastAsia="Calibri"/>
          <w:lang w:val="fr-FR"/>
        </w:rPr>
        <w:t xml:space="preserve"> (ix) la possibilité de recourir à la médiation, hors les cas de crimes et à toutes les étapes de la procédure judiciaire (art</w:t>
      </w:r>
      <w:r w:rsidR="00064350">
        <w:rPr>
          <w:rFonts w:eastAsia="Calibri"/>
          <w:lang w:val="fr-FR"/>
        </w:rPr>
        <w:t>. </w:t>
      </w:r>
      <w:r w:rsidR="00E819C1" w:rsidRPr="00F13D2D">
        <w:rPr>
          <w:rFonts w:eastAsia="Calibri"/>
          <w:lang w:val="fr-FR"/>
        </w:rPr>
        <w:t>155 et suivants OPPE) qui a pour objectif d’arrêter les effets des poursuites pénales, du jugement et de l’exécution (art</w:t>
      </w:r>
      <w:r w:rsidR="00064350">
        <w:rPr>
          <w:rFonts w:eastAsia="Calibri"/>
          <w:lang w:val="fr-FR"/>
        </w:rPr>
        <w:t>. </w:t>
      </w:r>
      <w:r w:rsidR="00E819C1" w:rsidRPr="00F13D2D">
        <w:rPr>
          <w:rFonts w:eastAsia="Calibri"/>
          <w:lang w:val="fr-FR"/>
        </w:rPr>
        <w:t>155 OPPE).</w:t>
      </w:r>
    </w:p>
    <w:p w:rsidR="00E819C1" w:rsidRPr="00F13D2D" w:rsidRDefault="0055270C" w:rsidP="0055270C">
      <w:pPr>
        <w:pStyle w:val="SingleTxtG"/>
        <w:rPr>
          <w:rFonts w:eastAsia="Calibri"/>
          <w:lang w:val="fr-FR"/>
        </w:rPr>
      </w:pPr>
      <w:r w:rsidRPr="00F13D2D">
        <w:rPr>
          <w:rFonts w:eastAsia="Calibri"/>
          <w:lang w:val="fr-FR"/>
        </w:rPr>
        <w:t>187.</w:t>
      </w:r>
      <w:r w:rsidRPr="00F13D2D">
        <w:rPr>
          <w:rFonts w:eastAsia="Calibri"/>
          <w:lang w:val="fr-FR"/>
        </w:rPr>
        <w:tab/>
      </w:r>
      <w:r w:rsidR="00E819C1" w:rsidRPr="00F13D2D">
        <w:rPr>
          <w:rFonts w:eastAsia="Calibri"/>
          <w:lang w:val="fr-FR"/>
        </w:rPr>
        <w:t>Concernant le prononcé de la peine, la protection de l’enfant en conflit avec la loi est également prégnante, l’autorité judiciaire pouvant</w:t>
      </w:r>
      <w:r w:rsidR="006C160E" w:rsidRPr="00F13D2D">
        <w:rPr>
          <w:rFonts w:eastAsia="Calibri"/>
          <w:lang w:val="fr-FR"/>
        </w:rPr>
        <w:t xml:space="preserve"> </w:t>
      </w:r>
      <w:r w:rsidR="00E819C1" w:rsidRPr="00F13D2D">
        <w:rPr>
          <w:rFonts w:eastAsia="Calibri"/>
          <w:lang w:val="fr-FR"/>
        </w:rPr>
        <w:t>notamment édicter par décision motivée</w:t>
      </w:r>
      <w:r w:rsidR="00FC0832">
        <w:rPr>
          <w:rFonts w:eastAsia="Calibri"/>
          <w:lang w:val="fr-FR"/>
        </w:rPr>
        <w:t> :</w:t>
      </w:r>
      <w:r w:rsidR="00E819C1" w:rsidRPr="00F13D2D">
        <w:rPr>
          <w:rFonts w:eastAsia="Calibri"/>
          <w:lang w:val="fr-FR"/>
        </w:rPr>
        <w:t xml:space="preserve"> (i) la remise de l’enfant à ses parents, à son tuteur, à la personne qui en a la garde,</w:t>
      </w:r>
      <w:r w:rsidR="00D66815">
        <w:rPr>
          <w:rFonts w:eastAsia="Calibri"/>
          <w:lang w:val="fr-FR"/>
        </w:rPr>
        <w:t xml:space="preserve"> ou à une personne de confiance ;</w:t>
      </w:r>
      <w:r w:rsidR="00E819C1" w:rsidRPr="00F13D2D">
        <w:rPr>
          <w:rFonts w:eastAsia="Calibri"/>
          <w:lang w:val="fr-FR"/>
        </w:rPr>
        <w:t xml:space="preserve"> (ii) le placement de l’enfant dans un établissement, public ou privé, destiné à l’éducation et à la formation professionnelle</w:t>
      </w:r>
      <w:r w:rsidR="00FC0832">
        <w:rPr>
          <w:rFonts w:eastAsia="Calibri"/>
          <w:lang w:val="fr-FR"/>
        </w:rPr>
        <w:t> ;</w:t>
      </w:r>
      <w:r w:rsidR="00E819C1" w:rsidRPr="00F13D2D">
        <w:rPr>
          <w:rFonts w:eastAsia="Calibri"/>
          <w:lang w:val="fr-FR"/>
        </w:rPr>
        <w:t xml:space="preserve"> (iii) le placement de l’enfant dans un centre médical ou médico-éducatif habilité</w:t>
      </w:r>
      <w:r w:rsidR="00FC0832">
        <w:rPr>
          <w:rFonts w:eastAsia="Calibri"/>
          <w:lang w:val="fr-FR"/>
        </w:rPr>
        <w:t> ;</w:t>
      </w:r>
      <w:r w:rsidR="00E819C1" w:rsidRPr="00F13D2D">
        <w:rPr>
          <w:rFonts w:eastAsia="Calibri"/>
          <w:lang w:val="fr-FR"/>
        </w:rPr>
        <w:t xml:space="preserve"> (iv) le placement de l’enfant dans un centre de rééducation (art</w:t>
      </w:r>
      <w:r w:rsidR="003D1E5B">
        <w:rPr>
          <w:rFonts w:eastAsia="Calibri"/>
          <w:lang w:val="fr-FR"/>
        </w:rPr>
        <w:t>. </w:t>
      </w:r>
      <w:r w:rsidR="00E819C1" w:rsidRPr="00F13D2D">
        <w:rPr>
          <w:rFonts w:eastAsia="Calibri"/>
          <w:lang w:val="fr-FR"/>
        </w:rPr>
        <w:t>131 OPPE). Une condamnation pénale peut être infligée à l’enfant s’il s’avère que sa rééducation est nécessaire.</w:t>
      </w:r>
    </w:p>
    <w:p w:rsidR="00E819C1" w:rsidRPr="00E06F1B" w:rsidRDefault="008A67C0" w:rsidP="00AA7A93">
      <w:pPr>
        <w:pStyle w:val="H23G"/>
      </w:pPr>
      <w:bookmarkStart w:id="291" w:name="_Toc453672976"/>
      <w:bookmarkStart w:id="292" w:name="_Toc454388819"/>
      <w:r w:rsidRPr="000E17DF">
        <w:tab/>
      </w:r>
      <w:r w:rsidR="00E819C1" w:rsidRPr="00F13D2D">
        <w:t>2</w:t>
      </w:r>
      <w:r w:rsidRPr="00F13D2D">
        <w:t>.</w:t>
      </w:r>
      <w:r w:rsidRPr="00F13D2D">
        <w:tab/>
      </w:r>
      <w:r w:rsidR="00E819C1" w:rsidRPr="00F13D2D">
        <w:t>Avancées dans le domaine de la justice juvénile</w:t>
      </w:r>
      <w:bookmarkEnd w:id="291"/>
      <w:bookmarkEnd w:id="292"/>
    </w:p>
    <w:p w:rsidR="00E819C1" w:rsidRPr="00F13D2D" w:rsidRDefault="0055270C" w:rsidP="0055270C">
      <w:pPr>
        <w:pStyle w:val="SingleTxtG"/>
        <w:rPr>
          <w:rFonts w:eastAsia="Calibri"/>
          <w:lang w:val="fr-FR"/>
        </w:rPr>
      </w:pPr>
      <w:r w:rsidRPr="00F13D2D">
        <w:rPr>
          <w:rFonts w:eastAsia="Calibri"/>
          <w:lang w:val="fr-FR"/>
        </w:rPr>
        <w:t>188.</w:t>
      </w:r>
      <w:r w:rsidRPr="00F13D2D">
        <w:rPr>
          <w:rFonts w:eastAsia="Calibri"/>
          <w:lang w:val="fr-FR"/>
        </w:rPr>
        <w:tab/>
      </w:r>
      <w:r w:rsidR="00E819C1" w:rsidRPr="00F13D2D">
        <w:rPr>
          <w:rFonts w:eastAsia="Calibri"/>
          <w:lang w:val="fr-FR"/>
        </w:rPr>
        <w:t>La mise en œuvre de la réforme de la justice des mineurs s’est traduite par</w:t>
      </w:r>
      <w:r w:rsidR="003D1E5B">
        <w:rPr>
          <w:rFonts w:eastAsia="Calibri"/>
          <w:lang w:val="fr-FR"/>
        </w:rPr>
        <w:t xml:space="preserve"> </w:t>
      </w:r>
      <w:r w:rsidR="00E819C1" w:rsidRPr="00F13D2D">
        <w:rPr>
          <w:rFonts w:eastAsia="Calibri"/>
          <w:lang w:val="fr-FR"/>
        </w:rPr>
        <w:t>(i)</w:t>
      </w:r>
      <w:r w:rsidR="003D1E5B">
        <w:rPr>
          <w:rFonts w:eastAsia="Calibri"/>
          <w:lang w:val="fr-FR"/>
        </w:rPr>
        <w:t> </w:t>
      </w:r>
      <w:r w:rsidR="00E819C1" w:rsidRPr="00F13D2D">
        <w:rPr>
          <w:rFonts w:eastAsia="Calibri"/>
          <w:lang w:val="fr-FR"/>
        </w:rPr>
        <w:t>l’élaboration de la législation nécessaire pour la justice juvénile</w:t>
      </w:r>
      <w:r w:rsidR="009105C3">
        <w:rPr>
          <w:rFonts w:eastAsia="Calibri"/>
          <w:lang w:val="fr-FR"/>
        </w:rPr>
        <w:t> ;</w:t>
      </w:r>
      <w:r w:rsidR="00E819C1" w:rsidRPr="00F13D2D">
        <w:rPr>
          <w:rFonts w:eastAsia="Calibri"/>
          <w:lang w:val="fr-FR"/>
        </w:rPr>
        <w:t xml:space="preserve"> (ii)</w:t>
      </w:r>
      <w:r w:rsidR="009105C3">
        <w:rPr>
          <w:rFonts w:eastAsia="Calibri"/>
          <w:lang w:val="fr-FR"/>
        </w:rPr>
        <w:t> </w:t>
      </w:r>
      <w:r w:rsidR="00E819C1" w:rsidRPr="00F13D2D">
        <w:rPr>
          <w:rFonts w:eastAsia="Calibri"/>
          <w:lang w:val="fr-FR"/>
        </w:rPr>
        <w:t>la mise en place de modules de formation spécialisée</w:t>
      </w:r>
      <w:r w:rsidR="009105C3">
        <w:rPr>
          <w:rFonts w:eastAsia="Calibri"/>
          <w:lang w:val="fr-FR"/>
        </w:rPr>
        <w:t> ;</w:t>
      </w:r>
      <w:r w:rsidR="006C160E" w:rsidRPr="00F13D2D">
        <w:rPr>
          <w:rFonts w:eastAsia="Calibri"/>
          <w:lang w:val="fr-FR"/>
        </w:rPr>
        <w:t xml:space="preserve"> </w:t>
      </w:r>
      <w:r w:rsidR="00E819C1" w:rsidRPr="00F13D2D">
        <w:rPr>
          <w:rFonts w:eastAsia="Calibri"/>
          <w:lang w:val="fr-FR"/>
        </w:rPr>
        <w:t>(iii) la consolidation des structures créées dans le cadre de la réforme, à savoir</w:t>
      </w:r>
      <w:r w:rsidR="00FC0832">
        <w:rPr>
          <w:rFonts w:eastAsia="Calibri"/>
          <w:lang w:val="fr-FR"/>
        </w:rPr>
        <w:t> :</w:t>
      </w:r>
      <w:r w:rsidR="00E819C1" w:rsidRPr="00F13D2D">
        <w:rPr>
          <w:rFonts w:eastAsia="Calibri"/>
          <w:lang w:val="fr-FR"/>
        </w:rPr>
        <w:t xml:space="preserve"> la Direction de la Protection Judiciaire de l’Enfant (DPJE), au sein du Ministère de la justice et la Brigade Spéciale Chargée des Mineurs (BSCM) au sein de la Direction Générale de la Sûreté Nationale, relevant du Ministère de l‘Intérieur et de la Décentralisation</w:t>
      </w:r>
      <w:r w:rsidR="009105C3">
        <w:rPr>
          <w:rFonts w:eastAsia="Calibri"/>
          <w:lang w:val="fr-FR"/>
        </w:rPr>
        <w:t> ;</w:t>
      </w:r>
      <w:r w:rsidR="00E819C1" w:rsidRPr="00F13D2D">
        <w:rPr>
          <w:rFonts w:eastAsia="Calibri"/>
          <w:lang w:val="fr-FR"/>
        </w:rPr>
        <w:t xml:space="preserve"> (i</w:t>
      </w:r>
      <w:r w:rsidR="009105C3">
        <w:rPr>
          <w:rFonts w:eastAsia="Calibri"/>
          <w:lang w:val="fr-FR"/>
        </w:rPr>
        <w:t>v</w:t>
      </w:r>
      <w:r w:rsidR="00E819C1" w:rsidRPr="00F13D2D">
        <w:rPr>
          <w:rFonts w:eastAsia="Calibri"/>
          <w:lang w:val="fr-FR"/>
        </w:rPr>
        <w:t>) la mise en place d’un personnel</w:t>
      </w:r>
      <w:r w:rsidR="006C160E" w:rsidRPr="00F13D2D">
        <w:rPr>
          <w:rFonts w:eastAsia="Calibri"/>
          <w:lang w:val="fr-FR"/>
        </w:rPr>
        <w:t xml:space="preserve"> </w:t>
      </w:r>
      <w:r w:rsidR="00E819C1" w:rsidRPr="00F13D2D">
        <w:rPr>
          <w:rFonts w:eastAsia="Calibri"/>
          <w:lang w:val="fr-FR"/>
        </w:rPr>
        <w:t>formé dans le domaine de la justice juvénile</w:t>
      </w:r>
      <w:r w:rsidR="009105C3">
        <w:rPr>
          <w:rFonts w:eastAsia="Calibri"/>
          <w:lang w:val="fr-FR"/>
        </w:rPr>
        <w:t> ;</w:t>
      </w:r>
      <w:r w:rsidR="00E819C1" w:rsidRPr="00F13D2D">
        <w:rPr>
          <w:rFonts w:eastAsia="Calibri"/>
          <w:lang w:val="fr-FR"/>
        </w:rPr>
        <w:t xml:space="preserve"> et (v) et l’identification et la protection des enfants pouvant être victimes d’infractions.</w:t>
      </w:r>
    </w:p>
    <w:p w:rsidR="00E819C1" w:rsidRPr="00F13D2D" w:rsidRDefault="0055270C" w:rsidP="0055270C">
      <w:pPr>
        <w:pStyle w:val="SingleTxtG"/>
        <w:rPr>
          <w:rFonts w:eastAsia="Calibri"/>
          <w:lang w:val="fr-FR"/>
        </w:rPr>
      </w:pPr>
      <w:r w:rsidRPr="00F13D2D">
        <w:rPr>
          <w:rFonts w:eastAsia="Calibri"/>
          <w:lang w:val="fr-FR"/>
        </w:rPr>
        <w:t>189.</w:t>
      </w:r>
      <w:r w:rsidRPr="00F13D2D">
        <w:rPr>
          <w:rFonts w:eastAsia="Calibri"/>
          <w:lang w:val="fr-FR"/>
        </w:rPr>
        <w:tab/>
      </w:r>
      <w:r w:rsidR="00E819C1" w:rsidRPr="00F13D2D">
        <w:rPr>
          <w:rFonts w:eastAsia="Calibri"/>
          <w:lang w:val="fr-FR"/>
        </w:rPr>
        <w:t>Par ailleurs, la justice des mineurs a été marquée</w:t>
      </w:r>
      <w:r w:rsidR="006C160E" w:rsidRPr="00F13D2D">
        <w:rPr>
          <w:rFonts w:eastAsia="Calibri"/>
          <w:lang w:val="fr-FR"/>
        </w:rPr>
        <w:t xml:space="preserve"> </w:t>
      </w:r>
      <w:r w:rsidR="00E819C1" w:rsidRPr="00F13D2D">
        <w:rPr>
          <w:rFonts w:eastAsia="Calibri"/>
          <w:lang w:val="fr-FR"/>
        </w:rPr>
        <w:t>par </w:t>
      </w:r>
      <w:r w:rsidR="00FC0832">
        <w:rPr>
          <w:rFonts w:eastAsia="Calibri"/>
          <w:lang w:val="fr-FR"/>
        </w:rPr>
        <w:t>:</w:t>
      </w:r>
      <w:r w:rsidR="00E819C1" w:rsidRPr="00F13D2D">
        <w:rPr>
          <w:rFonts w:eastAsia="Calibri"/>
          <w:lang w:val="fr-FR"/>
        </w:rPr>
        <w:t xml:space="preserve"> (i) une collaboration constante </w:t>
      </w:r>
      <w:r w:rsidR="00D66815">
        <w:rPr>
          <w:rFonts w:eastAsia="Calibri"/>
          <w:lang w:val="fr-FR"/>
        </w:rPr>
        <w:t>des Pouvoirs Publics avec la SC ;</w:t>
      </w:r>
      <w:r w:rsidR="00E819C1" w:rsidRPr="00F13D2D">
        <w:rPr>
          <w:rFonts w:eastAsia="Calibri"/>
          <w:lang w:val="fr-FR"/>
        </w:rPr>
        <w:t xml:space="preserve"> (ii) la création et la</w:t>
      </w:r>
      <w:r w:rsidR="006C160E" w:rsidRPr="00F13D2D">
        <w:rPr>
          <w:rFonts w:eastAsia="Calibri"/>
          <w:lang w:val="fr-FR"/>
        </w:rPr>
        <w:t xml:space="preserve"> </w:t>
      </w:r>
      <w:r w:rsidR="00E819C1" w:rsidRPr="00F13D2D">
        <w:rPr>
          <w:rFonts w:eastAsia="Calibri"/>
          <w:lang w:val="fr-FR"/>
        </w:rPr>
        <w:t>mobilisation de réseaux de services et d’organisations de base pour appuyer la mise en place de systèmes communaux de protection des enfants</w:t>
      </w:r>
      <w:r w:rsidR="00D66815">
        <w:rPr>
          <w:rFonts w:eastAsia="Calibri"/>
          <w:lang w:val="fr-FR"/>
        </w:rPr>
        <w:t xml:space="preserve"> (SPC), désormais opérationnels ;</w:t>
      </w:r>
      <w:r w:rsidR="00E819C1" w:rsidRPr="00F13D2D">
        <w:rPr>
          <w:rFonts w:eastAsia="Calibri"/>
          <w:lang w:val="fr-FR"/>
        </w:rPr>
        <w:t xml:space="preserve"> (iii) l’adoption de décrets, complétant la mise en œuvre de l’OPPE</w:t>
      </w:r>
      <w:r w:rsidR="00FC0832">
        <w:rPr>
          <w:rFonts w:eastAsia="Calibri"/>
          <w:lang w:val="fr-FR"/>
        </w:rPr>
        <w:t> ;</w:t>
      </w:r>
      <w:r w:rsidR="00E819C1" w:rsidRPr="00F13D2D">
        <w:rPr>
          <w:rFonts w:eastAsia="Calibri"/>
          <w:lang w:val="fr-FR"/>
        </w:rPr>
        <w:t xml:space="preserve"> (iv) de nombreux temps de formation, à caractère multidisciplinaire, mais aussi par corps d’acteurs à destination de policiers, magistrats, travailleurs sociaux, avocats … en vue d’une prise en compte optimisée des éléments de l’OPPE</w:t>
      </w:r>
      <w:r w:rsidR="003D1E5B">
        <w:rPr>
          <w:rFonts w:eastAsia="Calibri"/>
          <w:lang w:val="fr-FR"/>
        </w:rPr>
        <w:t> ;</w:t>
      </w:r>
      <w:r w:rsidR="00E819C1" w:rsidRPr="00F13D2D">
        <w:rPr>
          <w:rFonts w:eastAsia="Calibri"/>
          <w:lang w:val="fr-FR"/>
        </w:rPr>
        <w:t xml:space="preserve"> (v) la mise en place</w:t>
      </w:r>
      <w:r w:rsidR="006C160E" w:rsidRPr="00F13D2D">
        <w:rPr>
          <w:rFonts w:eastAsia="Calibri"/>
          <w:lang w:val="fr-FR"/>
        </w:rPr>
        <w:t xml:space="preserve"> </w:t>
      </w:r>
      <w:r w:rsidR="00E819C1" w:rsidRPr="00F13D2D">
        <w:rPr>
          <w:rFonts w:eastAsia="Calibri"/>
          <w:lang w:val="fr-FR"/>
        </w:rPr>
        <w:t xml:space="preserve">d’une base de données au sein de la DPJE pour suivi et l’information la plus exhaustive que possible, des éléments propres à la justice des </w:t>
      </w:r>
      <w:r w:rsidR="00E819C1" w:rsidRPr="00F13D2D">
        <w:rPr>
          <w:rFonts w:eastAsia="Calibri"/>
          <w:lang w:val="fr-FR"/>
        </w:rPr>
        <w:lastRenderedPageBreak/>
        <w:t>mineurs</w:t>
      </w:r>
      <w:r w:rsidR="00FC0832">
        <w:rPr>
          <w:rFonts w:eastAsia="Calibri"/>
          <w:lang w:val="fr-FR"/>
        </w:rPr>
        <w:t> ;</w:t>
      </w:r>
      <w:r w:rsidR="00E819C1" w:rsidRPr="00F13D2D">
        <w:rPr>
          <w:rFonts w:eastAsia="Calibri"/>
          <w:lang w:val="fr-FR"/>
        </w:rPr>
        <w:t xml:space="preserve"> (vi) la formation constante des membres de la</w:t>
      </w:r>
      <w:r w:rsidR="006C160E" w:rsidRPr="00F13D2D">
        <w:rPr>
          <w:rFonts w:eastAsia="Calibri"/>
          <w:lang w:val="fr-FR"/>
        </w:rPr>
        <w:t xml:space="preserve"> </w:t>
      </w:r>
      <w:r w:rsidR="00E819C1" w:rsidRPr="00F13D2D">
        <w:rPr>
          <w:rFonts w:eastAsia="Calibri"/>
          <w:lang w:val="fr-FR"/>
        </w:rPr>
        <w:t>BSCM </w:t>
      </w:r>
      <w:r w:rsidR="00FC0832">
        <w:rPr>
          <w:rFonts w:eastAsia="Calibri"/>
          <w:lang w:val="fr-FR"/>
        </w:rPr>
        <w:t>;</w:t>
      </w:r>
      <w:r w:rsidR="00E819C1" w:rsidRPr="00F13D2D">
        <w:rPr>
          <w:rFonts w:eastAsia="Calibri"/>
          <w:lang w:val="fr-FR"/>
        </w:rPr>
        <w:t xml:space="preserve"> (vii) la dynamisation de cercles de concertation propres à la justice juvénile ou à la promotion des droits de l’enfant</w:t>
      </w:r>
      <w:r w:rsidR="003D1E5B">
        <w:rPr>
          <w:rFonts w:eastAsia="Calibri"/>
          <w:lang w:val="fr-FR"/>
        </w:rPr>
        <w:t> ;</w:t>
      </w:r>
      <w:r w:rsidR="00E819C1" w:rsidRPr="00F13D2D">
        <w:rPr>
          <w:rFonts w:eastAsia="Calibri"/>
          <w:lang w:val="fr-FR"/>
        </w:rPr>
        <w:t xml:space="preserve"> (viii) la production de documents et outils de formation et/ou d’information, spécifiques à la thématique ou aux secteurs ayant à intervenir en matière de justice des mineurs (police, justice, travail social, accueil d’enfants en structures, normes de prise en charge, actions de protection de l’enfant…)</w:t>
      </w:r>
      <w:r w:rsidR="003D1E5B">
        <w:rPr>
          <w:rFonts w:eastAsia="Calibri"/>
          <w:lang w:val="fr-FR"/>
        </w:rPr>
        <w:t> ;</w:t>
      </w:r>
      <w:r w:rsidR="00E819C1" w:rsidRPr="00F13D2D">
        <w:rPr>
          <w:rFonts w:eastAsia="Calibri"/>
          <w:lang w:val="fr-FR"/>
        </w:rPr>
        <w:t xml:space="preserve"> (ix) des actions de sensibilisation aux droits de l’enfant, via les SPC ayant permis la mobilisation et l’implication de nombreux services (santé, éducation, état civil, communes …) et les</w:t>
      </w:r>
      <w:r w:rsidR="006C160E" w:rsidRPr="00F13D2D">
        <w:rPr>
          <w:rFonts w:eastAsia="Calibri"/>
          <w:lang w:val="fr-FR"/>
        </w:rPr>
        <w:t xml:space="preserve"> </w:t>
      </w:r>
      <w:r w:rsidR="00E819C1" w:rsidRPr="00F13D2D">
        <w:rPr>
          <w:rFonts w:eastAsia="Calibri"/>
          <w:lang w:val="fr-FR"/>
        </w:rPr>
        <w:t>organisations</w:t>
      </w:r>
      <w:r w:rsidR="006C160E" w:rsidRPr="00F13D2D">
        <w:rPr>
          <w:rFonts w:eastAsia="Calibri"/>
          <w:lang w:val="fr-FR"/>
        </w:rPr>
        <w:t xml:space="preserve"> </w:t>
      </w:r>
      <w:r w:rsidR="00E819C1" w:rsidRPr="00F13D2D">
        <w:rPr>
          <w:rFonts w:eastAsia="Calibri"/>
          <w:lang w:val="fr-FR"/>
        </w:rPr>
        <w:t>de la SC</w:t>
      </w:r>
      <w:r w:rsidR="00FC0832">
        <w:rPr>
          <w:rFonts w:eastAsia="Calibri"/>
          <w:lang w:val="fr-FR"/>
        </w:rPr>
        <w:t> ;</w:t>
      </w:r>
      <w:r w:rsidR="00E819C1" w:rsidRPr="00F13D2D">
        <w:rPr>
          <w:rFonts w:eastAsia="Calibri"/>
          <w:lang w:val="fr-FR"/>
        </w:rPr>
        <w:t xml:space="preserve"> (x) des travaux d’études ou d’analyse de situation (notamment pour les mineures victimes de maltraitance</w:t>
      </w:r>
      <w:r w:rsidR="006C160E" w:rsidRPr="00F13D2D">
        <w:rPr>
          <w:rFonts w:eastAsia="Calibri"/>
          <w:lang w:val="fr-FR"/>
        </w:rPr>
        <w:t xml:space="preserve"> </w:t>
      </w:r>
      <w:r w:rsidR="00E819C1" w:rsidRPr="00F13D2D">
        <w:rPr>
          <w:rFonts w:eastAsia="Calibri"/>
          <w:lang w:val="fr-FR"/>
        </w:rPr>
        <w:t>et en situation de domesticité)</w:t>
      </w:r>
      <w:r w:rsidR="00FC0832">
        <w:rPr>
          <w:rFonts w:eastAsia="Calibri"/>
          <w:lang w:val="fr-FR"/>
        </w:rPr>
        <w:t> ;</w:t>
      </w:r>
      <w:r w:rsidR="00E819C1" w:rsidRPr="00F13D2D">
        <w:rPr>
          <w:rFonts w:eastAsia="Calibri"/>
          <w:lang w:val="fr-FR"/>
        </w:rPr>
        <w:t xml:space="preserve"> (xi) un nombre important d’enfants</w:t>
      </w:r>
      <w:r w:rsidR="006C160E" w:rsidRPr="00F13D2D">
        <w:rPr>
          <w:rFonts w:eastAsia="Calibri"/>
          <w:lang w:val="fr-FR"/>
        </w:rPr>
        <w:t xml:space="preserve"> </w:t>
      </w:r>
      <w:r w:rsidR="00E819C1" w:rsidRPr="00F13D2D">
        <w:rPr>
          <w:rFonts w:eastAsia="Calibri"/>
          <w:lang w:val="fr-FR"/>
        </w:rPr>
        <w:t xml:space="preserve">traités, soit en tant qu’auteurs, auteurs présumés et/ou victimes d’infractions. </w:t>
      </w:r>
    </w:p>
    <w:p w:rsidR="00E819C1" w:rsidRPr="00E06F1B" w:rsidRDefault="008A67C0" w:rsidP="00AA7A93">
      <w:pPr>
        <w:pStyle w:val="H23G"/>
      </w:pPr>
      <w:bookmarkStart w:id="293" w:name="_Toc453672977"/>
      <w:bookmarkStart w:id="294" w:name="_Toc454388820"/>
      <w:r w:rsidRPr="000E17DF">
        <w:tab/>
      </w:r>
      <w:r w:rsidR="00E819C1" w:rsidRPr="00F13D2D">
        <w:t>3</w:t>
      </w:r>
      <w:r w:rsidRPr="00F13D2D">
        <w:t>.</w:t>
      </w:r>
      <w:r w:rsidRPr="00F13D2D">
        <w:tab/>
      </w:r>
      <w:r w:rsidR="00E819C1" w:rsidRPr="00F13D2D">
        <w:t>Bilan de la justice des mineurs</w:t>
      </w:r>
      <w:bookmarkEnd w:id="293"/>
      <w:bookmarkEnd w:id="294"/>
    </w:p>
    <w:p w:rsidR="00E819C1" w:rsidRPr="00F13D2D" w:rsidRDefault="0055270C" w:rsidP="0055270C">
      <w:pPr>
        <w:pStyle w:val="SingleTxtG"/>
        <w:rPr>
          <w:rFonts w:eastAsia="Calibri"/>
          <w:lang w:val="fr-FR"/>
        </w:rPr>
      </w:pPr>
      <w:r w:rsidRPr="00F13D2D">
        <w:rPr>
          <w:rFonts w:eastAsia="Calibri"/>
          <w:lang w:val="fr-FR"/>
        </w:rPr>
        <w:t>190.</w:t>
      </w:r>
      <w:r w:rsidRPr="00F13D2D">
        <w:rPr>
          <w:rFonts w:eastAsia="Calibri"/>
          <w:lang w:val="fr-FR"/>
        </w:rPr>
        <w:tab/>
      </w:r>
      <w:r w:rsidR="00E819C1" w:rsidRPr="00F13D2D">
        <w:rPr>
          <w:rFonts w:eastAsia="Calibri"/>
          <w:lang w:val="fr-FR"/>
        </w:rPr>
        <w:t>Les efforts accomplis par le Gouvernement pour répondre aux recommandations du Comité se sont traduits par</w:t>
      </w:r>
      <w:r w:rsidR="006C160E" w:rsidRPr="00F13D2D">
        <w:rPr>
          <w:rFonts w:eastAsia="Calibri"/>
          <w:lang w:val="fr-FR"/>
        </w:rPr>
        <w:t xml:space="preserve"> </w:t>
      </w:r>
      <w:r w:rsidR="00E819C1" w:rsidRPr="00F13D2D">
        <w:rPr>
          <w:rFonts w:eastAsia="Calibri"/>
          <w:lang w:val="fr-FR"/>
        </w:rPr>
        <w:t>plusieurs actions</w:t>
      </w:r>
      <w:r w:rsidR="00FC0832">
        <w:rPr>
          <w:rFonts w:eastAsia="Calibri"/>
          <w:lang w:val="fr-FR"/>
        </w:rPr>
        <w:t> :</w:t>
      </w:r>
      <w:r w:rsidR="00E819C1" w:rsidRPr="00F13D2D">
        <w:rPr>
          <w:rFonts w:eastAsia="Calibri"/>
          <w:lang w:val="fr-FR"/>
        </w:rPr>
        <w:t xml:space="preserve"> (i) un système de mesures alternatives a été mis en place</w:t>
      </w:r>
      <w:r w:rsidR="00D66815">
        <w:rPr>
          <w:rFonts w:eastAsia="Calibri"/>
          <w:lang w:val="fr-FR"/>
        </w:rPr>
        <w:t xml:space="preserve"> par l’adoption de deux décrets </w:t>
      </w:r>
      <w:r w:rsidR="00E819C1" w:rsidRPr="00F13D2D">
        <w:rPr>
          <w:rFonts w:eastAsia="Calibri"/>
          <w:lang w:val="fr-FR"/>
        </w:rPr>
        <w:t>sur les mesures alternatives à la détention des enfants</w:t>
      </w:r>
      <w:r w:rsidR="006C160E" w:rsidRPr="00F13D2D">
        <w:rPr>
          <w:rFonts w:eastAsia="Calibri"/>
          <w:lang w:val="fr-FR"/>
        </w:rPr>
        <w:t xml:space="preserve"> </w:t>
      </w:r>
      <w:r w:rsidR="00E819C1" w:rsidRPr="00F13D2D">
        <w:rPr>
          <w:rFonts w:eastAsia="Calibri"/>
          <w:lang w:val="fr-FR"/>
        </w:rPr>
        <w:t>et l’assistance judiciaire qui ont été consolidés par l’ouverture d’un centre</w:t>
      </w:r>
      <w:r w:rsidR="006C160E" w:rsidRPr="00F13D2D">
        <w:rPr>
          <w:rFonts w:eastAsia="Calibri"/>
          <w:lang w:val="fr-FR"/>
        </w:rPr>
        <w:t xml:space="preserve"> </w:t>
      </w:r>
      <w:r w:rsidR="00E819C1" w:rsidRPr="00F13D2D">
        <w:rPr>
          <w:rFonts w:eastAsia="Calibri"/>
          <w:lang w:val="fr-FR"/>
        </w:rPr>
        <w:t>d’accueil et réinsertion sociale des enfants en conflit avec la loi (CARSEC)</w:t>
      </w:r>
      <w:r w:rsidR="006C160E" w:rsidRPr="00F13D2D">
        <w:rPr>
          <w:rFonts w:eastAsia="Calibri"/>
          <w:lang w:val="fr-FR"/>
        </w:rPr>
        <w:t xml:space="preserve"> </w:t>
      </w:r>
      <w:r w:rsidR="00E819C1" w:rsidRPr="00F13D2D">
        <w:rPr>
          <w:rFonts w:eastAsia="Calibri"/>
          <w:lang w:val="fr-FR"/>
        </w:rPr>
        <w:t>à Nouakchott qui a développé une fructueuse coopération</w:t>
      </w:r>
      <w:r w:rsidR="006C160E" w:rsidRPr="00F13D2D">
        <w:rPr>
          <w:rFonts w:eastAsia="Calibri"/>
          <w:lang w:val="fr-FR"/>
        </w:rPr>
        <w:t xml:space="preserve"> </w:t>
      </w:r>
      <w:r w:rsidR="00E819C1" w:rsidRPr="00F13D2D">
        <w:rPr>
          <w:rFonts w:eastAsia="Calibri"/>
          <w:lang w:val="fr-FR"/>
        </w:rPr>
        <w:t>avec le Centre de Protection et d’Intégration Sociale des Enfants (CPISE)</w:t>
      </w:r>
      <w:r w:rsidR="003D1E5B">
        <w:rPr>
          <w:rFonts w:eastAsia="Calibri"/>
          <w:lang w:val="fr-FR"/>
        </w:rPr>
        <w:t> ;</w:t>
      </w:r>
      <w:r w:rsidR="006C160E" w:rsidRPr="00F13D2D">
        <w:rPr>
          <w:rFonts w:eastAsia="Calibri"/>
          <w:lang w:val="fr-FR"/>
        </w:rPr>
        <w:t xml:space="preserve"> </w:t>
      </w:r>
      <w:r w:rsidR="00E819C1" w:rsidRPr="00F13D2D">
        <w:rPr>
          <w:rFonts w:eastAsia="Calibri"/>
          <w:lang w:val="fr-FR"/>
        </w:rPr>
        <w:t>(ii) les rôles de</w:t>
      </w:r>
      <w:r w:rsidR="00FC0832">
        <w:rPr>
          <w:rFonts w:eastAsia="Calibri"/>
          <w:lang w:val="fr-FR"/>
        </w:rPr>
        <w:t> :</w:t>
      </w:r>
      <w:r w:rsidR="00E819C1" w:rsidRPr="00F13D2D">
        <w:rPr>
          <w:rFonts w:eastAsia="Calibri"/>
          <w:lang w:val="fr-FR"/>
        </w:rPr>
        <w:t xml:space="preserve"> substitut du procureur, juge d’instruction, cours criminelles et chambre spéciale des mineurs ont été institués</w:t>
      </w:r>
      <w:r w:rsidR="006C160E" w:rsidRPr="00F13D2D">
        <w:rPr>
          <w:rFonts w:eastAsia="Calibri"/>
          <w:lang w:val="fr-FR"/>
        </w:rPr>
        <w:t xml:space="preserve"> </w:t>
      </w:r>
      <w:r w:rsidR="00E819C1" w:rsidRPr="00F13D2D">
        <w:rPr>
          <w:rFonts w:eastAsia="Calibri"/>
          <w:lang w:val="fr-FR"/>
        </w:rPr>
        <w:t xml:space="preserve">à Nouakchott. </w:t>
      </w:r>
      <w:r w:rsidR="000E4C19">
        <w:rPr>
          <w:rFonts w:eastAsia="Calibri"/>
          <w:lang w:val="fr-FR"/>
        </w:rPr>
        <w:t>À</w:t>
      </w:r>
      <w:r w:rsidR="00E819C1" w:rsidRPr="00F13D2D">
        <w:rPr>
          <w:rFonts w:eastAsia="Calibri"/>
          <w:lang w:val="fr-FR"/>
        </w:rPr>
        <w:t xml:space="preserve"> Nouadhibou et à Rosso. Les juges et autres personnels de justice y traitent l’ensemble des dossiers y compris ceux impliquant des mineurs. L’application de l’OPPE y est toutefois effective</w:t>
      </w:r>
      <w:r w:rsidR="00FC0832">
        <w:rPr>
          <w:rFonts w:eastAsia="Calibri"/>
          <w:lang w:val="fr-FR"/>
        </w:rPr>
        <w:t> ;</w:t>
      </w:r>
      <w:r w:rsidR="00E819C1" w:rsidRPr="00F13D2D">
        <w:rPr>
          <w:rFonts w:eastAsia="Calibri"/>
          <w:lang w:val="fr-FR"/>
        </w:rPr>
        <w:t xml:space="preserve"> (iii) un décret portant sur les cours criminelles pour enfants a été adopté </w:t>
      </w:r>
      <w:r w:rsidR="00FC0832">
        <w:rPr>
          <w:rFonts w:eastAsia="Calibri"/>
          <w:lang w:val="fr-FR"/>
        </w:rPr>
        <w:t>;</w:t>
      </w:r>
      <w:r w:rsidR="00E819C1" w:rsidRPr="00F13D2D">
        <w:rPr>
          <w:rFonts w:eastAsia="Calibri"/>
          <w:lang w:val="fr-FR"/>
        </w:rPr>
        <w:t xml:space="preserve"> (iv) les magistrats ont reçu des temps de formation/information sur l’OPPE</w:t>
      </w:r>
      <w:r w:rsidR="00FC0832">
        <w:rPr>
          <w:rFonts w:eastAsia="Calibri"/>
          <w:lang w:val="fr-FR"/>
        </w:rPr>
        <w:t> ;</w:t>
      </w:r>
      <w:r w:rsidR="00E819C1" w:rsidRPr="00F13D2D">
        <w:rPr>
          <w:rFonts w:eastAsia="Calibri"/>
          <w:lang w:val="fr-FR"/>
        </w:rPr>
        <w:t xml:space="preserve"> (v) un manuel de formation initiale des professionnels de la justice des mineurs a été élaboré (vi) au moins 8</w:t>
      </w:r>
      <w:r w:rsidR="002A5875">
        <w:rPr>
          <w:rFonts w:eastAsia="Calibri"/>
          <w:lang w:val="fr-FR"/>
        </w:rPr>
        <w:t> </w:t>
      </w:r>
      <w:r w:rsidR="00E819C1" w:rsidRPr="00F13D2D">
        <w:rPr>
          <w:rFonts w:eastAsia="Calibri"/>
          <w:lang w:val="fr-FR"/>
        </w:rPr>
        <w:t>types d’alternatives sont applicables par les juges spécialisés.</w:t>
      </w:r>
      <w:r w:rsidR="00D66815">
        <w:rPr>
          <w:rFonts w:eastAsia="Calibri"/>
          <w:lang w:val="fr-FR"/>
        </w:rPr>
        <w:t xml:space="preserve"> </w:t>
      </w:r>
      <w:r w:rsidR="00E819C1" w:rsidRPr="00F13D2D">
        <w:rPr>
          <w:rFonts w:eastAsia="Calibri"/>
          <w:lang w:val="fr-FR"/>
        </w:rPr>
        <w:t>(1.Retour en famille, 2.Contrôle judiciaire, 3.Travail d’intérêt général, 4.Médiation, 5.Réparation, 6.Admonestation, 7.Orientation vers un centre de réhabilitation 8.Orientation vers un centre médical habilité)</w:t>
      </w:r>
      <w:r w:rsidR="00FC0832">
        <w:rPr>
          <w:rFonts w:eastAsia="Calibri"/>
          <w:lang w:val="fr-FR"/>
        </w:rPr>
        <w:t> ;</w:t>
      </w:r>
      <w:r w:rsidR="00E819C1" w:rsidRPr="00F13D2D">
        <w:rPr>
          <w:rFonts w:eastAsia="Calibri"/>
          <w:lang w:val="fr-FR"/>
        </w:rPr>
        <w:t xml:space="preserve"> (vii) l’ensemble des mesures prévues par l’OPPE sont appliquées</w:t>
      </w:r>
      <w:r w:rsidR="00FC0832">
        <w:rPr>
          <w:rFonts w:eastAsia="Calibri"/>
          <w:lang w:val="fr-FR"/>
        </w:rPr>
        <w:t> ;</w:t>
      </w:r>
      <w:r w:rsidR="00E819C1" w:rsidRPr="00F13D2D">
        <w:rPr>
          <w:rFonts w:eastAsia="Calibri"/>
          <w:lang w:val="fr-FR"/>
        </w:rPr>
        <w:t xml:space="preserve"> (viii) 80</w:t>
      </w:r>
      <w:r w:rsidR="006348D2">
        <w:rPr>
          <w:rFonts w:eastAsia="Calibri"/>
          <w:lang w:val="fr-FR"/>
        </w:rPr>
        <w:t> %</w:t>
      </w:r>
      <w:r w:rsidR="00E819C1" w:rsidRPr="00F13D2D">
        <w:rPr>
          <w:rFonts w:eastAsia="Calibri"/>
          <w:lang w:val="fr-FR"/>
        </w:rPr>
        <w:t xml:space="preserve"> des juges,</w:t>
      </w:r>
      <w:r w:rsidR="006C160E" w:rsidRPr="00F13D2D">
        <w:rPr>
          <w:rFonts w:eastAsia="Calibri"/>
          <w:lang w:val="fr-FR"/>
        </w:rPr>
        <w:t xml:space="preserve"> </w:t>
      </w:r>
      <w:r w:rsidR="00E819C1" w:rsidRPr="00F13D2D">
        <w:rPr>
          <w:rFonts w:eastAsia="Calibri"/>
          <w:lang w:val="fr-FR"/>
        </w:rPr>
        <w:t>greffiers et avocats pour mineurs ont reçu le texte de l’OPPE.</w:t>
      </w:r>
    </w:p>
    <w:p w:rsidR="00E819C1" w:rsidRPr="00F13D2D" w:rsidRDefault="0055270C" w:rsidP="0055270C">
      <w:pPr>
        <w:pStyle w:val="SingleTxtG"/>
        <w:rPr>
          <w:rFonts w:eastAsia="Calibri"/>
          <w:lang w:val="fr-FR"/>
        </w:rPr>
      </w:pPr>
      <w:r w:rsidRPr="00F13D2D">
        <w:rPr>
          <w:rFonts w:eastAsia="Calibri"/>
          <w:lang w:val="fr-FR"/>
        </w:rPr>
        <w:t>191.</w:t>
      </w:r>
      <w:r w:rsidRPr="00F13D2D">
        <w:rPr>
          <w:rFonts w:eastAsia="Calibri"/>
          <w:lang w:val="fr-FR"/>
        </w:rPr>
        <w:tab/>
      </w:r>
      <w:r w:rsidR="00E819C1" w:rsidRPr="00F13D2D">
        <w:rPr>
          <w:rFonts w:eastAsia="Calibri"/>
          <w:lang w:val="fr-FR"/>
        </w:rPr>
        <w:t>L’effectif de mineurs incarcérés est faible (34). Le recours aux alternatives est donc très majoritairement utilisé. 1</w:t>
      </w:r>
      <w:r w:rsidR="003D1E5B">
        <w:rPr>
          <w:rFonts w:eastAsia="Calibri"/>
          <w:lang w:val="fr-FR"/>
        </w:rPr>
        <w:t> </w:t>
      </w:r>
      <w:r w:rsidR="00E819C1" w:rsidRPr="00F13D2D">
        <w:rPr>
          <w:rFonts w:eastAsia="Calibri"/>
          <w:lang w:val="fr-FR"/>
        </w:rPr>
        <w:t>801 (année 2012) 1</w:t>
      </w:r>
      <w:r w:rsidR="003D1E5B">
        <w:rPr>
          <w:rFonts w:eastAsia="Calibri"/>
          <w:lang w:val="fr-FR"/>
        </w:rPr>
        <w:t> </w:t>
      </w:r>
      <w:r w:rsidR="00E819C1" w:rsidRPr="00F13D2D">
        <w:rPr>
          <w:rFonts w:eastAsia="Calibri"/>
          <w:lang w:val="fr-FR"/>
        </w:rPr>
        <w:t>862 (année 2011) 2</w:t>
      </w:r>
      <w:r w:rsidR="003D1E5B">
        <w:rPr>
          <w:rFonts w:eastAsia="Calibri"/>
          <w:lang w:val="fr-FR"/>
        </w:rPr>
        <w:t> </w:t>
      </w:r>
      <w:r w:rsidR="00E819C1" w:rsidRPr="00F13D2D">
        <w:rPr>
          <w:rFonts w:eastAsia="Calibri"/>
          <w:lang w:val="fr-FR"/>
        </w:rPr>
        <w:t>796 (année 2010) soit</w:t>
      </w:r>
      <w:r w:rsidR="006C160E" w:rsidRPr="00F13D2D">
        <w:rPr>
          <w:rFonts w:eastAsia="Calibri"/>
          <w:lang w:val="fr-FR"/>
        </w:rPr>
        <w:t xml:space="preserve"> </w:t>
      </w:r>
      <w:r w:rsidR="00E819C1" w:rsidRPr="00F13D2D">
        <w:rPr>
          <w:rFonts w:eastAsia="Calibri"/>
          <w:lang w:val="fr-FR"/>
        </w:rPr>
        <w:t>6</w:t>
      </w:r>
      <w:r w:rsidR="003D1E5B">
        <w:rPr>
          <w:rFonts w:eastAsia="Calibri"/>
          <w:lang w:val="fr-FR"/>
        </w:rPr>
        <w:t> </w:t>
      </w:r>
      <w:r w:rsidR="00E819C1" w:rsidRPr="00F13D2D">
        <w:rPr>
          <w:rFonts w:eastAsia="Calibri"/>
          <w:lang w:val="fr-FR"/>
        </w:rPr>
        <w:t xml:space="preserve">459 en trois années. </w:t>
      </w:r>
      <w:r w:rsidR="000E4C19">
        <w:rPr>
          <w:rFonts w:eastAsia="Calibri"/>
          <w:lang w:val="fr-FR"/>
        </w:rPr>
        <w:t>À</w:t>
      </w:r>
      <w:r w:rsidR="00E819C1" w:rsidRPr="00F13D2D">
        <w:rPr>
          <w:rFonts w:eastAsia="Calibri"/>
          <w:lang w:val="fr-FR"/>
        </w:rPr>
        <w:t xml:space="preserve"> compter de 2011, les données ont pu être fiabilisées progressivement, via la mise en place d’une base de données. 218 enfants</w:t>
      </w:r>
      <w:r w:rsidR="006C160E" w:rsidRPr="00F13D2D">
        <w:rPr>
          <w:rFonts w:eastAsia="Calibri"/>
          <w:lang w:val="fr-FR"/>
        </w:rPr>
        <w:t xml:space="preserve"> </w:t>
      </w:r>
      <w:r w:rsidR="00E819C1" w:rsidRPr="00F13D2D">
        <w:rPr>
          <w:rFonts w:eastAsia="Calibri"/>
          <w:lang w:val="fr-FR"/>
        </w:rPr>
        <w:t>ont été réinsérés sur 3</w:t>
      </w:r>
      <w:r w:rsidR="003D1E5B">
        <w:rPr>
          <w:rFonts w:eastAsia="Calibri"/>
          <w:lang w:val="fr-FR"/>
        </w:rPr>
        <w:t> </w:t>
      </w:r>
      <w:r w:rsidR="00E819C1" w:rsidRPr="00F13D2D">
        <w:rPr>
          <w:rFonts w:eastAsia="Calibri"/>
          <w:lang w:val="fr-FR"/>
        </w:rPr>
        <w:t>644 inscrits à la DPJE (soit 6</w:t>
      </w:r>
      <w:r w:rsidR="006348D2">
        <w:rPr>
          <w:rFonts w:eastAsia="Calibri"/>
          <w:lang w:val="fr-FR"/>
        </w:rPr>
        <w:t> %</w:t>
      </w:r>
      <w:r w:rsidR="00E819C1" w:rsidRPr="00F13D2D">
        <w:rPr>
          <w:rFonts w:eastAsia="Calibri"/>
          <w:lang w:val="fr-FR"/>
        </w:rPr>
        <w:t>) Un accord pour l’orientation des enfants en conflit avec la loi</w:t>
      </w:r>
      <w:r w:rsidR="006C160E" w:rsidRPr="00F13D2D">
        <w:rPr>
          <w:rFonts w:eastAsia="Calibri"/>
          <w:lang w:val="fr-FR"/>
        </w:rPr>
        <w:t xml:space="preserve"> </w:t>
      </w:r>
      <w:r w:rsidR="00E819C1" w:rsidRPr="00F13D2D">
        <w:rPr>
          <w:rFonts w:eastAsia="Calibri"/>
          <w:lang w:val="fr-FR"/>
        </w:rPr>
        <w:t>est conclu entre la DPJE, la Brigade des Mineurs et les organisations de la SC. La coordination entre la DPJE et la BSCM a fonctionné.. La stratégie nationale de protection s’est traduite par</w:t>
      </w:r>
      <w:r w:rsidR="00FC0832">
        <w:rPr>
          <w:rFonts w:eastAsia="Calibri"/>
          <w:lang w:val="fr-FR"/>
        </w:rPr>
        <w:t> :</w:t>
      </w:r>
      <w:r w:rsidR="00E819C1" w:rsidRPr="00F13D2D">
        <w:rPr>
          <w:rFonts w:eastAsia="Calibri"/>
          <w:lang w:val="fr-FR"/>
        </w:rPr>
        <w:t xml:space="preserve"> (i) formation et la sensibilisation des membres de la table régionale de protection de l’enfance, mise en place à Nouakchott et Nouadhibou</w:t>
      </w:r>
      <w:r w:rsidR="00FC0832">
        <w:rPr>
          <w:rFonts w:eastAsia="Calibri"/>
          <w:lang w:val="fr-FR"/>
        </w:rPr>
        <w:t> ;</w:t>
      </w:r>
      <w:r w:rsidR="00D66815">
        <w:rPr>
          <w:rFonts w:eastAsia="Calibri"/>
          <w:lang w:val="fr-FR"/>
        </w:rPr>
        <w:t xml:space="preserve"> (ii) </w:t>
      </w:r>
      <w:r w:rsidR="00E819C1" w:rsidRPr="00F13D2D">
        <w:rPr>
          <w:rFonts w:eastAsia="Calibri"/>
          <w:lang w:val="fr-FR"/>
        </w:rPr>
        <w:t>formation de 32 struc</w:t>
      </w:r>
      <w:r w:rsidR="001E4AFE">
        <w:rPr>
          <w:rFonts w:eastAsia="Calibri"/>
          <w:lang w:val="fr-FR"/>
        </w:rPr>
        <w:t>tures municipales de protection ;</w:t>
      </w:r>
      <w:r w:rsidR="00E819C1" w:rsidRPr="00F13D2D">
        <w:rPr>
          <w:rFonts w:eastAsia="Calibri"/>
          <w:lang w:val="fr-FR"/>
        </w:rPr>
        <w:t xml:space="preserve"> (iii) formation de réseaux d’organisations communautaires, pour </w:t>
      </w:r>
      <w:r w:rsidR="001E4AFE">
        <w:rPr>
          <w:rFonts w:eastAsia="Calibri"/>
          <w:lang w:val="fr-FR"/>
        </w:rPr>
        <w:t>la sensibilisation des familles ;</w:t>
      </w:r>
      <w:r w:rsidR="00E819C1" w:rsidRPr="00F13D2D">
        <w:rPr>
          <w:rFonts w:eastAsia="Calibri"/>
          <w:lang w:val="fr-FR"/>
        </w:rPr>
        <w:t xml:space="preserve"> (iv) sensibilisation de 8</w:t>
      </w:r>
      <w:r w:rsidR="003D1E5B">
        <w:rPr>
          <w:rFonts w:eastAsia="Calibri"/>
          <w:lang w:val="fr-FR"/>
        </w:rPr>
        <w:t> </w:t>
      </w:r>
      <w:r w:rsidR="00E819C1" w:rsidRPr="00F13D2D">
        <w:rPr>
          <w:rFonts w:eastAsia="Calibri"/>
          <w:lang w:val="fr-FR"/>
        </w:rPr>
        <w:t>110 familles via des causeries communautaires</w:t>
      </w:r>
      <w:r w:rsidR="00FC0832">
        <w:rPr>
          <w:rFonts w:eastAsia="Calibri"/>
          <w:lang w:val="fr-FR"/>
        </w:rPr>
        <w:t> ;</w:t>
      </w:r>
      <w:r w:rsidR="00E819C1" w:rsidRPr="00F13D2D">
        <w:rPr>
          <w:rFonts w:eastAsia="Calibri"/>
          <w:lang w:val="fr-FR"/>
        </w:rPr>
        <w:t xml:space="preserve"> (v) élaboration des outils permettant le recours aux alternatives à la détention des mineurs en conflit avec la loi (MCL), et la spécialisation de juges pour mineurs</w:t>
      </w:r>
      <w:r w:rsidR="001E4AFE">
        <w:rPr>
          <w:rFonts w:eastAsia="Calibri"/>
          <w:lang w:val="fr-FR"/>
        </w:rPr>
        <w:t> ;</w:t>
      </w:r>
      <w:r w:rsidR="00E819C1" w:rsidRPr="00F13D2D">
        <w:rPr>
          <w:rFonts w:eastAsia="Calibri"/>
          <w:lang w:val="fr-FR"/>
        </w:rPr>
        <w:t xml:space="preserve"> (vi) organisation de rencontres multidisciplinaires, ayant permis la mise en réseau des</w:t>
      </w:r>
      <w:r w:rsidR="001E4AFE">
        <w:rPr>
          <w:rFonts w:eastAsia="Calibri"/>
          <w:lang w:val="fr-FR"/>
        </w:rPr>
        <w:t xml:space="preserve"> acteurs de justice des mineurs ;</w:t>
      </w:r>
      <w:r w:rsidR="00E819C1" w:rsidRPr="00F13D2D">
        <w:rPr>
          <w:rFonts w:eastAsia="Calibri"/>
          <w:lang w:val="fr-FR"/>
        </w:rPr>
        <w:t xml:space="preserve"> (vii) évaluation de la justice des mineurs</w:t>
      </w:r>
      <w:r w:rsidR="000E4C19">
        <w:rPr>
          <w:rFonts w:eastAsia="Calibri"/>
          <w:lang w:val="fr-FR"/>
        </w:rPr>
        <w:t xml:space="preserve"> </w:t>
      </w:r>
      <w:r w:rsidR="00E819C1" w:rsidRPr="00F13D2D">
        <w:rPr>
          <w:rFonts w:eastAsia="Calibri"/>
          <w:lang w:val="fr-FR"/>
        </w:rPr>
        <w:t>à travers le degré d’implémentation de l’OPPE et du fonctionnement de la DPJE</w:t>
      </w:r>
      <w:r w:rsidR="006C160E" w:rsidRPr="00F13D2D">
        <w:rPr>
          <w:rFonts w:eastAsia="Calibri"/>
          <w:lang w:val="fr-FR"/>
        </w:rPr>
        <w:t xml:space="preserve"> </w:t>
      </w:r>
      <w:r w:rsidR="001E4AFE">
        <w:rPr>
          <w:rFonts w:eastAsia="Calibri"/>
          <w:lang w:val="fr-FR"/>
        </w:rPr>
        <w:t>en coordination avec l’Unicef ;</w:t>
      </w:r>
      <w:r w:rsidR="006C160E" w:rsidRPr="00F13D2D">
        <w:rPr>
          <w:rFonts w:eastAsia="Calibri"/>
          <w:lang w:val="fr-FR"/>
        </w:rPr>
        <w:t xml:space="preserve"> </w:t>
      </w:r>
      <w:r w:rsidR="00E819C1" w:rsidRPr="00F13D2D">
        <w:rPr>
          <w:rFonts w:eastAsia="Calibri"/>
          <w:lang w:val="fr-FR"/>
        </w:rPr>
        <w:t>(viii) la recherche et la mise à disposition de la documentation portant sur les mesures alternatives</w:t>
      </w:r>
      <w:r w:rsidR="001E4AFE">
        <w:rPr>
          <w:rFonts w:eastAsia="Calibri"/>
          <w:lang w:val="fr-FR"/>
        </w:rPr>
        <w:t> ;</w:t>
      </w:r>
      <w:r w:rsidR="00E819C1" w:rsidRPr="00F13D2D">
        <w:rPr>
          <w:rFonts w:eastAsia="Calibri"/>
          <w:lang w:val="fr-FR"/>
        </w:rPr>
        <w:t xml:space="preserve"> (ix) adoption</w:t>
      </w:r>
      <w:r w:rsidR="006C160E" w:rsidRPr="00F13D2D">
        <w:rPr>
          <w:rFonts w:eastAsia="Calibri"/>
          <w:lang w:val="fr-FR"/>
        </w:rPr>
        <w:t xml:space="preserve"> </w:t>
      </w:r>
      <w:r w:rsidR="00E819C1" w:rsidRPr="00F13D2D">
        <w:rPr>
          <w:rFonts w:eastAsia="Calibri"/>
          <w:lang w:val="fr-FR"/>
        </w:rPr>
        <w:t>du</w:t>
      </w:r>
      <w:r w:rsidR="006C160E" w:rsidRPr="00F13D2D">
        <w:rPr>
          <w:rFonts w:eastAsia="Calibri"/>
          <w:lang w:val="fr-FR"/>
        </w:rPr>
        <w:t xml:space="preserve"> </w:t>
      </w:r>
      <w:r w:rsidR="00E819C1" w:rsidRPr="00F13D2D">
        <w:rPr>
          <w:rFonts w:eastAsia="Calibri"/>
          <w:lang w:val="fr-FR"/>
        </w:rPr>
        <w:t>décret portant sur les mesures alternatives à la détention des mineurs</w:t>
      </w:r>
      <w:r w:rsidR="00FC0832">
        <w:rPr>
          <w:rFonts w:eastAsia="Calibri"/>
          <w:lang w:val="fr-FR"/>
        </w:rPr>
        <w:t> ;</w:t>
      </w:r>
      <w:r w:rsidR="00E819C1" w:rsidRPr="00F13D2D">
        <w:rPr>
          <w:rFonts w:eastAsia="Calibri"/>
          <w:lang w:val="fr-FR"/>
        </w:rPr>
        <w:t xml:space="preserve"> (x) formation des acteurs de la justice des mineurs, des Wilayas du sud sur les mesures alternatives applicables aux mineurs et se référant à l’assistance judiciaire</w:t>
      </w:r>
      <w:r w:rsidR="00FC0832">
        <w:rPr>
          <w:rFonts w:eastAsia="Calibri"/>
          <w:lang w:val="fr-FR"/>
        </w:rPr>
        <w:t> ;</w:t>
      </w:r>
      <w:r w:rsidR="00E819C1" w:rsidRPr="00F13D2D">
        <w:rPr>
          <w:rFonts w:eastAsia="Calibri"/>
          <w:lang w:val="fr-FR"/>
        </w:rPr>
        <w:t xml:space="preserve"> (xi)</w:t>
      </w:r>
      <w:r w:rsidR="006C160E" w:rsidRPr="00F13D2D">
        <w:rPr>
          <w:rFonts w:eastAsia="Calibri"/>
          <w:lang w:val="fr-FR"/>
        </w:rPr>
        <w:t xml:space="preserve"> </w:t>
      </w:r>
      <w:r w:rsidR="00E819C1" w:rsidRPr="00F13D2D">
        <w:rPr>
          <w:rFonts w:eastAsia="Calibri"/>
          <w:lang w:val="fr-FR"/>
        </w:rPr>
        <w:t>organisation de rencontres entre magistrats du Tribunal de Nouakchott pour rappel des principes propres au traitement des mineurs.</w:t>
      </w:r>
    </w:p>
    <w:p w:rsidR="00E819C1" w:rsidRPr="00F13D2D" w:rsidRDefault="0055270C" w:rsidP="0055270C">
      <w:pPr>
        <w:pStyle w:val="SingleTxtG"/>
        <w:rPr>
          <w:rFonts w:eastAsia="Calibri"/>
          <w:lang w:val="fr-FR"/>
        </w:rPr>
      </w:pPr>
      <w:r w:rsidRPr="00F13D2D">
        <w:rPr>
          <w:rFonts w:eastAsia="Calibri"/>
          <w:lang w:val="fr-FR"/>
        </w:rPr>
        <w:t>192.</w:t>
      </w:r>
      <w:r w:rsidRPr="00F13D2D">
        <w:rPr>
          <w:rFonts w:eastAsia="Calibri"/>
          <w:lang w:val="fr-FR"/>
        </w:rPr>
        <w:tab/>
      </w:r>
      <w:r w:rsidR="00E819C1" w:rsidRPr="00F13D2D">
        <w:rPr>
          <w:rFonts w:eastAsia="Calibri"/>
          <w:lang w:val="fr-FR"/>
        </w:rPr>
        <w:t>D’autres activités ont également été organisées avec</w:t>
      </w:r>
      <w:r w:rsidR="006C160E" w:rsidRPr="00F13D2D">
        <w:rPr>
          <w:rFonts w:eastAsia="Calibri"/>
          <w:lang w:val="fr-FR"/>
        </w:rPr>
        <w:t xml:space="preserve"> </w:t>
      </w:r>
      <w:r w:rsidR="00E819C1" w:rsidRPr="00F13D2D">
        <w:rPr>
          <w:rFonts w:eastAsia="Calibri"/>
          <w:lang w:val="fr-FR"/>
        </w:rPr>
        <w:t>l’assistance technique et la coopération du Groupe de coordination inter institutions dans le domaine de la justice pour mineurs, qui regroupe l’ONUDC, l’UNICEF, le HCDH et des ONG. Il s’agit de</w:t>
      </w:r>
      <w:r w:rsidR="00FC0832">
        <w:rPr>
          <w:rFonts w:eastAsia="Calibri"/>
          <w:lang w:val="fr-FR"/>
        </w:rPr>
        <w:t> :</w:t>
      </w:r>
      <w:r w:rsidR="00E819C1" w:rsidRPr="00F13D2D">
        <w:rPr>
          <w:rFonts w:eastAsia="Calibri"/>
          <w:lang w:val="fr-FR"/>
        </w:rPr>
        <w:t xml:space="preserve"> (i) deux études</w:t>
      </w:r>
      <w:r w:rsidR="006C160E" w:rsidRPr="00F13D2D">
        <w:rPr>
          <w:rFonts w:eastAsia="Calibri"/>
          <w:lang w:val="fr-FR"/>
        </w:rPr>
        <w:t xml:space="preserve"> </w:t>
      </w:r>
      <w:r w:rsidR="00E819C1" w:rsidRPr="00F13D2D">
        <w:rPr>
          <w:rFonts w:eastAsia="Calibri"/>
          <w:lang w:val="fr-FR"/>
        </w:rPr>
        <w:t xml:space="preserve">intitulées </w:t>
      </w:r>
      <w:r w:rsidR="006C160E" w:rsidRPr="00F13D2D">
        <w:rPr>
          <w:rFonts w:eastAsia="Calibri"/>
          <w:lang w:val="fr-FR"/>
        </w:rPr>
        <w:t>« L</w:t>
      </w:r>
      <w:r w:rsidR="00E819C1" w:rsidRPr="00F13D2D">
        <w:rPr>
          <w:rFonts w:eastAsia="Calibri"/>
          <w:lang w:val="fr-FR"/>
        </w:rPr>
        <w:t>es formes traditionnelles de solidarité sociale et Travail d’Intérêt Général</w:t>
      </w:r>
      <w:r w:rsidR="006C160E" w:rsidRPr="00F13D2D">
        <w:rPr>
          <w:rFonts w:eastAsia="Calibri"/>
          <w:lang w:val="fr-FR"/>
        </w:rPr>
        <w:t> »</w:t>
      </w:r>
      <w:r w:rsidR="00E819C1" w:rsidRPr="00F13D2D">
        <w:rPr>
          <w:rFonts w:eastAsia="Calibri"/>
          <w:lang w:val="fr-FR"/>
        </w:rPr>
        <w:t xml:space="preserve">, et </w:t>
      </w:r>
      <w:r w:rsidR="006C160E" w:rsidRPr="00F13D2D">
        <w:rPr>
          <w:rFonts w:eastAsia="Calibri"/>
          <w:lang w:val="fr-FR"/>
        </w:rPr>
        <w:t xml:space="preserve">« La </w:t>
      </w:r>
      <w:r w:rsidR="00E819C1" w:rsidRPr="00F13D2D">
        <w:rPr>
          <w:rFonts w:eastAsia="Calibri"/>
          <w:lang w:val="fr-FR"/>
        </w:rPr>
        <w:t>notion d’enfance en milieu traditionnel</w:t>
      </w:r>
      <w:r w:rsidR="006C160E" w:rsidRPr="00F13D2D">
        <w:rPr>
          <w:rFonts w:eastAsia="Calibri"/>
          <w:lang w:val="fr-FR"/>
        </w:rPr>
        <w:t> »</w:t>
      </w:r>
      <w:r w:rsidR="00E819C1" w:rsidRPr="00F13D2D">
        <w:rPr>
          <w:rFonts w:eastAsia="Calibri"/>
          <w:lang w:val="fr-FR"/>
        </w:rPr>
        <w:t xml:space="preserve"> qui ont facilité l’adoption de </w:t>
      </w:r>
      <w:r w:rsidR="00E819C1" w:rsidRPr="00F13D2D">
        <w:rPr>
          <w:rFonts w:eastAsia="Calibri"/>
          <w:lang w:val="fr-FR"/>
        </w:rPr>
        <w:lastRenderedPageBreak/>
        <w:t>mesures alternatives, dans le contexte mauritanien et une analyse de situation des mineures domestiques, victimes de maltraitance</w:t>
      </w:r>
      <w:r w:rsidR="003D1E5B">
        <w:rPr>
          <w:rFonts w:eastAsia="Calibri"/>
          <w:lang w:val="fr-FR"/>
        </w:rPr>
        <w:t> ;</w:t>
      </w:r>
      <w:r w:rsidR="00E819C1" w:rsidRPr="00F13D2D">
        <w:rPr>
          <w:rFonts w:eastAsia="Calibri"/>
          <w:lang w:val="fr-FR"/>
        </w:rPr>
        <w:t xml:space="preserve"> (ii) organisation de deux journées de concertation avec les acteurs de la justice juvénile pour la présentation des recommandations des évaluations de l’application de l’OPPE et la DPJE</w:t>
      </w:r>
      <w:r w:rsidR="00FC0832">
        <w:rPr>
          <w:rFonts w:eastAsia="Calibri"/>
          <w:lang w:val="fr-FR"/>
        </w:rPr>
        <w:t> ;</w:t>
      </w:r>
      <w:r w:rsidR="00E819C1" w:rsidRPr="00F13D2D">
        <w:rPr>
          <w:rFonts w:eastAsia="Calibri"/>
          <w:lang w:val="fr-FR"/>
        </w:rPr>
        <w:t xml:space="preserve"> (iii) organisation d’un atelier de concertation avec les partenaires de la DPJE sur le bilan et les perspectives de la justice juvénile</w:t>
      </w:r>
      <w:r w:rsidR="00FC0832">
        <w:rPr>
          <w:rFonts w:eastAsia="Calibri"/>
          <w:lang w:val="fr-FR"/>
        </w:rPr>
        <w:t> ;</w:t>
      </w:r>
      <w:r w:rsidR="006C160E" w:rsidRPr="00F13D2D">
        <w:rPr>
          <w:rFonts w:eastAsia="Calibri"/>
          <w:lang w:val="fr-FR"/>
        </w:rPr>
        <w:t xml:space="preserve"> </w:t>
      </w:r>
      <w:r w:rsidR="0051548D">
        <w:rPr>
          <w:rFonts w:eastAsia="Calibri"/>
          <w:lang w:val="fr-FR"/>
        </w:rPr>
        <w:t>(iv)</w:t>
      </w:r>
      <w:r w:rsidR="00E819C1" w:rsidRPr="00F13D2D">
        <w:rPr>
          <w:rFonts w:eastAsia="Calibri"/>
          <w:lang w:val="fr-FR"/>
        </w:rPr>
        <w:t xml:space="preserve"> organisation d’une journée d’information sur la «</w:t>
      </w:r>
      <w:r w:rsidR="003B6C1B">
        <w:rPr>
          <w:rFonts w:eastAsia="Calibri"/>
          <w:lang w:val="fr-FR"/>
        </w:rPr>
        <w:t> </w:t>
      </w:r>
      <w:r w:rsidR="00E819C1" w:rsidRPr="00F13D2D">
        <w:rPr>
          <w:rFonts w:eastAsia="Calibri"/>
          <w:lang w:val="fr-FR"/>
        </w:rPr>
        <w:t>Protection et la</w:t>
      </w:r>
      <w:r w:rsidR="006C160E" w:rsidRPr="00F13D2D">
        <w:rPr>
          <w:rFonts w:eastAsia="Calibri"/>
          <w:lang w:val="fr-FR"/>
        </w:rPr>
        <w:t xml:space="preserve"> </w:t>
      </w:r>
      <w:r w:rsidR="00E819C1" w:rsidRPr="00F13D2D">
        <w:rPr>
          <w:rFonts w:eastAsia="Calibri"/>
          <w:lang w:val="fr-FR"/>
        </w:rPr>
        <w:t>réinsertion des mineures domestiques, victimes de violences et maltraitance</w:t>
      </w:r>
      <w:r w:rsidR="003B6C1B">
        <w:rPr>
          <w:rFonts w:eastAsia="Calibri"/>
          <w:lang w:val="fr-FR"/>
        </w:rPr>
        <w:t> </w:t>
      </w:r>
      <w:r w:rsidR="00E819C1" w:rsidRPr="00F13D2D">
        <w:rPr>
          <w:rFonts w:eastAsia="Calibri"/>
          <w:lang w:val="fr-FR"/>
        </w:rPr>
        <w:t>»</w:t>
      </w:r>
      <w:r w:rsidR="003D1E5B">
        <w:rPr>
          <w:rFonts w:eastAsia="Calibri"/>
          <w:lang w:val="fr-FR"/>
        </w:rPr>
        <w:t xml:space="preserve"> ; </w:t>
      </w:r>
      <w:r w:rsidR="00E819C1" w:rsidRPr="00F13D2D">
        <w:rPr>
          <w:rFonts w:eastAsia="Calibri"/>
          <w:lang w:val="fr-FR"/>
        </w:rPr>
        <w:t>(v) redynamisation du comité de pilotage de la réforme de la justice des mineurs permettant un point de situation régulier et le plaidoyer en faveur d’une application optimale de l’OPPE.</w:t>
      </w:r>
    </w:p>
    <w:p w:rsidR="00E819C1" w:rsidRPr="00F13D2D" w:rsidRDefault="0055270C" w:rsidP="0055270C">
      <w:pPr>
        <w:pStyle w:val="SingleTxtG"/>
        <w:rPr>
          <w:rFonts w:eastAsia="Calibri"/>
          <w:lang w:val="fr-FR"/>
        </w:rPr>
      </w:pPr>
      <w:r w:rsidRPr="00F13D2D">
        <w:rPr>
          <w:rFonts w:eastAsia="Calibri"/>
          <w:lang w:val="fr-FR"/>
        </w:rPr>
        <w:t>193.</w:t>
      </w:r>
      <w:r w:rsidRPr="00F13D2D">
        <w:rPr>
          <w:rFonts w:eastAsia="Calibri"/>
          <w:lang w:val="fr-FR"/>
        </w:rPr>
        <w:tab/>
      </w:r>
      <w:r w:rsidR="00E819C1" w:rsidRPr="00F13D2D">
        <w:rPr>
          <w:rFonts w:eastAsia="Calibri"/>
          <w:lang w:val="fr-FR"/>
        </w:rPr>
        <w:t>En collaboration avec l’UNICEF, la Direction de l’Enfance (MASEF), Terre des Hommes en</w:t>
      </w:r>
      <w:r w:rsidR="006C160E" w:rsidRPr="00F13D2D">
        <w:rPr>
          <w:rFonts w:eastAsia="Calibri"/>
          <w:lang w:val="fr-FR"/>
        </w:rPr>
        <w:t xml:space="preserve"> </w:t>
      </w:r>
      <w:r w:rsidR="00E819C1" w:rsidRPr="00F13D2D">
        <w:rPr>
          <w:rFonts w:eastAsia="Calibri"/>
          <w:lang w:val="fr-FR"/>
        </w:rPr>
        <w:t>Mauritanie (TDH)</w:t>
      </w:r>
      <w:r w:rsidR="006C160E" w:rsidRPr="00F13D2D">
        <w:rPr>
          <w:rFonts w:eastAsia="Calibri"/>
          <w:lang w:val="fr-FR"/>
        </w:rPr>
        <w:t xml:space="preserve"> </w:t>
      </w:r>
      <w:r w:rsidR="00E819C1" w:rsidRPr="00F13D2D">
        <w:rPr>
          <w:rFonts w:eastAsia="Calibri"/>
          <w:lang w:val="fr-FR"/>
        </w:rPr>
        <w:t>a organisé la campagne de diffusion des notions de protection des enfants avec les SPC. Cette activité a également été reliée à des tables régionales de concertation sur la protection de l’enfance (TRP), respectivement créées dans 13 wilayas du pays 30 structures de Protection Communales (SPC) ont été mises en place. ce système a permis la prise en charge de 15</w:t>
      </w:r>
      <w:r w:rsidR="003D1E5B">
        <w:rPr>
          <w:rFonts w:eastAsia="Calibri"/>
          <w:lang w:val="fr-FR"/>
        </w:rPr>
        <w:t> </w:t>
      </w:r>
      <w:r w:rsidR="00E819C1" w:rsidRPr="00F13D2D">
        <w:rPr>
          <w:rFonts w:eastAsia="Calibri"/>
          <w:lang w:val="fr-FR"/>
        </w:rPr>
        <w:t>976 enfants en 2015 (enregistrement à l’état civil, lutte contre le travail des enfants, l’insertion scolaire, lutte contre toute forme de violence à l’égard des enfants).</w:t>
      </w:r>
    </w:p>
    <w:p w:rsidR="00E819C1" w:rsidRPr="00F13D2D" w:rsidRDefault="0055270C" w:rsidP="0055270C">
      <w:pPr>
        <w:pStyle w:val="SingleTxtG"/>
        <w:rPr>
          <w:rFonts w:eastAsia="Calibri"/>
          <w:lang w:val="fr-FR"/>
        </w:rPr>
      </w:pPr>
      <w:r w:rsidRPr="00F13D2D">
        <w:rPr>
          <w:rFonts w:eastAsia="Calibri"/>
          <w:lang w:val="fr-FR"/>
        </w:rPr>
        <w:t>194.</w:t>
      </w:r>
      <w:r w:rsidRPr="00F13D2D">
        <w:rPr>
          <w:rFonts w:eastAsia="Calibri"/>
          <w:lang w:val="fr-FR"/>
        </w:rPr>
        <w:tab/>
      </w:r>
      <w:r w:rsidR="00E819C1" w:rsidRPr="00F13D2D">
        <w:rPr>
          <w:rFonts w:eastAsia="Calibri"/>
          <w:lang w:val="fr-FR"/>
        </w:rPr>
        <w:t>Dans le domaine de l’assistance judiciaire des enfants, plusieurs actions ont été réalisées. C’est ainsi que 6</w:t>
      </w:r>
      <w:r w:rsidR="003D1E5B">
        <w:rPr>
          <w:rFonts w:eastAsia="Calibri"/>
          <w:lang w:val="fr-FR"/>
        </w:rPr>
        <w:t> </w:t>
      </w:r>
      <w:r w:rsidR="00E819C1" w:rsidRPr="00F13D2D">
        <w:rPr>
          <w:rFonts w:eastAsia="Calibri"/>
          <w:lang w:val="fr-FR"/>
        </w:rPr>
        <w:t>459 enfants (garçons et filles) ont été vus par les travailleurs sociaux et</w:t>
      </w:r>
      <w:r w:rsidR="006C160E" w:rsidRPr="00F13D2D">
        <w:rPr>
          <w:rFonts w:eastAsia="Calibri"/>
          <w:lang w:val="fr-FR"/>
        </w:rPr>
        <w:t xml:space="preserve"> </w:t>
      </w:r>
      <w:r w:rsidR="00E819C1" w:rsidRPr="00F13D2D">
        <w:rPr>
          <w:rFonts w:eastAsia="Calibri"/>
          <w:lang w:val="fr-FR"/>
        </w:rPr>
        <w:t>les avocats. Ils ont bénéficié d’une forme d’assistance, seuls ceux dont le dossier a été déféré en justice, ont été assistés</w:t>
      </w:r>
      <w:r w:rsidR="006C160E" w:rsidRPr="00F13D2D">
        <w:rPr>
          <w:rFonts w:eastAsia="Calibri"/>
          <w:lang w:val="fr-FR"/>
        </w:rPr>
        <w:t xml:space="preserve"> </w:t>
      </w:r>
      <w:r w:rsidR="00E819C1" w:rsidRPr="00F13D2D">
        <w:rPr>
          <w:rFonts w:eastAsia="Calibri"/>
          <w:lang w:val="fr-FR"/>
        </w:rPr>
        <w:t>par des avocats.</w:t>
      </w:r>
      <w:r w:rsidR="006C160E" w:rsidRPr="00F13D2D">
        <w:rPr>
          <w:rFonts w:eastAsia="Calibri"/>
          <w:lang w:val="fr-FR"/>
        </w:rPr>
        <w:t xml:space="preserve"> </w:t>
      </w:r>
      <w:r w:rsidR="00E819C1" w:rsidRPr="00F13D2D">
        <w:rPr>
          <w:rFonts w:eastAsia="Calibri"/>
          <w:lang w:val="fr-FR"/>
        </w:rPr>
        <w:t>La présence des assistants sociaux de la DPJE</w:t>
      </w:r>
      <w:r w:rsidR="006C160E" w:rsidRPr="00F13D2D">
        <w:rPr>
          <w:rFonts w:eastAsia="Calibri"/>
          <w:lang w:val="fr-FR"/>
        </w:rPr>
        <w:t xml:space="preserve"> </w:t>
      </w:r>
      <w:r w:rsidR="00E819C1" w:rsidRPr="00F13D2D">
        <w:rPr>
          <w:rFonts w:eastAsia="Calibri"/>
          <w:lang w:val="fr-FR"/>
        </w:rPr>
        <w:t>au sein de la BSCM a été constante depuis 2010, en journée de 8</w:t>
      </w:r>
      <w:r w:rsidR="0051548D">
        <w:rPr>
          <w:rFonts w:eastAsia="Calibri"/>
          <w:lang w:val="fr-FR"/>
        </w:rPr>
        <w:t xml:space="preserve"> </w:t>
      </w:r>
      <w:r w:rsidR="00E819C1" w:rsidRPr="00F13D2D">
        <w:rPr>
          <w:rFonts w:eastAsia="Calibri"/>
          <w:lang w:val="fr-FR"/>
        </w:rPr>
        <w:t>h</w:t>
      </w:r>
      <w:r w:rsidR="0051548D">
        <w:rPr>
          <w:rFonts w:eastAsia="Calibri"/>
          <w:lang w:val="fr-FR"/>
        </w:rPr>
        <w:t xml:space="preserve"> </w:t>
      </w:r>
      <w:r w:rsidR="00E819C1" w:rsidRPr="00F13D2D">
        <w:rPr>
          <w:rFonts w:eastAsia="Calibri"/>
          <w:lang w:val="fr-FR"/>
        </w:rPr>
        <w:t>00 à 22</w:t>
      </w:r>
      <w:r w:rsidR="0051548D">
        <w:rPr>
          <w:rFonts w:eastAsia="Calibri"/>
          <w:lang w:val="fr-FR"/>
        </w:rPr>
        <w:t xml:space="preserve"> </w:t>
      </w:r>
      <w:r w:rsidR="00E819C1" w:rsidRPr="00F13D2D">
        <w:rPr>
          <w:rFonts w:eastAsia="Calibri"/>
          <w:lang w:val="fr-FR"/>
        </w:rPr>
        <w:t>h</w:t>
      </w:r>
      <w:r w:rsidR="0051548D">
        <w:rPr>
          <w:rFonts w:eastAsia="Calibri"/>
          <w:lang w:val="fr-FR"/>
        </w:rPr>
        <w:t xml:space="preserve"> </w:t>
      </w:r>
      <w:r w:rsidR="00E819C1" w:rsidRPr="00F13D2D">
        <w:rPr>
          <w:rFonts w:eastAsia="Calibri"/>
          <w:lang w:val="fr-FR"/>
        </w:rPr>
        <w:t>00. Les travailleurs sociaux de la DPJE ont travaillé en binôme avec leurs homologues de la SC. Le personnel de la DPJE a effectué la recherche des familles et l’organisation des enquêtes sociales, pour que les procédures puissent être diligentées et observées dans les normes. Pour ce faire,</w:t>
      </w:r>
      <w:r w:rsidR="006C160E" w:rsidRPr="00F13D2D">
        <w:rPr>
          <w:rFonts w:eastAsia="Calibri"/>
          <w:lang w:val="fr-FR"/>
        </w:rPr>
        <w:t xml:space="preserve"> </w:t>
      </w:r>
      <w:r w:rsidR="00E819C1" w:rsidRPr="00F13D2D">
        <w:rPr>
          <w:rFonts w:eastAsia="Calibri"/>
          <w:lang w:val="fr-FR"/>
        </w:rPr>
        <w:t>un bureau</w:t>
      </w:r>
      <w:r w:rsidR="006C160E" w:rsidRPr="00F13D2D">
        <w:rPr>
          <w:rFonts w:eastAsia="Calibri"/>
          <w:lang w:val="fr-FR"/>
        </w:rPr>
        <w:t xml:space="preserve"> </w:t>
      </w:r>
      <w:r w:rsidR="00E819C1" w:rsidRPr="00F13D2D">
        <w:rPr>
          <w:rFonts w:eastAsia="Calibri"/>
          <w:lang w:val="fr-FR"/>
        </w:rPr>
        <w:t>pour l’assistance sociale</w:t>
      </w:r>
      <w:r w:rsidR="006C160E" w:rsidRPr="00F13D2D">
        <w:rPr>
          <w:rFonts w:eastAsia="Calibri"/>
          <w:lang w:val="fr-FR"/>
        </w:rPr>
        <w:t xml:space="preserve"> </w:t>
      </w:r>
      <w:r w:rsidR="00E819C1" w:rsidRPr="00F13D2D">
        <w:rPr>
          <w:rFonts w:eastAsia="Calibri"/>
          <w:lang w:val="fr-FR"/>
        </w:rPr>
        <w:t>a été mis en place au sein de la BSCM pour une meilleure application de l’OPPE et des normes de protection des enfants, en lien avec leurs droits.</w:t>
      </w:r>
      <w:r w:rsidR="006C160E" w:rsidRPr="00F13D2D">
        <w:rPr>
          <w:rFonts w:eastAsia="Calibri"/>
          <w:lang w:val="fr-FR"/>
        </w:rPr>
        <w:t xml:space="preserve"> </w:t>
      </w:r>
      <w:r w:rsidR="00E819C1" w:rsidRPr="00F13D2D">
        <w:rPr>
          <w:rFonts w:eastAsia="Calibri"/>
          <w:lang w:val="fr-FR"/>
        </w:rPr>
        <w:t>Il s’est accompagné de</w:t>
      </w:r>
      <w:r w:rsidR="006C160E" w:rsidRPr="00F13D2D">
        <w:rPr>
          <w:rFonts w:eastAsia="Calibri"/>
          <w:lang w:val="fr-FR"/>
        </w:rPr>
        <w:t xml:space="preserve"> </w:t>
      </w:r>
      <w:r w:rsidR="00E819C1" w:rsidRPr="00F13D2D">
        <w:rPr>
          <w:rFonts w:eastAsia="Calibri"/>
          <w:lang w:val="fr-FR"/>
        </w:rPr>
        <w:t xml:space="preserve">la mise en place d’une base de données spécifique à la justice des mineurs et la formation de son administration. </w:t>
      </w:r>
    </w:p>
    <w:p w:rsidR="00E819C1" w:rsidRPr="00E06F1B" w:rsidRDefault="008A67C0" w:rsidP="00AA7A93">
      <w:pPr>
        <w:pStyle w:val="H23G"/>
        <w:rPr>
          <w:rFonts w:eastAsia="Arial"/>
        </w:rPr>
      </w:pPr>
      <w:bookmarkStart w:id="295" w:name="_Toc453672978"/>
      <w:bookmarkStart w:id="296" w:name="_Toc454388821"/>
      <w:r w:rsidRPr="000E17DF">
        <w:rPr>
          <w:rFonts w:eastAsia="Arial"/>
        </w:rPr>
        <w:tab/>
      </w:r>
      <w:r w:rsidR="00E819C1" w:rsidRPr="00F13D2D">
        <w:rPr>
          <w:rFonts w:eastAsia="Arial"/>
        </w:rPr>
        <w:t>4</w:t>
      </w:r>
      <w:r w:rsidRPr="00F13D2D">
        <w:rPr>
          <w:rFonts w:eastAsia="Arial"/>
        </w:rPr>
        <w:t>.</w:t>
      </w:r>
      <w:r w:rsidRPr="00F13D2D">
        <w:rPr>
          <w:rFonts w:eastAsia="Arial"/>
        </w:rPr>
        <w:tab/>
        <w:t xml:space="preserve">Intensification </w:t>
      </w:r>
      <w:r w:rsidR="00E819C1" w:rsidRPr="00F13D2D">
        <w:rPr>
          <w:rFonts w:eastAsia="Arial"/>
        </w:rPr>
        <w:t>de la formation des acteurs de la justice des mineurs</w:t>
      </w:r>
      <w:bookmarkEnd w:id="295"/>
      <w:bookmarkEnd w:id="296"/>
    </w:p>
    <w:p w:rsidR="00E819C1" w:rsidRPr="00F13D2D" w:rsidRDefault="0055270C" w:rsidP="0055270C">
      <w:pPr>
        <w:pStyle w:val="SingleTxtG"/>
        <w:rPr>
          <w:rFonts w:eastAsia="Calibri"/>
          <w:lang w:val="fr-FR"/>
        </w:rPr>
      </w:pPr>
      <w:r w:rsidRPr="00F13D2D">
        <w:rPr>
          <w:rFonts w:eastAsia="Calibri"/>
          <w:lang w:val="fr-FR"/>
        </w:rPr>
        <w:t>195.</w:t>
      </w:r>
      <w:r w:rsidRPr="00F13D2D">
        <w:rPr>
          <w:rFonts w:eastAsia="Calibri"/>
          <w:lang w:val="fr-FR"/>
        </w:rPr>
        <w:tab/>
      </w:r>
      <w:r w:rsidR="00E819C1" w:rsidRPr="00F13D2D">
        <w:rPr>
          <w:rFonts w:eastAsia="Calibri"/>
          <w:lang w:val="fr-FR"/>
        </w:rPr>
        <w:t>Avec le concours de TDHM, plusieurs formations multidisciplinaires</w:t>
      </w:r>
      <w:r w:rsidR="006C160E" w:rsidRPr="00F13D2D">
        <w:rPr>
          <w:rFonts w:eastAsia="Calibri"/>
          <w:lang w:val="fr-FR"/>
        </w:rPr>
        <w:t xml:space="preserve"> </w:t>
      </w:r>
      <w:r w:rsidR="00E819C1" w:rsidRPr="00F13D2D">
        <w:rPr>
          <w:rFonts w:eastAsia="Calibri"/>
          <w:lang w:val="fr-FR"/>
        </w:rPr>
        <w:t>ont lieu au profit des acteurs de la justice juvénile</w:t>
      </w:r>
      <w:r w:rsidR="00FC0832">
        <w:rPr>
          <w:rFonts w:eastAsia="Calibri"/>
          <w:lang w:val="fr-FR"/>
        </w:rPr>
        <w:t> :</w:t>
      </w:r>
      <w:r w:rsidR="00E819C1" w:rsidRPr="00F13D2D">
        <w:rPr>
          <w:rFonts w:eastAsia="Calibri"/>
          <w:lang w:val="fr-FR"/>
        </w:rPr>
        <w:t xml:space="preserve"> (i) formation de 90 acteurs de la justice juvénile sur les mesures alternatives à l’emprisonnement des mineurs à Nouakchott</w:t>
      </w:r>
      <w:r w:rsidR="00AB0C37">
        <w:rPr>
          <w:rFonts w:eastAsia="Calibri"/>
          <w:lang w:val="fr-FR"/>
        </w:rPr>
        <w:t> ;</w:t>
      </w:r>
      <w:r w:rsidR="00E819C1" w:rsidRPr="00F13D2D">
        <w:rPr>
          <w:rFonts w:eastAsia="Calibri"/>
          <w:lang w:val="fr-FR"/>
        </w:rPr>
        <w:t xml:space="preserve"> (ii) formation de 68 acteurs de justice juvénile, à Nouadhibou sur les notions d’enfance, l’application de l’OPPE, les mesures alternatives et l’assistance judiciaire des mineurs</w:t>
      </w:r>
      <w:r w:rsidR="00AB0C37">
        <w:rPr>
          <w:rFonts w:eastAsia="Calibri"/>
          <w:lang w:val="fr-FR"/>
        </w:rPr>
        <w:t> ;</w:t>
      </w:r>
      <w:r w:rsidR="00E819C1" w:rsidRPr="00F13D2D">
        <w:rPr>
          <w:rFonts w:eastAsia="Calibri"/>
          <w:lang w:val="fr-FR"/>
        </w:rPr>
        <w:t xml:space="preserve"> (iii) formation pour 70 acteurs de la justice juvénile, à Rosso. Ces formations ont permis la mise en réseau d’acteurs de divers secteurs (policiers, gendarmes, juges, greffiers, avocats, travailleurs sociaux), sur chacun des sites.</w:t>
      </w:r>
    </w:p>
    <w:p w:rsidR="00E819C1" w:rsidRPr="00F13D2D" w:rsidRDefault="0055270C" w:rsidP="0055270C">
      <w:pPr>
        <w:pStyle w:val="SingleTxtG"/>
        <w:rPr>
          <w:rFonts w:eastAsia="Calibri"/>
          <w:lang w:val="fr-FR"/>
        </w:rPr>
      </w:pPr>
      <w:r w:rsidRPr="00F13D2D">
        <w:rPr>
          <w:rFonts w:eastAsia="Calibri"/>
          <w:lang w:val="fr-FR"/>
        </w:rPr>
        <w:t>196.</w:t>
      </w:r>
      <w:r w:rsidRPr="00F13D2D">
        <w:rPr>
          <w:rFonts w:eastAsia="Calibri"/>
          <w:lang w:val="fr-FR"/>
        </w:rPr>
        <w:tab/>
      </w:r>
      <w:r w:rsidR="00AB0C37" w:rsidRPr="00F13D2D">
        <w:rPr>
          <w:rFonts w:eastAsia="Calibri"/>
          <w:lang w:val="fr-FR"/>
        </w:rPr>
        <w:t xml:space="preserve">La </w:t>
      </w:r>
      <w:r w:rsidR="00E819C1" w:rsidRPr="00F13D2D">
        <w:rPr>
          <w:rFonts w:eastAsia="Calibri"/>
          <w:lang w:val="fr-FR"/>
        </w:rPr>
        <w:t>DPJE, en collaboration avec Unicef et TDHM, a organisé un atelier de bilan et perspectives d’application de l’OPPE, pour 50 magistrats, policiers, travailleurs sociaux et avocats, provenant de Akjoujt, Tidjikdja, Kaédi, Aleg, Rosso, Atar, Sélibabi et Nouakchott. TDH a également</w:t>
      </w:r>
      <w:r w:rsidR="006C160E" w:rsidRPr="00F13D2D">
        <w:rPr>
          <w:rFonts w:eastAsia="Calibri"/>
          <w:lang w:val="fr-FR"/>
        </w:rPr>
        <w:t xml:space="preserve"> </w:t>
      </w:r>
      <w:r w:rsidR="00E819C1" w:rsidRPr="00F13D2D">
        <w:rPr>
          <w:rFonts w:eastAsia="Calibri"/>
          <w:lang w:val="fr-FR"/>
        </w:rPr>
        <w:t xml:space="preserve">organisé des formations dans le domaine </w:t>
      </w:r>
      <w:proofErr w:type="spellStart"/>
      <w:r w:rsidR="00E819C1" w:rsidRPr="00F13D2D">
        <w:rPr>
          <w:rFonts w:eastAsia="Calibri"/>
          <w:lang w:val="fr-FR"/>
        </w:rPr>
        <w:t>psychosocial</w:t>
      </w:r>
      <w:proofErr w:type="spellEnd"/>
      <w:r w:rsidR="00E819C1" w:rsidRPr="00F13D2D">
        <w:rPr>
          <w:rFonts w:eastAsia="Calibri"/>
          <w:lang w:val="fr-FR"/>
        </w:rPr>
        <w:t xml:space="preserve"> pour 18</w:t>
      </w:r>
      <w:r w:rsidR="00AB0C37">
        <w:rPr>
          <w:rFonts w:eastAsia="Calibri"/>
          <w:lang w:val="fr-FR"/>
        </w:rPr>
        <w:t> </w:t>
      </w:r>
      <w:r w:rsidR="00E819C1" w:rsidRPr="00F13D2D">
        <w:rPr>
          <w:rFonts w:eastAsia="Calibri"/>
          <w:lang w:val="fr-FR"/>
        </w:rPr>
        <w:t>travailleurs sociaux en contact avec les enfants en conflit avec la loi. Plus de 35</w:t>
      </w:r>
      <w:r w:rsidR="000E4C19">
        <w:rPr>
          <w:rFonts w:eastAsia="Calibri"/>
          <w:lang w:val="fr-FR"/>
        </w:rPr>
        <w:t> </w:t>
      </w:r>
      <w:r w:rsidR="00E819C1" w:rsidRPr="00F13D2D">
        <w:rPr>
          <w:rFonts w:eastAsia="Calibri"/>
          <w:lang w:val="fr-FR"/>
        </w:rPr>
        <w:t xml:space="preserve">assistants sociaux ont été formés à la protection sociale de l’enfance, par l’Institut de Formation en Action Sociale (IFAS). Dans le cadre de la formation continue de ses travailleurs sociaux, </w:t>
      </w:r>
      <w:proofErr w:type="spellStart"/>
      <w:r w:rsidR="00E819C1" w:rsidRPr="00F13D2D">
        <w:rPr>
          <w:rFonts w:eastAsia="Calibri"/>
          <w:lang w:val="fr-FR"/>
        </w:rPr>
        <w:t>TdH</w:t>
      </w:r>
      <w:proofErr w:type="spellEnd"/>
      <w:r w:rsidR="00E819C1" w:rsidRPr="00F13D2D">
        <w:rPr>
          <w:rFonts w:eastAsia="Calibri"/>
          <w:lang w:val="fr-FR"/>
        </w:rPr>
        <w:t xml:space="preserve"> a conclu un accord avec l’IFAS. Ainsi</w:t>
      </w:r>
      <w:r w:rsidR="00BE0E18">
        <w:rPr>
          <w:rFonts w:eastAsia="Calibri"/>
          <w:lang w:val="fr-FR"/>
        </w:rPr>
        <w:t>,</w:t>
      </w:r>
      <w:r w:rsidR="00E819C1" w:rsidRPr="00F13D2D">
        <w:rPr>
          <w:rFonts w:eastAsia="Calibri"/>
          <w:lang w:val="fr-FR"/>
        </w:rPr>
        <w:t xml:space="preserve"> 5 éducateurs de </w:t>
      </w:r>
      <w:proofErr w:type="spellStart"/>
      <w:r w:rsidR="00E819C1" w:rsidRPr="00F13D2D">
        <w:rPr>
          <w:rFonts w:eastAsia="Calibri"/>
          <w:lang w:val="fr-FR"/>
        </w:rPr>
        <w:t>TdH</w:t>
      </w:r>
      <w:proofErr w:type="spellEnd"/>
      <w:r w:rsidR="00E819C1" w:rsidRPr="00F13D2D">
        <w:rPr>
          <w:rFonts w:eastAsia="Calibri"/>
          <w:lang w:val="fr-FR"/>
        </w:rPr>
        <w:t xml:space="preserve"> ont suivi une formation continue sur 14 mois (en classe du soir). L’idée étant de les aider à obtenir un diplôme de «</w:t>
      </w:r>
      <w:r w:rsidR="003B6C1B">
        <w:rPr>
          <w:rFonts w:eastAsia="Calibri"/>
          <w:lang w:val="fr-FR"/>
        </w:rPr>
        <w:t> </w:t>
      </w:r>
      <w:r w:rsidR="00E819C1" w:rsidRPr="00F13D2D">
        <w:rPr>
          <w:rFonts w:eastAsia="Calibri"/>
          <w:lang w:val="fr-FR"/>
        </w:rPr>
        <w:t>Bac professionnel en travail social</w:t>
      </w:r>
      <w:r w:rsidR="003B6C1B">
        <w:rPr>
          <w:rFonts w:eastAsia="Calibri"/>
          <w:lang w:val="fr-FR"/>
        </w:rPr>
        <w:t> </w:t>
      </w:r>
      <w:r w:rsidR="00E819C1" w:rsidRPr="00F13D2D">
        <w:rPr>
          <w:rFonts w:eastAsia="Calibri"/>
          <w:lang w:val="fr-FR"/>
        </w:rPr>
        <w:t xml:space="preserve">». la DPJE, Unicef et </w:t>
      </w:r>
      <w:proofErr w:type="spellStart"/>
      <w:r w:rsidR="00E819C1" w:rsidRPr="00F13D2D">
        <w:rPr>
          <w:rFonts w:eastAsia="Calibri"/>
          <w:lang w:val="fr-FR"/>
        </w:rPr>
        <w:t>TdH</w:t>
      </w:r>
      <w:proofErr w:type="spellEnd"/>
      <w:r w:rsidR="00E819C1" w:rsidRPr="00F13D2D">
        <w:rPr>
          <w:rFonts w:eastAsia="Calibri"/>
          <w:lang w:val="fr-FR"/>
        </w:rPr>
        <w:t xml:space="preserve"> ont établi en commun un plan d’accompagnement des travailleurs sociaux, tenant compte des observations de terrain. Une formation aux techniques d’écoute fut organisée par </w:t>
      </w:r>
      <w:proofErr w:type="spellStart"/>
      <w:r w:rsidR="00E819C1" w:rsidRPr="00F13D2D">
        <w:rPr>
          <w:rFonts w:eastAsia="Calibri"/>
          <w:lang w:val="fr-FR"/>
        </w:rPr>
        <w:t>TdH</w:t>
      </w:r>
      <w:proofErr w:type="spellEnd"/>
      <w:r w:rsidR="00E819C1" w:rsidRPr="00F13D2D">
        <w:rPr>
          <w:rFonts w:eastAsia="Calibri"/>
          <w:lang w:val="fr-FR"/>
        </w:rPr>
        <w:t>, en collaboration avec la DPJE, à destination de 24 travailleurs sociaux provenant de la DPJE, DAPAP,</w:t>
      </w:r>
      <w:r w:rsidR="006C160E" w:rsidRPr="00F13D2D">
        <w:rPr>
          <w:rFonts w:eastAsia="Calibri"/>
          <w:lang w:val="fr-FR"/>
        </w:rPr>
        <w:t xml:space="preserve"> </w:t>
      </w:r>
      <w:r w:rsidR="00E819C1" w:rsidRPr="00F13D2D">
        <w:rPr>
          <w:rFonts w:eastAsia="Calibri"/>
          <w:lang w:val="fr-FR"/>
        </w:rPr>
        <w:t>CPISE,</w:t>
      </w:r>
      <w:r w:rsidR="006C160E" w:rsidRPr="00F13D2D">
        <w:rPr>
          <w:rFonts w:eastAsia="Calibri"/>
          <w:lang w:val="fr-FR"/>
        </w:rPr>
        <w:t xml:space="preserve"> </w:t>
      </w:r>
      <w:r w:rsidR="00E819C1" w:rsidRPr="00F13D2D">
        <w:rPr>
          <w:rFonts w:eastAsia="Calibri"/>
          <w:lang w:val="fr-FR"/>
        </w:rPr>
        <w:t xml:space="preserve">CARSEC, AMSME et AFCF et de </w:t>
      </w:r>
      <w:proofErr w:type="spellStart"/>
      <w:r w:rsidR="00E819C1" w:rsidRPr="00F13D2D">
        <w:rPr>
          <w:rFonts w:eastAsia="Calibri"/>
          <w:lang w:val="fr-FR"/>
        </w:rPr>
        <w:t>TdH</w:t>
      </w:r>
      <w:proofErr w:type="spellEnd"/>
      <w:r w:rsidR="00E819C1" w:rsidRPr="00F13D2D">
        <w:rPr>
          <w:rFonts w:eastAsia="Calibri"/>
          <w:lang w:val="fr-FR"/>
        </w:rPr>
        <w:t>.. Enfin, des réunions régulières de coordination entre travailleurs sociaux, ont eu lieu au sein de la DPJE.</w:t>
      </w:r>
      <w:r w:rsidR="006C160E" w:rsidRPr="00F13D2D">
        <w:rPr>
          <w:rFonts w:eastAsia="Calibri"/>
          <w:lang w:val="fr-FR"/>
        </w:rPr>
        <w:t xml:space="preserve"> </w:t>
      </w:r>
      <w:r w:rsidR="00E819C1" w:rsidRPr="00F13D2D">
        <w:rPr>
          <w:rFonts w:eastAsia="Calibri"/>
          <w:lang w:val="fr-FR"/>
        </w:rPr>
        <w:t xml:space="preserve">Ainsi, plusieurs rencontres ont eu lieu. Un expert de </w:t>
      </w:r>
      <w:proofErr w:type="spellStart"/>
      <w:r w:rsidR="00E819C1" w:rsidRPr="00F13D2D">
        <w:rPr>
          <w:rFonts w:eastAsia="Calibri"/>
          <w:lang w:val="fr-FR"/>
        </w:rPr>
        <w:t>TdH</w:t>
      </w:r>
      <w:proofErr w:type="spellEnd"/>
      <w:r w:rsidR="00E819C1" w:rsidRPr="00F13D2D">
        <w:rPr>
          <w:rFonts w:eastAsia="Calibri"/>
          <w:lang w:val="fr-FR"/>
        </w:rPr>
        <w:t xml:space="preserve"> a animé une formation au profit de 32 agents du CPISE, un autre expert, en justice juvénile de </w:t>
      </w:r>
      <w:proofErr w:type="spellStart"/>
      <w:r w:rsidR="00E819C1" w:rsidRPr="00F13D2D">
        <w:rPr>
          <w:rFonts w:eastAsia="Calibri"/>
          <w:lang w:val="fr-FR"/>
        </w:rPr>
        <w:t>TdH</w:t>
      </w:r>
      <w:proofErr w:type="spellEnd"/>
      <w:r w:rsidR="00E819C1" w:rsidRPr="00F13D2D">
        <w:rPr>
          <w:rFonts w:eastAsia="Calibri"/>
          <w:lang w:val="fr-FR"/>
        </w:rPr>
        <w:t xml:space="preserve"> a animé une formation à destination de 15 agents du CPISE et d’un représentant de la Direction de l’Enfance. Le groupe de </w:t>
      </w:r>
      <w:r w:rsidR="00E819C1" w:rsidRPr="00F13D2D">
        <w:rPr>
          <w:rFonts w:eastAsia="Calibri"/>
          <w:lang w:val="fr-FR"/>
        </w:rPr>
        <w:lastRenderedPageBreak/>
        <w:t xml:space="preserve">rédaction du manuel, composé de 3 cadres du CPISE, d’un élément de l’Unicef et d’un élément de </w:t>
      </w:r>
      <w:proofErr w:type="spellStart"/>
      <w:r w:rsidR="00E819C1" w:rsidRPr="00F13D2D">
        <w:rPr>
          <w:rFonts w:eastAsia="Calibri"/>
          <w:lang w:val="fr-FR"/>
        </w:rPr>
        <w:t>TdH</w:t>
      </w:r>
      <w:proofErr w:type="spellEnd"/>
      <w:r w:rsidR="00E819C1" w:rsidRPr="00F13D2D">
        <w:rPr>
          <w:rFonts w:eastAsia="Calibri"/>
          <w:lang w:val="fr-FR"/>
        </w:rPr>
        <w:t xml:space="preserve"> a rédigé en commun le document de règles et procédures. Un atelier de partage à l’ensemble du personnel du CPISE (30 personnes) a été organisé pour diffusion.</w:t>
      </w:r>
      <w:r w:rsidR="006C160E" w:rsidRPr="00F13D2D">
        <w:rPr>
          <w:rFonts w:eastAsia="Calibri"/>
          <w:lang w:val="fr-FR"/>
        </w:rPr>
        <w:t xml:space="preserve"> </w:t>
      </w:r>
      <w:r w:rsidR="00E819C1" w:rsidRPr="00F13D2D">
        <w:rPr>
          <w:rFonts w:eastAsia="Calibri"/>
          <w:lang w:val="fr-FR"/>
        </w:rPr>
        <w:t xml:space="preserve">Un travail similaire de mise en place d’un manuel de règles et procédures, pour l’AFCF a été engagé et s’est achevé par un temps de partage et diffusion à l’ensemble des travailleurs impliqués (19 personnes). L’ensemble de ces travaux de renforcement, ont permis l’apport et la mise en place d’outils spécifiques au travail social à destination d’enfants en situation de conflit avec la loi ou victimes d’infractions. </w:t>
      </w:r>
    </w:p>
    <w:p w:rsidR="00E819C1" w:rsidRPr="00F13D2D" w:rsidRDefault="0055270C" w:rsidP="0055270C">
      <w:pPr>
        <w:pStyle w:val="SingleTxtG"/>
        <w:rPr>
          <w:rFonts w:eastAsia="Calibri"/>
          <w:lang w:val="fr-FR"/>
        </w:rPr>
      </w:pPr>
      <w:r w:rsidRPr="00F13D2D">
        <w:rPr>
          <w:rFonts w:eastAsia="Calibri"/>
          <w:lang w:val="fr-FR"/>
        </w:rPr>
        <w:t>197.</w:t>
      </w:r>
      <w:r w:rsidRPr="00F13D2D">
        <w:rPr>
          <w:rFonts w:eastAsia="Calibri"/>
          <w:lang w:val="fr-FR"/>
        </w:rPr>
        <w:tab/>
      </w:r>
      <w:r w:rsidR="00E819C1" w:rsidRPr="00F13D2D">
        <w:rPr>
          <w:rFonts w:eastAsia="Calibri"/>
          <w:lang w:val="fr-FR"/>
        </w:rPr>
        <w:t>La</w:t>
      </w:r>
      <w:r w:rsidR="006C160E" w:rsidRPr="00F13D2D">
        <w:rPr>
          <w:rFonts w:eastAsia="Calibri"/>
          <w:lang w:val="fr-FR"/>
        </w:rPr>
        <w:t xml:space="preserve"> </w:t>
      </w:r>
      <w:r w:rsidR="00E819C1" w:rsidRPr="00F13D2D">
        <w:rPr>
          <w:rFonts w:eastAsia="Calibri"/>
          <w:lang w:val="fr-FR"/>
        </w:rPr>
        <w:t xml:space="preserve">formation de policiers, gendarmes et avocats a également été réalisée par le Gouvernement et </w:t>
      </w:r>
      <w:proofErr w:type="spellStart"/>
      <w:r w:rsidR="00E819C1" w:rsidRPr="00F13D2D">
        <w:rPr>
          <w:rFonts w:eastAsia="Calibri"/>
          <w:lang w:val="fr-FR"/>
        </w:rPr>
        <w:t>TdH</w:t>
      </w:r>
      <w:proofErr w:type="spellEnd"/>
      <w:r w:rsidR="00FC0832">
        <w:rPr>
          <w:rFonts w:eastAsia="Calibri"/>
          <w:lang w:val="fr-FR"/>
        </w:rPr>
        <w:t> :</w:t>
      </w:r>
      <w:r w:rsidR="00E819C1" w:rsidRPr="00F13D2D">
        <w:rPr>
          <w:rFonts w:eastAsia="Calibri"/>
          <w:lang w:val="fr-FR"/>
        </w:rPr>
        <w:t xml:space="preserve"> (i) Formation de 3 officiers et 19 agents de police aux procédures et normes de protection des droits des enfants</w:t>
      </w:r>
      <w:r w:rsidR="00AB0C37">
        <w:rPr>
          <w:rFonts w:eastAsia="Calibri"/>
          <w:lang w:val="fr-FR"/>
        </w:rPr>
        <w:t> ;</w:t>
      </w:r>
      <w:r w:rsidR="00E819C1" w:rsidRPr="00F13D2D">
        <w:rPr>
          <w:rFonts w:eastAsia="Calibri"/>
          <w:lang w:val="fr-FR"/>
        </w:rPr>
        <w:t xml:space="preserve"> (ii)1ère formation de 10 formateurs de l’</w:t>
      </w:r>
      <w:proofErr w:type="spellStart"/>
      <w:r w:rsidR="00E819C1" w:rsidRPr="00F13D2D">
        <w:rPr>
          <w:rFonts w:eastAsia="Calibri"/>
          <w:lang w:val="fr-FR"/>
        </w:rPr>
        <w:t>Ecole</w:t>
      </w:r>
      <w:proofErr w:type="spellEnd"/>
      <w:r w:rsidR="00E819C1" w:rsidRPr="00F13D2D">
        <w:rPr>
          <w:rFonts w:eastAsia="Calibri"/>
          <w:lang w:val="fr-FR"/>
        </w:rPr>
        <w:t xml:space="preserve"> Nationale de Police, aux questions de prise en charge des MCL et enfants victimes, 2nde formation de 10 policiers formateurs, à la prise en charge des mineurs</w:t>
      </w:r>
      <w:r w:rsidR="00AB0C37">
        <w:rPr>
          <w:rFonts w:eastAsia="Calibri"/>
          <w:lang w:val="fr-FR"/>
        </w:rPr>
        <w:t> ;</w:t>
      </w:r>
      <w:r w:rsidR="00E819C1" w:rsidRPr="00F13D2D">
        <w:rPr>
          <w:rFonts w:eastAsia="Calibri"/>
          <w:lang w:val="fr-FR"/>
        </w:rPr>
        <w:t xml:space="preserve"> (iii) Un guide du policier spécialisé a été réalisé pour l’</w:t>
      </w:r>
      <w:proofErr w:type="spellStart"/>
      <w:r w:rsidR="00E819C1" w:rsidRPr="00F13D2D">
        <w:rPr>
          <w:rFonts w:eastAsia="Calibri"/>
          <w:lang w:val="fr-FR"/>
        </w:rPr>
        <w:t>Ecole</w:t>
      </w:r>
      <w:proofErr w:type="spellEnd"/>
      <w:r w:rsidR="00E819C1" w:rsidRPr="00F13D2D">
        <w:rPr>
          <w:rFonts w:eastAsia="Calibri"/>
          <w:lang w:val="fr-FR"/>
        </w:rPr>
        <w:t xml:space="preserve"> Nationale de Police</w:t>
      </w:r>
      <w:r w:rsidR="00AB0C37">
        <w:rPr>
          <w:rFonts w:eastAsia="Calibri"/>
          <w:lang w:val="fr-FR"/>
        </w:rPr>
        <w:t> ;</w:t>
      </w:r>
      <w:r w:rsidR="00E819C1" w:rsidRPr="00F13D2D">
        <w:rPr>
          <w:rFonts w:eastAsia="Calibri"/>
          <w:lang w:val="fr-FR"/>
        </w:rPr>
        <w:t xml:space="preserve"> (iv) La DPJE, la Direction de la Police Judiciaire et</w:t>
      </w:r>
      <w:r w:rsidR="006C160E" w:rsidRPr="00F13D2D">
        <w:rPr>
          <w:rFonts w:eastAsia="Calibri"/>
          <w:lang w:val="fr-FR"/>
        </w:rPr>
        <w:t xml:space="preserve"> </w:t>
      </w:r>
      <w:proofErr w:type="spellStart"/>
      <w:r w:rsidR="00E819C1" w:rsidRPr="00F13D2D">
        <w:rPr>
          <w:rFonts w:eastAsia="Calibri"/>
          <w:lang w:val="fr-FR"/>
        </w:rPr>
        <w:t>TdH</w:t>
      </w:r>
      <w:proofErr w:type="spellEnd"/>
      <w:r w:rsidR="00E819C1" w:rsidRPr="00F13D2D">
        <w:rPr>
          <w:rFonts w:eastAsia="Calibri"/>
          <w:lang w:val="fr-FR"/>
        </w:rPr>
        <w:t xml:space="preserve"> ont</w:t>
      </w:r>
      <w:r w:rsidR="006C160E" w:rsidRPr="00F13D2D">
        <w:rPr>
          <w:rFonts w:eastAsia="Calibri"/>
          <w:lang w:val="fr-FR"/>
        </w:rPr>
        <w:t xml:space="preserve"> </w:t>
      </w:r>
      <w:r w:rsidR="00E819C1" w:rsidRPr="00F13D2D">
        <w:rPr>
          <w:rFonts w:eastAsia="Calibri"/>
          <w:lang w:val="fr-FR"/>
        </w:rPr>
        <w:t>organisé une journée de sensibilisation pour 31</w:t>
      </w:r>
      <w:r w:rsidR="00AB0C37">
        <w:rPr>
          <w:rFonts w:eastAsia="Calibri"/>
          <w:lang w:val="fr-FR"/>
        </w:rPr>
        <w:t> </w:t>
      </w:r>
      <w:r w:rsidR="00E819C1" w:rsidRPr="00F13D2D">
        <w:rPr>
          <w:rFonts w:eastAsia="Calibri"/>
          <w:lang w:val="fr-FR"/>
        </w:rPr>
        <w:t>commissaires de police de Nouakchott, pour les encourager à une meilleure observation de l’OPPE et de la circulaire relative à l’orientation des enfants vers la BSCM</w:t>
      </w:r>
      <w:r w:rsidR="00AB0C37">
        <w:rPr>
          <w:rFonts w:eastAsia="Calibri"/>
          <w:lang w:val="fr-FR"/>
        </w:rPr>
        <w:t> ;</w:t>
      </w:r>
      <w:r w:rsidR="0031303C">
        <w:rPr>
          <w:rFonts w:eastAsia="Calibri"/>
          <w:lang w:val="fr-FR"/>
        </w:rPr>
        <w:t xml:space="preserve"> (v) 20 </w:t>
      </w:r>
      <w:r w:rsidR="00E819C1" w:rsidRPr="00F13D2D">
        <w:rPr>
          <w:rFonts w:eastAsia="Calibri"/>
          <w:lang w:val="fr-FR"/>
        </w:rPr>
        <w:t>personnes, actives à la BSCM ont été impliquées dans</w:t>
      </w:r>
      <w:r w:rsidR="0031303C">
        <w:rPr>
          <w:rFonts w:eastAsia="Calibri"/>
          <w:lang w:val="fr-FR"/>
        </w:rPr>
        <w:t xml:space="preserve"> la rédaction d’une liste de 20 </w:t>
      </w:r>
      <w:r w:rsidR="00E819C1" w:rsidRPr="00F13D2D">
        <w:rPr>
          <w:rFonts w:eastAsia="Calibri"/>
          <w:lang w:val="fr-FR"/>
        </w:rPr>
        <w:t>points de service à rendre à tout mineur ayant à transiter par cette structure</w:t>
      </w:r>
      <w:r w:rsidR="00AB0C37">
        <w:rPr>
          <w:rFonts w:eastAsia="Calibri"/>
          <w:lang w:val="fr-FR"/>
        </w:rPr>
        <w:t> ;</w:t>
      </w:r>
      <w:r w:rsidR="0031303C">
        <w:rPr>
          <w:rFonts w:eastAsia="Calibri"/>
          <w:lang w:val="fr-FR"/>
        </w:rPr>
        <w:t xml:space="preserve"> (vi) 30 </w:t>
      </w:r>
      <w:r w:rsidR="00E819C1" w:rsidRPr="00F13D2D">
        <w:rPr>
          <w:rFonts w:eastAsia="Calibri"/>
          <w:lang w:val="fr-FR"/>
        </w:rPr>
        <w:t>policiers postés à la BSCM ont été recyclés à l’application des textes propres au traitement des dossiers de mineurs. Le guide du policier spécialisé a été diffusé une nouvelle fois en cette occasion</w:t>
      </w:r>
      <w:r w:rsidR="00AB0C37">
        <w:rPr>
          <w:rFonts w:eastAsia="Calibri"/>
          <w:lang w:val="fr-FR"/>
        </w:rPr>
        <w:t xml:space="preserve"> ; </w:t>
      </w:r>
      <w:r w:rsidR="00E819C1" w:rsidRPr="00F13D2D">
        <w:rPr>
          <w:rFonts w:eastAsia="Calibri"/>
          <w:lang w:val="fr-FR"/>
        </w:rPr>
        <w:t>(vii) 24 policiers postés dans les divers commissariats de Nouadhibou, ont reçu le même recyclage, deux cadres des services de police ont participé à une rencontre régionale portant sur une harmonisation des outils de formation initiale des policiers et gendarmes en Afrique de l’ouest et du centre</w:t>
      </w:r>
      <w:r w:rsidR="00AB0C37">
        <w:rPr>
          <w:rFonts w:eastAsia="Calibri"/>
          <w:lang w:val="fr-FR"/>
        </w:rPr>
        <w:t> ;</w:t>
      </w:r>
      <w:r w:rsidR="00E819C1" w:rsidRPr="00F13D2D">
        <w:rPr>
          <w:rFonts w:eastAsia="Calibri"/>
          <w:lang w:val="fr-FR"/>
        </w:rPr>
        <w:t xml:space="preserve"> (</w:t>
      </w:r>
      <w:r w:rsidR="00AB0C37">
        <w:rPr>
          <w:rFonts w:eastAsia="Calibri"/>
          <w:lang w:val="fr-FR"/>
        </w:rPr>
        <w:t>viii</w:t>
      </w:r>
      <w:r w:rsidR="00E819C1" w:rsidRPr="00F13D2D">
        <w:rPr>
          <w:rFonts w:eastAsia="Calibri"/>
          <w:lang w:val="fr-FR"/>
        </w:rPr>
        <w:t>) 9 avocats ont suivi une formation sur l’assistance judiciaire, en relation avec la CDE,</w:t>
      </w:r>
      <w:r w:rsidR="006C160E" w:rsidRPr="00F13D2D">
        <w:rPr>
          <w:rFonts w:eastAsia="Calibri"/>
          <w:lang w:val="fr-FR"/>
        </w:rPr>
        <w:t xml:space="preserve"> </w:t>
      </w:r>
      <w:r w:rsidR="00E819C1" w:rsidRPr="00F13D2D">
        <w:rPr>
          <w:rFonts w:eastAsia="Calibri"/>
          <w:lang w:val="fr-FR"/>
        </w:rPr>
        <w:t>l’OPPE et les mesures alternatives et l’assistance judiciaire aux mineurs.</w:t>
      </w:r>
    </w:p>
    <w:p w:rsidR="00E819C1" w:rsidRPr="00E06F1B" w:rsidRDefault="008A67C0" w:rsidP="00AA7A93">
      <w:pPr>
        <w:pStyle w:val="H23G"/>
      </w:pPr>
      <w:bookmarkStart w:id="297" w:name="_Toc453672979"/>
      <w:bookmarkStart w:id="298" w:name="_Toc454388822"/>
      <w:r w:rsidRPr="000E17DF">
        <w:tab/>
      </w:r>
      <w:r w:rsidR="00E819C1" w:rsidRPr="00F13D2D">
        <w:t>5</w:t>
      </w:r>
      <w:r w:rsidRPr="00F13D2D">
        <w:t>.</w:t>
      </w:r>
      <w:r w:rsidRPr="00F13D2D">
        <w:tab/>
      </w:r>
      <w:r w:rsidR="00E819C1" w:rsidRPr="00F13D2D">
        <w:t>Centre d’accueil et de réinsertion sociale des enfants en conflit avec la loi</w:t>
      </w:r>
      <w:bookmarkEnd w:id="297"/>
      <w:r w:rsidR="00E819C1" w:rsidRPr="00F13D2D">
        <w:t xml:space="preserve"> (CARSEC)</w:t>
      </w:r>
      <w:bookmarkEnd w:id="298"/>
    </w:p>
    <w:p w:rsidR="00E819C1" w:rsidRPr="00F13D2D" w:rsidRDefault="0055270C" w:rsidP="0055270C">
      <w:pPr>
        <w:pStyle w:val="SingleTxtG"/>
        <w:rPr>
          <w:rFonts w:eastAsia="Calibri"/>
          <w:lang w:val="fr-FR"/>
        </w:rPr>
      </w:pPr>
      <w:r w:rsidRPr="00F13D2D">
        <w:rPr>
          <w:rFonts w:eastAsia="Calibri"/>
          <w:lang w:val="fr-FR"/>
        </w:rPr>
        <w:t>198.</w:t>
      </w:r>
      <w:r w:rsidRPr="00F13D2D">
        <w:rPr>
          <w:rFonts w:eastAsia="Calibri"/>
          <w:lang w:val="fr-FR"/>
        </w:rPr>
        <w:tab/>
      </w:r>
      <w:r w:rsidR="00E819C1" w:rsidRPr="00F13D2D">
        <w:rPr>
          <w:rFonts w:eastAsia="Calibri"/>
          <w:lang w:val="fr-FR"/>
        </w:rPr>
        <w:t xml:space="preserve">Afin de faire bénéficier les enfants en conflit avec la loi de la protection prévue par la CDE, les Pouvoirs Publics ont </w:t>
      </w:r>
      <w:proofErr w:type="spellStart"/>
      <w:r w:rsidR="00E819C1" w:rsidRPr="00F13D2D">
        <w:rPr>
          <w:rFonts w:eastAsia="Calibri"/>
          <w:lang w:val="fr-FR"/>
        </w:rPr>
        <w:t>crée</w:t>
      </w:r>
      <w:proofErr w:type="spellEnd"/>
      <w:r w:rsidR="00E819C1" w:rsidRPr="00F13D2D">
        <w:rPr>
          <w:rFonts w:eastAsia="Calibri"/>
          <w:lang w:val="fr-FR"/>
        </w:rPr>
        <w:t xml:space="preserve"> le Centre d’El Mina pour l’accueil et la réinsertion sociale</w:t>
      </w:r>
      <w:r w:rsidR="006C160E" w:rsidRPr="00F13D2D">
        <w:rPr>
          <w:rFonts w:eastAsia="Calibri"/>
          <w:lang w:val="fr-FR"/>
        </w:rPr>
        <w:t xml:space="preserve"> </w:t>
      </w:r>
      <w:r w:rsidR="00E819C1" w:rsidRPr="00F13D2D">
        <w:rPr>
          <w:rFonts w:eastAsia="Calibri"/>
          <w:lang w:val="fr-FR"/>
        </w:rPr>
        <w:t>des enfants en conflit avec la loi. C’est une structure du Ministère de la Justice dont la mission s’inscrit dans l’esprit de l’ordonnance</w:t>
      </w:r>
      <w:r w:rsidR="006C160E" w:rsidRPr="00F13D2D">
        <w:rPr>
          <w:rFonts w:eastAsia="Calibri"/>
          <w:lang w:val="fr-FR"/>
        </w:rPr>
        <w:t xml:space="preserve"> </w:t>
      </w:r>
      <w:r w:rsidR="00E819C1" w:rsidRPr="00F13D2D">
        <w:rPr>
          <w:rFonts w:eastAsia="Calibri"/>
          <w:lang w:val="fr-FR"/>
        </w:rPr>
        <w:t>n</w:t>
      </w:r>
      <w:r w:rsidR="00837D86" w:rsidRPr="00AA7A93">
        <w:rPr>
          <w:rFonts w:eastAsia="Calibri"/>
          <w:vertAlign w:val="superscript"/>
          <w:lang w:val="fr-FR"/>
        </w:rPr>
        <w:t>o</w:t>
      </w:r>
      <w:r w:rsidR="00837D86">
        <w:rPr>
          <w:rFonts w:eastAsia="Calibri"/>
          <w:lang w:val="fr-FR"/>
        </w:rPr>
        <w:t> </w:t>
      </w:r>
      <w:r w:rsidR="00E819C1" w:rsidRPr="00F13D2D">
        <w:rPr>
          <w:rFonts w:eastAsia="Calibri"/>
          <w:lang w:val="fr-FR"/>
        </w:rPr>
        <w:t>2005.015 du 5 décembre 2005 portant Protection Pénale de l’Enfant.</w:t>
      </w:r>
    </w:p>
    <w:p w:rsidR="00E819C1" w:rsidRPr="00AA7A93" w:rsidRDefault="008A67C0" w:rsidP="00AA7A93">
      <w:pPr>
        <w:pStyle w:val="H1G"/>
      </w:pPr>
      <w:bookmarkStart w:id="299" w:name="_Toc453672981"/>
      <w:bookmarkStart w:id="300" w:name="_Toc454388823"/>
      <w:r w:rsidRPr="000E17DF">
        <w:tab/>
      </w:r>
      <w:r w:rsidR="00E819C1" w:rsidRPr="00E06F1B">
        <w:t>C</w:t>
      </w:r>
      <w:r w:rsidRPr="00AA7A93">
        <w:t>.</w:t>
      </w:r>
      <w:r w:rsidRPr="00AA7A93">
        <w:tab/>
      </w:r>
      <w:r w:rsidR="00E819C1" w:rsidRPr="00AA7A93">
        <w:t>Les enfants en situation d’exploitation, y compris leur réadaptation physique et psychologique et leur réinsertion sociale (art.</w:t>
      </w:r>
      <w:r w:rsidR="00400D35">
        <w:t> </w:t>
      </w:r>
      <w:r w:rsidR="00E819C1" w:rsidRPr="00E06F1B">
        <w:t>39)</w:t>
      </w:r>
      <w:bookmarkEnd w:id="299"/>
      <w:bookmarkEnd w:id="300"/>
    </w:p>
    <w:p w:rsidR="00E819C1" w:rsidRPr="00F13D2D" w:rsidRDefault="0055270C" w:rsidP="0055270C">
      <w:pPr>
        <w:pStyle w:val="SingleTxtG"/>
        <w:rPr>
          <w:rFonts w:eastAsia="Calibri"/>
          <w:lang w:val="fr-FR"/>
        </w:rPr>
      </w:pPr>
      <w:r w:rsidRPr="00F13D2D">
        <w:rPr>
          <w:rFonts w:eastAsia="Calibri"/>
          <w:lang w:val="fr-FR"/>
        </w:rPr>
        <w:t>199.</w:t>
      </w:r>
      <w:r w:rsidRPr="00F13D2D">
        <w:rPr>
          <w:rFonts w:eastAsia="Calibri"/>
          <w:lang w:val="fr-FR"/>
        </w:rPr>
        <w:tab/>
      </w:r>
      <w:r w:rsidR="00E819C1" w:rsidRPr="00F13D2D">
        <w:rPr>
          <w:rFonts w:eastAsia="Calibri"/>
          <w:lang w:val="fr-FR"/>
        </w:rPr>
        <w:t>Les enfants en situation d’exploitation sont orientés vers le Centre de Protection et d’Intégration Sociale des Enfants (CPISE). Le</w:t>
      </w:r>
      <w:r w:rsidR="006C160E" w:rsidRPr="00F13D2D">
        <w:rPr>
          <w:rFonts w:eastAsia="Calibri"/>
          <w:lang w:val="fr-FR"/>
        </w:rPr>
        <w:t xml:space="preserve"> </w:t>
      </w:r>
      <w:r w:rsidR="00E819C1" w:rsidRPr="00F13D2D">
        <w:rPr>
          <w:rFonts w:eastAsia="Calibri"/>
          <w:lang w:val="fr-FR"/>
        </w:rPr>
        <w:t>(CPISE) offre aux enfants des prestations</w:t>
      </w:r>
      <w:r w:rsidR="006C160E" w:rsidRPr="00F13D2D">
        <w:rPr>
          <w:rFonts w:eastAsia="Calibri"/>
          <w:lang w:val="fr-FR"/>
        </w:rPr>
        <w:t xml:space="preserve"> </w:t>
      </w:r>
      <w:r w:rsidR="00E819C1" w:rsidRPr="00F13D2D">
        <w:rPr>
          <w:rFonts w:eastAsia="Calibri"/>
          <w:lang w:val="fr-FR"/>
        </w:rPr>
        <w:t>qui facilitent leur intégration sociale. Il a pris en charge 1</w:t>
      </w:r>
      <w:r w:rsidR="00837D86">
        <w:rPr>
          <w:rFonts w:eastAsia="Calibri"/>
          <w:lang w:val="fr-FR"/>
        </w:rPr>
        <w:t> </w:t>
      </w:r>
      <w:r w:rsidR="00E819C1" w:rsidRPr="00F13D2D">
        <w:rPr>
          <w:rFonts w:eastAsia="Calibri"/>
          <w:lang w:val="fr-FR"/>
        </w:rPr>
        <w:t>154 enfants en 2015.</w:t>
      </w:r>
    </w:p>
    <w:p w:rsidR="00E819C1" w:rsidRPr="00AA7A93" w:rsidRDefault="008A67C0" w:rsidP="00AA7A93">
      <w:pPr>
        <w:pStyle w:val="H1G"/>
      </w:pPr>
      <w:bookmarkStart w:id="301" w:name="_Toc453672982"/>
      <w:bookmarkStart w:id="302" w:name="_Toc454388824"/>
      <w:r w:rsidRPr="000E17DF">
        <w:tab/>
      </w:r>
      <w:r w:rsidR="00E819C1" w:rsidRPr="00E06F1B">
        <w:t>D</w:t>
      </w:r>
      <w:r w:rsidRPr="00AA7A93">
        <w:t>.</w:t>
      </w:r>
      <w:r w:rsidRPr="00AA7A93">
        <w:tab/>
      </w:r>
      <w:r w:rsidR="00E819C1" w:rsidRPr="00AA7A93">
        <w:t>Les enfants appartenant à une minorité ou à un groupe autochtone (art.</w:t>
      </w:r>
      <w:r w:rsidR="00400D35">
        <w:t> </w:t>
      </w:r>
      <w:r w:rsidR="00E819C1" w:rsidRPr="00E06F1B">
        <w:t>30)</w:t>
      </w:r>
      <w:bookmarkEnd w:id="301"/>
      <w:bookmarkEnd w:id="302"/>
    </w:p>
    <w:p w:rsidR="00E819C1" w:rsidRPr="00F13D2D" w:rsidRDefault="0055270C" w:rsidP="0055270C">
      <w:pPr>
        <w:pStyle w:val="SingleTxtG"/>
        <w:rPr>
          <w:rFonts w:eastAsia="Calibri"/>
          <w:lang w:val="fr-FR"/>
        </w:rPr>
      </w:pPr>
      <w:r w:rsidRPr="00F13D2D">
        <w:rPr>
          <w:rFonts w:eastAsia="Calibri"/>
          <w:lang w:val="fr-FR"/>
        </w:rPr>
        <w:t>200.</w:t>
      </w:r>
      <w:r w:rsidRPr="00F13D2D">
        <w:rPr>
          <w:rFonts w:eastAsia="Calibri"/>
          <w:lang w:val="fr-FR"/>
        </w:rPr>
        <w:tab/>
      </w:r>
      <w:r w:rsidR="00E819C1" w:rsidRPr="00F13D2D">
        <w:rPr>
          <w:rFonts w:eastAsia="Calibri"/>
          <w:lang w:val="fr-FR"/>
        </w:rPr>
        <w:t>L’</w:t>
      </w:r>
      <w:r w:rsidR="00C438AC">
        <w:rPr>
          <w:rFonts w:eastAsia="Calibri"/>
          <w:lang w:val="fr-FR"/>
        </w:rPr>
        <w:t>a</w:t>
      </w:r>
      <w:r w:rsidR="00E819C1" w:rsidRPr="00F13D2D">
        <w:rPr>
          <w:rFonts w:eastAsia="Calibri"/>
          <w:lang w:val="fr-FR"/>
        </w:rPr>
        <w:t>linéa 4 (nouveau) de la loi n</w:t>
      </w:r>
      <w:r w:rsidR="00837D86" w:rsidRPr="00AA7A93">
        <w:rPr>
          <w:rFonts w:eastAsia="Calibri"/>
          <w:vertAlign w:val="superscript"/>
          <w:lang w:val="fr-FR"/>
        </w:rPr>
        <w:t>o</w:t>
      </w:r>
      <w:r w:rsidR="00837D86">
        <w:rPr>
          <w:rFonts w:eastAsia="Calibri"/>
          <w:lang w:val="fr-FR"/>
        </w:rPr>
        <w:t> </w:t>
      </w:r>
      <w:r w:rsidR="00E819C1" w:rsidRPr="00F13D2D">
        <w:rPr>
          <w:rFonts w:eastAsia="Calibri"/>
          <w:lang w:val="fr-FR"/>
        </w:rPr>
        <w:t xml:space="preserve">2012.015 du 22 mars 2012 portant modification de la </w:t>
      </w:r>
      <w:r w:rsidR="00400D35" w:rsidRPr="00F13D2D">
        <w:rPr>
          <w:rFonts w:eastAsia="Calibri"/>
          <w:lang w:val="fr-FR"/>
        </w:rPr>
        <w:t xml:space="preserve">Constitution </w:t>
      </w:r>
      <w:r w:rsidR="00E819C1" w:rsidRPr="00F13D2D">
        <w:rPr>
          <w:rFonts w:eastAsia="Calibri"/>
          <w:lang w:val="fr-FR"/>
        </w:rPr>
        <w:t>du 20 juillet 1991 dispose</w:t>
      </w:r>
      <w:r w:rsidR="00FC0832">
        <w:rPr>
          <w:rFonts w:eastAsia="Calibri"/>
          <w:lang w:val="fr-FR"/>
        </w:rPr>
        <w:t> :</w:t>
      </w:r>
      <w:r w:rsidR="00E819C1" w:rsidRPr="00F13D2D">
        <w:rPr>
          <w:rFonts w:eastAsia="Calibri"/>
          <w:lang w:val="fr-FR"/>
        </w:rPr>
        <w:t xml:space="preserve"> « Uni à travers</w:t>
      </w:r>
      <w:r w:rsidR="006C160E" w:rsidRPr="00F13D2D">
        <w:rPr>
          <w:rFonts w:eastAsia="Calibri"/>
          <w:lang w:val="fr-FR"/>
        </w:rPr>
        <w:t xml:space="preserve"> </w:t>
      </w:r>
      <w:r w:rsidR="00E819C1" w:rsidRPr="00F13D2D">
        <w:rPr>
          <w:rFonts w:eastAsia="Calibri"/>
          <w:lang w:val="fr-FR"/>
        </w:rPr>
        <w:t>l’histoire,</w:t>
      </w:r>
      <w:r w:rsidR="006C160E" w:rsidRPr="00F13D2D">
        <w:rPr>
          <w:rFonts w:eastAsia="Calibri"/>
          <w:lang w:val="fr-FR"/>
        </w:rPr>
        <w:t xml:space="preserve"> </w:t>
      </w:r>
      <w:r w:rsidR="00E819C1" w:rsidRPr="00F13D2D">
        <w:rPr>
          <w:rFonts w:eastAsia="Calibri"/>
          <w:lang w:val="fr-FR"/>
        </w:rPr>
        <w:t>par des valeurs morales et spirituelles partagées et aspirant</w:t>
      </w:r>
      <w:r w:rsidR="006C160E" w:rsidRPr="00F13D2D">
        <w:rPr>
          <w:rFonts w:eastAsia="Calibri"/>
          <w:lang w:val="fr-FR"/>
        </w:rPr>
        <w:t xml:space="preserve"> </w:t>
      </w:r>
      <w:r w:rsidR="00E819C1" w:rsidRPr="00F13D2D">
        <w:rPr>
          <w:rFonts w:eastAsia="Calibri"/>
          <w:lang w:val="fr-FR"/>
        </w:rPr>
        <w:t>à un avenir commun,</w:t>
      </w:r>
      <w:r w:rsidR="006C160E" w:rsidRPr="00F13D2D">
        <w:rPr>
          <w:rFonts w:eastAsia="Calibri"/>
          <w:lang w:val="fr-FR"/>
        </w:rPr>
        <w:t xml:space="preserve"> </w:t>
      </w:r>
      <w:r w:rsidR="00E819C1" w:rsidRPr="00F13D2D">
        <w:rPr>
          <w:rFonts w:eastAsia="Calibri"/>
          <w:lang w:val="fr-FR"/>
        </w:rPr>
        <w:t xml:space="preserve">le peuple mauritanien </w:t>
      </w:r>
      <w:proofErr w:type="spellStart"/>
      <w:r w:rsidR="00E819C1" w:rsidRPr="00F13D2D">
        <w:rPr>
          <w:rFonts w:eastAsia="Calibri"/>
          <w:lang w:val="fr-FR"/>
        </w:rPr>
        <w:t>reconnait</w:t>
      </w:r>
      <w:proofErr w:type="spellEnd"/>
      <w:r w:rsidR="00E819C1" w:rsidRPr="00F13D2D">
        <w:rPr>
          <w:rFonts w:eastAsia="Calibri"/>
          <w:lang w:val="fr-FR"/>
        </w:rPr>
        <w:t xml:space="preserve"> et proclame sa diversité culturelle, socle de l’unité nationale et de la cohésion sociale, et son</w:t>
      </w:r>
      <w:r w:rsidR="006C160E" w:rsidRPr="00F13D2D">
        <w:rPr>
          <w:rFonts w:eastAsia="Calibri"/>
          <w:lang w:val="fr-FR"/>
        </w:rPr>
        <w:t xml:space="preserve"> </w:t>
      </w:r>
      <w:r w:rsidR="00E819C1" w:rsidRPr="00F13D2D">
        <w:rPr>
          <w:rFonts w:eastAsia="Calibri"/>
          <w:lang w:val="fr-FR"/>
        </w:rPr>
        <w:t xml:space="preserve">corollaire, le droit à la différence ». La langue Arabe, langue officielle du pays et les autres langues nationales, le </w:t>
      </w:r>
      <w:proofErr w:type="spellStart"/>
      <w:r w:rsidR="00E819C1" w:rsidRPr="00F13D2D">
        <w:rPr>
          <w:rFonts w:eastAsia="Calibri"/>
          <w:lang w:val="fr-FR"/>
        </w:rPr>
        <w:t>Poular</w:t>
      </w:r>
      <w:proofErr w:type="spellEnd"/>
      <w:r w:rsidR="00E819C1" w:rsidRPr="00F13D2D">
        <w:rPr>
          <w:rFonts w:eastAsia="Calibri"/>
          <w:lang w:val="fr-FR"/>
        </w:rPr>
        <w:t>, le Soninké et le Wolof, constituent, chacune en elle-même, un patrimoine national commun à tous les mauritaniens que l’</w:t>
      </w:r>
      <w:r w:rsidR="00AB4E57">
        <w:rPr>
          <w:rFonts w:eastAsia="Calibri"/>
          <w:lang w:val="fr-FR"/>
        </w:rPr>
        <w:t>État</w:t>
      </w:r>
      <w:r w:rsidR="00E819C1" w:rsidRPr="00F13D2D">
        <w:rPr>
          <w:rFonts w:eastAsia="Calibri"/>
          <w:lang w:val="fr-FR"/>
        </w:rPr>
        <w:t xml:space="preserve"> se doit, au nom de</w:t>
      </w:r>
      <w:r w:rsidR="006C160E" w:rsidRPr="00F13D2D">
        <w:rPr>
          <w:rFonts w:eastAsia="Calibri"/>
          <w:lang w:val="fr-FR"/>
        </w:rPr>
        <w:t xml:space="preserve"> </w:t>
      </w:r>
      <w:r w:rsidR="00E819C1" w:rsidRPr="00F13D2D">
        <w:rPr>
          <w:rFonts w:eastAsia="Calibri"/>
          <w:lang w:val="fr-FR"/>
        </w:rPr>
        <w:t>tous,</w:t>
      </w:r>
      <w:r w:rsidR="006C160E" w:rsidRPr="00F13D2D">
        <w:rPr>
          <w:rFonts w:eastAsia="Calibri"/>
          <w:lang w:val="fr-FR"/>
        </w:rPr>
        <w:t xml:space="preserve"> </w:t>
      </w:r>
      <w:r w:rsidR="00E819C1" w:rsidRPr="00F13D2D">
        <w:rPr>
          <w:rFonts w:eastAsia="Calibri"/>
          <w:lang w:val="fr-FR"/>
        </w:rPr>
        <w:t>de préserver et de promouvoir. L</w:t>
      </w:r>
      <w:r w:rsidR="006C160E" w:rsidRPr="00F13D2D">
        <w:rPr>
          <w:rFonts w:eastAsia="Calibri"/>
          <w:lang w:val="fr-FR"/>
        </w:rPr>
        <w:t>’</w:t>
      </w:r>
      <w:r w:rsidR="00E819C1" w:rsidRPr="00F13D2D">
        <w:rPr>
          <w:rFonts w:eastAsia="Calibri"/>
          <w:lang w:val="fr-FR"/>
        </w:rPr>
        <w:t>article 6 dispose</w:t>
      </w:r>
      <w:r w:rsidR="00FC0832">
        <w:rPr>
          <w:rFonts w:eastAsia="Calibri"/>
          <w:lang w:val="fr-FR"/>
        </w:rPr>
        <w:t> :</w:t>
      </w:r>
      <w:r w:rsidR="00E819C1" w:rsidRPr="00F13D2D">
        <w:rPr>
          <w:rFonts w:eastAsia="Calibri"/>
          <w:lang w:val="fr-FR"/>
        </w:rPr>
        <w:t xml:space="preserve"> </w:t>
      </w:r>
      <w:r w:rsidR="006C160E" w:rsidRPr="00F13D2D">
        <w:rPr>
          <w:rFonts w:eastAsia="Calibri"/>
          <w:lang w:val="fr-FR"/>
        </w:rPr>
        <w:t>« </w:t>
      </w:r>
      <w:r w:rsidR="00E819C1" w:rsidRPr="00F13D2D">
        <w:rPr>
          <w:rFonts w:eastAsia="Calibri"/>
          <w:lang w:val="fr-FR"/>
        </w:rPr>
        <w:t>Les langues nationales sont l</w:t>
      </w:r>
      <w:r w:rsidR="006C160E" w:rsidRPr="00F13D2D">
        <w:rPr>
          <w:rFonts w:eastAsia="Calibri"/>
          <w:lang w:val="fr-FR"/>
        </w:rPr>
        <w:t>’</w:t>
      </w:r>
      <w:r w:rsidR="00E819C1" w:rsidRPr="00F13D2D">
        <w:rPr>
          <w:rFonts w:eastAsia="Calibri"/>
          <w:lang w:val="fr-FR"/>
        </w:rPr>
        <w:t xml:space="preserve">arabe, le </w:t>
      </w:r>
      <w:proofErr w:type="spellStart"/>
      <w:r w:rsidR="00E819C1" w:rsidRPr="00F13D2D">
        <w:rPr>
          <w:rFonts w:eastAsia="Calibri"/>
          <w:lang w:val="fr-FR"/>
        </w:rPr>
        <w:t>poular</w:t>
      </w:r>
      <w:proofErr w:type="spellEnd"/>
      <w:r w:rsidR="00E819C1" w:rsidRPr="00F13D2D">
        <w:rPr>
          <w:rFonts w:eastAsia="Calibri"/>
          <w:lang w:val="fr-FR"/>
        </w:rPr>
        <w:t>, le soninké et le wolof</w:t>
      </w:r>
      <w:r w:rsidR="00FC0832">
        <w:rPr>
          <w:rFonts w:eastAsia="Calibri"/>
          <w:lang w:val="fr-FR"/>
        </w:rPr>
        <w:t> ;</w:t>
      </w:r>
      <w:r w:rsidR="00E819C1" w:rsidRPr="00F13D2D">
        <w:rPr>
          <w:rFonts w:eastAsia="Calibri"/>
          <w:lang w:val="fr-FR"/>
        </w:rPr>
        <w:t xml:space="preserve"> la langue officielle est l</w:t>
      </w:r>
      <w:r w:rsidR="006C160E" w:rsidRPr="00F13D2D">
        <w:rPr>
          <w:rFonts w:eastAsia="Calibri"/>
          <w:lang w:val="fr-FR"/>
        </w:rPr>
        <w:t>’</w:t>
      </w:r>
      <w:r w:rsidR="00E819C1" w:rsidRPr="00F13D2D">
        <w:rPr>
          <w:rFonts w:eastAsia="Calibri"/>
          <w:lang w:val="fr-FR"/>
        </w:rPr>
        <w:t>arabe</w:t>
      </w:r>
      <w:r w:rsidR="006C160E" w:rsidRPr="00F13D2D">
        <w:rPr>
          <w:rFonts w:eastAsia="Calibri"/>
          <w:lang w:val="fr-FR"/>
        </w:rPr>
        <w:t> »</w:t>
      </w:r>
      <w:r w:rsidR="00E819C1" w:rsidRPr="00F13D2D">
        <w:rPr>
          <w:rFonts w:eastAsia="Calibri"/>
          <w:lang w:val="fr-FR"/>
        </w:rPr>
        <w:t>. Ainsi, en plus de l</w:t>
      </w:r>
      <w:r w:rsidR="006C160E" w:rsidRPr="00F13D2D">
        <w:rPr>
          <w:rFonts w:eastAsia="Calibri"/>
          <w:lang w:val="fr-FR"/>
        </w:rPr>
        <w:t>’</w:t>
      </w:r>
      <w:r w:rsidR="00E819C1" w:rsidRPr="00F13D2D">
        <w:rPr>
          <w:rFonts w:eastAsia="Calibri"/>
          <w:lang w:val="fr-FR"/>
        </w:rPr>
        <w:t>arabe, langue véhiculaire de la culture et de la tradition islamique commune à toutes les composantes du peuple mauritanien et langue de l</w:t>
      </w:r>
      <w:r w:rsidR="006C160E" w:rsidRPr="00F13D2D">
        <w:rPr>
          <w:rFonts w:eastAsia="Calibri"/>
          <w:lang w:val="fr-FR"/>
        </w:rPr>
        <w:t>’</w:t>
      </w:r>
      <w:r w:rsidR="00E819C1" w:rsidRPr="00F13D2D">
        <w:rPr>
          <w:rFonts w:eastAsia="Calibri"/>
          <w:lang w:val="fr-FR"/>
        </w:rPr>
        <w:t>enseignement et de l</w:t>
      </w:r>
      <w:r w:rsidR="006C160E" w:rsidRPr="00F13D2D">
        <w:rPr>
          <w:rFonts w:eastAsia="Calibri"/>
          <w:lang w:val="fr-FR"/>
        </w:rPr>
        <w:t>’</w:t>
      </w:r>
      <w:r w:rsidR="00E819C1" w:rsidRPr="00F13D2D">
        <w:rPr>
          <w:rFonts w:eastAsia="Calibri"/>
          <w:lang w:val="fr-FR"/>
        </w:rPr>
        <w:t>administration à côté du français, l</w:t>
      </w:r>
      <w:r w:rsidR="006C160E" w:rsidRPr="00F13D2D">
        <w:rPr>
          <w:rFonts w:eastAsia="Calibri"/>
          <w:lang w:val="fr-FR"/>
        </w:rPr>
        <w:t>’</w:t>
      </w:r>
      <w:r w:rsidR="00E819C1" w:rsidRPr="00F13D2D">
        <w:rPr>
          <w:rFonts w:eastAsia="Calibri"/>
          <w:lang w:val="fr-FR"/>
        </w:rPr>
        <w:t xml:space="preserve">enseignement des langues </w:t>
      </w:r>
      <w:proofErr w:type="spellStart"/>
      <w:r w:rsidR="00E819C1" w:rsidRPr="00F13D2D">
        <w:rPr>
          <w:rFonts w:eastAsia="Calibri"/>
          <w:lang w:val="fr-FR"/>
        </w:rPr>
        <w:t>poular</w:t>
      </w:r>
      <w:proofErr w:type="spellEnd"/>
      <w:r w:rsidR="00E819C1" w:rsidRPr="00F13D2D">
        <w:rPr>
          <w:rFonts w:eastAsia="Calibri"/>
          <w:lang w:val="fr-FR"/>
        </w:rPr>
        <w:t xml:space="preserve">, soninké et wolof a </w:t>
      </w:r>
      <w:r w:rsidR="00E819C1" w:rsidRPr="00F13D2D">
        <w:rPr>
          <w:rFonts w:eastAsia="Calibri"/>
          <w:lang w:val="fr-FR"/>
        </w:rPr>
        <w:lastRenderedPageBreak/>
        <w:t>été introduit dans le système éducatif. Un département de l</w:t>
      </w:r>
      <w:r w:rsidR="006C160E" w:rsidRPr="00F13D2D">
        <w:rPr>
          <w:rFonts w:eastAsia="Calibri"/>
          <w:lang w:val="fr-FR"/>
        </w:rPr>
        <w:t>’</w:t>
      </w:r>
      <w:r w:rsidR="00E819C1" w:rsidRPr="00F13D2D">
        <w:rPr>
          <w:rFonts w:eastAsia="Calibri"/>
          <w:lang w:val="fr-FR"/>
        </w:rPr>
        <w:t>université est spécifiquement chargé de la promotion et de l</w:t>
      </w:r>
      <w:r w:rsidR="006C160E" w:rsidRPr="00F13D2D">
        <w:rPr>
          <w:rFonts w:eastAsia="Calibri"/>
          <w:lang w:val="fr-FR"/>
        </w:rPr>
        <w:t>’</w:t>
      </w:r>
      <w:r w:rsidR="00E819C1" w:rsidRPr="00F13D2D">
        <w:rPr>
          <w:rFonts w:eastAsia="Calibri"/>
          <w:lang w:val="fr-FR"/>
        </w:rPr>
        <w:t>enseignement de ces langues nationales. La politique du Gouvernement en matière d</w:t>
      </w:r>
      <w:r w:rsidR="006C160E" w:rsidRPr="00F13D2D">
        <w:rPr>
          <w:rFonts w:eastAsia="Calibri"/>
          <w:lang w:val="fr-FR"/>
        </w:rPr>
        <w:t>’</w:t>
      </w:r>
      <w:r w:rsidR="00E819C1" w:rsidRPr="00F13D2D">
        <w:rPr>
          <w:rFonts w:eastAsia="Calibri"/>
          <w:lang w:val="fr-FR"/>
        </w:rPr>
        <w:t>éducation vise à instaurer un système éducatif qui favorise l</w:t>
      </w:r>
      <w:r w:rsidR="006C160E" w:rsidRPr="00F13D2D">
        <w:rPr>
          <w:rFonts w:eastAsia="Calibri"/>
          <w:lang w:val="fr-FR"/>
        </w:rPr>
        <w:t>’</w:t>
      </w:r>
      <w:r w:rsidR="00E819C1" w:rsidRPr="00F13D2D">
        <w:rPr>
          <w:rFonts w:eastAsia="Calibri"/>
          <w:lang w:val="fr-FR"/>
        </w:rPr>
        <w:t>enracinement culturel, assure l</w:t>
      </w:r>
      <w:r w:rsidR="006C160E" w:rsidRPr="00F13D2D">
        <w:rPr>
          <w:rFonts w:eastAsia="Calibri"/>
          <w:lang w:val="fr-FR"/>
        </w:rPr>
        <w:t>’</w:t>
      </w:r>
      <w:r w:rsidR="00E819C1" w:rsidRPr="00F13D2D">
        <w:rPr>
          <w:rFonts w:eastAsia="Calibri"/>
          <w:lang w:val="fr-FR"/>
        </w:rPr>
        <w:t>émancipation sociale et permet la formation d</w:t>
      </w:r>
      <w:r w:rsidR="006C160E" w:rsidRPr="00F13D2D">
        <w:rPr>
          <w:rFonts w:eastAsia="Calibri"/>
          <w:lang w:val="fr-FR"/>
        </w:rPr>
        <w:t>’</w:t>
      </w:r>
      <w:r w:rsidR="00E819C1" w:rsidRPr="00F13D2D">
        <w:rPr>
          <w:rFonts w:eastAsia="Calibri"/>
          <w:lang w:val="fr-FR"/>
        </w:rPr>
        <w:t>une main d’œuvre qualifiée et d</w:t>
      </w:r>
      <w:r w:rsidR="006C160E" w:rsidRPr="00F13D2D">
        <w:rPr>
          <w:rFonts w:eastAsia="Calibri"/>
          <w:lang w:val="fr-FR"/>
        </w:rPr>
        <w:t>’</w:t>
      </w:r>
      <w:r w:rsidR="00E819C1" w:rsidRPr="00F13D2D">
        <w:rPr>
          <w:rFonts w:eastAsia="Calibri"/>
          <w:lang w:val="fr-FR"/>
        </w:rPr>
        <w:t>une expertise nationale de haut niveau.</w:t>
      </w:r>
    </w:p>
    <w:p w:rsidR="00E819C1" w:rsidRPr="00F13D2D" w:rsidRDefault="0055270C" w:rsidP="0055270C">
      <w:pPr>
        <w:pStyle w:val="SingleTxtG"/>
        <w:rPr>
          <w:rFonts w:eastAsia="Calibri"/>
          <w:lang w:val="fr-FR"/>
        </w:rPr>
      </w:pPr>
      <w:r w:rsidRPr="00F13D2D">
        <w:rPr>
          <w:rFonts w:eastAsia="Calibri"/>
          <w:lang w:val="fr-FR"/>
        </w:rPr>
        <w:t>201.</w:t>
      </w:r>
      <w:r w:rsidRPr="00F13D2D">
        <w:rPr>
          <w:rFonts w:eastAsia="Calibri"/>
          <w:lang w:val="fr-FR"/>
        </w:rPr>
        <w:tab/>
      </w:r>
      <w:r w:rsidR="00E819C1" w:rsidRPr="00F13D2D">
        <w:rPr>
          <w:rFonts w:eastAsia="Calibri"/>
          <w:lang w:val="fr-FR"/>
        </w:rPr>
        <w:t>Les programmes de l</w:t>
      </w:r>
      <w:r w:rsidR="006C160E" w:rsidRPr="00F13D2D">
        <w:rPr>
          <w:rFonts w:eastAsia="Calibri"/>
          <w:lang w:val="fr-FR"/>
        </w:rPr>
        <w:t>’</w:t>
      </w:r>
      <w:r w:rsidR="00E819C1" w:rsidRPr="00F13D2D">
        <w:rPr>
          <w:rFonts w:eastAsia="Calibri"/>
          <w:lang w:val="fr-FR"/>
        </w:rPr>
        <w:t>enseignement comportent des matières en rapport avec les DH, telle que l</w:t>
      </w:r>
      <w:r w:rsidR="006C160E" w:rsidRPr="00F13D2D">
        <w:rPr>
          <w:rFonts w:eastAsia="Calibri"/>
          <w:lang w:val="fr-FR"/>
        </w:rPr>
        <w:t>’</w:t>
      </w:r>
      <w:r w:rsidR="00E819C1" w:rsidRPr="00F13D2D">
        <w:rPr>
          <w:rFonts w:eastAsia="Calibri"/>
          <w:lang w:val="fr-FR"/>
        </w:rPr>
        <w:t>instruction civique, morale et religieuse qui est une matière obligatoire dans l</w:t>
      </w:r>
      <w:r w:rsidR="006C160E" w:rsidRPr="00F13D2D">
        <w:rPr>
          <w:rFonts w:eastAsia="Calibri"/>
          <w:lang w:val="fr-FR"/>
        </w:rPr>
        <w:t>’</w:t>
      </w:r>
      <w:r w:rsidR="00E819C1" w:rsidRPr="00F13D2D">
        <w:rPr>
          <w:rFonts w:eastAsia="Calibri"/>
          <w:lang w:val="fr-FR"/>
        </w:rPr>
        <w:t>enseignement et qui enracine les idéaux de tolérance, d</w:t>
      </w:r>
      <w:r w:rsidR="006C160E" w:rsidRPr="00F13D2D">
        <w:rPr>
          <w:rFonts w:eastAsia="Calibri"/>
          <w:lang w:val="fr-FR"/>
        </w:rPr>
        <w:t>’</w:t>
      </w:r>
      <w:r w:rsidR="00E819C1" w:rsidRPr="00F13D2D">
        <w:rPr>
          <w:rFonts w:eastAsia="Calibri"/>
          <w:lang w:val="fr-FR"/>
        </w:rPr>
        <w:t>amitié, d</w:t>
      </w:r>
      <w:r w:rsidR="006C160E" w:rsidRPr="00F13D2D">
        <w:rPr>
          <w:rFonts w:eastAsia="Calibri"/>
          <w:lang w:val="fr-FR"/>
        </w:rPr>
        <w:t>’</w:t>
      </w:r>
      <w:r w:rsidR="00E819C1" w:rsidRPr="00F13D2D">
        <w:rPr>
          <w:rFonts w:eastAsia="Calibri"/>
          <w:lang w:val="fr-FR"/>
        </w:rPr>
        <w:t>équité, de justice et incite au raffermissement de l</w:t>
      </w:r>
      <w:r w:rsidR="006C160E" w:rsidRPr="00F13D2D">
        <w:rPr>
          <w:rFonts w:eastAsia="Calibri"/>
          <w:lang w:val="fr-FR"/>
        </w:rPr>
        <w:t>’</w:t>
      </w:r>
      <w:r w:rsidR="00E819C1" w:rsidRPr="00F13D2D">
        <w:rPr>
          <w:rFonts w:eastAsia="Calibri"/>
          <w:lang w:val="fr-FR"/>
        </w:rPr>
        <w:t>unité nationale et au respect DH. Elle cultive également la citoyenneté afin d</w:t>
      </w:r>
      <w:r w:rsidR="006C160E" w:rsidRPr="00F13D2D">
        <w:rPr>
          <w:rFonts w:eastAsia="Calibri"/>
          <w:lang w:val="fr-FR"/>
        </w:rPr>
        <w:t>’</w:t>
      </w:r>
      <w:r w:rsidR="00E819C1" w:rsidRPr="00F13D2D">
        <w:rPr>
          <w:rFonts w:eastAsia="Calibri"/>
          <w:lang w:val="fr-FR"/>
        </w:rPr>
        <w:t>assurer le rapprochement, l</w:t>
      </w:r>
      <w:r w:rsidR="006C160E" w:rsidRPr="00F13D2D">
        <w:rPr>
          <w:rFonts w:eastAsia="Calibri"/>
          <w:lang w:val="fr-FR"/>
        </w:rPr>
        <w:t>’</w:t>
      </w:r>
      <w:r w:rsidR="00E819C1" w:rsidRPr="00F13D2D">
        <w:rPr>
          <w:rFonts w:eastAsia="Calibri"/>
          <w:lang w:val="fr-FR"/>
        </w:rPr>
        <w:t>harmonie et la cohésion entre les composantes du peuple mauritanien et entre lui et les autres communautés et peuples. Les langues nationales sont présentes à la radio et à la télévision où des temps d</w:t>
      </w:r>
      <w:r w:rsidR="006C160E" w:rsidRPr="00F13D2D">
        <w:rPr>
          <w:rFonts w:eastAsia="Calibri"/>
          <w:lang w:val="fr-FR"/>
        </w:rPr>
        <w:t>’</w:t>
      </w:r>
      <w:r w:rsidR="00E819C1" w:rsidRPr="00F13D2D">
        <w:rPr>
          <w:rFonts w:eastAsia="Calibri"/>
          <w:lang w:val="fr-FR"/>
        </w:rPr>
        <w:t>antenne sont réservés quotidiennement à des programmes et émissions diffusées dans ces langues. La radio rurale émet plus de 66</w:t>
      </w:r>
      <w:r w:rsidR="006348D2">
        <w:rPr>
          <w:rFonts w:eastAsia="Calibri"/>
          <w:lang w:val="fr-FR"/>
        </w:rPr>
        <w:t> %</w:t>
      </w:r>
      <w:r w:rsidR="00E819C1" w:rsidRPr="00F13D2D">
        <w:rPr>
          <w:rFonts w:eastAsia="Calibri"/>
          <w:lang w:val="fr-FR"/>
        </w:rPr>
        <w:t xml:space="preserve"> de ses programmes en langue </w:t>
      </w:r>
      <w:proofErr w:type="spellStart"/>
      <w:r w:rsidR="00E819C1" w:rsidRPr="00F13D2D">
        <w:rPr>
          <w:rFonts w:eastAsia="Calibri"/>
          <w:lang w:val="fr-FR"/>
        </w:rPr>
        <w:t>poular</w:t>
      </w:r>
      <w:proofErr w:type="spellEnd"/>
      <w:r w:rsidR="00E819C1" w:rsidRPr="00F13D2D">
        <w:rPr>
          <w:rFonts w:eastAsia="Calibri"/>
          <w:lang w:val="fr-FR"/>
        </w:rPr>
        <w:t xml:space="preserve">, soninké et wolof. Diverses associations culturelles pour la promotion des langues nationales regroupant des locuteurs des langues </w:t>
      </w:r>
      <w:proofErr w:type="spellStart"/>
      <w:r w:rsidR="00E819C1" w:rsidRPr="00F13D2D">
        <w:rPr>
          <w:rFonts w:eastAsia="Calibri"/>
          <w:lang w:val="fr-FR"/>
        </w:rPr>
        <w:t>poular</w:t>
      </w:r>
      <w:proofErr w:type="spellEnd"/>
      <w:r w:rsidR="00E819C1" w:rsidRPr="00F13D2D">
        <w:rPr>
          <w:rFonts w:eastAsia="Calibri"/>
          <w:lang w:val="fr-FR"/>
        </w:rPr>
        <w:t>, soninké et wolof contribuent également à l</w:t>
      </w:r>
      <w:r w:rsidR="006C160E" w:rsidRPr="00F13D2D">
        <w:rPr>
          <w:rFonts w:eastAsia="Calibri"/>
          <w:lang w:val="fr-FR"/>
        </w:rPr>
        <w:t>’</w:t>
      </w:r>
      <w:r w:rsidR="00E819C1" w:rsidRPr="00F13D2D">
        <w:rPr>
          <w:rFonts w:eastAsia="Calibri"/>
          <w:lang w:val="fr-FR"/>
        </w:rPr>
        <w:t>essor d</w:t>
      </w:r>
      <w:r w:rsidR="006C160E" w:rsidRPr="00F13D2D">
        <w:rPr>
          <w:rFonts w:eastAsia="Calibri"/>
          <w:lang w:val="fr-FR"/>
        </w:rPr>
        <w:t>’</w:t>
      </w:r>
      <w:r w:rsidR="00E819C1" w:rsidRPr="00F13D2D">
        <w:rPr>
          <w:rFonts w:eastAsia="Calibri"/>
          <w:lang w:val="fr-FR"/>
        </w:rPr>
        <w:t>autres aspects culturels comme le théâtre, la musique et le folklore de façon générale. Ainsi, le gouvernement assure à tous les citoyens et tout particulièrement aux jeunes générations les conditions d</w:t>
      </w:r>
      <w:r w:rsidR="006C160E" w:rsidRPr="00F13D2D">
        <w:rPr>
          <w:rFonts w:eastAsia="Calibri"/>
          <w:lang w:val="fr-FR"/>
        </w:rPr>
        <w:t>’</w:t>
      </w:r>
      <w:r w:rsidR="00E819C1" w:rsidRPr="00F13D2D">
        <w:rPr>
          <w:rFonts w:eastAsia="Calibri"/>
          <w:lang w:val="fr-FR"/>
        </w:rPr>
        <w:t>épanouissement dans la liberté et la diversité et leur garantit l</w:t>
      </w:r>
      <w:r w:rsidR="006C160E" w:rsidRPr="00F13D2D">
        <w:rPr>
          <w:rFonts w:eastAsia="Calibri"/>
          <w:lang w:val="fr-FR"/>
        </w:rPr>
        <w:t>’</w:t>
      </w:r>
      <w:r w:rsidR="00E819C1" w:rsidRPr="00F13D2D">
        <w:rPr>
          <w:rFonts w:eastAsia="Calibri"/>
          <w:lang w:val="fr-FR"/>
        </w:rPr>
        <w:t>accès à la santé, à l</w:t>
      </w:r>
      <w:r w:rsidR="006C160E" w:rsidRPr="00F13D2D">
        <w:rPr>
          <w:rFonts w:eastAsia="Calibri"/>
          <w:lang w:val="fr-FR"/>
        </w:rPr>
        <w:t>’</w:t>
      </w:r>
      <w:r w:rsidR="00E819C1" w:rsidRPr="00F13D2D">
        <w:rPr>
          <w:rFonts w:eastAsia="Calibri"/>
          <w:lang w:val="fr-FR"/>
        </w:rPr>
        <w:t>éducation, à l</w:t>
      </w:r>
      <w:r w:rsidR="006C160E" w:rsidRPr="00F13D2D">
        <w:rPr>
          <w:rFonts w:eastAsia="Calibri"/>
          <w:lang w:val="fr-FR"/>
        </w:rPr>
        <w:t>’</w:t>
      </w:r>
      <w:r w:rsidR="00E819C1" w:rsidRPr="00F13D2D">
        <w:rPr>
          <w:rFonts w:eastAsia="Calibri"/>
          <w:lang w:val="fr-FR"/>
        </w:rPr>
        <w:t>emploi et d</w:t>
      </w:r>
      <w:r w:rsidR="006C160E" w:rsidRPr="00F13D2D">
        <w:rPr>
          <w:rFonts w:eastAsia="Calibri"/>
          <w:lang w:val="fr-FR"/>
        </w:rPr>
        <w:t>’</w:t>
      </w:r>
      <w:r w:rsidR="00E819C1" w:rsidRPr="00F13D2D">
        <w:rPr>
          <w:rFonts w:eastAsia="Calibri"/>
          <w:lang w:val="fr-FR"/>
        </w:rPr>
        <w:t>autres droits dans l</w:t>
      </w:r>
      <w:r w:rsidR="006C160E" w:rsidRPr="00F13D2D">
        <w:rPr>
          <w:rFonts w:eastAsia="Calibri"/>
          <w:lang w:val="fr-FR"/>
        </w:rPr>
        <w:t>’</w:t>
      </w:r>
      <w:r w:rsidR="00E819C1" w:rsidRPr="00F13D2D">
        <w:rPr>
          <w:rFonts w:eastAsia="Calibri"/>
          <w:lang w:val="fr-FR"/>
        </w:rPr>
        <w:t>égalité et la justice. La Mauritanie assure</w:t>
      </w:r>
      <w:r w:rsidR="006C160E" w:rsidRPr="00F13D2D">
        <w:rPr>
          <w:rFonts w:eastAsia="Calibri"/>
          <w:lang w:val="fr-FR"/>
        </w:rPr>
        <w:t xml:space="preserve"> </w:t>
      </w:r>
      <w:r w:rsidR="00E819C1" w:rsidRPr="00F13D2D">
        <w:rPr>
          <w:rFonts w:eastAsia="Calibri"/>
          <w:lang w:val="fr-FR"/>
        </w:rPr>
        <w:t>à tous les enfants indépendamment de leur origine l’ensemble des droits prévus par la CDE.</w:t>
      </w:r>
    </w:p>
    <w:p w:rsidR="00E819C1" w:rsidRPr="00F13D2D" w:rsidRDefault="008A67C0" w:rsidP="008A67C0">
      <w:pPr>
        <w:pStyle w:val="HChG"/>
      </w:pPr>
      <w:bookmarkStart w:id="303" w:name="_Toc453672983"/>
      <w:bookmarkStart w:id="304" w:name="_Toc454388825"/>
      <w:r w:rsidRPr="00F13D2D">
        <w:tab/>
      </w:r>
      <w:r w:rsidRPr="00F13D2D">
        <w:tab/>
      </w:r>
      <w:r w:rsidR="00E819C1" w:rsidRPr="00F13D2D">
        <w:t>Conclusion</w:t>
      </w:r>
      <w:bookmarkEnd w:id="303"/>
      <w:bookmarkEnd w:id="304"/>
    </w:p>
    <w:p w:rsidR="00E819C1" w:rsidRPr="00F13D2D" w:rsidRDefault="0055270C" w:rsidP="0055270C">
      <w:pPr>
        <w:pStyle w:val="SingleTxtG"/>
        <w:rPr>
          <w:rFonts w:eastAsia="Calibri"/>
          <w:lang w:val="fr-FR"/>
        </w:rPr>
      </w:pPr>
      <w:r w:rsidRPr="00F13D2D">
        <w:rPr>
          <w:rFonts w:eastAsia="Calibri"/>
          <w:lang w:val="fr-FR"/>
        </w:rPr>
        <w:t>202.</w:t>
      </w:r>
      <w:r w:rsidRPr="00F13D2D">
        <w:rPr>
          <w:rFonts w:eastAsia="Calibri"/>
          <w:lang w:val="fr-FR"/>
        </w:rPr>
        <w:tab/>
      </w:r>
      <w:r w:rsidR="00E819C1" w:rsidRPr="00F13D2D">
        <w:rPr>
          <w:rFonts w:eastAsia="Calibri"/>
          <w:lang w:val="fr-FR"/>
        </w:rPr>
        <w:t xml:space="preserve">Le Gouvernement de la République Islamique de Mauritanie réitère son engagement à mettre en œuvre les dispositions de la </w:t>
      </w:r>
      <w:r w:rsidR="003D0AAF" w:rsidRPr="00F13D2D">
        <w:rPr>
          <w:rFonts w:eastAsia="Calibri"/>
          <w:lang w:val="fr-FR"/>
        </w:rPr>
        <w:t xml:space="preserve">Convention </w:t>
      </w:r>
      <w:r w:rsidR="00E819C1" w:rsidRPr="00F13D2D">
        <w:rPr>
          <w:rFonts w:eastAsia="Calibri"/>
          <w:lang w:val="fr-FR"/>
        </w:rPr>
        <w:t xml:space="preserve">sur les droits de l’enfant et reste disposé à entreprendre un dialogue constructif avec le comité en vue de palier aux insuffisances constatées dans l’application de cet instrument auquel il a souscrit. </w:t>
      </w:r>
    </w:p>
    <w:p w:rsidR="00E819C1" w:rsidRPr="00F13D2D" w:rsidRDefault="0055270C" w:rsidP="0055270C">
      <w:pPr>
        <w:pStyle w:val="SingleTxtG"/>
        <w:rPr>
          <w:rFonts w:eastAsia="Calibri"/>
          <w:lang w:val="fr-FR"/>
        </w:rPr>
      </w:pPr>
      <w:r w:rsidRPr="00F13D2D">
        <w:rPr>
          <w:rFonts w:eastAsia="Calibri"/>
          <w:lang w:val="fr-FR"/>
        </w:rPr>
        <w:t>203.</w:t>
      </w:r>
      <w:r w:rsidRPr="00F13D2D">
        <w:rPr>
          <w:rFonts w:eastAsia="Calibri"/>
          <w:lang w:val="fr-FR"/>
        </w:rPr>
        <w:tab/>
      </w:r>
      <w:r w:rsidR="00E819C1" w:rsidRPr="00F13D2D">
        <w:rPr>
          <w:rFonts w:eastAsia="Calibri"/>
          <w:lang w:val="fr-FR"/>
        </w:rPr>
        <w:t>Il saisit cette occasion pour remercier tous ses partenaires qui ont appuyé la mise en œuvre de sa politique en matière de promotion et de protection des droits de l’enfant.</w:t>
      </w:r>
    </w:p>
    <w:p w:rsidR="008D0F45" w:rsidRPr="00F13D2D" w:rsidRDefault="008D0F45" w:rsidP="008D0F45">
      <w:pPr>
        <w:spacing w:before="240"/>
        <w:jc w:val="center"/>
        <w:rPr>
          <w:u w:val="single"/>
        </w:rPr>
      </w:pPr>
      <w:r w:rsidRPr="00F13D2D">
        <w:rPr>
          <w:u w:val="single"/>
        </w:rPr>
        <w:tab/>
      </w:r>
      <w:r w:rsidRPr="00F13D2D">
        <w:rPr>
          <w:u w:val="single"/>
        </w:rPr>
        <w:tab/>
      </w:r>
      <w:r w:rsidRPr="00F13D2D">
        <w:rPr>
          <w:u w:val="single"/>
        </w:rPr>
        <w:tab/>
      </w:r>
    </w:p>
    <w:p w:rsidR="008D0F45" w:rsidRPr="00F13D2D" w:rsidRDefault="008D0F45" w:rsidP="008D0F45">
      <w:pPr>
        <w:pStyle w:val="SingleTxtG"/>
        <w:rPr>
          <w:rFonts w:eastAsia="Calibri"/>
          <w:lang w:val="fr-FR"/>
        </w:rPr>
      </w:pPr>
    </w:p>
    <w:p w:rsidR="008D0F45" w:rsidRPr="00F13D2D" w:rsidRDefault="008D0F45" w:rsidP="008D0F45">
      <w:pPr>
        <w:pStyle w:val="SingleTxtG"/>
        <w:rPr>
          <w:rFonts w:eastAsia="Calibri"/>
          <w:lang w:val="fr-FR"/>
        </w:rPr>
      </w:pPr>
    </w:p>
    <w:sectPr w:rsidR="008D0F45" w:rsidRPr="00F13D2D" w:rsidSect="009A384C">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57C" w:rsidRDefault="004A157C"/>
  </w:endnote>
  <w:endnote w:type="continuationSeparator" w:id="0">
    <w:p w:rsidR="004A157C" w:rsidRDefault="004A157C"/>
  </w:endnote>
  <w:endnote w:type="continuationNotice" w:id="1">
    <w:p w:rsidR="004A157C" w:rsidRDefault="004A1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7C" w:rsidRPr="00E819C1" w:rsidRDefault="004A157C" w:rsidP="00E819C1">
    <w:pPr>
      <w:pStyle w:val="Pieddepage"/>
      <w:tabs>
        <w:tab w:val="right" w:pos="9638"/>
      </w:tabs>
      <w:rPr>
        <w:sz w:val="18"/>
      </w:rPr>
    </w:pPr>
    <w:r w:rsidRPr="00E819C1">
      <w:rPr>
        <w:b/>
        <w:sz w:val="18"/>
      </w:rPr>
      <w:fldChar w:fldCharType="begin"/>
    </w:r>
    <w:r w:rsidRPr="00E819C1">
      <w:rPr>
        <w:b/>
        <w:sz w:val="18"/>
      </w:rPr>
      <w:instrText xml:space="preserve"> PAGE  \* MERGEFORMAT </w:instrText>
    </w:r>
    <w:r w:rsidRPr="00E819C1">
      <w:rPr>
        <w:b/>
        <w:sz w:val="18"/>
      </w:rPr>
      <w:fldChar w:fldCharType="separate"/>
    </w:r>
    <w:r w:rsidR="00127F32">
      <w:rPr>
        <w:b/>
        <w:noProof/>
        <w:sz w:val="18"/>
      </w:rPr>
      <w:t>20</w:t>
    </w:r>
    <w:r w:rsidRPr="00E819C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7C" w:rsidRPr="00E819C1" w:rsidRDefault="004A157C" w:rsidP="00E819C1">
    <w:pPr>
      <w:pStyle w:val="Pieddepage"/>
      <w:tabs>
        <w:tab w:val="right" w:pos="9638"/>
      </w:tabs>
      <w:rPr>
        <w:b/>
        <w:sz w:val="18"/>
      </w:rPr>
    </w:pPr>
    <w:r>
      <w:tab/>
    </w:r>
    <w:r w:rsidRPr="00E819C1">
      <w:rPr>
        <w:b/>
        <w:sz w:val="18"/>
      </w:rPr>
      <w:fldChar w:fldCharType="begin"/>
    </w:r>
    <w:r w:rsidRPr="00E819C1">
      <w:rPr>
        <w:b/>
        <w:sz w:val="18"/>
      </w:rPr>
      <w:instrText xml:space="preserve"> PAGE  \* MERGEFORMAT </w:instrText>
    </w:r>
    <w:r w:rsidRPr="00E819C1">
      <w:rPr>
        <w:b/>
        <w:sz w:val="18"/>
      </w:rPr>
      <w:fldChar w:fldCharType="separate"/>
    </w:r>
    <w:r w:rsidR="00127F32">
      <w:rPr>
        <w:b/>
        <w:noProof/>
        <w:sz w:val="18"/>
      </w:rPr>
      <w:t>19</w:t>
    </w:r>
    <w:r w:rsidRPr="00E819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0D" w:rsidRPr="004F4A0D" w:rsidRDefault="004F4A0D">
    <w:pPr>
      <w:pStyle w:val="Pieddepage"/>
      <w:rPr>
        <w:rFonts w:ascii="C39T30Lfz" w:hAnsi="C39T30Lfz"/>
        <w:sz w:val="56"/>
      </w:rPr>
    </w:pPr>
    <w:r>
      <w:rPr>
        <w:sz w:val="20"/>
      </w:rPr>
      <w:t>GE.</w:t>
    </w:r>
    <w:r>
      <w:rPr>
        <w:noProof/>
        <w:lang w:eastAsia="fr-CH"/>
      </w:rPr>
      <w:drawing>
        <wp:anchor distT="0" distB="0" distL="114300" distR="114300" simplePos="0" relativeHeight="251659264" behindDoc="0" locked="0" layoutInCell="1" allowOverlap="0" wp14:anchorId="5FD6118E" wp14:editId="326C697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17-20480 (F)</w:t>
    </w:r>
    <w:r>
      <w:rPr>
        <w:rFonts w:ascii="C39T30Lfz" w:hAnsi="C39T30Lfz"/>
        <w:noProof/>
        <w:sz w:val="56"/>
        <w:lang w:eastAsia="fr-CH"/>
      </w:rPr>
      <w:drawing>
        <wp:anchor distT="0" distB="0" distL="114300" distR="114300" simplePos="0" relativeHeight="251657216" behindDoc="0" locked="0" layoutInCell="1" allowOverlap="1">
          <wp:simplePos x="0" y="0"/>
          <wp:positionH relativeFrom="column">
            <wp:posOffset>5486400</wp:posOffset>
          </wp:positionH>
          <wp:positionV relativeFrom="paragraph">
            <wp:posOffset>19050</wp:posOffset>
          </wp:positionV>
          <wp:extent cx="638175" cy="638175"/>
          <wp:effectExtent l="0" t="0" r="9525" b="9525"/>
          <wp:wrapNone/>
          <wp:docPr id="1" name="Image 1" descr="https://undocs.org/m2/QRCode.ashx?DS=CRC/C/MRT/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RT/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4F4A0D">
      <w:rPr>
        <w:rFonts w:ascii="C39T30Lfz" w:hAnsi="C39T30Lfz"/>
        <w:sz w:val="56"/>
      </w:rPr>
      <w:t></w:t>
    </w:r>
    <w:r w:rsidRPr="004F4A0D">
      <w:rPr>
        <w:rFonts w:ascii="C39T30Lfz" w:hAnsi="C39T30Lfz"/>
        <w:sz w:val="56"/>
      </w:rPr>
      <w:t></w:t>
    </w:r>
    <w:r w:rsidRPr="004F4A0D">
      <w:rPr>
        <w:rFonts w:ascii="C39T30Lfz" w:hAnsi="C39T30Lfz"/>
        <w:sz w:val="56"/>
      </w:rPr>
      <w:t></w:t>
    </w:r>
    <w:r w:rsidRPr="004F4A0D">
      <w:rPr>
        <w:rFonts w:ascii="C39T30Lfz" w:hAnsi="C39T30Lfz"/>
        <w:sz w:val="56"/>
      </w:rPr>
      <w:t></w:t>
    </w:r>
    <w:r w:rsidRPr="004F4A0D">
      <w:rPr>
        <w:rFonts w:ascii="C39T30Lfz" w:hAnsi="C39T30Lfz"/>
        <w:sz w:val="56"/>
      </w:rPr>
      <w:t></w:t>
    </w:r>
    <w:r w:rsidRPr="004F4A0D">
      <w:rPr>
        <w:rFonts w:ascii="C39T30Lfz" w:hAnsi="C39T30Lfz"/>
        <w:sz w:val="56"/>
      </w:rPr>
      <w:t></w:t>
    </w:r>
    <w:r w:rsidRPr="004F4A0D">
      <w:rPr>
        <w:rFonts w:ascii="C39T30Lfz" w:hAnsi="C39T30Lfz"/>
        <w:sz w:val="56"/>
      </w:rPr>
      <w:t></w:t>
    </w:r>
    <w:r w:rsidRPr="004F4A0D">
      <w:rPr>
        <w:rFonts w:ascii="C39T30Lfz" w:hAnsi="C39T30Lfz"/>
        <w:sz w:val="56"/>
      </w:rPr>
      <w:t></w:t>
    </w:r>
    <w:r w:rsidRPr="004F4A0D">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57C" w:rsidRPr="00D27D5E" w:rsidRDefault="004A157C" w:rsidP="00D27D5E">
      <w:pPr>
        <w:tabs>
          <w:tab w:val="right" w:pos="2155"/>
        </w:tabs>
        <w:spacing w:after="80"/>
        <w:ind w:left="680"/>
        <w:rPr>
          <w:u w:val="single"/>
        </w:rPr>
      </w:pPr>
      <w:r>
        <w:rPr>
          <w:u w:val="single"/>
        </w:rPr>
        <w:tab/>
      </w:r>
    </w:p>
  </w:footnote>
  <w:footnote w:type="continuationSeparator" w:id="0">
    <w:p w:rsidR="004A157C" w:rsidRPr="00EA0E33" w:rsidRDefault="004A157C" w:rsidP="00EA0E33">
      <w:pPr>
        <w:tabs>
          <w:tab w:val="right" w:pos="2155"/>
        </w:tabs>
        <w:spacing w:after="80"/>
        <w:ind w:left="680"/>
        <w:rPr>
          <w:u w:val="single"/>
        </w:rPr>
      </w:pPr>
      <w:r w:rsidRPr="00EA0E33">
        <w:rPr>
          <w:u w:val="single"/>
        </w:rPr>
        <w:tab/>
      </w:r>
    </w:p>
  </w:footnote>
  <w:footnote w:type="continuationNotice" w:id="1">
    <w:p w:rsidR="004A157C" w:rsidRDefault="004A157C"/>
  </w:footnote>
  <w:footnote w:id="2">
    <w:p w:rsidR="004A157C" w:rsidRPr="000260D0" w:rsidRDefault="004A157C" w:rsidP="00F066E5">
      <w:pPr>
        <w:pStyle w:val="Notedebasdepage"/>
      </w:pPr>
      <w:r>
        <w:tab/>
      </w:r>
      <w:r w:rsidRPr="00AA7A93">
        <w:rPr>
          <w:rStyle w:val="Appelnotedebasdep"/>
          <w:sz w:val="20"/>
          <w:vertAlign w:val="baseline"/>
        </w:rPr>
        <w:t>*</w:t>
      </w:r>
      <w:r>
        <w:rPr>
          <w:sz w:val="20"/>
        </w:rPr>
        <w:tab/>
      </w:r>
      <w:r>
        <w:t>L</w:t>
      </w:r>
      <w:r w:rsidR="00307A99">
        <w:t>e</w:t>
      </w:r>
      <w:r>
        <w:t xml:space="preserve"> présent document n’a pas été revu par les services d’édition.</w:t>
      </w:r>
    </w:p>
  </w:footnote>
  <w:footnote w:id="3">
    <w:p w:rsidR="004A157C" w:rsidRPr="001A7E00" w:rsidRDefault="004A157C" w:rsidP="00E819C1">
      <w:pPr>
        <w:pStyle w:val="Notedebasdepage"/>
      </w:pPr>
      <w:r>
        <w:tab/>
      </w:r>
      <w:r w:rsidRPr="002D778D">
        <w:rPr>
          <w:rStyle w:val="Appelnotedebasdep"/>
        </w:rPr>
        <w:footnoteRef/>
      </w:r>
      <w:r>
        <w:tab/>
      </w:r>
      <w:r w:rsidRPr="00AA7A93">
        <w:rPr>
          <w:i/>
        </w:rPr>
        <w:t>Source</w:t>
      </w:r>
      <w:r>
        <w:t> </w:t>
      </w:r>
      <w:r w:rsidR="00FC0832">
        <w:t>:</w:t>
      </w:r>
      <w:r>
        <w:t xml:space="preserve"> Office National de la Statistique.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7C" w:rsidRPr="00E819C1" w:rsidRDefault="00127F32">
    <w:pPr>
      <w:pStyle w:val="En-tte"/>
    </w:pPr>
    <w:r>
      <w:fldChar w:fldCharType="begin"/>
    </w:r>
    <w:r>
      <w:instrText xml:space="preserve"> TITLE  \* MERGEFORMAT </w:instrText>
    </w:r>
    <w:r>
      <w:fldChar w:fldCharType="separate"/>
    </w:r>
    <w:r>
      <w:t>CRC/C/MRT/3-5</w:t>
    </w:r>
    <w:r>
      <w:fldChar w:fldCharType="end"/>
    </w:r>
    <w:r w:rsidR="004A157C">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7C" w:rsidRPr="00E819C1" w:rsidRDefault="00127F32" w:rsidP="00E819C1">
    <w:pPr>
      <w:pStyle w:val="En-tte"/>
      <w:jc w:val="right"/>
    </w:pPr>
    <w:r>
      <w:fldChar w:fldCharType="begin"/>
    </w:r>
    <w:r>
      <w:instrText xml:space="preserve"> TITLE  \* MERGEFORMAT </w:instrText>
    </w:r>
    <w:r>
      <w:fldChar w:fldCharType="separate"/>
    </w:r>
    <w:r>
      <w:t>CRC/C/MRT/3-5</w:t>
    </w:r>
    <w:r>
      <w:fldChar w:fldCharType="end"/>
    </w:r>
    <w:r w:rsidR="004A157C">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748"/>
    <w:multiLevelType w:val="hybridMultilevel"/>
    <w:tmpl w:val="EB92C0D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28551C9"/>
    <w:multiLevelType w:val="hybridMultilevel"/>
    <w:tmpl w:val="A006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04FF"/>
    <w:multiLevelType w:val="hybridMultilevel"/>
    <w:tmpl w:val="ACF6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E34B5"/>
    <w:multiLevelType w:val="hybridMultilevel"/>
    <w:tmpl w:val="49722056"/>
    <w:lvl w:ilvl="0" w:tplc="040C0017">
      <w:start w:val="1"/>
      <w:numFmt w:val="lowerLetter"/>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75D305D"/>
    <w:multiLevelType w:val="hybridMultilevel"/>
    <w:tmpl w:val="DC0C632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240F54"/>
    <w:multiLevelType w:val="hybridMultilevel"/>
    <w:tmpl w:val="7284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DF05E97"/>
    <w:multiLevelType w:val="hybridMultilevel"/>
    <w:tmpl w:val="F970FBAC"/>
    <w:lvl w:ilvl="0" w:tplc="791247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22EBA"/>
    <w:multiLevelType w:val="hybridMultilevel"/>
    <w:tmpl w:val="E550D134"/>
    <w:lvl w:ilvl="0" w:tplc="5D120020">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311193E"/>
    <w:multiLevelType w:val="hybridMultilevel"/>
    <w:tmpl w:val="37DA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E4D78"/>
    <w:multiLevelType w:val="hybridMultilevel"/>
    <w:tmpl w:val="9498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21800"/>
    <w:multiLevelType w:val="hybridMultilevel"/>
    <w:tmpl w:val="C7A6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6734F"/>
    <w:multiLevelType w:val="hybridMultilevel"/>
    <w:tmpl w:val="F23459CE"/>
    <w:lvl w:ilvl="0" w:tplc="B822703C">
      <w:start w:val="1"/>
      <w:numFmt w:val="lowerLetter"/>
      <w:lvlText w:val="%1)"/>
      <w:lvlJc w:val="left"/>
      <w:pPr>
        <w:ind w:left="644"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1A404E6D"/>
    <w:multiLevelType w:val="hybridMultilevel"/>
    <w:tmpl w:val="E5522C84"/>
    <w:lvl w:ilvl="0" w:tplc="9588061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21630E"/>
    <w:multiLevelType w:val="hybridMultilevel"/>
    <w:tmpl w:val="B498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77129"/>
    <w:multiLevelType w:val="hybridMultilevel"/>
    <w:tmpl w:val="2640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47937"/>
    <w:multiLevelType w:val="hybridMultilevel"/>
    <w:tmpl w:val="DEC26E94"/>
    <w:lvl w:ilvl="0" w:tplc="539ACB9C">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B4787E"/>
    <w:multiLevelType w:val="hybridMultilevel"/>
    <w:tmpl w:val="07FCC55E"/>
    <w:lvl w:ilvl="0" w:tplc="9588061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161CA1"/>
    <w:multiLevelType w:val="hybridMultilevel"/>
    <w:tmpl w:val="23B6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34218A"/>
    <w:multiLevelType w:val="hybridMultilevel"/>
    <w:tmpl w:val="270E9F64"/>
    <w:lvl w:ilvl="0" w:tplc="3248572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8143F8F"/>
    <w:multiLevelType w:val="hybridMultilevel"/>
    <w:tmpl w:val="0416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E6DE3"/>
    <w:multiLevelType w:val="hybridMultilevel"/>
    <w:tmpl w:val="5F90A0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E4D0DF6"/>
    <w:multiLevelType w:val="hybridMultilevel"/>
    <w:tmpl w:val="C220F1E6"/>
    <w:lvl w:ilvl="0" w:tplc="F800C108">
      <w:start w:val="2"/>
      <w:numFmt w:val="bullet"/>
      <w:lvlText w:val="-"/>
      <w:lvlJc w:val="left"/>
      <w:pPr>
        <w:ind w:left="720" w:hanging="360"/>
      </w:pPr>
      <w:rPr>
        <w:rFonts w:ascii="Trebuchet MS" w:eastAsia="Times New Roman" w:hAnsi="Trebuchet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A66E30"/>
    <w:multiLevelType w:val="hybridMultilevel"/>
    <w:tmpl w:val="0EA09416"/>
    <w:lvl w:ilvl="0" w:tplc="A0FEBDEE">
      <w:numFmt w:val="bullet"/>
      <w:lvlText w:val="-"/>
      <w:lvlJc w:val="left"/>
      <w:pPr>
        <w:ind w:left="720" w:hanging="360"/>
      </w:pPr>
      <w:rPr>
        <w:rFonts w:ascii="Script MT Bold" w:eastAsia="Calibri" w:hAnsi="Script MT 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2604213"/>
    <w:multiLevelType w:val="hybridMultilevel"/>
    <w:tmpl w:val="35D20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4F2123"/>
    <w:multiLevelType w:val="hybridMultilevel"/>
    <w:tmpl w:val="F7B6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00D45"/>
    <w:multiLevelType w:val="hybridMultilevel"/>
    <w:tmpl w:val="7D36F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63B3268"/>
    <w:multiLevelType w:val="hybridMultilevel"/>
    <w:tmpl w:val="E772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1B5834"/>
    <w:multiLevelType w:val="hybridMultilevel"/>
    <w:tmpl w:val="71F686C8"/>
    <w:lvl w:ilvl="0" w:tplc="3248572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A4D5C61"/>
    <w:multiLevelType w:val="hybridMultilevel"/>
    <w:tmpl w:val="0B38CB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E383B50"/>
    <w:multiLevelType w:val="hybridMultilevel"/>
    <w:tmpl w:val="59CA1396"/>
    <w:lvl w:ilvl="0" w:tplc="FA1CBC2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A73444"/>
    <w:multiLevelType w:val="hybridMultilevel"/>
    <w:tmpl w:val="B1B87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15:restartNumberingAfterBreak="0">
    <w:nsid w:val="454D61AF"/>
    <w:multiLevelType w:val="hybridMultilevel"/>
    <w:tmpl w:val="97C29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5FF78BD"/>
    <w:multiLevelType w:val="hybridMultilevel"/>
    <w:tmpl w:val="96B6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CC4A80"/>
    <w:multiLevelType w:val="hybridMultilevel"/>
    <w:tmpl w:val="86363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828593E"/>
    <w:multiLevelType w:val="hybridMultilevel"/>
    <w:tmpl w:val="B1488366"/>
    <w:lvl w:ilvl="0" w:tplc="3F587266">
      <w:start w:val="1"/>
      <w:numFmt w:val="lowerLetter"/>
      <w:lvlText w:val="%1)"/>
      <w:lvlJc w:val="left"/>
      <w:pPr>
        <w:ind w:left="644" w:hanging="360"/>
      </w:pPr>
      <w:rPr>
        <w:rFonts w:hint="default"/>
        <w:b w:val="0"/>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494D6063"/>
    <w:multiLevelType w:val="hybridMultilevel"/>
    <w:tmpl w:val="BC30FAA6"/>
    <w:lvl w:ilvl="0" w:tplc="9588061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3B340EB"/>
    <w:multiLevelType w:val="hybridMultilevel"/>
    <w:tmpl w:val="9034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365421"/>
    <w:multiLevelType w:val="hybridMultilevel"/>
    <w:tmpl w:val="E1DEB440"/>
    <w:lvl w:ilvl="0" w:tplc="9588061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6D743C"/>
    <w:multiLevelType w:val="hybridMultilevel"/>
    <w:tmpl w:val="C18C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7A43B3"/>
    <w:multiLevelType w:val="hybridMultilevel"/>
    <w:tmpl w:val="CFDCB528"/>
    <w:lvl w:ilvl="0" w:tplc="4B322700">
      <w:start w:val="50"/>
      <w:numFmt w:val="bullet"/>
      <w:lvlText w:val="-"/>
      <w:lvlJc w:val="left"/>
      <w:pPr>
        <w:ind w:left="720" w:hanging="360"/>
      </w:pPr>
      <w:rPr>
        <w:rFonts w:ascii="Trebuchet MS" w:eastAsia="Times New Roman" w:hAnsi="Trebuchet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6E45295B"/>
    <w:multiLevelType w:val="hybridMultilevel"/>
    <w:tmpl w:val="805C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F1070"/>
    <w:multiLevelType w:val="hybridMultilevel"/>
    <w:tmpl w:val="A6CED56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42"/>
  </w:num>
  <w:num w:numId="2">
    <w:abstractNumId w:val="30"/>
  </w:num>
  <w:num w:numId="3">
    <w:abstractNumId w:val="6"/>
  </w:num>
  <w:num w:numId="4">
    <w:abstractNumId w:val="12"/>
  </w:num>
  <w:num w:numId="5">
    <w:abstractNumId w:val="16"/>
  </w:num>
  <w:num w:numId="6">
    <w:abstractNumId w:val="19"/>
  </w:num>
  <w:num w:numId="7">
    <w:abstractNumId w:val="8"/>
  </w:num>
  <w:num w:numId="8">
    <w:abstractNumId w:val="22"/>
  </w:num>
  <w:num w:numId="9">
    <w:abstractNumId w:val="41"/>
  </w:num>
  <w:num w:numId="10">
    <w:abstractNumId w:val="23"/>
  </w:num>
  <w:num w:numId="11">
    <w:abstractNumId w:val="4"/>
  </w:num>
  <w:num w:numId="12">
    <w:abstractNumId w:val="28"/>
  </w:num>
  <w:num w:numId="13">
    <w:abstractNumId w:val="26"/>
  </w:num>
  <w:num w:numId="14">
    <w:abstractNumId w:val="36"/>
  </w:num>
  <w:num w:numId="15">
    <w:abstractNumId w:val="21"/>
  </w:num>
  <w:num w:numId="16">
    <w:abstractNumId w:val="29"/>
  </w:num>
  <w:num w:numId="17">
    <w:abstractNumId w:val="39"/>
  </w:num>
  <w:num w:numId="18">
    <w:abstractNumId w:val="3"/>
  </w:num>
  <w:num w:numId="19">
    <w:abstractNumId w:val="31"/>
  </w:num>
  <w:num w:numId="20">
    <w:abstractNumId w:val="18"/>
  </w:num>
  <w:num w:numId="21">
    <w:abstractNumId w:val="24"/>
  </w:num>
  <w:num w:numId="22">
    <w:abstractNumId w:val="37"/>
  </w:num>
  <w:num w:numId="23">
    <w:abstractNumId w:val="17"/>
  </w:num>
  <w:num w:numId="24">
    <w:abstractNumId w:val="13"/>
  </w:num>
  <w:num w:numId="25">
    <w:abstractNumId w:val="35"/>
  </w:num>
  <w:num w:numId="26">
    <w:abstractNumId w:val="20"/>
  </w:num>
  <w:num w:numId="27">
    <w:abstractNumId w:val="0"/>
  </w:num>
  <w:num w:numId="28">
    <w:abstractNumId w:val="14"/>
  </w:num>
  <w:num w:numId="29">
    <w:abstractNumId w:val="5"/>
  </w:num>
  <w:num w:numId="30">
    <w:abstractNumId w:val="43"/>
  </w:num>
  <w:num w:numId="31">
    <w:abstractNumId w:val="2"/>
  </w:num>
  <w:num w:numId="32">
    <w:abstractNumId w:val="40"/>
  </w:num>
  <w:num w:numId="33">
    <w:abstractNumId w:val="1"/>
  </w:num>
  <w:num w:numId="34">
    <w:abstractNumId w:val="11"/>
  </w:num>
  <w:num w:numId="35">
    <w:abstractNumId w:val="27"/>
  </w:num>
  <w:num w:numId="36">
    <w:abstractNumId w:val="38"/>
  </w:num>
  <w:num w:numId="37">
    <w:abstractNumId w:val="25"/>
  </w:num>
  <w:num w:numId="38">
    <w:abstractNumId w:val="9"/>
  </w:num>
  <w:num w:numId="39">
    <w:abstractNumId w:val="10"/>
  </w:num>
  <w:num w:numId="40">
    <w:abstractNumId w:val="15"/>
  </w:num>
  <w:num w:numId="41">
    <w:abstractNumId w:val="32"/>
  </w:num>
  <w:num w:numId="42">
    <w:abstractNumId w:val="34"/>
  </w:num>
  <w:num w:numId="43">
    <w:abstractNumId w:val="7"/>
  </w:num>
  <w:num w:numId="44">
    <w:abstractNumId w:val="33"/>
  </w:num>
  <w:num w:numId="45">
    <w:abstractNumId w:val="44"/>
  </w:num>
  <w:num w:numId="46">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C1"/>
    <w:rsid w:val="000009C1"/>
    <w:rsid w:val="0000767A"/>
    <w:rsid w:val="00016AC5"/>
    <w:rsid w:val="00031D54"/>
    <w:rsid w:val="00060E82"/>
    <w:rsid w:val="00064350"/>
    <w:rsid w:val="00071F7B"/>
    <w:rsid w:val="00080608"/>
    <w:rsid w:val="000945DF"/>
    <w:rsid w:val="000B13B7"/>
    <w:rsid w:val="000B696A"/>
    <w:rsid w:val="000D5D4F"/>
    <w:rsid w:val="000E1482"/>
    <w:rsid w:val="000E17DF"/>
    <w:rsid w:val="000E4C19"/>
    <w:rsid w:val="000E5EE8"/>
    <w:rsid w:val="000F084D"/>
    <w:rsid w:val="000F41F2"/>
    <w:rsid w:val="000F755C"/>
    <w:rsid w:val="00117270"/>
    <w:rsid w:val="00125F65"/>
    <w:rsid w:val="00127F32"/>
    <w:rsid w:val="00130E44"/>
    <w:rsid w:val="00133C21"/>
    <w:rsid w:val="00134712"/>
    <w:rsid w:val="00160540"/>
    <w:rsid w:val="00182023"/>
    <w:rsid w:val="00192EEB"/>
    <w:rsid w:val="001A20FB"/>
    <w:rsid w:val="001B4B16"/>
    <w:rsid w:val="001B66B2"/>
    <w:rsid w:val="001D5CBF"/>
    <w:rsid w:val="001D7F8A"/>
    <w:rsid w:val="001E3DE1"/>
    <w:rsid w:val="001E3FEB"/>
    <w:rsid w:val="001E4A02"/>
    <w:rsid w:val="001E4AFE"/>
    <w:rsid w:val="001E5727"/>
    <w:rsid w:val="0020672D"/>
    <w:rsid w:val="00213697"/>
    <w:rsid w:val="002157A5"/>
    <w:rsid w:val="00221DB9"/>
    <w:rsid w:val="00225A8C"/>
    <w:rsid w:val="00230C04"/>
    <w:rsid w:val="002659F1"/>
    <w:rsid w:val="00276FDB"/>
    <w:rsid w:val="00287E79"/>
    <w:rsid w:val="002928F9"/>
    <w:rsid w:val="002A5875"/>
    <w:rsid w:val="002A5D07"/>
    <w:rsid w:val="002C6A52"/>
    <w:rsid w:val="002D778D"/>
    <w:rsid w:val="002E662F"/>
    <w:rsid w:val="003016B7"/>
    <w:rsid w:val="00307A99"/>
    <w:rsid w:val="0031303C"/>
    <w:rsid w:val="0031567F"/>
    <w:rsid w:val="00323CF3"/>
    <w:rsid w:val="00330763"/>
    <w:rsid w:val="00331C04"/>
    <w:rsid w:val="00343BA6"/>
    <w:rsid w:val="003515AA"/>
    <w:rsid w:val="00352B7C"/>
    <w:rsid w:val="00361CD3"/>
    <w:rsid w:val="0036795C"/>
    <w:rsid w:val="00371B09"/>
    <w:rsid w:val="00374106"/>
    <w:rsid w:val="003976D5"/>
    <w:rsid w:val="003B0B94"/>
    <w:rsid w:val="003B13CC"/>
    <w:rsid w:val="003B6C1B"/>
    <w:rsid w:val="003D0AAF"/>
    <w:rsid w:val="003D1E5B"/>
    <w:rsid w:val="003D2F6C"/>
    <w:rsid w:val="003D6C68"/>
    <w:rsid w:val="003E7F2E"/>
    <w:rsid w:val="003F4CA4"/>
    <w:rsid w:val="00400D35"/>
    <w:rsid w:val="004159D0"/>
    <w:rsid w:val="004320FE"/>
    <w:rsid w:val="004377D2"/>
    <w:rsid w:val="00441EC7"/>
    <w:rsid w:val="00445B3B"/>
    <w:rsid w:val="00460F93"/>
    <w:rsid w:val="00490D6F"/>
    <w:rsid w:val="004A157C"/>
    <w:rsid w:val="004D2A06"/>
    <w:rsid w:val="004E53A2"/>
    <w:rsid w:val="004F2AF9"/>
    <w:rsid w:val="004F4A0D"/>
    <w:rsid w:val="0051548D"/>
    <w:rsid w:val="00525A47"/>
    <w:rsid w:val="00543D5E"/>
    <w:rsid w:val="00547BC0"/>
    <w:rsid w:val="00550E48"/>
    <w:rsid w:val="00551F3F"/>
    <w:rsid w:val="0055270C"/>
    <w:rsid w:val="00562B75"/>
    <w:rsid w:val="00564901"/>
    <w:rsid w:val="00571F41"/>
    <w:rsid w:val="005863AA"/>
    <w:rsid w:val="005907E4"/>
    <w:rsid w:val="005C4207"/>
    <w:rsid w:val="005E5D1F"/>
    <w:rsid w:val="0060753B"/>
    <w:rsid w:val="00611D43"/>
    <w:rsid w:val="00612D48"/>
    <w:rsid w:val="00616B45"/>
    <w:rsid w:val="00620276"/>
    <w:rsid w:val="00630D9B"/>
    <w:rsid w:val="00631953"/>
    <w:rsid w:val="006348D2"/>
    <w:rsid w:val="006439EC"/>
    <w:rsid w:val="00661668"/>
    <w:rsid w:val="00666D59"/>
    <w:rsid w:val="006A2FF6"/>
    <w:rsid w:val="006B4590"/>
    <w:rsid w:val="006C02FE"/>
    <w:rsid w:val="006C160E"/>
    <w:rsid w:val="006C340C"/>
    <w:rsid w:val="006C35D6"/>
    <w:rsid w:val="006E637C"/>
    <w:rsid w:val="0070347C"/>
    <w:rsid w:val="00704613"/>
    <w:rsid w:val="00704902"/>
    <w:rsid w:val="00716BD0"/>
    <w:rsid w:val="00716E20"/>
    <w:rsid w:val="007176C1"/>
    <w:rsid w:val="00721E18"/>
    <w:rsid w:val="00755632"/>
    <w:rsid w:val="007C3C0D"/>
    <w:rsid w:val="007D6E6D"/>
    <w:rsid w:val="007F1D55"/>
    <w:rsid w:val="007F55CB"/>
    <w:rsid w:val="008213E4"/>
    <w:rsid w:val="00822918"/>
    <w:rsid w:val="00837D86"/>
    <w:rsid w:val="00844750"/>
    <w:rsid w:val="008911AF"/>
    <w:rsid w:val="008A67C0"/>
    <w:rsid w:val="008B44C4"/>
    <w:rsid w:val="008D0F45"/>
    <w:rsid w:val="008E7FAE"/>
    <w:rsid w:val="008F451F"/>
    <w:rsid w:val="008F7EA5"/>
    <w:rsid w:val="00901884"/>
    <w:rsid w:val="009105C3"/>
    <w:rsid w:val="00911BF7"/>
    <w:rsid w:val="00922AB1"/>
    <w:rsid w:val="009472C8"/>
    <w:rsid w:val="00977EC8"/>
    <w:rsid w:val="00980831"/>
    <w:rsid w:val="00993C56"/>
    <w:rsid w:val="009A03B2"/>
    <w:rsid w:val="009A1AD1"/>
    <w:rsid w:val="009A384C"/>
    <w:rsid w:val="009B2C9D"/>
    <w:rsid w:val="009C2D18"/>
    <w:rsid w:val="009C5BDD"/>
    <w:rsid w:val="009D354D"/>
    <w:rsid w:val="009D3A8C"/>
    <w:rsid w:val="009E2ADE"/>
    <w:rsid w:val="009E7956"/>
    <w:rsid w:val="00A133AF"/>
    <w:rsid w:val="00A2117E"/>
    <w:rsid w:val="00A2383C"/>
    <w:rsid w:val="00A2492E"/>
    <w:rsid w:val="00A620CC"/>
    <w:rsid w:val="00A63C60"/>
    <w:rsid w:val="00AA7A93"/>
    <w:rsid w:val="00AB0C37"/>
    <w:rsid w:val="00AB300E"/>
    <w:rsid w:val="00AB4E57"/>
    <w:rsid w:val="00AC0786"/>
    <w:rsid w:val="00AC67A1"/>
    <w:rsid w:val="00AC7977"/>
    <w:rsid w:val="00AD1127"/>
    <w:rsid w:val="00AE352C"/>
    <w:rsid w:val="00AF0206"/>
    <w:rsid w:val="00AF733B"/>
    <w:rsid w:val="00B13576"/>
    <w:rsid w:val="00B15B78"/>
    <w:rsid w:val="00B2104B"/>
    <w:rsid w:val="00B32E2D"/>
    <w:rsid w:val="00B57070"/>
    <w:rsid w:val="00B61990"/>
    <w:rsid w:val="00B93DB1"/>
    <w:rsid w:val="00B959FA"/>
    <w:rsid w:val="00BA3FB1"/>
    <w:rsid w:val="00BC0C5F"/>
    <w:rsid w:val="00BE0E18"/>
    <w:rsid w:val="00BE3A4F"/>
    <w:rsid w:val="00BE6687"/>
    <w:rsid w:val="00BE6AE4"/>
    <w:rsid w:val="00BF0556"/>
    <w:rsid w:val="00BF4E72"/>
    <w:rsid w:val="00C17DB8"/>
    <w:rsid w:val="00C261F8"/>
    <w:rsid w:val="00C316A3"/>
    <w:rsid w:val="00C33100"/>
    <w:rsid w:val="00C33833"/>
    <w:rsid w:val="00C35C62"/>
    <w:rsid w:val="00C36B9B"/>
    <w:rsid w:val="00C438AC"/>
    <w:rsid w:val="00C63A2E"/>
    <w:rsid w:val="00C730D7"/>
    <w:rsid w:val="00C8423C"/>
    <w:rsid w:val="00C8605E"/>
    <w:rsid w:val="00CA1598"/>
    <w:rsid w:val="00CA1D05"/>
    <w:rsid w:val="00CA64F7"/>
    <w:rsid w:val="00CB1C37"/>
    <w:rsid w:val="00CD1A71"/>
    <w:rsid w:val="00CD1FBB"/>
    <w:rsid w:val="00D016B5"/>
    <w:rsid w:val="00D034F1"/>
    <w:rsid w:val="00D10597"/>
    <w:rsid w:val="00D20B03"/>
    <w:rsid w:val="00D21AD3"/>
    <w:rsid w:val="00D27D5E"/>
    <w:rsid w:val="00D35569"/>
    <w:rsid w:val="00D66815"/>
    <w:rsid w:val="00D71C13"/>
    <w:rsid w:val="00D77231"/>
    <w:rsid w:val="00D80092"/>
    <w:rsid w:val="00D838EB"/>
    <w:rsid w:val="00D86EE6"/>
    <w:rsid w:val="00D9438A"/>
    <w:rsid w:val="00DA3BE9"/>
    <w:rsid w:val="00DB182A"/>
    <w:rsid w:val="00DE26F5"/>
    <w:rsid w:val="00DE6D90"/>
    <w:rsid w:val="00DF002F"/>
    <w:rsid w:val="00E0244D"/>
    <w:rsid w:val="00E06F1B"/>
    <w:rsid w:val="00E1315A"/>
    <w:rsid w:val="00E36FE5"/>
    <w:rsid w:val="00E52C56"/>
    <w:rsid w:val="00E56931"/>
    <w:rsid w:val="00E56F3F"/>
    <w:rsid w:val="00E819C1"/>
    <w:rsid w:val="00E81E94"/>
    <w:rsid w:val="00E81FA4"/>
    <w:rsid w:val="00E82607"/>
    <w:rsid w:val="00E874CA"/>
    <w:rsid w:val="00EA0E33"/>
    <w:rsid w:val="00EB3F4D"/>
    <w:rsid w:val="00EC746D"/>
    <w:rsid w:val="00F066E5"/>
    <w:rsid w:val="00F13D2D"/>
    <w:rsid w:val="00F328C9"/>
    <w:rsid w:val="00F34E43"/>
    <w:rsid w:val="00F47851"/>
    <w:rsid w:val="00F6627D"/>
    <w:rsid w:val="00F7094C"/>
    <w:rsid w:val="00F94D16"/>
    <w:rsid w:val="00FA5A79"/>
    <w:rsid w:val="00FB0BFE"/>
    <w:rsid w:val="00FB4C51"/>
    <w:rsid w:val="00FC0832"/>
    <w:rsid w:val="00FD2845"/>
    <w:rsid w:val="00FF07F9"/>
    <w:rsid w:val="00FF1DBD"/>
    <w:rsid w:val="00FF4D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docId w15:val="{E88A8F7B-1FB2-46FC-8CF0-95C9A4EB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0E"/>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31567F"/>
    <w:pPr>
      <w:keepNext/>
      <w:keepLines/>
      <w:spacing w:after="0" w:line="240" w:lineRule="auto"/>
      <w:ind w:right="0"/>
      <w:jc w:val="left"/>
      <w:outlineLvl w:val="0"/>
    </w:pPr>
  </w:style>
  <w:style w:type="paragraph" w:styleId="Titre2">
    <w:name w:val="heading 2"/>
    <w:basedOn w:val="Normal"/>
    <w:next w:val="Normal"/>
    <w:link w:val="Titre2Car"/>
    <w:uiPriority w:val="9"/>
    <w:qFormat/>
    <w:rsid w:val="00716BD0"/>
    <w:pPr>
      <w:outlineLvl w:val="1"/>
    </w:pPr>
  </w:style>
  <w:style w:type="paragraph" w:styleId="Titre3">
    <w:name w:val="heading 3"/>
    <w:basedOn w:val="Normal"/>
    <w:next w:val="Normal"/>
    <w:link w:val="Titre3Car"/>
    <w:uiPriority w:val="9"/>
    <w:qFormat/>
    <w:rsid w:val="00716BD0"/>
    <w:pPr>
      <w:outlineLvl w:val="2"/>
    </w:pPr>
  </w:style>
  <w:style w:type="paragraph" w:styleId="Titre4">
    <w:name w:val="heading 4"/>
    <w:basedOn w:val="Normal"/>
    <w:next w:val="Normal"/>
    <w:link w:val="Titre4Car"/>
    <w:uiPriority w:val="9"/>
    <w:qFormat/>
    <w:rsid w:val="00716BD0"/>
    <w:pPr>
      <w:outlineLvl w:val="3"/>
    </w:pPr>
  </w:style>
  <w:style w:type="paragraph" w:styleId="Titre5">
    <w:name w:val="heading 5"/>
    <w:basedOn w:val="Normal"/>
    <w:next w:val="Normal"/>
    <w:link w:val="Titre5Car"/>
    <w:uiPriority w:val="9"/>
    <w:qFormat/>
    <w:rsid w:val="00716BD0"/>
    <w:pPr>
      <w:outlineLvl w:val="4"/>
    </w:pPr>
  </w:style>
  <w:style w:type="paragraph" w:styleId="Titre6">
    <w:name w:val="heading 6"/>
    <w:basedOn w:val="Normal"/>
    <w:next w:val="Normal"/>
    <w:semiHidden/>
    <w:qFormat/>
    <w:rsid w:val="00716BD0"/>
    <w:pPr>
      <w:outlineLvl w:val="5"/>
    </w:pPr>
  </w:style>
  <w:style w:type="paragraph" w:styleId="Titre7">
    <w:name w:val="heading 7"/>
    <w:basedOn w:val="Normal"/>
    <w:next w:val="Normal"/>
    <w:semiHidden/>
    <w:qFormat/>
    <w:rsid w:val="00716BD0"/>
    <w:pPr>
      <w:outlineLvl w:val="6"/>
    </w:pPr>
  </w:style>
  <w:style w:type="paragraph" w:styleId="Titre8">
    <w:name w:val="heading 8"/>
    <w:basedOn w:val="Normal"/>
    <w:next w:val="Normal"/>
    <w:semiHidden/>
    <w:qFormat/>
    <w:rsid w:val="00716BD0"/>
    <w:pPr>
      <w:outlineLvl w:val="7"/>
    </w:pPr>
  </w:style>
  <w:style w:type="paragraph" w:styleId="Titre9">
    <w:name w:val="heading 9"/>
    <w:basedOn w:val="Normal"/>
    <w:next w:val="Normal"/>
    <w:semiHidden/>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716BD0"/>
    <w:pPr>
      <w:numPr>
        <w:numId w:val="2"/>
      </w:numPr>
      <w:spacing w:after="120"/>
      <w:ind w:right="1134"/>
      <w:jc w:val="both"/>
    </w:pPr>
  </w:style>
  <w:style w:type="character" w:styleId="Appelnotedebasdep">
    <w:name w:val="footnote reference"/>
    <w:aliases w:val="4_G"/>
    <w:basedOn w:val="Policepardfaut"/>
    <w:qFormat/>
    <w:rsid w:val="002D778D"/>
    <w:rPr>
      <w:rFonts w:ascii="Times New Roman" w:hAnsi="Times New Roman"/>
      <w:sz w:val="18"/>
      <w:vertAlign w:val="superscript"/>
      <w:lang w:val="fr-CH"/>
    </w:rPr>
  </w:style>
  <w:style w:type="character" w:styleId="Appeldenotedefin">
    <w:name w:val="endnote reference"/>
    <w:aliases w:val="1_G"/>
    <w:basedOn w:val="Appelnotedebasdep"/>
    <w:qFormat/>
    <w:rsid w:val="00716BD0"/>
    <w:rPr>
      <w:rFonts w:ascii="Times New Roman" w:hAnsi="Times New Roman"/>
      <w:sz w:val="18"/>
      <w:vertAlign w:val="superscript"/>
      <w:lang w:val="fr-CH"/>
    </w:rPr>
  </w:style>
  <w:style w:type="paragraph" w:styleId="En-tte">
    <w:name w:val="header"/>
    <w:aliases w:val="6_G"/>
    <w:basedOn w:val="Normal"/>
    <w:next w:val="Normal"/>
    <w:link w:val="En-tteCar"/>
    <w:uiPriority w:val="99"/>
    <w:qFormat/>
    <w:rsid w:val="00716BD0"/>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2D778D"/>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Notedefin">
    <w:name w:val="endnote text"/>
    <w:aliases w:val="2_G"/>
    <w:basedOn w:val="Notedebasdepage"/>
    <w:qFormat/>
    <w:rsid w:val="003F4CA4"/>
  </w:style>
  <w:style w:type="character" w:styleId="Numrodepage">
    <w:name w:val="page number"/>
    <w:aliases w:val="7_G"/>
    <w:basedOn w:val="Policepardfaut"/>
    <w:qFormat/>
    <w:rsid w:val="00716BD0"/>
    <w:rPr>
      <w:rFonts w:ascii="Times New Roman" w:hAnsi="Times New Roman"/>
      <w:b/>
      <w:sz w:val="18"/>
      <w:lang w:val="fr-CH"/>
    </w:rPr>
  </w:style>
  <w:style w:type="paragraph" w:styleId="Pieddepage">
    <w:name w:val="footer"/>
    <w:aliases w:val="3_G"/>
    <w:basedOn w:val="Normal"/>
    <w:next w:val="Normal"/>
    <w:link w:val="PieddepageCar"/>
    <w:uiPriority w:val="99"/>
    <w:qFormat/>
    <w:rsid w:val="00716BD0"/>
    <w:pPr>
      <w:spacing w:line="240" w:lineRule="auto"/>
    </w:pPr>
    <w:rPr>
      <w:sz w:val="16"/>
    </w:rPr>
  </w:style>
  <w:style w:type="character" w:styleId="Lienhypertexte">
    <w:name w:val="Hyperlink"/>
    <w:basedOn w:val="Policepardfaut"/>
    <w:uiPriority w:val="99"/>
    <w:rsid w:val="00755632"/>
    <w:rPr>
      <w:color w:val="auto"/>
      <w:u w:val="none"/>
    </w:rPr>
  </w:style>
  <w:style w:type="character" w:styleId="Lienhypertextesuivivisit">
    <w:name w:val="FollowedHyperlink"/>
    <w:basedOn w:val="Policepardfaut"/>
    <w:semiHidden/>
    <w:rsid w:val="00755632"/>
    <w:rPr>
      <w:color w:val="auto"/>
      <w:u w:val="none"/>
    </w:rPr>
  </w:style>
  <w:style w:type="table" w:styleId="Grilledutableau">
    <w:name w:val="Table Grid"/>
    <w:basedOn w:val="TableauNormal"/>
    <w:semiHidden/>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rsid w:val="00DE26F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numbering" w:customStyle="1" w:styleId="NoList1">
    <w:name w:val="No List1"/>
    <w:next w:val="Aucuneliste"/>
    <w:uiPriority w:val="99"/>
    <w:semiHidden/>
    <w:unhideWhenUsed/>
    <w:rsid w:val="00E819C1"/>
  </w:style>
  <w:style w:type="character" w:customStyle="1" w:styleId="Titre1Car">
    <w:name w:val="Titre 1 Car"/>
    <w:aliases w:val="Table_G Car"/>
    <w:basedOn w:val="Policepardfaut"/>
    <w:link w:val="Titre1"/>
    <w:uiPriority w:val="9"/>
    <w:rsid w:val="00E819C1"/>
    <w:rPr>
      <w:lang w:val="fr-CH" w:eastAsia="en-US"/>
    </w:rPr>
  </w:style>
  <w:style w:type="character" w:customStyle="1" w:styleId="Titre2Car">
    <w:name w:val="Titre 2 Car"/>
    <w:basedOn w:val="Policepardfaut"/>
    <w:link w:val="Titre2"/>
    <w:uiPriority w:val="9"/>
    <w:rsid w:val="00E819C1"/>
    <w:rPr>
      <w:lang w:val="fr-CH" w:eastAsia="en-US"/>
    </w:rPr>
  </w:style>
  <w:style w:type="character" w:customStyle="1" w:styleId="Titre3Car">
    <w:name w:val="Titre 3 Car"/>
    <w:basedOn w:val="Policepardfaut"/>
    <w:link w:val="Titre3"/>
    <w:uiPriority w:val="9"/>
    <w:rsid w:val="00E819C1"/>
    <w:rPr>
      <w:lang w:val="fr-CH" w:eastAsia="en-US"/>
    </w:rPr>
  </w:style>
  <w:style w:type="character" w:customStyle="1" w:styleId="Titre4Car">
    <w:name w:val="Titre 4 Car"/>
    <w:basedOn w:val="Policepardfaut"/>
    <w:link w:val="Titre4"/>
    <w:uiPriority w:val="9"/>
    <w:rsid w:val="00E819C1"/>
    <w:rPr>
      <w:lang w:val="fr-CH" w:eastAsia="en-US"/>
    </w:rPr>
  </w:style>
  <w:style w:type="character" w:customStyle="1" w:styleId="Titre5Car">
    <w:name w:val="Titre 5 Car"/>
    <w:basedOn w:val="Policepardfaut"/>
    <w:link w:val="Titre5"/>
    <w:uiPriority w:val="9"/>
    <w:rsid w:val="00E819C1"/>
    <w:rPr>
      <w:lang w:val="fr-CH" w:eastAsia="en-US"/>
    </w:rPr>
  </w:style>
  <w:style w:type="paragraph" w:styleId="Sansinterligne">
    <w:name w:val="No Spacing"/>
    <w:uiPriority w:val="1"/>
    <w:qFormat/>
    <w:rsid w:val="00E819C1"/>
    <w:rPr>
      <w:rFonts w:ascii="Calibri" w:eastAsia="Calibri" w:hAnsi="Calibri" w:cs="Arial"/>
      <w:sz w:val="22"/>
      <w:szCs w:val="22"/>
      <w:lang w:eastAsia="en-US"/>
    </w:rPr>
  </w:style>
  <w:style w:type="paragraph" w:styleId="NormalWeb">
    <w:name w:val="Normal (Web)"/>
    <w:basedOn w:val="Normal"/>
    <w:uiPriority w:val="99"/>
    <w:unhideWhenUsed/>
    <w:rsid w:val="00E819C1"/>
    <w:pPr>
      <w:suppressAutoHyphens w:val="0"/>
      <w:spacing w:before="100" w:beforeAutospacing="1" w:after="100" w:afterAutospacing="1" w:line="240" w:lineRule="auto"/>
    </w:pPr>
    <w:rPr>
      <w:color w:val="000066"/>
      <w:sz w:val="24"/>
      <w:szCs w:val="24"/>
      <w:lang w:val="fr-FR" w:eastAsia="fr-FR"/>
    </w:rPr>
  </w:style>
  <w:style w:type="character" w:customStyle="1" w:styleId="FootnoteTextChar">
    <w:name w:val="Footnote Text Char"/>
    <w:basedOn w:val="Policepardfaut"/>
    <w:rsid w:val="002D778D"/>
    <w:rPr>
      <w:rFonts w:ascii="Times New Roman" w:eastAsia="Times New Roman" w:hAnsi="Times New Roman" w:cs="Times New Roman"/>
      <w:sz w:val="18"/>
      <w:szCs w:val="20"/>
      <w:lang w:eastAsia="en-US"/>
    </w:rPr>
  </w:style>
  <w:style w:type="character" w:customStyle="1" w:styleId="NotedebasdepageCar">
    <w:name w:val="Note de bas de page Car"/>
    <w:aliases w:val="5_G Car"/>
    <w:link w:val="Notedebasdepage"/>
    <w:rsid w:val="00E819C1"/>
    <w:rPr>
      <w:rFonts w:eastAsiaTheme="minorHAnsi"/>
      <w:sz w:val="18"/>
      <w:lang w:val="fr-CH" w:eastAsia="en-US"/>
    </w:rPr>
  </w:style>
  <w:style w:type="paragraph" w:styleId="Paragraphedeliste">
    <w:name w:val="List Paragraph"/>
    <w:basedOn w:val="Normal"/>
    <w:uiPriority w:val="34"/>
    <w:qFormat/>
    <w:rsid w:val="00E819C1"/>
    <w:pPr>
      <w:suppressAutoHyphens w:val="0"/>
      <w:spacing w:after="200" w:line="276" w:lineRule="auto"/>
      <w:ind w:left="720"/>
      <w:contextualSpacing/>
    </w:pPr>
    <w:rPr>
      <w:rFonts w:ascii="Calibri" w:eastAsia="Calibri" w:hAnsi="Calibri"/>
      <w:sz w:val="22"/>
      <w:szCs w:val="22"/>
      <w:lang w:val="fr-FR"/>
    </w:rPr>
  </w:style>
  <w:style w:type="character" w:styleId="lev">
    <w:name w:val="Strong"/>
    <w:uiPriority w:val="22"/>
    <w:qFormat/>
    <w:rsid w:val="00E819C1"/>
    <w:rPr>
      <w:b/>
      <w:bCs/>
    </w:rPr>
  </w:style>
  <w:style w:type="paragraph" w:customStyle="1" w:styleId="Titreprincipal">
    <w:name w:val="Titre principal"/>
    <w:basedOn w:val="Normal"/>
    <w:next w:val="Normal"/>
    <w:rsid w:val="00E819C1"/>
    <w:pPr>
      <w:keepNext/>
      <w:spacing w:before="240" w:after="120" w:line="240" w:lineRule="auto"/>
      <w:ind w:left="357" w:hanging="357"/>
      <w:jc w:val="both"/>
    </w:pPr>
    <w:rPr>
      <w:rFonts w:ascii="Calibri" w:eastAsia="SimSun" w:hAnsi="Calibri"/>
      <w:b/>
      <w:i/>
      <w:color w:val="1F497D"/>
      <w:sz w:val="24"/>
      <w:lang w:val="fr-FR" w:eastAsia="fr-FR"/>
    </w:rPr>
  </w:style>
  <w:style w:type="paragraph" w:customStyle="1" w:styleId="Default">
    <w:name w:val="Default"/>
    <w:rsid w:val="00E819C1"/>
    <w:pPr>
      <w:autoSpaceDE w:val="0"/>
      <w:autoSpaceDN w:val="0"/>
      <w:adjustRightInd w:val="0"/>
    </w:pPr>
    <w:rPr>
      <w:color w:val="000000"/>
      <w:sz w:val="24"/>
      <w:szCs w:val="24"/>
    </w:rPr>
  </w:style>
  <w:style w:type="paragraph" w:styleId="Titre">
    <w:name w:val="Title"/>
    <w:basedOn w:val="Normal"/>
    <w:link w:val="TitreCar"/>
    <w:qFormat/>
    <w:rsid w:val="00E819C1"/>
    <w:pPr>
      <w:suppressAutoHyphens w:val="0"/>
      <w:spacing w:line="240" w:lineRule="auto"/>
      <w:jc w:val="center"/>
    </w:pPr>
    <w:rPr>
      <w:b/>
      <w:bCs/>
      <w:sz w:val="24"/>
      <w:szCs w:val="24"/>
      <w:lang w:val="x-none" w:eastAsia="x-none"/>
    </w:rPr>
  </w:style>
  <w:style w:type="character" w:customStyle="1" w:styleId="TitreCar">
    <w:name w:val="Titre Car"/>
    <w:basedOn w:val="Policepardfaut"/>
    <w:link w:val="Titre"/>
    <w:rsid w:val="00E819C1"/>
    <w:rPr>
      <w:b/>
      <w:bCs/>
      <w:sz w:val="24"/>
      <w:szCs w:val="24"/>
      <w:lang w:val="x-none" w:eastAsia="x-none"/>
    </w:rPr>
  </w:style>
  <w:style w:type="character" w:customStyle="1" w:styleId="hps">
    <w:name w:val="hps"/>
    <w:basedOn w:val="Policepardfaut"/>
    <w:rsid w:val="00E819C1"/>
  </w:style>
  <w:style w:type="character" w:customStyle="1" w:styleId="En-tteCar">
    <w:name w:val="En-tête Car"/>
    <w:aliases w:val="6_G Car"/>
    <w:basedOn w:val="Policepardfaut"/>
    <w:link w:val="En-tte"/>
    <w:uiPriority w:val="99"/>
    <w:rsid w:val="00E819C1"/>
    <w:rPr>
      <w:b/>
      <w:sz w:val="18"/>
      <w:lang w:val="fr-CH" w:eastAsia="en-US"/>
    </w:rPr>
  </w:style>
  <w:style w:type="character" w:customStyle="1" w:styleId="PieddepageCar">
    <w:name w:val="Pied de page Car"/>
    <w:aliases w:val="3_G Car"/>
    <w:basedOn w:val="Policepardfaut"/>
    <w:link w:val="Pieddepage"/>
    <w:uiPriority w:val="99"/>
    <w:rsid w:val="00E819C1"/>
    <w:rPr>
      <w:sz w:val="16"/>
      <w:lang w:val="fr-CH" w:eastAsia="en-US"/>
    </w:rPr>
  </w:style>
  <w:style w:type="table" w:customStyle="1" w:styleId="TableGrid1">
    <w:name w:val="Table Grid1"/>
    <w:basedOn w:val="TableauNormal"/>
    <w:next w:val="Grilledutableau"/>
    <w:uiPriority w:val="59"/>
    <w:rsid w:val="00E819C1"/>
    <w:rPr>
      <w:rFonts w:ascii="Calibri" w:eastAsia="Calibri" w:hAnsi="Calibri" w:cs="Arial"/>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couleur-Accent11">
    <w:name w:val="Liste couleur - Accent 11"/>
    <w:basedOn w:val="Normal"/>
    <w:uiPriority w:val="34"/>
    <w:qFormat/>
    <w:rsid w:val="00E819C1"/>
    <w:pPr>
      <w:suppressAutoHyphens w:val="0"/>
      <w:spacing w:line="240" w:lineRule="auto"/>
      <w:ind w:left="720"/>
      <w:contextualSpacing/>
    </w:pPr>
    <w:rPr>
      <w:rFonts w:ascii="Cambria" w:eastAsia="MS Mincho" w:hAnsi="Cambria" w:cs="Arial"/>
      <w:sz w:val="24"/>
      <w:szCs w:val="24"/>
      <w:lang w:val="fr-FR"/>
    </w:rPr>
  </w:style>
  <w:style w:type="character" w:customStyle="1" w:styleId="Emphaseintense1">
    <w:name w:val="Emphase intense1"/>
    <w:uiPriority w:val="21"/>
    <w:qFormat/>
    <w:rsid w:val="00E819C1"/>
    <w:rPr>
      <w:b/>
      <w:bCs/>
      <w:i/>
      <w:iCs/>
      <w:color w:val="4F81BD"/>
    </w:rPr>
  </w:style>
  <w:style w:type="paragraph" w:customStyle="1" w:styleId="spip">
    <w:name w:val="spip"/>
    <w:basedOn w:val="Normal"/>
    <w:rsid w:val="00E819C1"/>
    <w:pPr>
      <w:suppressAutoHyphens w:val="0"/>
      <w:spacing w:before="100" w:beforeAutospacing="1" w:after="100" w:afterAutospacing="1" w:line="240" w:lineRule="auto"/>
    </w:pPr>
    <w:rPr>
      <w:sz w:val="24"/>
      <w:szCs w:val="24"/>
      <w:lang w:val="fr-FR" w:eastAsia="fr-FR"/>
    </w:rPr>
  </w:style>
  <w:style w:type="paragraph" w:styleId="Sous-titre">
    <w:name w:val="Subtitle"/>
    <w:basedOn w:val="Normal"/>
    <w:next w:val="Normal"/>
    <w:link w:val="Sous-titreCar"/>
    <w:uiPriority w:val="11"/>
    <w:qFormat/>
    <w:rsid w:val="00E819C1"/>
    <w:pPr>
      <w:suppressAutoHyphens w:val="0"/>
      <w:spacing w:after="60" w:line="240" w:lineRule="auto"/>
      <w:jc w:val="center"/>
      <w:outlineLvl w:val="1"/>
    </w:pPr>
    <w:rPr>
      <w:rFonts w:ascii="Cambria" w:hAnsi="Cambria"/>
      <w:sz w:val="24"/>
      <w:szCs w:val="24"/>
      <w:lang w:val="x-none"/>
    </w:rPr>
  </w:style>
  <w:style w:type="character" w:customStyle="1" w:styleId="Sous-titreCar">
    <w:name w:val="Sous-titre Car"/>
    <w:basedOn w:val="Policepardfaut"/>
    <w:link w:val="Sous-titre"/>
    <w:uiPriority w:val="11"/>
    <w:rsid w:val="00E819C1"/>
    <w:rPr>
      <w:rFonts w:ascii="Cambria" w:hAnsi="Cambria"/>
      <w:sz w:val="24"/>
      <w:szCs w:val="24"/>
      <w:lang w:val="x-none" w:eastAsia="en-US"/>
    </w:rPr>
  </w:style>
  <w:style w:type="paragraph" w:customStyle="1" w:styleId="Paragraphedeliste1">
    <w:name w:val="Paragraphe de liste1"/>
    <w:basedOn w:val="Normal"/>
    <w:rsid w:val="00E819C1"/>
    <w:pPr>
      <w:suppressAutoHyphens w:val="0"/>
      <w:spacing w:after="200" w:line="276" w:lineRule="auto"/>
      <w:ind w:left="720"/>
    </w:pPr>
    <w:rPr>
      <w:rFonts w:ascii="Calibri" w:hAnsi="Calibri" w:cs="Arial"/>
      <w:sz w:val="22"/>
      <w:szCs w:val="22"/>
      <w:lang w:val="fr-FR"/>
    </w:rPr>
  </w:style>
  <w:style w:type="character" w:customStyle="1" w:styleId="apple-converted-space">
    <w:name w:val="apple-converted-space"/>
    <w:basedOn w:val="Policepardfaut"/>
    <w:rsid w:val="00E819C1"/>
  </w:style>
  <w:style w:type="character" w:styleId="Accentuation">
    <w:name w:val="Emphasis"/>
    <w:uiPriority w:val="20"/>
    <w:qFormat/>
    <w:rsid w:val="00E819C1"/>
    <w:rPr>
      <w:i/>
      <w:iCs/>
    </w:rPr>
  </w:style>
  <w:style w:type="paragraph" w:customStyle="1" w:styleId="wp-caption-text">
    <w:name w:val="wp-caption-text"/>
    <w:basedOn w:val="Normal"/>
    <w:rsid w:val="00E819C1"/>
    <w:pPr>
      <w:suppressAutoHyphens w:val="0"/>
      <w:spacing w:before="100" w:beforeAutospacing="1" w:after="100" w:afterAutospacing="1" w:line="240" w:lineRule="auto"/>
    </w:pPr>
    <w:rPr>
      <w:sz w:val="24"/>
      <w:szCs w:val="24"/>
      <w:lang w:val="fr-FR" w:eastAsia="fr-FR"/>
    </w:rPr>
  </w:style>
  <w:style w:type="paragraph" w:styleId="Corpsdetexte">
    <w:name w:val="Body Text"/>
    <w:basedOn w:val="Normal"/>
    <w:link w:val="CorpsdetexteCar"/>
    <w:unhideWhenUsed/>
    <w:rsid w:val="00E819C1"/>
    <w:pPr>
      <w:suppressAutoHyphens w:val="0"/>
      <w:spacing w:after="120" w:line="240" w:lineRule="auto"/>
    </w:pPr>
    <w:rPr>
      <w:sz w:val="24"/>
      <w:szCs w:val="24"/>
      <w:lang w:val="x-none" w:eastAsia="x-none"/>
    </w:rPr>
  </w:style>
  <w:style w:type="character" w:customStyle="1" w:styleId="CorpsdetexteCar">
    <w:name w:val="Corps de texte Car"/>
    <w:basedOn w:val="Policepardfaut"/>
    <w:link w:val="Corpsdetexte"/>
    <w:rsid w:val="00E819C1"/>
    <w:rPr>
      <w:sz w:val="24"/>
      <w:szCs w:val="24"/>
      <w:lang w:val="x-none" w:eastAsia="x-none"/>
    </w:rPr>
  </w:style>
  <w:style w:type="paragraph" w:customStyle="1" w:styleId="CarCar17">
    <w:name w:val="Car Car17"/>
    <w:basedOn w:val="Normal"/>
    <w:rsid w:val="00E819C1"/>
    <w:pPr>
      <w:suppressAutoHyphens w:val="0"/>
      <w:spacing w:after="200" w:line="276" w:lineRule="auto"/>
      <w:ind w:left="720"/>
      <w:contextualSpacing/>
    </w:pPr>
    <w:rPr>
      <w:rFonts w:ascii="Calibri" w:eastAsia="Calibri" w:hAnsi="Calibri" w:cs="Arial"/>
      <w:sz w:val="22"/>
      <w:szCs w:val="22"/>
      <w:lang w:val="fr-FR"/>
    </w:rPr>
  </w:style>
  <w:style w:type="character" w:customStyle="1" w:styleId="NotedebasdepageCar1">
    <w:name w:val="Note de bas de page Car1"/>
    <w:aliases w:val="fn Car1,ALTS FOOTNOTE Car1,Geneva 9 Car1,Font: Geneva 9 Car1,Boston 10 Car1,f Car1"/>
    <w:locked/>
    <w:rsid w:val="00E819C1"/>
    <w:rPr>
      <w:lang w:val="fr-FR" w:eastAsia="en-US" w:bidi="ar-SA"/>
    </w:rPr>
  </w:style>
  <w:style w:type="paragraph" w:customStyle="1" w:styleId="msonormalcxspmiddle">
    <w:name w:val="msonormalcxspmiddle"/>
    <w:basedOn w:val="Normal"/>
    <w:rsid w:val="00E819C1"/>
    <w:pPr>
      <w:suppressAutoHyphens w:val="0"/>
      <w:spacing w:before="150" w:after="150" w:line="240" w:lineRule="auto"/>
    </w:pPr>
    <w:rPr>
      <w:sz w:val="24"/>
      <w:szCs w:val="24"/>
      <w:lang w:val="fr-FR" w:eastAsia="fr-FR"/>
    </w:rPr>
  </w:style>
  <w:style w:type="paragraph" w:customStyle="1" w:styleId="msonormalcxsplast">
    <w:name w:val="msonormalcxsplast"/>
    <w:basedOn w:val="Normal"/>
    <w:rsid w:val="00E819C1"/>
    <w:pPr>
      <w:suppressAutoHyphens w:val="0"/>
      <w:spacing w:before="150" w:after="150" w:line="240" w:lineRule="auto"/>
    </w:pPr>
    <w:rPr>
      <w:sz w:val="24"/>
      <w:szCs w:val="24"/>
      <w:lang w:val="fr-FR" w:eastAsia="fr-FR"/>
    </w:rPr>
  </w:style>
  <w:style w:type="character" w:customStyle="1" w:styleId="tf">
    <w:name w:val="tf"/>
    <w:basedOn w:val="Policepardfaut"/>
    <w:rsid w:val="00E819C1"/>
  </w:style>
  <w:style w:type="paragraph" w:customStyle="1" w:styleId="BodyText1">
    <w:name w:val="Body Text1"/>
    <w:basedOn w:val="Normal"/>
    <w:rsid w:val="00E819C1"/>
    <w:pPr>
      <w:suppressAutoHyphens w:val="0"/>
      <w:spacing w:line="240" w:lineRule="auto"/>
      <w:jc w:val="both"/>
    </w:pPr>
    <w:rPr>
      <w:sz w:val="24"/>
      <w:lang w:val="en-US"/>
    </w:rPr>
  </w:style>
  <w:style w:type="paragraph" w:customStyle="1" w:styleId="Text1">
    <w:name w:val="Text 1"/>
    <w:basedOn w:val="Normal"/>
    <w:link w:val="Text1Char"/>
    <w:rsid w:val="00E819C1"/>
    <w:pPr>
      <w:suppressAutoHyphens w:val="0"/>
      <w:spacing w:after="240" w:line="240" w:lineRule="auto"/>
      <w:ind w:left="482"/>
      <w:jc w:val="both"/>
    </w:pPr>
    <w:rPr>
      <w:snapToGrid w:val="0"/>
      <w:sz w:val="24"/>
      <w:lang w:val="en-GB" w:eastAsia="en-GB"/>
    </w:rPr>
  </w:style>
  <w:style w:type="character" w:customStyle="1" w:styleId="Text1Char">
    <w:name w:val="Text 1 Char"/>
    <w:link w:val="Text1"/>
    <w:rsid w:val="00E819C1"/>
    <w:rPr>
      <w:snapToGrid w:val="0"/>
      <w:sz w:val="24"/>
      <w:lang w:val="en-GB" w:eastAsia="en-GB"/>
    </w:rPr>
  </w:style>
  <w:style w:type="character" w:styleId="Emphaseintense">
    <w:name w:val="Intense Emphasis"/>
    <w:uiPriority w:val="21"/>
    <w:qFormat/>
    <w:rsid w:val="00E819C1"/>
    <w:rPr>
      <w:b/>
      <w:bCs/>
      <w:i/>
      <w:iCs/>
      <w:color w:val="4F81BD"/>
    </w:rPr>
  </w:style>
  <w:style w:type="paragraph" w:styleId="En-ttedetabledesmatires">
    <w:name w:val="TOC Heading"/>
    <w:basedOn w:val="Titre1"/>
    <w:next w:val="Normal"/>
    <w:uiPriority w:val="39"/>
    <w:unhideWhenUsed/>
    <w:qFormat/>
    <w:rsid w:val="00E819C1"/>
    <w:pPr>
      <w:suppressAutoHyphens w:val="0"/>
      <w:spacing w:before="480" w:line="276" w:lineRule="auto"/>
      <w:ind w:left="0"/>
      <w:outlineLvl w:val="9"/>
    </w:pPr>
    <w:rPr>
      <w:rFonts w:ascii="Cambria" w:hAnsi="Cambria"/>
      <w:b/>
      <w:bCs/>
      <w:color w:val="365F91"/>
      <w:sz w:val="28"/>
      <w:szCs w:val="28"/>
      <w:lang w:val="x-none" w:eastAsia="fr-FR"/>
    </w:rPr>
  </w:style>
  <w:style w:type="paragraph" w:styleId="TM2">
    <w:name w:val="toc 2"/>
    <w:basedOn w:val="Normal"/>
    <w:next w:val="Normal"/>
    <w:autoRedefine/>
    <w:uiPriority w:val="39"/>
    <w:unhideWhenUsed/>
    <w:qFormat/>
    <w:rsid w:val="00E819C1"/>
    <w:pPr>
      <w:tabs>
        <w:tab w:val="right" w:leader="underscore" w:pos="9062"/>
      </w:tabs>
      <w:suppressAutoHyphens w:val="0"/>
      <w:spacing w:before="120" w:line="276" w:lineRule="auto"/>
      <w:ind w:left="220"/>
    </w:pPr>
    <w:rPr>
      <w:rFonts w:eastAsia="Calibri"/>
      <w:noProof/>
      <w:sz w:val="22"/>
      <w:szCs w:val="26"/>
      <w:lang w:val="fr-FR"/>
    </w:rPr>
  </w:style>
  <w:style w:type="paragraph" w:styleId="TM1">
    <w:name w:val="toc 1"/>
    <w:basedOn w:val="Normal"/>
    <w:next w:val="Normal"/>
    <w:autoRedefine/>
    <w:uiPriority w:val="39"/>
    <w:unhideWhenUsed/>
    <w:qFormat/>
    <w:rsid w:val="00E819C1"/>
    <w:pPr>
      <w:tabs>
        <w:tab w:val="right" w:leader="underscore" w:pos="9062"/>
      </w:tabs>
      <w:suppressAutoHyphens w:val="0"/>
      <w:spacing w:before="120" w:line="276" w:lineRule="auto"/>
    </w:pPr>
    <w:rPr>
      <w:rFonts w:eastAsia="Calibri"/>
      <w:noProof/>
      <w:szCs w:val="24"/>
      <w:lang w:val="fr-FR"/>
    </w:rPr>
  </w:style>
  <w:style w:type="paragraph" w:styleId="TM3">
    <w:name w:val="toc 3"/>
    <w:basedOn w:val="Normal"/>
    <w:next w:val="Normal"/>
    <w:autoRedefine/>
    <w:uiPriority w:val="39"/>
    <w:unhideWhenUsed/>
    <w:qFormat/>
    <w:rsid w:val="00E819C1"/>
    <w:pPr>
      <w:tabs>
        <w:tab w:val="right" w:leader="underscore" w:pos="9062"/>
      </w:tabs>
      <w:suppressAutoHyphens w:val="0"/>
      <w:spacing w:line="276" w:lineRule="auto"/>
      <w:ind w:left="440"/>
    </w:pPr>
    <w:rPr>
      <w:rFonts w:eastAsia="Calibri"/>
      <w:noProof/>
      <w:szCs w:val="24"/>
      <w:lang w:val="fr-FR"/>
    </w:rPr>
  </w:style>
  <w:style w:type="paragraph" w:styleId="TM4">
    <w:name w:val="toc 4"/>
    <w:basedOn w:val="Normal"/>
    <w:next w:val="Normal"/>
    <w:autoRedefine/>
    <w:uiPriority w:val="39"/>
    <w:unhideWhenUsed/>
    <w:rsid w:val="00E819C1"/>
    <w:pPr>
      <w:tabs>
        <w:tab w:val="right" w:leader="underscore" w:pos="9062"/>
      </w:tabs>
      <w:suppressAutoHyphens w:val="0"/>
      <w:spacing w:line="276" w:lineRule="auto"/>
      <w:ind w:left="660"/>
    </w:pPr>
    <w:rPr>
      <w:rFonts w:eastAsia="Calibri"/>
      <w:noProof/>
      <w:szCs w:val="24"/>
      <w:lang w:val="fr-FR"/>
    </w:rPr>
  </w:style>
  <w:style w:type="paragraph" w:styleId="TM5">
    <w:name w:val="toc 5"/>
    <w:basedOn w:val="Normal"/>
    <w:next w:val="Normal"/>
    <w:autoRedefine/>
    <w:uiPriority w:val="39"/>
    <w:unhideWhenUsed/>
    <w:rsid w:val="00E819C1"/>
    <w:pPr>
      <w:suppressAutoHyphens w:val="0"/>
      <w:spacing w:line="276" w:lineRule="auto"/>
      <w:ind w:left="880"/>
    </w:pPr>
    <w:rPr>
      <w:rFonts w:ascii="Calibri" w:eastAsia="Calibri" w:hAnsi="Calibri"/>
      <w:szCs w:val="24"/>
      <w:lang w:val="fr-FR"/>
    </w:rPr>
  </w:style>
  <w:style w:type="paragraph" w:styleId="TM6">
    <w:name w:val="toc 6"/>
    <w:basedOn w:val="Normal"/>
    <w:next w:val="Normal"/>
    <w:autoRedefine/>
    <w:uiPriority w:val="39"/>
    <w:unhideWhenUsed/>
    <w:rsid w:val="00E819C1"/>
    <w:pPr>
      <w:suppressAutoHyphens w:val="0"/>
      <w:spacing w:line="276" w:lineRule="auto"/>
      <w:ind w:left="1100"/>
    </w:pPr>
    <w:rPr>
      <w:rFonts w:ascii="Calibri" w:eastAsia="Calibri" w:hAnsi="Calibri"/>
      <w:szCs w:val="24"/>
      <w:lang w:val="fr-FR"/>
    </w:rPr>
  </w:style>
  <w:style w:type="paragraph" w:styleId="TM7">
    <w:name w:val="toc 7"/>
    <w:basedOn w:val="Normal"/>
    <w:next w:val="Normal"/>
    <w:autoRedefine/>
    <w:uiPriority w:val="39"/>
    <w:unhideWhenUsed/>
    <w:rsid w:val="00E819C1"/>
    <w:pPr>
      <w:suppressAutoHyphens w:val="0"/>
      <w:spacing w:line="276" w:lineRule="auto"/>
      <w:ind w:left="1320"/>
    </w:pPr>
    <w:rPr>
      <w:rFonts w:ascii="Calibri" w:eastAsia="Calibri" w:hAnsi="Calibri"/>
      <w:szCs w:val="24"/>
      <w:lang w:val="fr-FR"/>
    </w:rPr>
  </w:style>
  <w:style w:type="paragraph" w:styleId="TM8">
    <w:name w:val="toc 8"/>
    <w:basedOn w:val="Normal"/>
    <w:next w:val="Normal"/>
    <w:autoRedefine/>
    <w:uiPriority w:val="39"/>
    <w:unhideWhenUsed/>
    <w:rsid w:val="00E819C1"/>
    <w:pPr>
      <w:suppressAutoHyphens w:val="0"/>
      <w:spacing w:line="276" w:lineRule="auto"/>
      <w:ind w:left="1540"/>
    </w:pPr>
    <w:rPr>
      <w:rFonts w:ascii="Calibri" w:eastAsia="Calibri" w:hAnsi="Calibri"/>
      <w:szCs w:val="24"/>
      <w:lang w:val="fr-FR"/>
    </w:rPr>
  </w:style>
  <w:style w:type="paragraph" w:styleId="TM9">
    <w:name w:val="toc 9"/>
    <w:basedOn w:val="Normal"/>
    <w:next w:val="Normal"/>
    <w:autoRedefine/>
    <w:uiPriority w:val="39"/>
    <w:unhideWhenUsed/>
    <w:rsid w:val="00E819C1"/>
    <w:pPr>
      <w:suppressAutoHyphens w:val="0"/>
      <w:spacing w:line="276" w:lineRule="auto"/>
      <w:ind w:left="1760"/>
    </w:pPr>
    <w:rPr>
      <w:rFonts w:ascii="Calibri" w:eastAsia="Calibri" w:hAnsi="Calibri"/>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9FA3C-5C50-4631-8B11-57061423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CRC_F.dotm</Template>
  <TotalTime>1</TotalTime>
  <Pages>42</Pages>
  <Words>19793</Words>
  <Characters>108862</Characters>
  <Application>Microsoft Office Word</Application>
  <DocSecurity>0</DocSecurity>
  <Lines>907</Lines>
  <Paragraphs>256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CRC/C/MRT/3-5</vt:lpstr>
      <vt:lpstr>CRC/C/MRT/3-5</vt:lpstr>
    </vt:vector>
  </TitlesOfParts>
  <Company>Corine</Company>
  <LinksUpToDate>false</LinksUpToDate>
  <CharactersWithSpaces>128399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CRC/C/MRT/3-5</dc:title>
  <dc:subject/>
  <dc:creator>Boit James</dc:creator>
  <cp:keywords/>
  <dc:description/>
  <cp:lastModifiedBy>Fabienne CRELIER</cp:lastModifiedBy>
  <cp:revision>3</cp:revision>
  <cp:lastPrinted>2017-11-20T08:13:00Z</cp:lastPrinted>
  <dcterms:created xsi:type="dcterms:W3CDTF">2017-11-20T08:13:00Z</dcterms:created>
  <dcterms:modified xsi:type="dcterms:W3CDTF">2017-11-20T08:14:00Z</dcterms:modified>
</cp:coreProperties>
</file>