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EE2AC3" w:rsidRPr="00527A49">
        <w:trPr>
          <w:cantSplit/>
          <w:trHeight w:hRule="exact" w:val="851"/>
        </w:trPr>
        <w:tc>
          <w:tcPr>
            <w:tcW w:w="1276" w:type="dxa"/>
            <w:tcBorders>
              <w:bottom w:val="single" w:sz="4" w:space="0" w:color="auto"/>
            </w:tcBorders>
            <w:vAlign w:val="bottom"/>
          </w:tcPr>
          <w:p w:rsidR="00EE2AC3" w:rsidRPr="00527A49" w:rsidRDefault="00EE2AC3" w:rsidP="00EE2AC3">
            <w:pPr>
              <w:spacing w:after="80"/>
            </w:pPr>
          </w:p>
        </w:tc>
        <w:tc>
          <w:tcPr>
            <w:tcW w:w="2268" w:type="dxa"/>
            <w:tcBorders>
              <w:bottom w:val="single" w:sz="4" w:space="0" w:color="auto"/>
            </w:tcBorders>
            <w:vAlign w:val="bottom"/>
          </w:tcPr>
          <w:p w:rsidR="00EE2AC3" w:rsidRPr="00527A49" w:rsidRDefault="00EE2AC3" w:rsidP="00EE2AC3">
            <w:pPr>
              <w:spacing w:after="80" w:line="300" w:lineRule="exact"/>
              <w:rPr>
                <w:b/>
                <w:sz w:val="24"/>
                <w:szCs w:val="24"/>
              </w:rPr>
            </w:pPr>
            <w:r w:rsidRPr="00527A49">
              <w:rPr>
                <w:sz w:val="28"/>
                <w:szCs w:val="28"/>
              </w:rPr>
              <w:t>United Nations</w:t>
            </w:r>
          </w:p>
        </w:tc>
        <w:tc>
          <w:tcPr>
            <w:tcW w:w="6095" w:type="dxa"/>
            <w:gridSpan w:val="2"/>
            <w:tcBorders>
              <w:bottom w:val="single" w:sz="4" w:space="0" w:color="auto"/>
            </w:tcBorders>
            <w:vAlign w:val="bottom"/>
          </w:tcPr>
          <w:p w:rsidR="00EE2AC3" w:rsidRPr="00527A49" w:rsidRDefault="00EE2AC3" w:rsidP="001C27AA">
            <w:pPr>
              <w:jc w:val="right"/>
            </w:pPr>
            <w:r w:rsidRPr="00527A49">
              <w:rPr>
                <w:sz w:val="40"/>
              </w:rPr>
              <w:t>E</w:t>
            </w:r>
            <w:r w:rsidR="00283093">
              <w:t>/C.12/</w:t>
            </w:r>
            <w:r w:rsidR="001C27AA">
              <w:t>CZE</w:t>
            </w:r>
            <w:r w:rsidRPr="00527A49">
              <w:t>/Q/2</w:t>
            </w:r>
          </w:p>
        </w:tc>
      </w:tr>
      <w:tr w:rsidR="00EE2AC3" w:rsidRPr="00527A49">
        <w:trPr>
          <w:cantSplit/>
          <w:trHeight w:hRule="exact" w:val="2835"/>
        </w:trPr>
        <w:tc>
          <w:tcPr>
            <w:tcW w:w="1276" w:type="dxa"/>
            <w:tcBorders>
              <w:top w:val="single" w:sz="4" w:space="0" w:color="auto"/>
              <w:bottom w:val="single" w:sz="12" w:space="0" w:color="auto"/>
            </w:tcBorders>
          </w:tcPr>
          <w:p w:rsidR="00EE2AC3" w:rsidRPr="00527A49" w:rsidRDefault="00EE2AC3" w:rsidP="00EE2AC3">
            <w:pPr>
              <w:spacing w:before="120"/>
            </w:pPr>
            <w:r w:rsidRPr="00527A49">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EE2AC3" w:rsidRPr="00527A49" w:rsidRDefault="00EE2AC3" w:rsidP="00EE2AC3">
            <w:pPr>
              <w:spacing w:before="120" w:line="420" w:lineRule="exact"/>
              <w:rPr>
                <w:sz w:val="40"/>
                <w:szCs w:val="40"/>
              </w:rPr>
            </w:pPr>
            <w:r w:rsidRPr="00527A49">
              <w:rPr>
                <w:b/>
                <w:sz w:val="40"/>
                <w:szCs w:val="40"/>
              </w:rPr>
              <w:t>Economic and Social Council</w:t>
            </w:r>
          </w:p>
        </w:tc>
        <w:tc>
          <w:tcPr>
            <w:tcW w:w="2835" w:type="dxa"/>
            <w:tcBorders>
              <w:top w:val="single" w:sz="4" w:space="0" w:color="auto"/>
              <w:bottom w:val="single" w:sz="12" w:space="0" w:color="auto"/>
            </w:tcBorders>
          </w:tcPr>
          <w:p w:rsidR="00EE2AC3" w:rsidRPr="00527A49" w:rsidRDefault="00EE2AC3" w:rsidP="00EE2AC3">
            <w:pPr>
              <w:spacing w:before="240" w:line="240" w:lineRule="exact"/>
            </w:pPr>
            <w:r w:rsidRPr="00527A49">
              <w:t xml:space="preserve">Distr.: </w:t>
            </w:r>
            <w:r w:rsidR="004669AE">
              <w:t xml:space="preserve">General </w:t>
            </w:r>
          </w:p>
          <w:p w:rsidR="00EE2AC3" w:rsidRPr="00527A49" w:rsidRDefault="00975917" w:rsidP="00EE2AC3">
            <w:pPr>
              <w:spacing w:line="240" w:lineRule="exact"/>
            </w:pPr>
            <w:r>
              <w:t>1</w:t>
            </w:r>
            <w:r w:rsidR="00D35A1E">
              <w:t>9</w:t>
            </w:r>
            <w:r w:rsidR="00EE2AC3">
              <w:t xml:space="preserve"> </w:t>
            </w:r>
            <w:r w:rsidR="004669AE">
              <w:t>Dec</w:t>
            </w:r>
            <w:r w:rsidR="00EE2AC3">
              <w:t xml:space="preserve">ember </w:t>
            </w:r>
            <w:r w:rsidR="00EE2AC3" w:rsidRPr="00527A49">
              <w:t>2013</w:t>
            </w:r>
          </w:p>
          <w:p w:rsidR="00EE2AC3" w:rsidRPr="00527A49" w:rsidRDefault="00EE2AC3" w:rsidP="00EE2AC3">
            <w:pPr>
              <w:spacing w:line="240" w:lineRule="exact"/>
            </w:pPr>
          </w:p>
          <w:p w:rsidR="00EE2AC3" w:rsidRPr="00527A49" w:rsidRDefault="00EE2AC3" w:rsidP="00EE2AC3">
            <w:pPr>
              <w:spacing w:line="240" w:lineRule="exact"/>
              <w:rPr>
                <w:b/>
              </w:rPr>
            </w:pPr>
            <w:r w:rsidRPr="00527A49">
              <w:t>Original: English</w:t>
            </w:r>
          </w:p>
        </w:tc>
      </w:tr>
    </w:tbl>
    <w:p w:rsidR="00D90EDB" w:rsidRPr="00D90EDB" w:rsidRDefault="00D90EDB" w:rsidP="00D90EDB">
      <w:pPr>
        <w:spacing w:before="120"/>
        <w:rPr>
          <w:rFonts w:eastAsia="Times New Roman"/>
        </w:rPr>
      </w:pPr>
      <w:r w:rsidRPr="00D90EDB">
        <w:rPr>
          <w:rFonts w:eastAsia="SimHei"/>
          <w:b/>
          <w:sz w:val="24"/>
          <w:szCs w:val="24"/>
        </w:rPr>
        <w:t>Committee on E</w:t>
      </w:r>
      <w:r w:rsidRPr="00D90EDB">
        <w:rPr>
          <w:rFonts w:eastAsia="SimHei"/>
          <w:b/>
          <w:sz w:val="24"/>
          <w:szCs w:val="24"/>
        </w:rPr>
        <w:t>conomic, Social and Cultural Rights</w:t>
      </w:r>
      <w:r w:rsidR="00682E3C">
        <w:rPr>
          <w:rFonts w:eastAsia="Times New Roman"/>
          <w:noProof/>
          <w:lang w:val="en-US"/>
        </w:rPr>
        <w:pict>
          <v:shape id="_x0000_s1026" type="#_x0000_t75" style="position:absolute;margin-left:432.55pt;margin-top:623.6pt;width:50.25pt;height:50.25pt;z-index:1;mso-position-horizontal-relative:margin;mso-position-vertical-relative:margin" o:allowoverlap="f">
            <v:imagedata r:id="rId8" o:title="2&amp;Size=2 &amp;Lang=E"/>
            <w10:wrap anchorx="margin" anchory="margin"/>
          </v:shape>
        </w:pict>
      </w:r>
    </w:p>
    <w:p w:rsidR="00EE2AC3" w:rsidRDefault="00EE2AC3" w:rsidP="00F8784A">
      <w:pPr>
        <w:pStyle w:val="HChG"/>
      </w:pPr>
      <w:r w:rsidRPr="0085332C">
        <w:tab/>
      </w:r>
      <w:r w:rsidRPr="0085332C">
        <w:tab/>
        <w:t xml:space="preserve">List of issues in </w:t>
      </w:r>
      <w:r w:rsidR="00D90EDB">
        <w:t>rela</w:t>
      </w:r>
      <w:r w:rsidRPr="0085332C">
        <w:t xml:space="preserve">tion </w:t>
      </w:r>
      <w:r w:rsidR="00D90EDB">
        <w:t>to</w:t>
      </w:r>
      <w:r w:rsidRPr="0085332C">
        <w:t xml:space="preserve"> the </w:t>
      </w:r>
      <w:r>
        <w:t>second</w:t>
      </w:r>
      <w:r w:rsidRPr="0085332C">
        <w:t xml:space="preserve"> periodic report </w:t>
      </w:r>
      <w:r w:rsidR="00F8784A">
        <w:br/>
      </w:r>
      <w:r w:rsidRPr="0085332C">
        <w:t xml:space="preserve">of </w:t>
      </w:r>
      <w:r w:rsidR="00D35A1E">
        <w:t xml:space="preserve">the </w:t>
      </w:r>
      <w:r w:rsidR="001C27AA">
        <w:t>Czech Republic</w:t>
      </w:r>
      <w:r w:rsidR="00F8784A" w:rsidRPr="007E45AB">
        <w:rPr>
          <w:rStyle w:val="FootnoteReference"/>
          <w:b w:val="0"/>
          <w:bCs/>
          <w:sz w:val="20"/>
          <w:vertAlign w:val="baseline"/>
        </w:rPr>
        <w:footnoteReference w:customMarkFollows="1" w:id="2"/>
        <w:t>*</w:t>
      </w:r>
    </w:p>
    <w:p w:rsidR="00EE2AC3" w:rsidRPr="00235B20" w:rsidRDefault="00EE2AC3" w:rsidP="00EE2AC3">
      <w:pPr>
        <w:pStyle w:val="HChG"/>
      </w:pPr>
      <w:r>
        <w:tab/>
      </w:r>
      <w:r w:rsidRPr="00235B20">
        <w:t>I.</w:t>
      </w:r>
      <w:r w:rsidRPr="00235B20">
        <w:tab/>
        <w:t>General information</w:t>
      </w:r>
    </w:p>
    <w:p w:rsidR="001C27AA" w:rsidRPr="001C27AA" w:rsidRDefault="001C27AA" w:rsidP="007E45AB">
      <w:pPr>
        <w:pStyle w:val="SingleTxtG"/>
        <w:numPr>
          <w:ilvl w:val="2"/>
          <w:numId w:val="28"/>
        </w:numPr>
        <w:tabs>
          <w:tab w:val="clear" w:pos="3474"/>
        </w:tabs>
        <w:ind w:left="1134" w:firstLine="0"/>
        <w:rPr>
          <w:lang w:val="en-US"/>
        </w:rPr>
      </w:pPr>
      <w:r w:rsidRPr="001C27AA">
        <w:t xml:space="preserve">In view of the 2002 amendment to </w:t>
      </w:r>
      <w:r w:rsidR="005A50A9">
        <w:t>a</w:t>
      </w:r>
      <w:r w:rsidRPr="001C27AA">
        <w:t>rticle 10 of the Constitution</w:t>
      </w:r>
      <w:r w:rsidR="003217F1">
        <w:t xml:space="preserve"> according to which international treaties have priority over domestic laws</w:t>
      </w:r>
      <w:r w:rsidRPr="001C27AA">
        <w:t>, p</w:t>
      </w:r>
      <w:r w:rsidRPr="001C27AA">
        <w:rPr>
          <w:lang w:val="en-US"/>
        </w:rPr>
        <w:t>lease provide information on cases</w:t>
      </w:r>
      <w:r w:rsidR="003217F1">
        <w:rPr>
          <w:lang w:val="en-US"/>
        </w:rPr>
        <w:t xml:space="preserve">, if any, </w:t>
      </w:r>
      <w:r w:rsidRPr="001C27AA">
        <w:rPr>
          <w:lang w:val="en-US"/>
        </w:rPr>
        <w:t>in which the Covenant has been invoked in</w:t>
      </w:r>
      <w:r w:rsidR="00AF2006">
        <w:rPr>
          <w:lang w:val="en-US"/>
        </w:rPr>
        <w:t>,</w:t>
      </w:r>
      <w:r w:rsidR="00CF25C3">
        <w:rPr>
          <w:lang w:val="en-US"/>
        </w:rPr>
        <w:t xml:space="preserve"> or applied by</w:t>
      </w:r>
      <w:r w:rsidR="00AF2006">
        <w:rPr>
          <w:lang w:val="en-US"/>
        </w:rPr>
        <w:t>,</w:t>
      </w:r>
      <w:r w:rsidRPr="001C27AA">
        <w:rPr>
          <w:lang w:val="en-US"/>
        </w:rPr>
        <w:t xml:space="preserve"> courts.</w:t>
      </w:r>
    </w:p>
    <w:p w:rsidR="001C27AA" w:rsidRPr="001C27AA" w:rsidRDefault="001C27AA" w:rsidP="007E45AB">
      <w:pPr>
        <w:pStyle w:val="SingleTxtG"/>
        <w:numPr>
          <w:ilvl w:val="2"/>
          <w:numId w:val="28"/>
        </w:numPr>
        <w:tabs>
          <w:tab w:val="clear" w:pos="3474"/>
        </w:tabs>
        <w:ind w:left="1134" w:firstLine="0"/>
        <w:rPr>
          <w:lang w:val="en-US"/>
        </w:rPr>
      </w:pPr>
      <w:r w:rsidRPr="001C27AA">
        <w:rPr>
          <w:lang w:val="en-US"/>
        </w:rPr>
        <w:t xml:space="preserve">Please indicate the measures taken to strengthen the State party’s national human rights institution to bring it into full compliance with the </w:t>
      </w:r>
      <w:r w:rsidR="00AF2006">
        <w:rPr>
          <w:lang w:val="en-US"/>
        </w:rPr>
        <w:t>principles relating to the status of national institutions (</w:t>
      </w:r>
      <w:r w:rsidRPr="001C27AA">
        <w:rPr>
          <w:lang w:val="en-US"/>
        </w:rPr>
        <w:t>Paris Principles</w:t>
      </w:r>
      <w:r w:rsidR="00AF2006">
        <w:rPr>
          <w:lang w:val="en-US"/>
        </w:rPr>
        <w:t>)</w:t>
      </w:r>
      <w:r w:rsidRPr="001C27AA">
        <w:rPr>
          <w:lang w:val="en-US"/>
        </w:rPr>
        <w:t xml:space="preserve"> and to seek its accreditation by the International Coordinating Committee on National Human Rights Institutions for the Promotion and Protection of Human Rights.</w:t>
      </w:r>
      <w:r w:rsidR="003217F1">
        <w:rPr>
          <w:lang w:val="en-US"/>
        </w:rPr>
        <w:t xml:space="preserve"> Please also indicate whether it has </w:t>
      </w:r>
      <w:r w:rsidR="0058190D">
        <w:rPr>
          <w:lang w:val="en-US"/>
        </w:rPr>
        <w:t xml:space="preserve">a </w:t>
      </w:r>
      <w:r w:rsidR="003217F1">
        <w:rPr>
          <w:lang w:val="en-US"/>
        </w:rPr>
        <w:t>mandate o</w:t>
      </w:r>
      <w:r w:rsidR="0058190D">
        <w:rPr>
          <w:lang w:val="en-US"/>
        </w:rPr>
        <w:t>n</w:t>
      </w:r>
      <w:r w:rsidR="003217F1">
        <w:rPr>
          <w:lang w:val="en-US"/>
        </w:rPr>
        <w:t xml:space="preserve"> economic, social and cultural rights.</w:t>
      </w:r>
    </w:p>
    <w:p w:rsidR="001C27AA" w:rsidRPr="001C27AA" w:rsidRDefault="001C27AA" w:rsidP="007E45AB">
      <w:pPr>
        <w:pStyle w:val="HChG"/>
      </w:pPr>
      <w:r w:rsidRPr="001C27AA">
        <w:tab/>
        <w:t>II.</w:t>
      </w:r>
      <w:r w:rsidRPr="001C27AA">
        <w:tab/>
        <w:t>Issues relating to general provisions of the Covenant (arts.</w:t>
      </w:r>
      <w:r w:rsidR="00F8784A">
        <w:t> </w:t>
      </w:r>
      <w:r w:rsidRPr="001C27AA">
        <w:t>1</w:t>
      </w:r>
      <w:r w:rsidR="00185CA8">
        <w:t>-</w:t>
      </w:r>
      <w:r w:rsidRPr="001C27AA">
        <w:t>5)</w:t>
      </w:r>
    </w:p>
    <w:p w:rsidR="001C27AA" w:rsidRPr="001C27AA" w:rsidRDefault="001C27AA" w:rsidP="001C27AA">
      <w:pPr>
        <w:keepNext/>
        <w:keepLines/>
        <w:tabs>
          <w:tab w:val="right" w:pos="851"/>
        </w:tabs>
        <w:spacing w:before="360" w:after="240" w:line="270" w:lineRule="exact"/>
        <w:ind w:left="1134" w:right="1134" w:hanging="1134"/>
        <w:outlineLvl w:val="0"/>
        <w:rPr>
          <w:rFonts w:eastAsia="Times New Roman" w:cs="Angsana New"/>
          <w:b/>
          <w:sz w:val="24"/>
          <w:lang w:val="en-US"/>
        </w:rPr>
      </w:pPr>
      <w:r w:rsidRPr="001C27AA">
        <w:rPr>
          <w:rFonts w:eastAsia="Times New Roman" w:cs="Angsana New"/>
          <w:b/>
          <w:sz w:val="24"/>
          <w:lang w:val="en-US"/>
        </w:rPr>
        <w:tab/>
      </w:r>
      <w:r w:rsidRPr="001C27AA">
        <w:rPr>
          <w:rFonts w:eastAsia="Times New Roman" w:cs="Angsana New"/>
          <w:b/>
          <w:sz w:val="24"/>
          <w:lang w:val="en-US"/>
        </w:rPr>
        <w:tab/>
        <w:t>Article 2</w:t>
      </w:r>
      <w:r w:rsidR="0058190D">
        <w:rPr>
          <w:rFonts w:eastAsia="Times New Roman" w:cs="Angsana New"/>
          <w:b/>
          <w:sz w:val="24"/>
          <w:lang w:val="en-US"/>
        </w:rPr>
        <w:t>,</w:t>
      </w:r>
      <w:r w:rsidRPr="001C27AA">
        <w:rPr>
          <w:rFonts w:eastAsia="Times New Roman" w:cs="Angsana New"/>
          <w:b/>
          <w:sz w:val="24"/>
          <w:lang w:val="en-US"/>
        </w:rPr>
        <w:t xml:space="preserve"> paragraph 2 </w:t>
      </w:r>
      <w:r w:rsidR="00F8784A">
        <w:rPr>
          <w:rFonts w:eastAsia="Times New Roman" w:cs="Angsana New"/>
          <w:b/>
          <w:sz w:val="24"/>
          <w:lang w:val="en-US"/>
        </w:rPr>
        <w:t>–</w:t>
      </w:r>
      <w:r w:rsidRPr="001C27AA">
        <w:rPr>
          <w:rFonts w:eastAsia="Times New Roman" w:cs="Angsana New"/>
          <w:b/>
          <w:sz w:val="24"/>
          <w:lang w:val="en-US"/>
        </w:rPr>
        <w:t xml:space="preserve"> Non-discrimination</w:t>
      </w:r>
    </w:p>
    <w:p w:rsidR="001C27AA" w:rsidRPr="001C27AA" w:rsidRDefault="003217F1" w:rsidP="007E45AB">
      <w:pPr>
        <w:pStyle w:val="SingleTxtG"/>
        <w:numPr>
          <w:ilvl w:val="2"/>
          <w:numId w:val="28"/>
        </w:numPr>
        <w:tabs>
          <w:tab w:val="clear" w:pos="3474"/>
        </w:tabs>
        <w:ind w:left="1134" w:firstLine="0"/>
      </w:pPr>
      <w:r>
        <w:rPr>
          <w:lang w:val="en-US"/>
        </w:rPr>
        <w:t>Please explain why there are</w:t>
      </w:r>
      <w:r w:rsidR="001C27AA" w:rsidRPr="001C27AA">
        <w:rPr>
          <w:lang w:val="en-US"/>
        </w:rPr>
        <w:t xml:space="preserve"> </w:t>
      </w:r>
      <w:r>
        <w:rPr>
          <w:lang w:val="en-US"/>
        </w:rPr>
        <w:t>few</w:t>
      </w:r>
      <w:r w:rsidRPr="001C27AA">
        <w:rPr>
          <w:lang w:val="en-US"/>
        </w:rPr>
        <w:t xml:space="preserve"> </w:t>
      </w:r>
      <w:r w:rsidR="001C27AA" w:rsidRPr="001C27AA">
        <w:rPr>
          <w:lang w:val="en-US"/>
        </w:rPr>
        <w:t>cases of discrimination reported by the Labour Office, cases of sexual harassment. Please also provide information on the effectiveness of anti-discrimination measures, including updated statistical data on cases of violations of the prohibition of discrimination, in relation to the enjoyment of economic, social and cultural rights, other than in employment.</w:t>
      </w:r>
    </w:p>
    <w:p w:rsidR="001C27AA" w:rsidRPr="001C27AA" w:rsidRDefault="001C27AA" w:rsidP="007E45AB">
      <w:pPr>
        <w:pStyle w:val="SingleTxtG"/>
        <w:numPr>
          <w:ilvl w:val="2"/>
          <w:numId w:val="28"/>
        </w:numPr>
        <w:tabs>
          <w:tab w:val="clear" w:pos="3474"/>
        </w:tabs>
        <w:ind w:left="1134" w:firstLine="0"/>
      </w:pPr>
      <w:r w:rsidRPr="001C27AA">
        <w:rPr>
          <w:lang w:val="en-US"/>
        </w:rPr>
        <w:t>Please provide</w:t>
      </w:r>
      <w:r w:rsidR="003217F1">
        <w:rPr>
          <w:lang w:val="en-US"/>
        </w:rPr>
        <w:t xml:space="preserve"> updated</w:t>
      </w:r>
      <w:r w:rsidRPr="001C27AA">
        <w:rPr>
          <w:lang w:val="en-US"/>
        </w:rPr>
        <w:t xml:space="preserve"> information on the impact of measures taken to prevent and combat racism, xenophobia and racially</w:t>
      </w:r>
      <w:r w:rsidR="0058190D">
        <w:rPr>
          <w:lang w:val="en-US"/>
        </w:rPr>
        <w:t xml:space="preserve"> </w:t>
      </w:r>
      <w:r w:rsidRPr="001C27AA">
        <w:rPr>
          <w:lang w:val="en-US"/>
        </w:rPr>
        <w:t>motivated violence as well as to investigate and punish racially</w:t>
      </w:r>
      <w:r w:rsidR="0058190D">
        <w:rPr>
          <w:lang w:val="en-US"/>
        </w:rPr>
        <w:t xml:space="preserve"> </w:t>
      </w:r>
      <w:r w:rsidRPr="001C27AA">
        <w:rPr>
          <w:lang w:val="en-US"/>
        </w:rPr>
        <w:t>motivated crimes with appropriate penalties.</w:t>
      </w:r>
    </w:p>
    <w:p w:rsidR="001C27AA" w:rsidRPr="001C27AA" w:rsidRDefault="001C27AA" w:rsidP="007E45AB">
      <w:pPr>
        <w:pStyle w:val="SingleTxtG"/>
        <w:numPr>
          <w:ilvl w:val="2"/>
          <w:numId w:val="28"/>
        </w:numPr>
        <w:tabs>
          <w:tab w:val="clear" w:pos="3474"/>
        </w:tabs>
        <w:ind w:left="1134" w:firstLine="0"/>
      </w:pPr>
      <w:r w:rsidRPr="001C27AA">
        <w:rPr>
          <w:lang w:val="en-US"/>
        </w:rPr>
        <w:t xml:space="preserve">With regard to addressing social exclusion of the Roma, please explain to what extent the changes </w:t>
      </w:r>
      <w:r w:rsidR="003217F1">
        <w:rPr>
          <w:lang w:val="en-US"/>
        </w:rPr>
        <w:t xml:space="preserve">introduced </w:t>
      </w:r>
      <w:r w:rsidRPr="001C27AA">
        <w:rPr>
          <w:lang w:val="en-US"/>
        </w:rPr>
        <w:t>in the area of housing, promotion of employment and education</w:t>
      </w:r>
      <w:r w:rsidR="00CF25C3">
        <w:rPr>
          <w:lang w:val="en-US"/>
        </w:rPr>
        <w:t>,</w:t>
      </w:r>
      <w:r w:rsidRPr="001C27AA">
        <w:rPr>
          <w:lang w:val="en-US"/>
        </w:rPr>
        <w:t xml:space="preserve"> as recommended by the 2005 analysis mentioned in paragraphs</w:t>
      </w:r>
      <w:r w:rsidR="00F9788D">
        <w:rPr>
          <w:lang w:val="en-US"/>
        </w:rPr>
        <w:t> </w:t>
      </w:r>
      <w:r w:rsidRPr="001C27AA">
        <w:rPr>
          <w:lang w:val="en-US"/>
        </w:rPr>
        <w:t>64 and 66 of the State report</w:t>
      </w:r>
      <w:r w:rsidR="003217F1">
        <w:rPr>
          <w:lang w:val="en-US"/>
        </w:rPr>
        <w:t>,</w:t>
      </w:r>
      <w:r w:rsidRPr="001C27AA">
        <w:rPr>
          <w:lang w:val="en-US"/>
        </w:rPr>
        <w:t xml:space="preserve"> </w:t>
      </w:r>
      <w:r w:rsidR="003217F1">
        <w:rPr>
          <w:lang w:val="en-US"/>
        </w:rPr>
        <w:t>as well as</w:t>
      </w:r>
      <w:r w:rsidRPr="001C27AA">
        <w:rPr>
          <w:lang w:val="en-US"/>
        </w:rPr>
        <w:t xml:space="preserve"> the </w:t>
      </w:r>
      <w:r w:rsidRPr="001C27AA">
        <w:t>implementation</w:t>
      </w:r>
      <w:r w:rsidRPr="001C27AA">
        <w:rPr>
          <w:lang w:val="en-US"/>
        </w:rPr>
        <w:t xml:space="preserve"> of the 2010 Roma Integration Concept </w:t>
      </w:r>
      <w:r w:rsidR="003217F1">
        <w:rPr>
          <w:lang w:val="en-US"/>
        </w:rPr>
        <w:t xml:space="preserve">have </w:t>
      </w:r>
      <w:r w:rsidR="00AD4E58">
        <w:rPr>
          <w:lang w:val="en-US"/>
        </w:rPr>
        <w:t>brought about progress in the integration of Roma and in</w:t>
      </w:r>
      <w:r w:rsidR="003217F1">
        <w:rPr>
          <w:lang w:val="en-US"/>
        </w:rPr>
        <w:t xml:space="preserve"> </w:t>
      </w:r>
      <w:r w:rsidR="00AD4E58">
        <w:rPr>
          <w:lang w:val="en-US"/>
        </w:rPr>
        <w:t xml:space="preserve">their </w:t>
      </w:r>
      <w:r w:rsidRPr="001C27AA">
        <w:rPr>
          <w:lang w:val="en-US"/>
        </w:rPr>
        <w:t>enjoyment of economic, social and cultural rights</w:t>
      </w:r>
      <w:r w:rsidR="00AD4E58">
        <w:rPr>
          <w:lang w:val="en-US"/>
        </w:rPr>
        <w:t>.</w:t>
      </w:r>
      <w:r w:rsidRPr="001C27AA">
        <w:rPr>
          <w:lang w:val="en-US"/>
        </w:rPr>
        <w:t xml:space="preserve"> </w:t>
      </w:r>
    </w:p>
    <w:p w:rsidR="001C27AA" w:rsidRPr="001C27AA" w:rsidRDefault="001C27AA" w:rsidP="007E45AB">
      <w:pPr>
        <w:pStyle w:val="SingleTxtG"/>
        <w:numPr>
          <w:ilvl w:val="2"/>
          <w:numId w:val="28"/>
        </w:numPr>
        <w:tabs>
          <w:tab w:val="clear" w:pos="3474"/>
        </w:tabs>
        <w:ind w:left="1134" w:firstLine="0"/>
      </w:pPr>
      <w:r w:rsidRPr="001C27AA">
        <w:rPr>
          <w:lang w:val="en-US"/>
        </w:rPr>
        <w:t>Please provide information on the impact of the implementation of the 2006-2009 National Plan for the Support and Integration of Persons with Disabilities and subsequent plans</w:t>
      </w:r>
      <w:r w:rsidRPr="001C27AA">
        <w:t>, including with respect to social exclusion and negative prejudice about persons with disabilities</w:t>
      </w:r>
      <w:r w:rsidRPr="001C27AA">
        <w:rPr>
          <w:lang w:val="en-US"/>
        </w:rPr>
        <w:t xml:space="preserve">. Please also indicate whether the State party’s legislation provides for the obligation of granting reasonable accommodation to persons with </w:t>
      </w:r>
      <w:r w:rsidRPr="001C27AA">
        <w:t>disabilities. Furthermore, please provide information on measures taken to produce reliable statistical data on the enjoyment of economic, social and cultural rights by persons with disabilities.</w:t>
      </w:r>
    </w:p>
    <w:p w:rsidR="001C27AA" w:rsidRPr="001C27AA" w:rsidRDefault="001C27AA" w:rsidP="007E45AB">
      <w:pPr>
        <w:pStyle w:val="H1G"/>
        <w:rPr>
          <w:lang w:val="en-US"/>
        </w:rPr>
      </w:pPr>
      <w:r w:rsidRPr="001C27AA">
        <w:rPr>
          <w:lang w:val="en-US"/>
        </w:rPr>
        <w:tab/>
      </w:r>
      <w:r w:rsidRPr="001C27AA">
        <w:rPr>
          <w:lang w:val="en-US"/>
        </w:rPr>
        <w:tab/>
        <w:t xml:space="preserve">Article 3 </w:t>
      </w:r>
      <w:r w:rsidR="00F8784A">
        <w:rPr>
          <w:lang w:val="en-US"/>
        </w:rPr>
        <w:t>–</w:t>
      </w:r>
      <w:r w:rsidRPr="001C27AA">
        <w:rPr>
          <w:lang w:val="en-US"/>
        </w:rPr>
        <w:t xml:space="preserve"> </w:t>
      </w:r>
      <w:r w:rsidRPr="001C27AA">
        <w:t>Equal</w:t>
      </w:r>
      <w:r w:rsidRPr="001C27AA">
        <w:rPr>
          <w:lang w:val="en-US"/>
        </w:rPr>
        <w:t xml:space="preserve"> rights of men and women</w:t>
      </w:r>
    </w:p>
    <w:p w:rsidR="001C27AA" w:rsidRPr="001C27AA" w:rsidRDefault="001C27AA" w:rsidP="007E45AB">
      <w:pPr>
        <w:pStyle w:val="SingleTxtG"/>
        <w:numPr>
          <w:ilvl w:val="2"/>
          <w:numId w:val="28"/>
        </w:numPr>
        <w:tabs>
          <w:tab w:val="clear" w:pos="3474"/>
        </w:tabs>
        <w:ind w:left="1134" w:firstLine="0"/>
      </w:pPr>
      <w:r w:rsidRPr="001C27AA">
        <w:rPr>
          <w:lang w:val="en-US"/>
        </w:rPr>
        <w:t>P</w:t>
      </w:r>
      <w:r w:rsidRPr="001C27AA">
        <w:t xml:space="preserve">lease provide information, including statistical data, on the application of the temporary provision aimed at ensuring equal </w:t>
      </w:r>
      <w:r w:rsidR="00AD4E58">
        <w:t>access</w:t>
      </w:r>
      <w:r w:rsidR="00AD4E58" w:rsidRPr="001C27AA">
        <w:t xml:space="preserve"> </w:t>
      </w:r>
      <w:r w:rsidRPr="001C27AA">
        <w:t xml:space="preserve">of men and women </w:t>
      </w:r>
      <w:r w:rsidR="00CF25C3">
        <w:t>to</w:t>
      </w:r>
      <w:r w:rsidR="00AD4E58">
        <w:t xml:space="preserve"> employment opportunities</w:t>
      </w:r>
      <w:r w:rsidRPr="001C27AA">
        <w:t xml:space="preserve"> and vocational training.</w:t>
      </w:r>
    </w:p>
    <w:p w:rsidR="001C27AA" w:rsidRPr="001C27AA" w:rsidRDefault="001C27AA" w:rsidP="007E45AB">
      <w:pPr>
        <w:pStyle w:val="SingleTxtG"/>
        <w:numPr>
          <w:ilvl w:val="2"/>
          <w:numId w:val="28"/>
        </w:numPr>
        <w:tabs>
          <w:tab w:val="clear" w:pos="3474"/>
        </w:tabs>
        <w:ind w:left="1134" w:firstLine="0"/>
      </w:pPr>
      <w:r w:rsidRPr="001C27AA">
        <w:t>Please inform the Committee about the impact of the measures taken to address</w:t>
      </w:r>
      <w:r w:rsidR="00CF25C3">
        <w:t xml:space="preserve"> the</w:t>
      </w:r>
      <w:r w:rsidR="008B3EF4">
        <w:t xml:space="preserve"> </w:t>
      </w:r>
      <w:r w:rsidR="007B019F">
        <w:t>low representation of women in</w:t>
      </w:r>
      <w:r w:rsidR="008B3EF4">
        <w:t xml:space="preserve"> </w:t>
      </w:r>
      <w:r w:rsidR="00CF25C3">
        <w:t>high decision-making</w:t>
      </w:r>
      <w:r w:rsidR="008B3EF4">
        <w:t xml:space="preserve"> positions (</w:t>
      </w:r>
      <w:r w:rsidR="008B3EF4" w:rsidRPr="001C27AA">
        <w:t>horizontal gender segregation</w:t>
      </w:r>
      <w:r w:rsidR="008B3EF4">
        <w:t xml:space="preserve">), </w:t>
      </w:r>
      <w:r w:rsidR="00CF25C3">
        <w:t xml:space="preserve">their </w:t>
      </w:r>
      <w:r w:rsidR="008B3EF4">
        <w:t>concentration in some sectors of the economy</w:t>
      </w:r>
      <w:r w:rsidR="00CF25C3">
        <w:t xml:space="preserve"> and types of employment</w:t>
      </w:r>
      <w:r w:rsidR="008B3EF4">
        <w:t xml:space="preserve"> (</w:t>
      </w:r>
      <w:r w:rsidRPr="001C27AA">
        <w:t>vertical</w:t>
      </w:r>
      <w:r w:rsidR="008B3EF4">
        <w:t xml:space="preserve"> gender</w:t>
      </w:r>
      <w:r w:rsidRPr="001C27AA">
        <w:t xml:space="preserve"> </w:t>
      </w:r>
      <w:r w:rsidR="008B3EF4">
        <w:t xml:space="preserve">segregation) </w:t>
      </w:r>
      <w:r w:rsidRPr="001C27AA">
        <w:t>in the State party.</w:t>
      </w:r>
    </w:p>
    <w:p w:rsidR="001C27AA" w:rsidRPr="001C27AA" w:rsidRDefault="001C27AA" w:rsidP="001C27AA">
      <w:pPr>
        <w:keepNext/>
        <w:keepLines/>
        <w:tabs>
          <w:tab w:val="right" w:pos="851"/>
        </w:tabs>
        <w:spacing w:before="360" w:after="240" w:line="300" w:lineRule="exact"/>
        <w:ind w:left="1134" w:right="1134" w:hanging="1134"/>
        <w:outlineLvl w:val="0"/>
        <w:rPr>
          <w:rFonts w:eastAsia="Times New Roman" w:cs="Angsana New"/>
          <w:b/>
          <w:sz w:val="28"/>
        </w:rPr>
      </w:pPr>
      <w:r w:rsidRPr="001C27AA">
        <w:rPr>
          <w:rFonts w:eastAsia="Times New Roman" w:cs="Angsana New"/>
          <w:b/>
          <w:sz w:val="28"/>
        </w:rPr>
        <w:tab/>
        <w:t>III.</w:t>
      </w:r>
      <w:r w:rsidRPr="001C27AA">
        <w:rPr>
          <w:rFonts w:eastAsia="Times New Roman" w:cs="Angsana New"/>
          <w:b/>
          <w:sz w:val="28"/>
        </w:rPr>
        <w:tab/>
        <w:t>Issues relating to the specific provisions of the Covenant (arts. 6</w:t>
      </w:r>
      <w:r w:rsidR="00185CA8">
        <w:rPr>
          <w:rFonts w:eastAsia="Times New Roman" w:cs="Angsana New"/>
          <w:b/>
          <w:sz w:val="28"/>
        </w:rPr>
        <w:t>-</w:t>
      </w:r>
      <w:r w:rsidRPr="001C27AA">
        <w:rPr>
          <w:rFonts w:eastAsia="Times New Roman" w:cs="Angsana New"/>
          <w:b/>
          <w:sz w:val="28"/>
        </w:rPr>
        <w:t>15)</w:t>
      </w:r>
    </w:p>
    <w:p w:rsidR="001C27AA" w:rsidRPr="001C27AA" w:rsidRDefault="001C27AA" w:rsidP="007E45AB">
      <w:pPr>
        <w:pStyle w:val="H1G"/>
        <w:rPr>
          <w:lang w:val="en-US"/>
        </w:rPr>
      </w:pPr>
      <w:r w:rsidRPr="001C27AA">
        <w:rPr>
          <w:lang w:val="en-US"/>
        </w:rPr>
        <w:tab/>
      </w:r>
      <w:r w:rsidRPr="001C27AA">
        <w:rPr>
          <w:lang w:val="en-US"/>
        </w:rPr>
        <w:tab/>
        <w:t xml:space="preserve">Article 6 </w:t>
      </w:r>
      <w:r w:rsidR="00F8784A">
        <w:rPr>
          <w:lang w:val="en-US"/>
        </w:rPr>
        <w:t>–</w:t>
      </w:r>
      <w:r w:rsidRPr="001C27AA">
        <w:rPr>
          <w:lang w:val="en-US"/>
        </w:rPr>
        <w:t xml:space="preserve"> The right to work</w:t>
      </w:r>
    </w:p>
    <w:p w:rsidR="001C27AA" w:rsidRPr="001C27AA" w:rsidRDefault="001C27AA" w:rsidP="007E45AB">
      <w:pPr>
        <w:pStyle w:val="SingleTxtG"/>
        <w:numPr>
          <w:ilvl w:val="2"/>
          <w:numId w:val="28"/>
        </w:numPr>
        <w:tabs>
          <w:tab w:val="clear" w:pos="3474"/>
        </w:tabs>
        <w:ind w:left="1134" w:firstLine="0"/>
      </w:pPr>
      <w:r w:rsidRPr="001C27AA">
        <w:t>Please provide information, including updated statistical data, disaggregated by year, region, sex as well as age; disability and long-term unemployed, on the impact of the State party’s employment policy on unemployment situations, in particular in disadvantaged regions such as Northern, Central and Southern Moravia and North-West Bohemia</w:t>
      </w:r>
      <w:r w:rsidR="00185CA8">
        <w:t>.</w:t>
      </w:r>
      <w:r w:rsidRPr="001C27AA">
        <w:t xml:space="preserve"> </w:t>
      </w:r>
      <w:r w:rsidRPr="001C27AA">
        <w:rPr>
          <w:lang w:val="en-US"/>
        </w:rPr>
        <w:t>Please also provide statistical data on the percentage of job</w:t>
      </w:r>
      <w:r w:rsidR="0091058F">
        <w:rPr>
          <w:lang w:val="en-US"/>
        </w:rPr>
        <w:t xml:space="preserve"> </w:t>
      </w:r>
      <w:r w:rsidRPr="001C27AA">
        <w:rPr>
          <w:lang w:val="en-US"/>
        </w:rPr>
        <w:t>seekers placed by public labour offices and employment agencies.</w:t>
      </w:r>
    </w:p>
    <w:p w:rsidR="001C27AA" w:rsidRPr="001C27AA" w:rsidRDefault="001C27AA" w:rsidP="007E45AB">
      <w:pPr>
        <w:pStyle w:val="SingleTxtG"/>
        <w:numPr>
          <w:ilvl w:val="2"/>
          <w:numId w:val="28"/>
        </w:numPr>
        <w:tabs>
          <w:tab w:val="clear" w:pos="3474"/>
        </w:tabs>
        <w:ind w:left="1134" w:firstLine="0"/>
      </w:pPr>
      <w:r w:rsidRPr="001C27AA">
        <w:rPr>
          <w:lang w:val="en-US"/>
        </w:rPr>
        <w:t xml:space="preserve">Please provide </w:t>
      </w:r>
      <w:r w:rsidRPr="001C27AA">
        <w:t>information</w:t>
      </w:r>
      <w:r w:rsidRPr="001C27AA">
        <w:rPr>
          <w:lang w:val="en-US"/>
        </w:rPr>
        <w:t xml:space="preserve"> on the amendments to the Labour Code adopted in 2012 and describe to what extent the increased </w:t>
      </w:r>
      <w:r w:rsidR="00F8784A">
        <w:rPr>
          <w:lang w:val="en-US"/>
        </w:rPr>
        <w:t>“</w:t>
      </w:r>
      <w:r w:rsidRPr="001C27AA">
        <w:rPr>
          <w:lang w:val="en-US"/>
        </w:rPr>
        <w:t>flexibility of labour relations</w:t>
      </w:r>
      <w:r w:rsidR="00F8784A">
        <w:rPr>
          <w:lang w:val="en-US"/>
        </w:rPr>
        <w:t>”</w:t>
      </w:r>
      <w:r w:rsidRPr="001C27AA">
        <w:rPr>
          <w:lang w:val="en-US"/>
        </w:rPr>
        <w:t xml:space="preserve"> </w:t>
      </w:r>
      <w:r w:rsidR="00185CA8">
        <w:rPr>
          <w:lang w:val="en-US"/>
        </w:rPr>
        <w:t xml:space="preserve">that has been </w:t>
      </w:r>
      <w:r w:rsidRPr="001C27AA">
        <w:rPr>
          <w:lang w:val="en-US"/>
        </w:rPr>
        <w:t>introduced safeguards employees’ right to protection from unfair dismissal.</w:t>
      </w:r>
    </w:p>
    <w:p w:rsidR="001C27AA" w:rsidRPr="001C27AA" w:rsidRDefault="001C27AA" w:rsidP="007E45AB">
      <w:pPr>
        <w:pStyle w:val="SingleTxtG"/>
        <w:numPr>
          <w:ilvl w:val="2"/>
          <w:numId w:val="28"/>
        </w:numPr>
        <w:tabs>
          <w:tab w:val="clear" w:pos="3474"/>
        </w:tabs>
        <w:ind w:left="1134" w:firstLine="0"/>
      </w:pPr>
      <w:r w:rsidRPr="001C27AA">
        <w:rPr>
          <w:lang w:val="en-US"/>
        </w:rPr>
        <w:t xml:space="preserve">Please explain how </w:t>
      </w:r>
      <w:r w:rsidRPr="001C27AA">
        <w:t>the</w:t>
      </w:r>
      <w:r w:rsidR="00CF25C3">
        <w:t xml:space="preserve"> application of the</w:t>
      </w:r>
      <w:r w:rsidRPr="001C27AA">
        <w:rPr>
          <w:lang w:val="en-US"/>
        </w:rPr>
        <w:t xml:space="preserve"> principle of </w:t>
      </w:r>
      <w:r w:rsidR="00F8784A">
        <w:rPr>
          <w:lang w:val="en-US"/>
        </w:rPr>
        <w:t>“</w:t>
      </w:r>
      <w:r w:rsidRPr="001C27AA">
        <w:rPr>
          <w:lang w:val="en-US"/>
        </w:rPr>
        <w:t>suitable employment</w:t>
      </w:r>
      <w:r w:rsidR="00F8784A">
        <w:rPr>
          <w:lang w:val="en-US"/>
        </w:rPr>
        <w:t>”</w:t>
      </w:r>
      <w:r w:rsidRPr="001C27AA">
        <w:rPr>
          <w:lang w:val="en-US"/>
        </w:rPr>
        <w:t xml:space="preserve"> has </w:t>
      </w:r>
      <w:r w:rsidR="007B019F">
        <w:rPr>
          <w:lang w:val="en-US"/>
        </w:rPr>
        <w:t>affected the</w:t>
      </w:r>
      <w:r w:rsidR="00CF25C3">
        <w:rPr>
          <w:lang w:val="en-US"/>
        </w:rPr>
        <w:t xml:space="preserve"> Covenant</w:t>
      </w:r>
      <w:r w:rsidR="007B019F">
        <w:rPr>
          <w:lang w:val="en-US"/>
        </w:rPr>
        <w:t xml:space="preserve"> rights of</w:t>
      </w:r>
      <w:r w:rsidRPr="001C27AA">
        <w:rPr>
          <w:lang w:val="en-US"/>
        </w:rPr>
        <w:t xml:space="preserve"> unemployed persons.</w:t>
      </w:r>
      <w:r w:rsidR="007B019F">
        <w:rPr>
          <w:lang w:val="en-US"/>
        </w:rPr>
        <w:t xml:space="preserve"> </w:t>
      </w:r>
      <w:r w:rsidR="00CF25C3">
        <w:rPr>
          <w:lang w:val="en-US"/>
        </w:rPr>
        <w:t>Please also provide information on</w:t>
      </w:r>
      <w:r w:rsidR="00D745F3">
        <w:rPr>
          <w:lang w:val="en-US"/>
        </w:rPr>
        <w:t xml:space="preserve"> the</w:t>
      </w:r>
      <w:r w:rsidR="007B019F">
        <w:rPr>
          <w:lang w:val="en-US"/>
        </w:rPr>
        <w:t xml:space="preserve"> impact </w:t>
      </w:r>
      <w:r w:rsidR="00D745F3">
        <w:rPr>
          <w:lang w:val="en-US"/>
        </w:rPr>
        <w:t xml:space="preserve">on </w:t>
      </w:r>
      <w:r w:rsidR="007B019F">
        <w:rPr>
          <w:lang w:val="en-US"/>
        </w:rPr>
        <w:t>this principle on</w:t>
      </w:r>
      <w:r w:rsidR="00D745F3">
        <w:rPr>
          <w:lang w:val="en-US"/>
        </w:rPr>
        <w:t xml:space="preserve"> </w:t>
      </w:r>
      <w:r w:rsidR="007B019F">
        <w:rPr>
          <w:lang w:val="en-US"/>
        </w:rPr>
        <w:t>access to unemployment benefits.</w:t>
      </w:r>
    </w:p>
    <w:p w:rsidR="001C27AA" w:rsidRPr="001C27AA" w:rsidRDefault="001C27AA" w:rsidP="001C27AA">
      <w:pPr>
        <w:keepNext/>
        <w:keepLines/>
        <w:tabs>
          <w:tab w:val="right" w:pos="851"/>
        </w:tabs>
        <w:spacing w:before="360" w:after="240" w:line="270" w:lineRule="exact"/>
        <w:ind w:left="1134" w:right="1134" w:hanging="1134"/>
        <w:outlineLvl w:val="0"/>
        <w:rPr>
          <w:rFonts w:eastAsia="Times New Roman" w:cs="Angsana New"/>
          <w:b/>
          <w:sz w:val="24"/>
          <w:lang w:val="en-US"/>
        </w:rPr>
      </w:pPr>
      <w:r w:rsidRPr="001C27AA">
        <w:rPr>
          <w:rFonts w:eastAsia="Times New Roman" w:cs="Angsana New"/>
          <w:b/>
          <w:sz w:val="24"/>
          <w:lang w:val="en-US"/>
        </w:rPr>
        <w:tab/>
      </w:r>
      <w:r w:rsidRPr="001C27AA">
        <w:rPr>
          <w:rFonts w:eastAsia="Times New Roman" w:cs="Angsana New"/>
          <w:b/>
          <w:sz w:val="24"/>
          <w:lang w:val="en-US"/>
        </w:rPr>
        <w:tab/>
        <w:t xml:space="preserve">Article 7 </w:t>
      </w:r>
      <w:r w:rsidR="00F8784A">
        <w:rPr>
          <w:rFonts w:eastAsia="Times New Roman" w:cs="Angsana New"/>
          <w:b/>
          <w:sz w:val="24"/>
          <w:lang w:val="en-US"/>
        </w:rPr>
        <w:t>–</w:t>
      </w:r>
      <w:r w:rsidRPr="001C27AA">
        <w:rPr>
          <w:rFonts w:eastAsia="Times New Roman" w:cs="Angsana New"/>
          <w:b/>
          <w:sz w:val="24"/>
          <w:lang w:val="en-US"/>
        </w:rPr>
        <w:t xml:space="preserve"> The right to just and favourable conditions of work</w:t>
      </w:r>
    </w:p>
    <w:p w:rsidR="001C27AA" w:rsidRPr="001C27AA" w:rsidRDefault="001C27AA" w:rsidP="007E45AB">
      <w:pPr>
        <w:pStyle w:val="SingleTxtG"/>
        <w:numPr>
          <w:ilvl w:val="2"/>
          <w:numId w:val="28"/>
        </w:numPr>
        <w:tabs>
          <w:tab w:val="clear" w:pos="3474"/>
        </w:tabs>
        <w:ind w:left="1134" w:firstLine="0"/>
      </w:pPr>
      <w:r w:rsidRPr="001C27AA">
        <w:rPr>
          <w:lang w:val="en-US"/>
        </w:rPr>
        <w:t xml:space="preserve">Please indicate to what extent the system in place for setting the level of the minimum wage takes account of the requirement to provide a decent living for workers </w:t>
      </w:r>
      <w:r w:rsidR="00C656D5">
        <w:rPr>
          <w:lang w:val="en-US"/>
        </w:rPr>
        <w:t>and</w:t>
      </w:r>
      <w:r w:rsidRPr="001C27AA">
        <w:rPr>
          <w:lang w:val="en-US"/>
        </w:rPr>
        <w:t xml:space="preserve"> their families. Please </w:t>
      </w:r>
      <w:r w:rsidR="0091058F">
        <w:rPr>
          <w:lang w:val="en-US"/>
        </w:rPr>
        <w:t xml:space="preserve">also </w:t>
      </w:r>
      <w:r w:rsidRPr="001C27AA">
        <w:rPr>
          <w:lang w:val="en-US"/>
        </w:rPr>
        <w:t xml:space="preserve">provide information on the application of the provisions of the 2007 Labour Code on the regular valorization of the minimum wage. Please </w:t>
      </w:r>
      <w:r w:rsidR="0091058F">
        <w:rPr>
          <w:lang w:val="en-US"/>
        </w:rPr>
        <w:t>fu</w:t>
      </w:r>
      <w:r w:rsidR="004405B2">
        <w:rPr>
          <w:lang w:val="en-US"/>
        </w:rPr>
        <w:t>r</w:t>
      </w:r>
      <w:r w:rsidR="0091058F">
        <w:rPr>
          <w:lang w:val="en-US"/>
        </w:rPr>
        <w:t>ther</w:t>
      </w:r>
      <w:r w:rsidR="0091058F" w:rsidRPr="001C27AA">
        <w:rPr>
          <w:lang w:val="en-US"/>
        </w:rPr>
        <w:t xml:space="preserve"> </w:t>
      </w:r>
      <w:r w:rsidRPr="001C27AA">
        <w:rPr>
          <w:lang w:val="en-US"/>
        </w:rPr>
        <w:t>provide updated information on the levels of the minimum wage and the subsistence minimum over the past five years.</w:t>
      </w:r>
    </w:p>
    <w:p w:rsidR="001C27AA" w:rsidRPr="001C27AA" w:rsidRDefault="001C27AA" w:rsidP="001C27AA">
      <w:pPr>
        <w:keepNext/>
        <w:keepLines/>
        <w:tabs>
          <w:tab w:val="right" w:pos="851"/>
        </w:tabs>
        <w:spacing w:before="360" w:after="240" w:line="270" w:lineRule="exact"/>
        <w:ind w:left="1134" w:right="1134" w:hanging="1134"/>
        <w:outlineLvl w:val="0"/>
        <w:rPr>
          <w:rFonts w:eastAsia="Times New Roman" w:cs="Angsana New"/>
          <w:b/>
          <w:sz w:val="24"/>
        </w:rPr>
      </w:pPr>
      <w:r w:rsidRPr="001C27AA">
        <w:rPr>
          <w:rFonts w:eastAsia="Times New Roman" w:cs="Angsana New"/>
          <w:b/>
          <w:sz w:val="24"/>
          <w:lang w:val="en-US"/>
        </w:rPr>
        <w:tab/>
      </w:r>
      <w:r w:rsidRPr="001C27AA">
        <w:rPr>
          <w:rFonts w:eastAsia="Times New Roman" w:cs="Angsana New"/>
          <w:b/>
          <w:sz w:val="24"/>
          <w:lang w:val="en-US"/>
        </w:rPr>
        <w:tab/>
        <w:t>Article 8 – Trade union rights</w:t>
      </w:r>
    </w:p>
    <w:p w:rsidR="001C27AA" w:rsidRPr="001C27AA" w:rsidRDefault="001C27AA" w:rsidP="007E45AB">
      <w:pPr>
        <w:pStyle w:val="SingleTxtG"/>
        <w:numPr>
          <w:ilvl w:val="2"/>
          <w:numId w:val="28"/>
        </w:numPr>
        <w:tabs>
          <w:tab w:val="clear" w:pos="3474"/>
        </w:tabs>
        <w:ind w:left="1134" w:firstLine="0"/>
      </w:pPr>
      <w:r w:rsidRPr="001C27AA">
        <w:t xml:space="preserve">Please indicate whether the State party envisages </w:t>
      </w:r>
      <w:r w:rsidR="00775D21">
        <w:t>relaxing</w:t>
      </w:r>
      <w:r w:rsidRPr="001C27AA">
        <w:t xml:space="preserve"> the legislative requirement</w:t>
      </w:r>
      <w:r w:rsidR="00775D21">
        <w:t>s</w:t>
      </w:r>
      <w:r w:rsidRPr="001C6E47">
        <w:t xml:space="preserve"> </w:t>
      </w:r>
      <w:r w:rsidRPr="001C6E47">
        <w:rPr>
          <w:lang w:val="en-US"/>
        </w:rPr>
        <w:t>for the holding of strike ballots in disputes on the conclusion of collective</w:t>
      </w:r>
      <w:r w:rsidRPr="001C27AA">
        <w:rPr>
          <w:lang w:val="en-US"/>
        </w:rPr>
        <w:t xml:space="preserve"> agreements.</w:t>
      </w:r>
    </w:p>
    <w:p w:rsidR="001C27AA" w:rsidRPr="001C27AA" w:rsidRDefault="001C27AA" w:rsidP="001C27AA">
      <w:pPr>
        <w:keepNext/>
        <w:keepLines/>
        <w:tabs>
          <w:tab w:val="right" w:pos="851"/>
        </w:tabs>
        <w:spacing w:before="360" w:after="240" w:line="270" w:lineRule="exact"/>
        <w:ind w:left="1134" w:right="1134" w:hanging="1134"/>
        <w:outlineLvl w:val="0"/>
        <w:rPr>
          <w:rFonts w:eastAsia="Times New Roman" w:cs="Angsana New"/>
          <w:b/>
          <w:sz w:val="24"/>
        </w:rPr>
      </w:pPr>
      <w:r w:rsidRPr="001C27AA">
        <w:rPr>
          <w:rFonts w:eastAsia="Times New Roman" w:cs="Angsana New"/>
          <w:b/>
          <w:sz w:val="24"/>
          <w:lang w:val="en-US"/>
        </w:rPr>
        <w:tab/>
      </w:r>
      <w:r w:rsidRPr="001C27AA">
        <w:rPr>
          <w:rFonts w:eastAsia="Times New Roman" w:cs="Angsana New"/>
          <w:b/>
          <w:sz w:val="24"/>
          <w:lang w:val="en-US"/>
        </w:rPr>
        <w:tab/>
        <w:t xml:space="preserve">Article 9 </w:t>
      </w:r>
      <w:r w:rsidR="00F8784A">
        <w:rPr>
          <w:rFonts w:eastAsia="Times New Roman" w:cs="Angsana New"/>
          <w:b/>
          <w:sz w:val="24"/>
          <w:lang w:val="en-US"/>
        </w:rPr>
        <w:t>–</w:t>
      </w:r>
      <w:r w:rsidRPr="001C27AA">
        <w:rPr>
          <w:rFonts w:eastAsia="Times New Roman" w:cs="Angsana New"/>
          <w:b/>
          <w:sz w:val="24"/>
          <w:lang w:val="en-US"/>
        </w:rPr>
        <w:t xml:space="preserve"> The </w:t>
      </w:r>
      <w:r w:rsidRPr="001C27AA">
        <w:rPr>
          <w:rFonts w:eastAsia="Times New Roman" w:cs="Angsana New"/>
          <w:b/>
          <w:sz w:val="24"/>
        </w:rPr>
        <w:t>right</w:t>
      </w:r>
      <w:r w:rsidRPr="001C27AA">
        <w:rPr>
          <w:rFonts w:eastAsia="Times New Roman" w:cs="Angsana New"/>
          <w:b/>
          <w:sz w:val="24"/>
          <w:lang w:val="en-US"/>
        </w:rPr>
        <w:t xml:space="preserve"> to social security</w:t>
      </w:r>
    </w:p>
    <w:p w:rsidR="001C27AA" w:rsidRPr="001C27AA" w:rsidRDefault="001C27AA" w:rsidP="007E45AB">
      <w:pPr>
        <w:pStyle w:val="SingleTxtG"/>
        <w:numPr>
          <w:ilvl w:val="2"/>
          <w:numId w:val="28"/>
        </w:numPr>
        <w:tabs>
          <w:tab w:val="clear" w:pos="3474"/>
        </w:tabs>
        <w:ind w:left="1134" w:firstLine="0"/>
        <w:rPr>
          <w:lang w:val="en-US"/>
        </w:rPr>
      </w:pPr>
      <w:r w:rsidRPr="001C27AA">
        <w:rPr>
          <w:lang w:val="en-US"/>
        </w:rPr>
        <w:t xml:space="preserve">Please </w:t>
      </w:r>
      <w:r w:rsidR="00BF3745">
        <w:rPr>
          <w:lang w:val="en-US"/>
        </w:rPr>
        <w:t xml:space="preserve">indicate whether the State party has implemented an austerity programme and </w:t>
      </w:r>
      <w:r w:rsidR="00CF25C3">
        <w:rPr>
          <w:lang w:val="en-US"/>
        </w:rPr>
        <w:t>provide information on</w:t>
      </w:r>
      <w:r w:rsidR="00BF3745">
        <w:rPr>
          <w:lang w:val="en-US"/>
        </w:rPr>
        <w:t xml:space="preserve"> </w:t>
      </w:r>
      <w:r w:rsidRPr="001C27AA">
        <w:rPr>
          <w:lang w:val="en-US"/>
        </w:rPr>
        <w:t xml:space="preserve">changes, if any, to social security benefits introduced </w:t>
      </w:r>
      <w:r w:rsidR="00BF3745">
        <w:rPr>
          <w:lang w:val="en-US"/>
        </w:rPr>
        <w:t>during the period of economic and financial crisis</w:t>
      </w:r>
      <w:r w:rsidRPr="001C27AA">
        <w:rPr>
          <w:lang w:val="en-US"/>
        </w:rPr>
        <w:t xml:space="preserve">. Please also indicate to what extent </w:t>
      </w:r>
      <w:r w:rsidR="00BF3745">
        <w:rPr>
          <w:lang w:val="en-US"/>
        </w:rPr>
        <w:t xml:space="preserve">measures </w:t>
      </w:r>
      <w:r w:rsidR="00CF25C3">
        <w:rPr>
          <w:lang w:val="en-US"/>
        </w:rPr>
        <w:t>adopted</w:t>
      </w:r>
      <w:r w:rsidR="00BF3745">
        <w:rPr>
          <w:lang w:val="en-US"/>
        </w:rPr>
        <w:t xml:space="preserve"> take into consid</w:t>
      </w:r>
      <w:r w:rsidRPr="001C27AA">
        <w:rPr>
          <w:lang w:val="en-US"/>
        </w:rPr>
        <w:t>e</w:t>
      </w:r>
      <w:r w:rsidR="00BF3745">
        <w:rPr>
          <w:lang w:val="en-US"/>
        </w:rPr>
        <w:t>ration the</w:t>
      </w:r>
      <w:r w:rsidR="00775D21">
        <w:rPr>
          <w:lang w:val="en-US"/>
        </w:rPr>
        <w:t xml:space="preserve"> criteria </w:t>
      </w:r>
      <w:r w:rsidRPr="001C27AA">
        <w:rPr>
          <w:lang w:val="en-US"/>
        </w:rPr>
        <w:t xml:space="preserve">indicated in </w:t>
      </w:r>
      <w:r w:rsidR="0091058F">
        <w:rPr>
          <w:lang w:val="en-US"/>
        </w:rPr>
        <w:t>the</w:t>
      </w:r>
      <w:r w:rsidRPr="001C27AA">
        <w:rPr>
          <w:lang w:val="en-US"/>
        </w:rPr>
        <w:t xml:space="preserve"> letter </w:t>
      </w:r>
      <w:r w:rsidR="0091058F">
        <w:rPr>
          <w:lang w:val="en-US"/>
        </w:rPr>
        <w:t>from the</w:t>
      </w:r>
      <w:r w:rsidR="0091058F" w:rsidRPr="0091058F">
        <w:rPr>
          <w:lang w:val="en-US"/>
        </w:rPr>
        <w:t xml:space="preserve"> </w:t>
      </w:r>
      <w:r w:rsidR="0091058F" w:rsidRPr="001C27AA">
        <w:rPr>
          <w:lang w:val="en-US"/>
        </w:rPr>
        <w:t xml:space="preserve">Chairperson </w:t>
      </w:r>
      <w:r w:rsidR="0091058F">
        <w:rPr>
          <w:lang w:val="en-US"/>
        </w:rPr>
        <w:t xml:space="preserve">of the Committee </w:t>
      </w:r>
      <w:r w:rsidRPr="001C27AA">
        <w:rPr>
          <w:lang w:val="en-US"/>
        </w:rPr>
        <w:t>dated 1</w:t>
      </w:r>
      <w:r w:rsidR="0021492C">
        <w:rPr>
          <w:lang w:val="en-US"/>
        </w:rPr>
        <w:t>6</w:t>
      </w:r>
      <w:r w:rsidR="00F9788D">
        <w:rPr>
          <w:lang w:val="en-US"/>
        </w:rPr>
        <w:t> </w:t>
      </w:r>
      <w:r w:rsidRPr="001C27AA">
        <w:rPr>
          <w:lang w:val="en-US"/>
        </w:rPr>
        <w:t>May 2012 addressed to States parties, namely on their nature which should be temporary, necessary and proportionate, comprehensive and non-discriminatory, and respecting the social protection floor.</w:t>
      </w:r>
      <w:r w:rsidRPr="001C27AA">
        <w:rPr>
          <w:highlight w:val="yellow"/>
        </w:rPr>
        <w:t xml:space="preserve"> </w:t>
      </w:r>
    </w:p>
    <w:p w:rsidR="001C27AA" w:rsidRPr="001C27AA" w:rsidRDefault="001C27AA" w:rsidP="001C27AA">
      <w:pPr>
        <w:keepNext/>
        <w:keepLines/>
        <w:tabs>
          <w:tab w:val="right" w:pos="851"/>
        </w:tabs>
        <w:spacing w:before="360" w:after="240" w:line="270" w:lineRule="exact"/>
        <w:ind w:left="1134" w:right="1134" w:hanging="1134"/>
        <w:outlineLvl w:val="0"/>
        <w:rPr>
          <w:rFonts w:eastAsia="Times New Roman" w:cs="Angsana New"/>
          <w:b/>
          <w:sz w:val="24"/>
          <w:lang w:val="en-US"/>
        </w:rPr>
      </w:pPr>
      <w:r w:rsidRPr="001C27AA">
        <w:rPr>
          <w:rFonts w:eastAsia="Times New Roman" w:cs="Angsana New"/>
          <w:b/>
          <w:sz w:val="24"/>
          <w:lang w:val="en-US"/>
        </w:rPr>
        <w:tab/>
      </w:r>
      <w:r w:rsidRPr="001C27AA">
        <w:rPr>
          <w:rFonts w:eastAsia="Times New Roman" w:cs="Angsana New"/>
          <w:b/>
          <w:sz w:val="24"/>
          <w:lang w:val="en-US"/>
        </w:rPr>
        <w:tab/>
        <w:t xml:space="preserve">Article </w:t>
      </w:r>
      <w:r w:rsidRPr="001C27AA">
        <w:rPr>
          <w:rFonts w:eastAsia="Times New Roman" w:cs="Angsana New"/>
          <w:b/>
          <w:sz w:val="24"/>
        </w:rPr>
        <w:t>11</w:t>
      </w:r>
      <w:r w:rsidRPr="001C27AA">
        <w:rPr>
          <w:rFonts w:eastAsia="Times New Roman" w:cs="Angsana New"/>
          <w:b/>
          <w:sz w:val="24"/>
          <w:lang w:val="en-US"/>
        </w:rPr>
        <w:t xml:space="preserve"> </w:t>
      </w:r>
      <w:r w:rsidR="00F8784A">
        <w:rPr>
          <w:rFonts w:eastAsia="Times New Roman" w:cs="Angsana New"/>
          <w:b/>
          <w:sz w:val="24"/>
          <w:lang w:val="en-US"/>
        </w:rPr>
        <w:t>–</w:t>
      </w:r>
      <w:r w:rsidRPr="001C27AA">
        <w:rPr>
          <w:rFonts w:eastAsia="Times New Roman" w:cs="Angsana New"/>
          <w:b/>
          <w:sz w:val="24"/>
          <w:lang w:val="en-US"/>
        </w:rPr>
        <w:t xml:space="preserve"> The right to an adequate standard of living</w:t>
      </w:r>
    </w:p>
    <w:p w:rsidR="001C27AA" w:rsidRPr="001C27AA" w:rsidRDefault="001C27AA" w:rsidP="007E45AB">
      <w:pPr>
        <w:pStyle w:val="SingleTxtG"/>
        <w:numPr>
          <w:ilvl w:val="2"/>
          <w:numId w:val="28"/>
        </w:numPr>
        <w:tabs>
          <w:tab w:val="clear" w:pos="3474"/>
        </w:tabs>
        <w:ind w:left="1134" w:firstLine="0"/>
      </w:pPr>
      <w:r w:rsidRPr="001C27AA">
        <w:t xml:space="preserve">Please provide information on the impact of the implementation of the 2011-2015 Strategy for Combating Social Exclusion on the enjoyment of the right to </w:t>
      </w:r>
      <w:r w:rsidR="004405B2">
        <w:t xml:space="preserve">an </w:t>
      </w:r>
      <w:r w:rsidRPr="001C27AA">
        <w:t>adequate standard of living by the most disadvantaged and marginali</w:t>
      </w:r>
      <w:r w:rsidR="004405B2">
        <w:t>z</w:t>
      </w:r>
      <w:r w:rsidRPr="001C27AA">
        <w:t>ed groups.</w:t>
      </w:r>
    </w:p>
    <w:p w:rsidR="001C27AA" w:rsidRPr="001C27AA" w:rsidRDefault="001C27AA" w:rsidP="007E45AB">
      <w:pPr>
        <w:pStyle w:val="SingleTxtG"/>
        <w:numPr>
          <w:ilvl w:val="2"/>
          <w:numId w:val="28"/>
        </w:numPr>
        <w:tabs>
          <w:tab w:val="clear" w:pos="3474"/>
        </w:tabs>
        <w:ind w:left="1134" w:firstLine="0"/>
      </w:pPr>
      <w:r w:rsidRPr="001C27AA">
        <w:t>Please clarify the conditions under which a person may be subject to forced eviction without being provided with alternative housing</w:t>
      </w:r>
      <w:r w:rsidR="00CF25C3">
        <w:t>, bearing in mind the Committee’s</w:t>
      </w:r>
      <w:r w:rsidR="00BF3745">
        <w:t xml:space="preserve"> general comment</w:t>
      </w:r>
      <w:r w:rsidR="00CF25C3">
        <w:t xml:space="preserve"> No.</w:t>
      </w:r>
      <w:r w:rsidR="00F9788D">
        <w:t> </w:t>
      </w:r>
      <w:r w:rsidR="003F374D">
        <w:t xml:space="preserve">7 (1997) on </w:t>
      </w:r>
      <w:r w:rsidR="001D17A9">
        <w:t xml:space="preserve">the right to adequate housing: </w:t>
      </w:r>
      <w:r w:rsidR="003F374D">
        <w:t>forced evictions</w:t>
      </w:r>
      <w:r w:rsidRPr="001C27AA">
        <w:t xml:space="preserve">. </w:t>
      </w:r>
    </w:p>
    <w:p w:rsidR="001C27AA" w:rsidRPr="001C27AA" w:rsidRDefault="001C27AA" w:rsidP="007E45AB">
      <w:pPr>
        <w:pStyle w:val="SingleTxtG"/>
        <w:numPr>
          <w:ilvl w:val="2"/>
          <w:numId w:val="28"/>
        </w:numPr>
        <w:tabs>
          <w:tab w:val="clear" w:pos="3474"/>
        </w:tabs>
        <w:ind w:left="1134" w:firstLine="0"/>
      </w:pPr>
      <w:r w:rsidRPr="001C27AA">
        <w:t xml:space="preserve">Please provide information on the findings of the </w:t>
      </w:r>
      <w:r w:rsidR="00F8784A">
        <w:t>“</w:t>
      </w:r>
      <w:r w:rsidRPr="001C27AA">
        <w:t>mapping of homelessness situation</w:t>
      </w:r>
      <w:r w:rsidR="00F8784A">
        <w:t>”</w:t>
      </w:r>
      <w:r w:rsidRPr="001C27AA">
        <w:t xml:space="preserve"> and services provided to the homeless in the State party, as mentioned in paragraph</w:t>
      </w:r>
      <w:r w:rsidR="00F9788D">
        <w:t> </w:t>
      </w:r>
      <w:r w:rsidRPr="001C27AA">
        <w:t>99 of the State report. Please also provide information on the measures taken to reduce the vulnerability of retirees with disabilities, former psychiatric patients and former convicts</w:t>
      </w:r>
      <w:r w:rsidR="001D17A9">
        <w:t>,</w:t>
      </w:r>
      <w:r w:rsidRPr="001C27AA">
        <w:t xml:space="preserve"> to homelessness. </w:t>
      </w:r>
    </w:p>
    <w:p w:rsidR="001C27AA" w:rsidRPr="001C27AA" w:rsidRDefault="001C27AA" w:rsidP="001C27AA">
      <w:pPr>
        <w:keepNext/>
        <w:keepLines/>
        <w:tabs>
          <w:tab w:val="right" w:pos="851"/>
        </w:tabs>
        <w:spacing w:before="360" w:after="240" w:line="270" w:lineRule="exact"/>
        <w:ind w:left="1134" w:right="1134" w:hanging="1134"/>
        <w:outlineLvl w:val="0"/>
        <w:rPr>
          <w:rFonts w:eastAsia="Times New Roman" w:cs="Angsana New"/>
          <w:b/>
          <w:sz w:val="24"/>
        </w:rPr>
      </w:pPr>
      <w:r w:rsidRPr="001C27AA">
        <w:rPr>
          <w:rFonts w:eastAsia="Times New Roman" w:cs="Angsana New"/>
          <w:b/>
          <w:sz w:val="24"/>
          <w:lang w:val="en-US"/>
        </w:rPr>
        <w:tab/>
      </w:r>
      <w:r w:rsidRPr="001C27AA">
        <w:rPr>
          <w:rFonts w:eastAsia="Times New Roman" w:cs="Angsana New"/>
          <w:b/>
          <w:sz w:val="24"/>
          <w:lang w:val="en-US"/>
        </w:rPr>
        <w:tab/>
        <w:t xml:space="preserve">Article 12 </w:t>
      </w:r>
      <w:r w:rsidR="00F8784A">
        <w:rPr>
          <w:rFonts w:eastAsia="Times New Roman" w:cs="Angsana New"/>
          <w:b/>
          <w:sz w:val="24"/>
          <w:lang w:val="en-US"/>
        </w:rPr>
        <w:t>–</w:t>
      </w:r>
      <w:r w:rsidRPr="001C27AA">
        <w:rPr>
          <w:rFonts w:eastAsia="Times New Roman" w:cs="Angsana New"/>
          <w:b/>
          <w:sz w:val="24"/>
          <w:lang w:val="en-US"/>
        </w:rPr>
        <w:t xml:space="preserve"> The right to physical and mental health</w:t>
      </w:r>
    </w:p>
    <w:p w:rsidR="001C27AA" w:rsidRPr="007E45AB" w:rsidRDefault="001C27AA" w:rsidP="007E45AB">
      <w:pPr>
        <w:pStyle w:val="SingleTxtG"/>
        <w:numPr>
          <w:ilvl w:val="2"/>
          <w:numId w:val="28"/>
        </w:numPr>
        <w:tabs>
          <w:tab w:val="clear" w:pos="3474"/>
        </w:tabs>
        <w:ind w:left="1134" w:firstLine="0"/>
      </w:pPr>
      <w:r w:rsidRPr="001C27AA">
        <w:t xml:space="preserve">Please provide information on measures taken to ensure </w:t>
      </w:r>
      <w:r w:rsidR="00143D65">
        <w:t xml:space="preserve">access to </w:t>
      </w:r>
      <w:r w:rsidRPr="001C27AA">
        <w:t xml:space="preserve">adequate </w:t>
      </w:r>
      <w:r w:rsidR="00143D65">
        <w:t xml:space="preserve">mental health </w:t>
      </w:r>
      <w:r w:rsidRPr="001C27AA">
        <w:t xml:space="preserve">treatment and care, </w:t>
      </w:r>
      <w:r w:rsidR="00143D65">
        <w:t xml:space="preserve">including through community-based settings, </w:t>
      </w:r>
      <w:r w:rsidRPr="001C27AA">
        <w:t>as well as periodic review and effective judicial control of confinement</w:t>
      </w:r>
      <w:r w:rsidR="00426877">
        <w:t>, as requested by the Committee</w:t>
      </w:r>
      <w:r w:rsidR="003F374D">
        <w:t xml:space="preserve"> in paragraph 41 of the previous concluding observations</w:t>
      </w:r>
      <w:r w:rsidRPr="001C27AA">
        <w:t>.</w:t>
      </w:r>
    </w:p>
    <w:p w:rsidR="00426877" w:rsidRPr="001C27AA" w:rsidRDefault="001D17A9" w:rsidP="007E45AB">
      <w:pPr>
        <w:pStyle w:val="SingleTxtG"/>
        <w:numPr>
          <w:ilvl w:val="2"/>
          <w:numId w:val="28"/>
        </w:numPr>
        <w:tabs>
          <w:tab w:val="clear" w:pos="3474"/>
        </w:tabs>
        <w:ind w:left="1134" w:firstLine="0"/>
        <w:rPr>
          <w:rFonts w:eastAsia="Times New Roman" w:cs="Angsana New"/>
        </w:rPr>
      </w:pPr>
      <w:r>
        <w:t>Please p</w:t>
      </w:r>
      <w:r w:rsidR="00D35A08">
        <w:t xml:space="preserve">rovide information on the impact of measures taken by the State party to combat drug use and to provide </w:t>
      </w:r>
      <w:r w:rsidR="00185CA8">
        <w:t xml:space="preserve">drug users with </w:t>
      </w:r>
      <w:r w:rsidR="00D35A08">
        <w:t>access to treatment services.</w:t>
      </w:r>
    </w:p>
    <w:p w:rsidR="001C27AA" w:rsidRPr="001C27AA" w:rsidRDefault="001C27AA" w:rsidP="001C27AA">
      <w:pPr>
        <w:keepNext/>
        <w:keepLines/>
        <w:tabs>
          <w:tab w:val="right" w:pos="851"/>
        </w:tabs>
        <w:spacing w:before="360" w:after="240" w:line="270" w:lineRule="exact"/>
        <w:ind w:left="1134" w:right="1134" w:hanging="1134"/>
        <w:outlineLvl w:val="0"/>
        <w:rPr>
          <w:rFonts w:eastAsia="Times New Roman" w:cs="Angsana New"/>
          <w:b/>
          <w:sz w:val="24"/>
        </w:rPr>
      </w:pPr>
      <w:r w:rsidRPr="001C27AA">
        <w:rPr>
          <w:rFonts w:eastAsia="Times New Roman" w:cs="Angsana New"/>
          <w:b/>
          <w:sz w:val="24"/>
          <w:lang w:val="en-US"/>
        </w:rPr>
        <w:tab/>
      </w:r>
      <w:r w:rsidRPr="001C27AA">
        <w:rPr>
          <w:rFonts w:eastAsia="Times New Roman" w:cs="Angsana New"/>
          <w:b/>
          <w:sz w:val="24"/>
          <w:lang w:val="en-US"/>
        </w:rPr>
        <w:tab/>
        <w:t xml:space="preserve">Articles </w:t>
      </w:r>
      <w:r w:rsidRPr="001C27AA">
        <w:rPr>
          <w:rFonts w:eastAsia="Times New Roman" w:cs="Angsana New"/>
          <w:b/>
          <w:sz w:val="24"/>
        </w:rPr>
        <w:t>13</w:t>
      </w:r>
      <w:r w:rsidRPr="001C27AA">
        <w:rPr>
          <w:rFonts w:eastAsia="Times New Roman" w:cs="Angsana New"/>
          <w:b/>
          <w:sz w:val="24"/>
          <w:lang w:val="en-US"/>
        </w:rPr>
        <w:t xml:space="preserve"> and 14 </w:t>
      </w:r>
      <w:r w:rsidR="00F8784A">
        <w:rPr>
          <w:rFonts w:eastAsia="Times New Roman" w:cs="Angsana New"/>
          <w:b/>
          <w:sz w:val="24"/>
          <w:lang w:val="en-US"/>
        </w:rPr>
        <w:t>–</w:t>
      </w:r>
      <w:r w:rsidRPr="001C27AA">
        <w:rPr>
          <w:rFonts w:eastAsia="Times New Roman" w:cs="Angsana New"/>
          <w:b/>
          <w:sz w:val="24"/>
          <w:lang w:val="en-US"/>
        </w:rPr>
        <w:t xml:space="preserve"> The right to education</w:t>
      </w:r>
    </w:p>
    <w:p w:rsidR="001C27AA" w:rsidRPr="001C27AA" w:rsidRDefault="001C27AA" w:rsidP="007E45AB">
      <w:pPr>
        <w:pStyle w:val="SingleTxtG"/>
        <w:numPr>
          <w:ilvl w:val="2"/>
          <w:numId w:val="28"/>
        </w:numPr>
        <w:tabs>
          <w:tab w:val="clear" w:pos="3474"/>
        </w:tabs>
        <w:ind w:left="1134" w:firstLine="0"/>
      </w:pPr>
      <w:r w:rsidRPr="001C27AA">
        <w:t xml:space="preserve">Please clarify whether compulsory school attendance also applies to children </w:t>
      </w:r>
      <w:r w:rsidRPr="001C27AA">
        <w:rPr>
          <w:lang w:val="en-US"/>
        </w:rPr>
        <w:t>in an irregular situation</w:t>
      </w:r>
      <w:r w:rsidRPr="001C27AA">
        <w:t>.</w:t>
      </w:r>
    </w:p>
    <w:p w:rsidR="001C27AA" w:rsidRDefault="001C27AA" w:rsidP="007E45AB">
      <w:pPr>
        <w:pStyle w:val="SingleTxtG"/>
        <w:numPr>
          <w:ilvl w:val="2"/>
          <w:numId w:val="28"/>
        </w:numPr>
        <w:tabs>
          <w:tab w:val="clear" w:pos="3474"/>
        </w:tabs>
        <w:ind w:left="1134" w:firstLine="0"/>
      </w:pPr>
      <w:r w:rsidRPr="001C27AA">
        <w:t xml:space="preserve">Please explain why the State party’s </w:t>
      </w:r>
      <w:r w:rsidR="00F8784A">
        <w:t>“</w:t>
      </w:r>
      <w:r w:rsidRPr="001C27AA">
        <w:t>racially neutral</w:t>
      </w:r>
      <w:r w:rsidR="00F8784A">
        <w:t>”</w:t>
      </w:r>
      <w:r w:rsidRPr="001C27AA">
        <w:t xml:space="preserve"> education system continues to lead to overrepresentation of Roma children in certain programmes and classes, a concern raised by the Committee in 2002</w:t>
      </w:r>
      <w:r w:rsidR="00426877">
        <w:t xml:space="preserve"> in paragraph </w:t>
      </w:r>
      <w:r w:rsidR="00D35A08">
        <w:t>23 of the concluding observations</w:t>
      </w:r>
      <w:r w:rsidRPr="001C27AA">
        <w:t>.</w:t>
      </w:r>
      <w:r w:rsidR="006E4A03">
        <w:rPr>
          <w:rStyle w:val="FootnoteReference"/>
        </w:rPr>
        <w:footnoteReference w:id="3"/>
        <w:t>1</w:t>
      </w:r>
    </w:p>
    <w:p w:rsidR="001C27AA" w:rsidRPr="001C27AA" w:rsidRDefault="001C27AA" w:rsidP="001C27AA">
      <w:pPr>
        <w:keepNext/>
        <w:keepLines/>
        <w:tabs>
          <w:tab w:val="right" w:pos="851"/>
        </w:tabs>
        <w:spacing w:before="360" w:after="240" w:line="270" w:lineRule="exact"/>
        <w:ind w:left="1134" w:right="1134" w:hanging="1134"/>
        <w:outlineLvl w:val="0"/>
        <w:rPr>
          <w:rFonts w:eastAsia="Times New Roman" w:cs="Angsana New"/>
          <w:b/>
          <w:sz w:val="24"/>
          <w:lang w:val="en-US"/>
        </w:rPr>
      </w:pPr>
      <w:r w:rsidRPr="001C27AA">
        <w:rPr>
          <w:rFonts w:eastAsia="Times New Roman" w:cs="Angsana New"/>
          <w:b/>
          <w:sz w:val="24"/>
          <w:lang w:val="en-US"/>
        </w:rPr>
        <w:tab/>
      </w:r>
      <w:r w:rsidRPr="001C27AA">
        <w:rPr>
          <w:rFonts w:eastAsia="Times New Roman" w:cs="Angsana New"/>
          <w:b/>
          <w:sz w:val="24"/>
          <w:lang w:val="en-US"/>
        </w:rPr>
        <w:tab/>
        <w:t xml:space="preserve">Article </w:t>
      </w:r>
      <w:r w:rsidRPr="001C27AA">
        <w:rPr>
          <w:rFonts w:eastAsia="Times New Roman" w:cs="Angsana New"/>
          <w:b/>
          <w:sz w:val="24"/>
        </w:rPr>
        <w:t>15</w:t>
      </w:r>
      <w:r w:rsidRPr="001C27AA">
        <w:rPr>
          <w:rFonts w:eastAsia="Times New Roman" w:cs="Angsana New"/>
          <w:b/>
          <w:sz w:val="24"/>
          <w:lang w:val="en-US"/>
        </w:rPr>
        <w:t xml:space="preserve"> </w:t>
      </w:r>
      <w:r w:rsidR="00F8784A">
        <w:rPr>
          <w:rFonts w:eastAsia="Times New Roman" w:cs="Angsana New"/>
          <w:b/>
          <w:sz w:val="24"/>
          <w:lang w:val="en-US"/>
        </w:rPr>
        <w:t>–</w:t>
      </w:r>
      <w:r w:rsidRPr="001C27AA">
        <w:rPr>
          <w:rFonts w:eastAsia="Times New Roman" w:cs="Angsana New"/>
          <w:b/>
          <w:sz w:val="24"/>
          <w:lang w:val="en-US"/>
        </w:rPr>
        <w:t xml:space="preserve"> Cultural rights</w:t>
      </w:r>
    </w:p>
    <w:p w:rsidR="001C27AA" w:rsidRPr="001C27AA" w:rsidRDefault="001C27AA" w:rsidP="007E45AB">
      <w:pPr>
        <w:pStyle w:val="SingleTxtG"/>
        <w:numPr>
          <w:ilvl w:val="2"/>
          <w:numId w:val="28"/>
        </w:numPr>
        <w:tabs>
          <w:tab w:val="clear" w:pos="3474"/>
        </w:tabs>
        <w:ind w:left="1134" w:firstLine="0"/>
      </w:pPr>
      <w:r w:rsidRPr="001C27AA">
        <w:rPr>
          <w:lang w:val="en-US"/>
        </w:rPr>
        <w:t xml:space="preserve">Please clarify what is meant by </w:t>
      </w:r>
      <w:r w:rsidR="00F8784A">
        <w:rPr>
          <w:lang w:val="en-US"/>
        </w:rPr>
        <w:t>“</w:t>
      </w:r>
      <w:r w:rsidRPr="001C27AA">
        <w:rPr>
          <w:lang w:val="en-US"/>
        </w:rPr>
        <w:t>culturally disadvantaged environment</w:t>
      </w:r>
      <w:r w:rsidR="00F8784A">
        <w:rPr>
          <w:lang w:val="en-US"/>
        </w:rPr>
        <w:t>”</w:t>
      </w:r>
      <w:r w:rsidRPr="001C27AA">
        <w:rPr>
          <w:lang w:val="en-US"/>
        </w:rPr>
        <w:t>, mentioned in paragraph</w:t>
      </w:r>
      <w:r w:rsidR="00F9788D">
        <w:rPr>
          <w:lang w:val="en-US"/>
        </w:rPr>
        <w:t> </w:t>
      </w:r>
      <w:r w:rsidRPr="001C27AA">
        <w:rPr>
          <w:lang w:val="en-US"/>
        </w:rPr>
        <w:t>89 of the State report</w:t>
      </w:r>
      <w:r w:rsidR="00426877">
        <w:rPr>
          <w:lang w:val="en-US"/>
        </w:rPr>
        <w:t>, and to what extent it impacts negatively</w:t>
      </w:r>
      <w:r w:rsidR="001D17A9">
        <w:rPr>
          <w:lang w:val="en-US"/>
        </w:rPr>
        <w:t xml:space="preserve"> on</w:t>
      </w:r>
      <w:r w:rsidR="00426877">
        <w:rPr>
          <w:lang w:val="en-US"/>
        </w:rPr>
        <w:t xml:space="preserve"> the rights of minorities and ethnic groups</w:t>
      </w:r>
      <w:r w:rsidRPr="001C27AA">
        <w:rPr>
          <w:lang w:val="en-US"/>
        </w:rPr>
        <w:t xml:space="preserve">. Please </w:t>
      </w:r>
      <w:r w:rsidR="001D17A9">
        <w:rPr>
          <w:lang w:val="en-US"/>
        </w:rPr>
        <w:t xml:space="preserve">also </w:t>
      </w:r>
      <w:r w:rsidRPr="001C27AA">
        <w:rPr>
          <w:lang w:val="en-US"/>
        </w:rPr>
        <w:t xml:space="preserve">provide information on the measures taken to address this </w:t>
      </w:r>
      <w:r w:rsidR="00F8784A">
        <w:rPr>
          <w:lang w:val="en-US"/>
        </w:rPr>
        <w:t>“</w:t>
      </w:r>
      <w:r w:rsidRPr="001C27AA">
        <w:rPr>
          <w:lang w:val="en-US"/>
        </w:rPr>
        <w:t>cultural disadvantage</w:t>
      </w:r>
      <w:r w:rsidR="00F8784A">
        <w:rPr>
          <w:lang w:val="en-US"/>
        </w:rPr>
        <w:t>”</w:t>
      </w:r>
      <w:r w:rsidRPr="001C27AA">
        <w:rPr>
          <w:lang w:val="en-US"/>
        </w:rPr>
        <w:t>.</w:t>
      </w:r>
    </w:p>
    <w:p w:rsidR="00EE2AC3" w:rsidRPr="008362DD" w:rsidRDefault="001C27AA" w:rsidP="007E45AB">
      <w:pPr>
        <w:pStyle w:val="SingleTxtG"/>
        <w:numPr>
          <w:ilvl w:val="2"/>
          <w:numId w:val="28"/>
        </w:numPr>
        <w:tabs>
          <w:tab w:val="clear" w:pos="3474"/>
        </w:tabs>
        <w:ind w:left="1134" w:firstLine="0"/>
      </w:pPr>
      <w:r w:rsidRPr="001C27AA">
        <w:rPr>
          <w:lang w:val="en-US"/>
        </w:rPr>
        <w:t xml:space="preserve">Please provide information as to what extent the implementation of </w:t>
      </w:r>
      <w:r w:rsidRPr="001C27AA">
        <w:t xml:space="preserve">the 273/2001 Act on the Rights of Members of National Minorities has </w:t>
      </w:r>
      <w:r w:rsidRPr="001C27AA">
        <w:rPr>
          <w:color w:val="000000"/>
        </w:rPr>
        <w:t>protected cultural diversity, promoted awareness of the cultural heritage of national minorities in the State party, and created favourable conditions for them to preserve, develop, express and disseminate their identity, history, culture, language, traditions and customs</w:t>
      </w:r>
      <w:r w:rsidRPr="001C27AA">
        <w:t>.</w:t>
      </w:r>
      <w:r w:rsidR="006E4A03">
        <w:rPr>
          <w:rStyle w:val="FootnoteReference"/>
        </w:rPr>
        <w:footnoteReference w:id="4"/>
        <w:t>2</w:t>
      </w:r>
    </w:p>
    <w:p w:rsidR="00EE2AC3" w:rsidRPr="008362DD" w:rsidRDefault="00EE2AC3" w:rsidP="00EE2AC3">
      <w:pPr>
        <w:pStyle w:val="SingleTxtG"/>
        <w:spacing w:before="240" w:after="0"/>
        <w:jc w:val="center"/>
        <w:rPr>
          <w:u w:val="single"/>
        </w:rPr>
      </w:pPr>
      <w:r>
        <w:rPr>
          <w:u w:val="single"/>
          <w:lang w:val="en-US"/>
        </w:rPr>
        <w:tab/>
      </w:r>
      <w:r>
        <w:rPr>
          <w:u w:val="single"/>
          <w:lang w:val="en-US"/>
        </w:rPr>
        <w:tab/>
      </w:r>
      <w:r>
        <w:rPr>
          <w:u w:val="single"/>
          <w:lang w:val="en-US"/>
        </w:rPr>
        <w:tab/>
      </w:r>
    </w:p>
    <w:sectPr w:rsidR="00EE2AC3" w:rsidRPr="008362DD" w:rsidSect="00EE2AC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E3C" w:rsidRDefault="00682E3C"/>
  </w:endnote>
  <w:endnote w:type="continuationSeparator" w:id="0">
    <w:p w:rsidR="00682E3C" w:rsidRDefault="00682E3C"/>
  </w:endnote>
  <w:endnote w:type="continuationNotice" w:id="1">
    <w:p w:rsidR="00682E3C" w:rsidRDefault="00682E3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3C" w:rsidRPr="0085332C" w:rsidRDefault="00682E3C" w:rsidP="00EE2AC3">
    <w:pPr>
      <w:pStyle w:val="Footer"/>
      <w:tabs>
        <w:tab w:val="right" w:pos="9638"/>
      </w:tabs>
    </w:pPr>
    <w:r w:rsidRPr="0085332C">
      <w:rPr>
        <w:b/>
        <w:sz w:val="18"/>
      </w:rPr>
      <w:fldChar w:fldCharType="begin"/>
    </w:r>
    <w:r w:rsidRPr="0085332C">
      <w:rPr>
        <w:b/>
        <w:sz w:val="18"/>
      </w:rPr>
      <w:instrText xml:space="preserve"> </w:instrText>
    </w:r>
    <w:r>
      <w:rPr>
        <w:b/>
        <w:sz w:val="18"/>
      </w:rPr>
      <w:instrText>PAGE</w:instrText>
    </w:r>
    <w:r w:rsidRPr="0085332C">
      <w:rPr>
        <w:b/>
        <w:sz w:val="18"/>
      </w:rPr>
      <w:instrText xml:space="preserve">  \* MERGEFORMAT </w:instrText>
    </w:r>
    <w:r w:rsidRPr="0085332C">
      <w:rPr>
        <w:b/>
        <w:sz w:val="18"/>
      </w:rPr>
      <w:fldChar w:fldCharType="separate"/>
    </w:r>
    <w:r>
      <w:rPr>
        <w:b/>
        <w:noProof/>
        <w:sz w:val="18"/>
      </w:rPr>
      <w:t>2</w:t>
    </w:r>
    <w:r w:rsidRPr="0085332C">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3C" w:rsidRPr="0085332C" w:rsidRDefault="00682E3C" w:rsidP="00EE2AC3">
    <w:pPr>
      <w:pStyle w:val="Footer"/>
      <w:tabs>
        <w:tab w:val="right" w:pos="9638"/>
      </w:tabs>
      <w:rPr>
        <w:b/>
        <w:sz w:val="18"/>
      </w:rPr>
    </w:pPr>
    <w:r>
      <w:tab/>
    </w:r>
    <w:r w:rsidRPr="0085332C">
      <w:rPr>
        <w:b/>
        <w:sz w:val="18"/>
      </w:rPr>
      <w:fldChar w:fldCharType="begin"/>
    </w:r>
    <w:r w:rsidRPr="0085332C">
      <w:rPr>
        <w:b/>
        <w:sz w:val="18"/>
      </w:rPr>
      <w:instrText xml:space="preserve"> </w:instrText>
    </w:r>
    <w:r>
      <w:rPr>
        <w:b/>
        <w:sz w:val="18"/>
      </w:rPr>
      <w:instrText>PAGE</w:instrText>
    </w:r>
    <w:r w:rsidRPr="0085332C">
      <w:rPr>
        <w:b/>
        <w:sz w:val="18"/>
      </w:rPr>
      <w:instrText xml:space="preserve">  \* MERGEFORMAT </w:instrText>
    </w:r>
    <w:r w:rsidRPr="0085332C">
      <w:rPr>
        <w:b/>
        <w:sz w:val="18"/>
      </w:rPr>
      <w:fldChar w:fldCharType="separate"/>
    </w:r>
    <w:r>
      <w:rPr>
        <w:b/>
        <w:noProof/>
        <w:sz w:val="18"/>
      </w:rPr>
      <w:t>3</w:t>
    </w:r>
    <w:r w:rsidRPr="0085332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3C" w:rsidRPr="0085332C" w:rsidRDefault="00682E3C">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37.3pt;margin-top:646.25pt;width:73.25pt;height:18.15pt;z-index:1;visibility:visible;mso-position-horizontal-relative:margin;mso-position-vertical-relative:margin">
          <v:imagedata r:id="rId1" o:title="recycle_English"/>
          <w10:wrap anchorx="margin" anchory="margin"/>
        </v:shape>
      </w:pict>
    </w:r>
    <w:r>
      <w:rPr>
        <w:sz w:val="20"/>
      </w:rPr>
      <w:t>GE.13-49821</w:t>
    </w:r>
    <w:r>
      <w:rPr>
        <w:sz w:val="20"/>
      </w:rPr>
      <w:br/>
    </w:r>
    <w:r w:rsidRPr="00682E3C">
      <w:rPr>
        <w:rFonts w:ascii="C39T30Lfz" w:hAnsi="C39T30Lfz"/>
        <w:sz w:val="56"/>
      </w:rPr>
      <w:t></w:t>
    </w:r>
    <w:r w:rsidRPr="00682E3C">
      <w:rPr>
        <w:rFonts w:ascii="C39T30Lfz" w:hAnsi="C39T30Lfz"/>
        <w:sz w:val="56"/>
      </w:rPr>
      <w:t></w:t>
    </w:r>
    <w:r w:rsidRPr="00682E3C">
      <w:rPr>
        <w:rFonts w:ascii="C39T30Lfz" w:hAnsi="C39T30Lfz"/>
        <w:sz w:val="56"/>
      </w:rPr>
      <w:t></w:t>
    </w:r>
    <w:r w:rsidRPr="00682E3C">
      <w:rPr>
        <w:rFonts w:ascii="C39T30Lfz" w:hAnsi="C39T30Lfz"/>
        <w:sz w:val="56"/>
      </w:rPr>
      <w:t></w:t>
    </w:r>
    <w:r w:rsidRPr="00682E3C">
      <w:rPr>
        <w:rFonts w:ascii="C39T30Lfz" w:hAnsi="C39T30Lfz"/>
        <w:sz w:val="56"/>
      </w:rPr>
      <w:t></w:t>
    </w:r>
    <w:r w:rsidRPr="00682E3C">
      <w:rPr>
        <w:rFonts w:ascii="C39T30Lfz" w:hAnsi="C39T30Lfz"/>
        <w:sz w:val="56"/>
      </w:rPr>
      <w:t></w:t>
    </w:r>
    <w:r w:rsidRPr="00682E3C">
      <w:rPr>
        <w:rFonts w:ascii="C39T30Lfz" w:hAnsi="C39T30Lfz"/>
        <w:sz w:val="56"/>
      </w:rPr>
      <w:t></w:t>
    </w:r>
    <w:r w:rsidRPr="00682E3C">
      <w:rPr>
        <w:rFonts w:ascii="C39T30Lfz" w:hAnsi="C39T30Lfz"/>
        <w:sz w:val="56"/>
      </w:rPr>
      <w:t></w:t>
    </w:r>
    <w:r w:rsidRPr="00682E3C">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E3C" w:rsidRPr="000B175B" w:rsidRDefault="00682E3C" w:rsidP="00EE2AC3">
      <w:pPr>
        <w:tabs>
          <w:tab w:val="right" w:pos="2155"/>
        </w:tabs>
        <w:spacing w:after="80"/>
        <w:ind w:left="680"/>
        <w:rPr>
          <w:u w:val="single"/>
        </w:rPr>
      </w:pPr>
      <w:r>
        <w:rPr>
          <w:u w:val="single"/>
        </w:rPr>
        <w:tab/>
      </w:r>
    </w:p>
  </w:footnote>
  <w:footnote w:type="continuationSeparator" w:id="0">
    <w:p w:rsidR="00682E3C" w:rsidRPr="00FC68B7" w:rsidRDefault="00682E3C" w:rsidP="00EE2AC3">
      <w:pPr>
        <w:tabs>
          <w:tab w:val="left" w:pos="2155"/>
        </w:tabs>
        <w:spacing w:after="80"/>
        <w:ind w:left="680"/>
        <w:rPr>
          <w:u w:val="single"/>
        </w:rPr>
      </w:pPr>
      <w:r>
        <w:rPr>
          <w:u w:val="single"/>
        </w:rPr>
        <w:tab/>
      </w:r>
    </w:p>
  </w:footnote>
  <w:footnote w:type="continuationNotice" w:id="1">
    <w:p w:rsidR="00682E3C" w:rsidRDefault="00682E3C"/>
  </w:footnote>
  <w:footnote w:id="2">
    <w:p w:rsidR="00682E3C" w:rsidRPr="005A50A9" w:rsidRDefault="00682E3C">
      <w:pPr>
        <w:pStyle w:val="FootnoteText"/>
      </w:pPr>
      <w:r>
        <w:tab/>
      </w:r>
      <w:r w:rsidRPr="007E45AB">
        <w:rPr>
          <w:rStyle w:val="FootnoteReference"/>
          <w:sz w:val="20"/>
          <w:vertAlign w:val="baseline"/>
        </w:rPr>
        <w:t>*</w:t>
      </w:r>
      <w:r>
        <w:rPr>
          <w:sz w:val="20"/>
        </w:rPr>
        <w:tab/>
      </w:r>
      <w:r>
        <w:t>Adopted by the pre-sessional working group at its fifty-second session (2-6 December).</w:t>
      </w:r>
    </w:p>
  </w:footnote>
  <w:footnote w:id="3">
    <w:p w:rsidR="00682E3C" w:rsidRPr="008D0215" w:rsidRDefault="00682E3C" w:rsidP="0024344B">
      <w:pPr>
        <w:pStyle w:val="FootnoteText"/>
        <w:rPr>
          <w:lang w:val="en-US"/>
        </w:rPr>
      </w:pPr>
      <w:r>
        <w:tab/>
      </w:r>
      <w:r>
        <w:rPr>
          <w:rStyle w:val="FootnoteReference"/>
        </w:rPr>
        <w:t>1</w:t>
      </w:r>
      <w:r>
        <w:t xml:space="preserve"> </w:t>
      </w:r>
      <w:r w:rsidRPr="003217F1">
        <w:tab/>
      </w:r>
      <w:r w:rsidRPr="007E45AB">
        <w:t xml:space="preserve">Amnesty International </w:t>
      </w:r>
      <w:r>
        <w:t xml:space="preserve">and the European Roma Rights Centre, </w:t>
      </w:r>
      <w:r w:rsidRPr="007E45AB">
        <w:rPr>
          <w:i/>
        </w:rPr>
        <w:t>Five more years of injustice</w:t>
      </w:r>
      <w:r>
        <w:t xml:space="preserve"> </w:t>
      </w:r>
      <w:r w:rsidRPr="007E45AB">
        <w:t>(</w:t>
      </w:r>
      <w:r>
        <w:t xml:space="preserve">November </w:t>
      </w:r>
      <w:r w:rsidRPr="007E45AB">
        <w:t>2012</w:t>
      </w:r>
      <w:r>
        <w:t>)</w:t>
      </w:r>
      <w:r w:rsidRPr="007E45AB">
        <w:t xml:space="preserve">, </w:t>
      </w:r>
      <w:r>
        <w:t>p</w:t>
      </w:r>
      <w:r w:rsidRPr="007E45AB">
        <w:t>p.</w:t>
      </w:r>
      <w:r>
        <w:t xml:space="preserve"> </w:t>
      </w:r>
      <w:r w:rsidRPr="007E45AB">
        <w:t>1</w:t>
      </w:r>
      <w:r>
        <w:t>-2</w:t>
      </w:r>
      <w:r w:rsidRPr="007E45AB">
        <w:t xml:space="preserve">: “… Romani children continue to be over-represented in schools and </w:t>
      </w:r>
      <w:r w:rsidRPr="00F8784A">
        <w:t>classes</w:t>
      </w:r>
      <w:r w:rsidRPr="007E45AB">
        <w:t xml:space="preserve"> designed for children with mild mental disabilities. … There are shortcomings in the Czech educational system that obstruct the inclusion of Romani children in integrated mainstream education. To date, the government has failed to end racial segregation in Czech schools or effectively implement its own, more inclusive education policies, such as the National Action Plan for Inclusive Education </w:t>
      </w:r>
      <w:r>
        <w:t xml:space="preserve">(NAPIE) </w:t>
      </w:r>
      <w:r w:rsidRPr="007E45AB">
        <w:t>and the Strategy for Combating Social Exclusion for 2011-2015.”</w:t>
      </w:r>
    </w:p>
  </w:footnote>
  <w:footnote w:id="4">
    <w:p w:rsidR="00682E3C" w:rsidRPr="006F62B9" w:rsidRDefault="00682E3C" w:rsidP="0024344B">
      <w:pPr>
        <w:pStyle w:val="FootnoteText"/>
        <w:rPr>
          <w:lang w:val="en-US"/>
        </w:rPr>
      </w:pPr>
      <w:r>
        <w:tab/>
      </w:r>
      <w:r>
        <w:rPr>
          <w:rStyle w:val="FootnoteReference"/>
        </w:rPr>
        <w:t>2</w:t>
      </w:r>
      <w:r>
        <w:t xml:space="preserve"> </w:t>
      </w:r>
      <w:r w:rsidRPr="003217F1">
        <w:tab/>
      </w:r>
      <w:r w:rsidRPr="007E45AB">
        <w:t xml:space="preserve">No </w:t>
      </w:r>
      <w:r w:rsidRPr="00F8784A">
        <w:t>information</w:t>
      </w:r>
      <w:r w:rsidRPr="007E45AB">
        <w:t xml:space="preserve"> in the State report.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3C" w:rsidRPr="0085332C" w:rsidRDefault="00682E3C">
    <w:pPr>
      <w:pStyle w:val="Header"/>
    </w:pPr>
    <w:r>
      <w:t>E/C.12/CZE/Q/2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3C" w:rsidRPr="0085332C" w:rsidRDefault="00682E3C" w:rsidP="00EE2AC3">
    <w:pPr>
      <w:pStyle w:val="Header"/>
      <w:jc w:val="right"/>
    </w:pPr>
    <w:r>
      <w:t>E/C.12/CZE/Q/2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2E2E92"/>
    <w:multiLevelType w:val="hybridMultilevel"/>
    <w:tmpl w:val="490CAC88"/>
    <w:lvl w:ilvl="0" w:tplc="2FEA75A8">
      <w:start w:val="42"/>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14A06F33"/>
    <w:multiLevelType w:val="hybridMultilevel"/>
    <w:tmpl w:val="3E4C5714"/>
    <w:lvl w:ilvl="0" w:tplc="75723266">
      <w:start w:val="1"/>
      <w:numFmt w:val="decimal"/>
      <w:lvlText w:val="%1."/>
      <w:lvlJc w:val="left"/>
      <w:pPr>
        <w:ind w:left="3763" w:hanging="360"/>
      </w:pPr>
      <w:rPr>
        <w:rFonts w:hint="default"/>
        <w:sz w:val="20"/>
        <w:szCs w:val="2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7333200"/>
    <w:multiLevelType w:val="hybridMultilevel"/>
    <w:tmpl w:val="FCC014D8"/>
    <w:lvl w:ilvl="0" w:tplc="6EF2BFA6">
      <w:start w:val="26"/>
      <w:numFmt w:val="decimal"/>
      <w:lvlText w:val="%1."/>
      <w:lvlJc w:val="left"/>
      <w:pPr>
        <w:ind w:left="135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EE2D81"/>
    <w:multiLevelType w:val="hybridMultilevel"/>
    <w:tmpl w:val="5510C478"/>
    <w:lvl w:ilvl="0" w:tplc="D012B74C">
      <w:start w:val="7"/>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25C06F51"/>
    <w:multiLevelType w:val="hybridMultilevel"/>
    <w:tmpl w:val="3E4C5714"/>
    <w:lvl w:ilvl="0" w:tplc="75723266">
      <w:start w:val="1"/>
      <w:numFmt w:val="decimal"/>
      <w:lvlText w:val="%1."/>
      <w:lvlJc w:val="left"/>
      <w:pPr>
        <w:ind w:left="1494" w:hanging="360"/>
      </w:pPr>
      <w:rPr>
        <w:rFonts w:hint="default"/>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2D9A2797"/>
    <w:multiLevelType w:val="hybridMultilevel"/>
    <w:tmpl w:val="AF46A658"/>
    <w:lvl w:ilvl="0" w:tplc="F44462D2">
      <w:start w:val="1"/>
      <w:numFmt w:val="decimal"/>
      <w:lvlText w:val="%1."/>
      <w:lvlJc w:val="left"/>
      <w:pPr>
        <w:tabs>
          <w:tab w:val="num" w:pos="2988"/>
        </w:tabs>
        <w:ind w:left="2988" w:hanging="360"/>
      </w:pPr>
      <w:rPr>
        <w:rFonts w:hint="default"/>
      </w:rPr>
    </w:lvl>
    <w:lvl w:ilvl="1" w:tplc="04090019" w:tentative="1">
      <w:start w:val="1"/>
      <w:numFmt w:val="lowerLetter"/>
      <w:lvlText w:val="%2."/>
      <w:lvlJc w:val="left"/>
      <w:pPr>
        <w:tabs>
          <w:tab w:val="num" w:pos="2574"/>
        </w:tabs>
        <w:ind w:left="2574" w:hanging="360"/>
      </w:pPr>
    </w:lvl>
    <w:lvl w:ilvl="2" w:tplc="F44462D2">
      <w:start w:val="1"/>
      <w:numFmt w:val="decimal"/>
      <w:lvlText w:val="%3."/>
      <w:lvlJc w:val="left"/>
      <w:pPr>
        <w:tabs>
          <w:tab w:val="num" w:pos="3474"/>
        </w:tabs>
        <w:ind w:left="3474" w:hanging="360"/>
      </w:pPr>
      <w:rPr>
        <w:rFonts w:hint="default"/>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0">
    <w:nsid w:val="30764C40"/>
    <w:multiLevelType w:val="hybridMultilevel"/>
    <w:tmpl w:val="B19C4CB8"/>
    <w:lvl w:ilvl="0" w:tplc="4B30FECE">
      <w:start w:val="3"/>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7F4B88"/>
    <w:multiLevelType w:val="multilevel"/>
    <w:tmpl w:val="EC52B4D2"/>
    <w:lvl w:ilvl="0">
      <w:start w:val="1"/>
      <w:numFmt w:val="decimal"/>
      <w:lvlText w:val="%1."/>
      <w:lvlJc w:val="left"/>
      <w:pPr>
        <w:tabs>
          <w:tab w:val="num" w:pos="2988"/>
        </w:tabs>
        <w:ind w:left="2988" w:hanging="36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3">
    <w:nsid w:val="3391016C"/>
    <w:multiLevelType w:val="hybridMultilevel"/>
    <w:tmpl w:val="A2029A46"/>
    <w:lvl w:ilvl="0" w:tplc="EC9A978E">
      <w:start w:val="2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64123C9"/>
    <w:multiLevelType w:val="hybridMultilevel"/>
    <w:tmpl w:val="F0E0684C"/>
    <w:lvl w:ilvl="0" w:tplc="D114AAE0">
      <w:start w:val="2"/>
      <w:numFmt w:val="bullet"/>
      <w:lvlText w:val="-"/>
      <w:lvlJc w:val="left"/>
      <w:pPr>
        <w:ind w:left="360" w:hanging="360"/>
      </w:pPr>
      <w:rPr>
        <w:rFonts w:ascii="Calibri" w:eastAsia="Calibri" w:hAnsi="Calibri" w:cs="SimHei"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49C7489"/>
    <w:multiLevelType w:val="hybridMultilevel"/>
    <w:tmpl w:val="D46A856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Symbol"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Symbol"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Symbol" w:hint="default"/>
      </w:rPr>
    </w:lvl>
    <w:lvl w:ilvl="8" w:tplc="04090005" w:tentative="1">
      <w:start w:val="1"/>
      <w:numFmt w:val="bullet"/>
      <w:lvlText w:val=""/>
      <w:lvlJc w:val="left"/>
      <w:pPr>
        <w:ind w:left="6555" w:hanging="360"/>
      </w:pPr>
      <w:rPr>
        <w:rFonts w:ascii="Wingdings" w:hAnsi="Wingdings" w:hint="default"/>
      </w:rPr>
    </w:lvl>
  </w:abstractNum>
  <w:abstractNum w:abstractNumId="2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0"/>
  </w:num>
  <w:num w:numId="14">
    <w:abstractNumId w:val="14"/>
  </w:num>
  <w:num w:numId="15">
    <w:abstractNumId w:val="24"/>
  </w:num>
  <w:num w:numId="16">
    <w:abstractNumId w:val="15"/>
  </w:num>
  <w:num w:numId="17">
    <w:abstractNumId w:val="27"/>
  </w:num>
  <w:num w:numId="18">
    <w:abstractNumId w:val="28"/>
  </w:num>
  <w:num w:numId="19">
    <w:abstractNumId w:val="12"/>
  </w:num>
  <w:num w:numId="20">
    <w:abstractNumId w:val="26"/>
  </w:num>
  <w:num w:numId="21">
    <w:abstractNumId w:val="25"/>
  </w:num>
  <w:num w:numId="22">
    <w:abstractNumId w:val="20"/>
  </w:num>
  <w:num w:numId="23">
    <w:abstractNumId w:val="17"/>
  </w:num>
  <w:num w:numId="24">
    <w:abstractNumId w:val="23"/>
  </w:num>
  <w:num w:numId="25">
    <w:abstractNumId w:val="13"/>
  </w:num>
  <w:num w:numId="26">
    <w:abstractNumId w:val="11"/>
  </w:num>
  <w:num w:numId="27">
    <w:abstractNumId w:val="18"/>
  </w:num>
  <w:num w:numId="28">
    <w:abstractNumId w:val="19"/>
  </w:num>
  <w:num w:numId="29">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332C"/>
    <w:rsid w:val="0001313C"/>
    <w:rsid w:val="00091329"/>
    <w:rsid w:val="000C0B2C"/>
    <w:rsid w:val="00111087"/>
    <w:rsid w:val="00123E54"/>
    <w:rsid w:val="00143D65"/>
    <w:rsid w:val="00185CA8"/>
    <w:rsid w:val="001A4E6E"/>
    <w:rsid w:val="001A7CA2"/>
    <w:rsid w:val="001B6A3D"/>
    <w:rsid w:val="001C27AA"/>
    <w:rsid w:val="001C658B"/>
    <w:rsid w:val="001C6E47"/>
    <w:rsid w:val="001D17A9"/>
    <w:rsid w:val="00212068"/>
    <w:rsid w:val="0021492C"/>
    <w:rsid w:val="0024344B"/>
    <w:rsid w:val="0024436A"/>
    <w:rsid w:val="00255B8A"/>
    <w:rsid w:val="002717AE"/>
    <w:rsid w:val="00276873"/>
    <w:rsid w:val="00283093"/>
    <w:rsid w:val="002C57BE"/>
    <w:rsid w:val="002E716E"/>
    <w:rsid w:val="003217F1"/>
    <w:rsid w:val="00356D8C"/>
    <w:rsid w:val="00375C51"/>
    <w:rsid w:val="00393962"/>
    <w:rsid w:val="003A09F3"/>
    <w:rsid w:val="003D2108"/>
    <w:rsid w:val="003D3B30"/>
    <w:rsid w:val="003F374D"/>
    <w:rsid w:val="00406E92"/>
    <w:rsid w:val="00426877"/>
    <w:rsid w:val="004405B2"/>
    <w:rsid w:val="00453488"/>
    <w:rsid w:val="004669AE"/>
    <w:rsid w:val="004F4754"/>
    <w:rsid w:val="004F6F55"/>
    <w:rsid w:val="005238C2"/>
    <w:rsid w:val="005242BB"/>
    <w:rsid w:val="00530074"/>
    <w:rsid w:val="00572D7D"/>
    <w:rsid w:val="0058190D"/>
    <w:rsid w:val="0059731E"/>
    <w:rsid w:val="005A07A2"/>
    <w:rsid w:val="005A50A9"/>
    <w:rsid w:val="005D03C3"/>
    <w:rsid w:val="005D2EDB"/>
    <w:rsid w:val="00663B31"/>
    <w:rsid w:val="006777EB"/>
    <w:rsid w:val="006802D5"/>
    <w:rsid w:val="0068250B"/>
    <w:rsid w:val="00682E3C"/>
    <w:rsid w:val="006E4A03"/>
    <w:rsid w:val="006E7ECC"/>
    <w:rsid w:val="006F444D"/>
    <w:rsid w:val="00750752"/>
    <w:rsid w:val="00775D21"/>
    <w:rsid w:val="007A7EA4"/>
    <w:rsid w:val="007B019F"/>
    <w:rsid w:val="007C11DF"/>
    <w:rsid w:val="007E1C8F"/>
    <w:rsid w:val="007E45AB"/>
    <w:rsid w:val="007F0DBC"/>
    <w:rsid w:val="0080419C"/>
    <w:rsid w:val="008655ED"/>
    <w:rsid w:val="00865F9E"/>
    <w:rsid w:val="00897072"/>
    <w:rsid w:val="008B3EF4"/>
    <w:rsid w:val="008D2C8F"/>
    <w:rsid w:val="0091058F"/>
    <w:rsid w:val="00917400"/>
    <w:rsid w:val="00923B51"/>
    <w:rsid w:val="00971DCF"/>
    <w:rsid w:val="009735E1"/>
    <w:rsid w:val="00975917"/>
    <w:rsid w:val="00977622"/>
    <w:rsid w:val="009B269C"/>
    <w:rsid w:val="009F4FFD"/>
    <w:rsid w:val="00A01EA5"/>
    <w:rsid w:val="00A320B9"/>
    <w:rsid w:val="00A35491"/>
    <w:rsid w:val="00A37B0A"/>
    <w:rsid w:val="00A764C7"/>
    <w:rsid w:val="00A82442"/>
    <w:rsid w:val="00A83EE6"/>
    <w:rsid w:val="00AA6733"/>
    <w:rsid w:val="00AC5F25"/>
    <w:rsid w:val="00AD4E58"/>
    <w:rsid w:val="00AF2006"/>
    <w:rsid w:val="00AF66D2"/>
    <w:rsid w:val="00B21E95"/>
    <w:rsid w:val="00B23C9D"/>
    <w:rsid w:val="00B33454"/>
    <w:rsid w:val="00B44DA7"/>
    <w:rsid w:val="00B67117"/>
    <w:rsid w:val="00B722E3"/>
    <w:rsid w:val="00B72CAC"/>
    <w:rsid w:val="00B72F22"/>
    <w:rsid w:val="00B86719"/>
    <w:rsid w:val="00B963B8"/>
    <w:rsid w:val="00BC0C6A"/>
    <w:rsid w:val="00BC3EEB"/>
    <w:rsid w:val="00BF0C48"/>
    <w:rsid w:val="00BF3745"/>
    <w:rsid w:val="00C43059"/>
    <w:rsid w:val="00C61171"/>
    <w:rsid w:val="00C656D5"/>
    <w:rsid w:val="00C90EBB"/>
    <w:rsid w:val="00CB5466"/>
    <w:rsid w:val="00CB5A51"/>
    <w:rsid w:val="00CF25C3"/>
    <w:rsid w:val="00D35A08"/>
    <w:rsid w:val="00D35A1E"/>
    <w:rsid w:val="00D5056D"/>
    <w:rsid w:val="00D52425"/>
    <w:rsid w:val="00D745F3"/>
    <w:rsid w:val="00D90EDB"/>
    <w:rsid w:val="00DC61F2"/>
    <w:rsid w:val="00DF53A7"/>
    <w:rsid w:val="00EC4F97"/>
    <w:rsid w:val="00EE2AC3"/>
    <w:rsid w:val="00EF6F67"/>
    <w:rsid w:val="00F1697F"/>
    <w:rsid w:val="00F84C1E"/>
    <w:rsid w:val="00F8784A"/>
    <w:rsid w:val="00F9788D"/>
    <w:rsid w:val="00FA42F5"/>
    <w:rsid w:val="00FC5107"/>
    <w:rsid w:val="00FE31F1"/>
    <w:rsid w:val="00FF7C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uiPriority w:val="99"/>
    <w:rsid w:val="00F8784A"/>
    <w:rPr>
      <w:rFonts w:ascii="Times New Roman" w:hAnsi="Times New Roman"/>
      <w:sz w:val="18"/>
      <w:vertAlign w:val="superscript"/>
    </w:rPr>
  </w:style>
  <w:style w:type="paragraph" w:styleId="FootnoteText">
    <w:name w:val="footnote text"/>
    <w:aliases w:val="5_G"/>
    <w:basedOn w:val="Normal"/>
    <w:link w:val="FootnoteTextChar"/>
    <w:uiPriority w:val="99"/>
    <w:rsid w:val="00F8784A"/>
    <w:pPr>
      <w:tabs>
        <w:tab w:val="right" w:pos="1021"/>
      </w:tabs>
      <w:spacing w:line="220" w:lineRule="exact"/>
      <w:ind w:left="1134" w:right="1134" w:hanging="1134"/>
    </w:pPr>
    <w:rPr>
      <w:rFonts w:eastAsia="SimSun"/>
      <w:sz w:val="18"/>
      <w:lang w:eastAsia="zh-CN"/>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
    <w:link w:val="FootnoteText"/>
    <w:uiPriority w:val="99"/>
    <w:locked/>
    <w:rsid w:val="00AA7F69"/>
    <w:rPr>
      <w:rFonts w:eastAsia="SimSun"/>
      <w:sz w:val="18"/>
      <w:lang w:val="en-GB" w:eastAsia="zh-CN" w:bidi="ar-SA"/>
    </w:rPr>
  </w:style>
  <w:style w:type="paragraph" w:styleId="BalloonText">
    <w:name w:val="Balloon Text"/>
    <w:basedOn w:val="Normal"/>
    <w:link w:val="BalloonTextChar"/>
    <w:rsid w:val="00E76664"/>
    <w:pPr>
      <w:spacing w:line="240" w:lineRule="auto"/>
    </w:pPr>
    <w:rPr>
      <w:rFonts w:ascii="Tahoma" w:hAnsi="Tahoma"/>
      <w:sz w:val="16"/>
      <w:szCs w:val="16"/>
      <w:lang/>
    </w:rPr>
  </w:style>
  <w:style w:type="character" w:customStyle="1" w:styleId="BalloonTextChar">
    <w:name w:val="Balloon Text Char"/>
    <w:link w:val="BalloonText"/>
    <w:rsid w:val="00E76664"/>
    <w:rPr>
      <w:rFonts w:ascii="Tahoma" w:hAnsi="Tahoma" w:cs="Tahoma"/>
      <w:sz w:val="16"/>
      <w:szCs w:val="16"/>
      <w:lang w:eastAsia="en-US"/>
    </w:rPr>
  </w:style>
  <w:style w:type="character" w:styleId="CommentReference">
    <w:name w:val="annotation reference"/>
    <w:rsid w:val="00DC5B33"/>
    <w:rPr>
      <w:sz w:val="16"/>
      <w:szCs w:val="16"/>
    </w:rPr>
  </w:style>
  <w:style w:type="paragraph" w:styleId="CommentText">
    <w:name w:val="annotation text"/>
    <w:basedOn w:val="Normal"/>
    <w:link w:val="CommentTextChar"/>
    <w:rsid w:val="00DC5B33"/>
    <w:rPr>
      <w:lang/>
    </w:rPr>
  </w:style>
  <w:style w:type="character" w:customStyle="1" w:styleId="CommentTextChar">
    <w:name w:val="Comment Text Char"/>
    <w:link w:val="CommentText"/>
    <w:rsid w:val="00DC5B33"/>
    <w:rPr>
      <w:lang w:eastAsia="en-US"/>
    </w:rPr>
  </w:style>
  <w:style w:type="paragraph" w:styleId="CommentSubject">
    <w:name w:val="annotation subject"/>
    <w:basedOn w:val="CommentText"/>
    <w:next w:val="CommentText"/>
    <w:link w:val="CommentSubjectChar"/>
    <w:rsid w:val="00DC5B33"/>
    <w:rPr>
      <w:b/>
      <w:bCs/>
    </w:rPr>
  </w:style>
  <w:style w:type="character" w:customStyle="1" w:styleId="CommentSubjectChar">
    <w:name w:val="Comment Subject Char"/>
    <w:link w:val="CommentSubject"/>
    <w:rsid w:val="00DC5B33"/>
    <w:rPr>
      <w:b/>
      <w:bCs/>
      <w:lang w:eastAsia="en-US"/>
    </w:rPr>
  </w:style>
</w:styles>
</file>

<file path=word/webSettings.xml><?xml version="1.0" encoding="utf-8"?>
<w:webSettings xmlns:r="http://schemas.openxmlformats.org/officeDocument/2006/relationships" xmlns:w="http://schemas.openxmlformats.org/wordprocessingml/2006/main">
  <w:divs>
    <w:div w:id="15576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2</TotalTime>
  <Pages>4</Pages>
  <Words>1247</Words>
  <Characters>7109</Characters>
  <Application>Microsoft Office Outlook</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Pool</cp:lastModifiedBy>
  <cp:revision>2</cp:revision>
  <cp:lastPrinted>2013-11-15T10:29:00Z</cp:lastPrinted>
  <dcterms:created xsi:type="dcterms:W3CDTF">2013-12-20T14:44:00Z</dcterms:created>
  <dcterms:modified xsi:type="dcterms:W3CDTF">2013-12-20T14:44:00Z</dcterms:modified>
</cp:coreProperties>
</file>