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256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256F6" w:rsidP="00A256F6">
            <w:pPr>
              <w:jc w:val="right"/>
            </w:pPr>
            <w:r w:rsidRPr="00A256F6">
              <w:rPr>
                <w:sz w:val="40"/>
              </w:rPr>
              <w:t>E</w:t>
            </w:r>
            <w:r>
              <w:t>/C.12/KAZ/CO/2</w:t>
            </w:r>
          </w:p>
        </w:tc>
      </w:tr>
      <w:tr w:rsidR="002D5AAC" w:rsidRPr="00A256F6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7D2ED0" wp14:editId="2679B78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256F6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256F6" w:rsidRDefault="00A256F6" w:rsidP="00A256F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March 2019</w:t>
            </w:r>
          </w:p>
          <w:p w:rsidR="00A256F6" w:rsidRDefault="00A256F6" w:rsidP="00A256F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256F6" w:rsidRPr="00D62A45" w:rsidRDefault="00A256F6" w:rsidP="00A256F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A256F6" w:rsidRPr="00A256F6" w:rsidRDefault="00A256F6" w:rsidP="00A256F6">
      <w:pPr>
        <w:spacing w:before="120"/>
        <w:rPr>
          <w:sz w:val="24"/>
          <w:szCs w:val="24"/>
        </w:rPr>
      </w:pPr>
      <w:r w:rsidRPr="00A256F6">
        <w:rPr>
          <w:b/>
          <w:bCs/>
          <w:sz w:val="24"/>
          <w:szCs w:val="24"/>
        </w:rPr>
        <w:t xml:space="preserve">Комитет по экономическим, социальным </w:t>
      </w:r>
      <w:r>
        <w:rPr>
          <w:b/>
          <w:bCs/>
          <w:sz w:val="24"/>
          <w:szCs w:val="24"/>
        </w:rPr>
        <w:br/>
      </w:r>
      <w:r w:rsidRPr="00A256F6">
        <w:rPr>
          <w:b/>
          <w:bCs/>
          <w:sz w:val="24"/>
          <w:szCs w:val="24"/>
        </w:rPr>
        <w:t>и культурным правам</w:t>
      </w:r>
    </w:p>
    <w:p w:rsidR="00A256F6" w:rsidRPr="00B2257F" w:rsidRDefault="00A256F6" w:rsidP="00A256F6">
      <w:pPr>
        <w:pStyle w:val="HChG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>Заключительные замечания по второму периодическому докладу Казахстана</w:t>
      </w:r>
      <w:r w:rsidRPr="0018698C">
        <w:rPr>
          <w:b w:val="0"/>
          <w:bCs/>
          <w:sz w:val="20"/>
        </w:rPr>
        <w:footnoteReference w:customMarkFollows="1" w:id="1"/>
        <w:t>*</w:t>
      </w:r>
    </w:p>
    <w:p w:rsidR="00A256F6" w:rsidRPr="00B2257F" w:rsidRDefault="00A256F6" w:rsidP="00A256F6">
      <w:pPr>
        <w:pStyle w:val="SingleTxtG"/>
      </w:pPr>
      <w:r>
        <w:t>1.</w:t>
      </w:r>
      <w:r>
        <w:tab/>
        <w:t>Комитет по экономическим, социальным и культурным правам рассмотрел второй периодический доклад Казахстана (E/C.12/KAZ/2) на своих 16-м и 17</w:t>
      </w:r>
      <w:r>
        <w:noBreakHyphen/>
      </w:r>
      <w:r>
        <w:t>м</w:t>
      </w:r>
      <w:r>
        <w:rPr>
          <w:lang w:val="en-US"/>
        </w:rPr>
        <w:t> </w:t>
      </w:r>
      <w:r>
        <w:t xml:space="preserve">заседаниях (см. E/C.12/2019/SR.16 и E/C.12/2019/SR.17), состоявшихся 27 и 28 февраля 2019 года, и на своем 30-м заседании, состоявшемся 8 марта 2019 года, принял настоящие заключительные замечания. </w:t>
      </w:r>
    </w:p>
    <w:p w:rsidR="00A256F6" w:rsidRPr="00B2257F" w:rsidRDefault="00A256F6" w:rsidP="00A256F6">
      <w:pPr>
        <w:pStyle w:val="H1G"/>
      </w:pPr>
      <w:r>
        <w:tab/>
        <w:t>A.</w:t>
      </w:r>
      <w:r>
        <w:tab/>
      </w:r>
      <w:r>
        <w:rPr>
          <w:bCs/>
        </w:rPr>
        <w:t>Введение</w:t>
      </w:r>
    </w:p>
    <w:p w:rsidR="00A256F6" w:rsidRPr="00B2257F" w:rsidRDefault="00A256F6" w:rsidP="00A256F6">
      <w:pPr>
        <w:pStyle w:val="SingleTxtG"/>
      </w:pPr>
      <w:r>
        <w:t>2.</w:t>
      </w:r>
      <w:r>
        <w:tab/>
        <w:t>Комитет приветствует своевременное представление второго периодического доклада государства-участника, а также письменных ответов на перечень вопросов (E/C.12/KAZ/Q/2/Add.1). Комитет высоко оценивает состоявшийся конструктивный диалог с межведомственной делегацией высокого уровня государства-участника.</w:t>
      </w:r>
    </w:p>
    <w:p w:rsidR="00A256F6" w:rsidRPr="00B2257F" w:rsidRDefault="00A256F6" w:rsidP="00A256F6">
      <w:pPr>
        <w:pStyle w:val="H1G"/>
      </w:pPr>
      <w:r>
        <w:tab/>
        <w:t>B.</w:t>
      </w:r>
      <w:r>
        <w:tab/>
      </w:r>
      <w:r>
        <w:rPr>
          <w:bCs/>
        </w:rPr>
        <w:t>Позитивные аспекты</w:t>
      </w:r>
    </w:p>
    <w:p w:rsidR="00A256F6" w:rsidRPr="00B2257F" w:rsidRDefault="00A256F6" w:rsidP="00A256F6">
      <w:pPr>
        <w:pStyle w:val="SingleTxtG"/>
      </w:pPr>
      <w:r>
        <w:t>3.</w:t>
      </w:r>
      <w:r>
        <w:tab/>
        <w:t>Как отмечается в настоящих заключительных замечаниях, Комитет с удовлетворением констатирует законодательные, институциональные и программные меры, принятые в целях усиления защиты экономических, социальных и культурных прав в государстве-участнике. Он с удовлетворением отмечает, в частности, принятие Казахстаном Концепции семейной и гендерной политики до 2030 года.</w:t>
      </w:r>
    </w:p>
    <w:p w:rsidR="00A256F6" w:rsidRPr="00B2257F" w:rsidRDefault="00A256F6" w:rsidP="00A256F6">
      <w:pPr>
        <w:pStyle w:val="H1G"/>
      </w:pPr>
      <w:r>
        <w:tab/>
        <w:t>C.</w:t>
      </w:r>
      <w:r>
        <w:tab/>
      </w:r>
      <w:r>
        <w:rPr>
          <w:bCs/>
        </w:rPr>
        <w:t>Основные вопросы, вызывающие озабоченность, и рекомендации</w:t>
      </w:r>
      <w:r>
        <w:t xml:space="preserve"> </w:t>
      </w:r>
    </w:p>
    <w:p w:rsidR="00A256F6" w:rsidRPr="00B2257F" w:rsidRDefault="00A256F6" w:rsidP="00A256F6">
      <w:pPr>
        <w:pStyle w:val="H23G"/>
      </w:pPr>
      <w:r>
        <w:tab/>
      </w:r>
      <w:r>
        <w:tab/>
      </w:r>
      <w:r>
        <w:rPr>
          <w:bCs/>
        </w:rPr>
        <w:t>Применение Пакта</w:t>
      </w:r>
      <w:r>
        <w:t xml:space="preserve"> </w:t>
      </w:r>
    </w:p>
    <w:p w:rsidR="00A256F6" w:rsidRPr="00B2257F" w:rsidRDefault="00A256F6" w:rsidP="00A256F6">
      <w:pPr>
        <w:pStyle w:val="SingleTxtG"/>
      </w:pPr>
      <w:r>
        <w:t>4.</w:t>
      </w:r>
      <w:r>
        <w:tab/>
        <w:t>Приветствуя приведенные Казахстаном примеры судебных решений, делающих отсылку к положениям Пакта, Комитет</w:t>
      </w:r>
      <w:r w:rsidRPr="006B7629">
        <w:t xml:space="preserve"> </w:t>
      </w:r>
      <w:r>
        <w:t xml:space="preserve">вместе с тем выражает обеспокоенность по поводу воздействия на роль Пакта в качестве документа, гарантирующего права, которое оказало исключение из пункта 3 статьи 4 Конституции принципа, устанавливающего прямое применение международных договоров в рамках внутренней правовой системы. </w:t>
      </w:r>
    </w:p>
    <w:p w:rsidR="00A256F6" w:rsidRPr="00B2257F" w:rsidRDefault="00A256F6" w:rsidP="00A256F6">
      <w:pPr>
        <w:pStyle w:val="SingleTxtG"/>
      </w:pPr>
      <w:r>
        <w:t>5.</w:t>
      </w:r>
      <w:r>
        <w:tab/>
      </w:r>
      <w:r>
        <w:rPr>
          <w:b/>
          <w:bCs/>
        </w:rPr>
        <w:t>Комитет рекомендует государству-участнику обеспечить применение Пакта на национальном уровне в полном объеме.</w:t>
      </w:r>
      <w:r>
        <w:t xml:space="preserve"> </w:t>
      </w:r>
      <w:r>
        <w:rPr>
          <w:b/>
          <w:bCs/>
        </w:rPr>
        <w:t xml:space="preserve">В этой связи он призывает государство-участник улучшить подготовку судей, адвокатов и должностных лиц по вопросам, касающимся положений Пакта и возможностей их отстаивания в </w:t>
      </w:r>
      <w:r>
        <w:rPr>
          <w:b/>
          <w:bCs/>
        </w:rPr>
        <w:lastRenderedPageBreak/>
        <w:t>судебном порядке, а также эффективно распространять сведения о Пакте среди всех социальных групп.</w:t>
      </w:r>
      <w:r>
        <w:t xml:space="preserve"> </w:t>
      </w:r>
      <w:r>
        <w:rPr>
          <w:b/>
          <w:bCs/>
        </w:rPr>
        <w:t>Он рекомендует государству-участнику включить в свой следующий периодический доклад дополнительные относящиеся к данной теме примеры судебных решений.</w:t>
      </w:r>
      <w:r>
        <w:t xml:space="preserve"> </w:t>
      </w:r>
      <w:r>
        <w:rPr>
          <w:b/>
          <w:bCs/>
        </w:rPr>
        <w:t>В этой связи Комитет обращает внимание государства-участника на свое замечание общего порядка № 9 (1998) о применении Пакта во внутреннем праве.</w:t>
      </w:r>
    </w:p>
    <w:p w:rsidR="00A256F6" w:rsidRPr="006B7629" w:rsidRDefault="00A256F6" w:rsidP="00A256F6">
      <w:pPr>
        <w:pStyle w:val="H23G"/>
      </w:pPr>
      <w:r>
        <w:tab/>
      </w:r>
      <w:r>
        <w:tab/>
      </w:r>
      <w:r>
        <w:rPr>
          <w:bCs/>
        </w:rPr>
        <w:t>Национальные правозащитные учреждения</w:t>
      </w:r>
      <w:r>
        <w:t xml:space="preserve"> </w:t>
      </w:r>
    </w:p>
    <w:p w:rsidR="00A256F6" w:rsidRPr="00B2257F" w:rsidRDefault="00A256F6" w:rsidP="00A256F6">
      <w:pPr>
        <w:pStyle w:val="SingleTxtG"/>
      </w:pPr>
      <w:r>
        <w:t>6.</w:t>
      </w:r>
      <w:r>
        <w:tab/>
        <w:t xml:space="preserve">Комитет приветствует предоставление информации о работе Уполномоченного по правам человека (Омбудсмена) в связи с осуществлением экономических, социальных и культурных прав. Он выражает сожаление по поводу того, что не была предоставлена запрошенная информация о результатах рассмотрения полученных Омбудсменом сообщений о нарушениях экономических, социальных и культурных прав, о принятых корректирующих мерах и средствах правовой защиты, предоставленных жертвам. Комитет обеспокоен выделением Уполномоченному недостаточных финансовых и людских ресурсов, не позволяющих ему нанять необходимое число сотрудников и обеспечить присутствие аппарата Уполномоченного на местном уровне (статья 2). </w:t>
      </w:r>
    </w:p>
    <w:p w:rsidR="00A256F6" w:rsidRPr="00B2257F" w:rsidRDefault="00A256F6" w:rsidP="00A256F6">
      <w:pPr>
        <w:pStyle w:val="SingleTxtG"/>
        <w:rPr>
          <w:b/>
          <w:bCs/>
        </w:rPr>
      </w:pPr>
      <w:r>
        <w:t>7.</w:t>
      </w:r>
      <w:r>
        <w:tab/>
      </w:r>
      <w:r>
        <w:rPr>
          <w:b/>
          <w:bCs/>
        </w:rPr>
        <w:t>Комитет рекомендует государству-участнику представить в своем следующем докладе информацию</w:t>
      </w:r>
      <w:r w:rsidR="006A1485">
        <w:rPr>
          <w:b/>
          <w:bCs/>
        </w:rPr>
        <w:t xml:space="preserve"> о</w:t>
      </w:r>
      <w:r>
        <w:rPr>
          <w:b/>
          <w:bCs/>
        </w:rPr>
        <w:t xml:space="preserve"> том, какие эффективные средства правовой защиты предоставляет Уполномоченный для реагирования на нарушения экономических, социальных и культурных прав.</w:t>
      </w:r>
      <w:r>
        <w:t xml:space="preserve"> </w:t>
      </w:r>
      <w:r>
        <w:rPr>
          <w:b/>
          <w:bCs/>
        </w:rPr>
        <w:t>Государству-участнику следует принять дополнительные меры для приведения института Омбудсмена в полное соответствие с принципами, касающимися статуса национальных учреждений по поощрению и защите прав человека (Парижские принципы), в том числе путем дальнейшего укрепления его независимости и предоставления ему достаточных финансовых и людских ресурсов для эффективного и независимого осуществления им своего мандата, включая поощрение и защиту экономических, социальных и культурных прав.</w:t>
      </w:r>
    </w:p>
    <w:p w:rsidR="00A256F6" w:rsidRPr="00B2257F" w:rsidRDefault="00A256F6" w:rsidP="00A256F6">
      <w:pPr>
        <w:pStyle w:val="H23G"/>
      </w:pPr>
      <w:r>
        <w:tab/>
      </w:r>
      <w:r>
        <w:tab/>
      </w:r>
      <w:r>
        <w:rPr>
          <w:bCs/>
        </w:rPr>
        <w:t>Гражданское общество</w:t>
      </w:r>
      <w:r>
        <w:t xml:space="preserve"> </w:t>
      </w:r>
    </w:p>
    <w:p w:rsidR="00A256F6" w:rsidRPr="00B2257F" w:rsidRDefault="00A256F6" w:rsidP="00A256F6">
      <w:pPr>
        <w:pStyle w:val="SingleTxtG"/>
      </w:pPr>
      <w:r>
        <w:t>8.</w:t>
      </w:r>
      <w:r>
        <w:tab/>
        <w:t>Комитет обеспокоен информацией о том, что некоторые неправительственные организации, занимающиеся вопросами защи</w:t>
      </w:r>
      <w:r>
        <w:t>ты и поощрения прав человека, в </w:t>
      </w:r>
      <w:r>
        <w:t xml:space="preserve">частности прав лесбиянок, гомосексуалистов, бисексуалов и транссексуалов, сталкиваются в государстве-участнике с трудностями при регистрации. </w:t>
      </w:r>
    </w:p>
    <w:p w:rsidR="00A256F6" w:rsidRPr="00B2257F" w:rsidRDefault="00A256F6" w:rsidP="00A256F6">
      <w:pPr>
        <w:pStyle w:val="SingleTxtG"/>
        <w:rPr>
          <w:b/>
          <w:bCs/>
        </w:rPr>
      </w:pPr>
      <w:r>
        <w:t>9.</w:t>
      </w:r>
      <w:r>
        <w:tab/>
      </w:r>
      <w:r>
        <w:rPr>
          <w:b/>
          <w:bCs/>
        </w:rPr>
        <w:t>Комитет рекомендует государству-участнику создать для неправительственных организаций, занимающихся поощрением и защитой экономических, социальных и культурных прав, благоприятные условия, в том числе отлаженную и удобную процедуру регистрации.</w:t>
      </w:r>
      <w:r>
        <w:t xml:space="preserve"> </w:t>
      </w:r>
    </w:p>
    <w:p w:rsidR="00A256F6" w:rsidRPr="006B7629" w:rsidRDefault="00A256F6" w:rsidP="00A256F6">
      <w:pPr>
        <w:pStyle w:val="H23G"/>
      </w:pPr>
      <w:r>
        <w:tab/>
      </w:r>
      <w:r>
        <w:tab/>
      </w:r>
      <w:proofErr w:type="spellStart"/>
      <w:r>
        <w:rPr>
          <w:bCs/>
        </w:rPr>
        <w:t>Недискриминация</w:t>
      </w:r>
      <w:proofErr w:type="spellEnd"/>
    </w:p>
    <w:p w:rsidR="00A256F6" w:rsidRPr="00B2257F" w:rsidRDefault="00A256F6" w:rsidP="00A256F6">
      <w:pPr>
        <w:pStyle w:val="SingleTxtG"/>
      </w:pPr>
      <w:r>
        <w:t>10.</w:t>
      </w:r>
      <w:r>
        <w:tab/>
        <w:t xml:space="preserve">Комитет обеспокоен тем, что ни в Конституции, ни в законодательстве государства-участника не содержится положений, прямо запрещающих некоторые из встречающихся форм дискриминации, </w:t>
      </w:r>
      <w:proofErr w:type="gramStart"/>
      <w:r>
        <w:t>например</w:t>
      </w:r>
      <w:proofErr w:type="gramEnd"/>
      <w:r>
        <w:t xml:space="preserve"> по признаку гендерной идентичности и сексуальной ориентации, в результате чего дискриминация по этим признакам при предоставлении доступа к занятости, медицинскому обслуживанию и образованию сохраняется. Он также обеспокоен тем, что лесбиянкам, гомосексуалистам, бисексуалам и транссексуалам не предоставляется специализированная правовая защита в случае нападений и преследования. Наконец, Комитет с обеспокоенностью отмечает наличие косвенной дискриминации в отношении мигрантов из-за рубежа и из других регионов страны, которая вызвана продолжительностью процесса получения разрешения на проживание, затрудняющей их доступ к официальному рынку труда и социальному обеспечению в таких сферах, как здравоохранение, жилье и образование (статья 2). </w:t>
      </w:r>
    </w:p>
    <w:p w:rsidR="00A256F6" w:rsidRPr="006B7629" w:rsidRDefault="00A256F6" w:rsidP="00A256F6">
      <w:pPr>
        <w:pStyle w:val="SingleTxtG"/>
        <w:keepNext/>
        <w:keepLines/>
        <w:rPr>
          <w:b/>
          <w:bCs/>
        </w:rPr>
      </w:pPr>
      <w:r>
        <w:lastRenderedPageBreak/>
        <w:t>11.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A256F6" w:rsidRPr="00A256F6" w:rsidRDefault="00A256F6" w:rsidP="00A256F6">
      <w:pPr>
        <w:pStyle w:val="SingleTxtG"/>
        <w:rPr>
          <w:b/>
          <w:bCs/>
        </w:rPr>
      </w:pPr>
      <w:r>
        <w:tab/>
      </w:r>
      <w:r>
        <w:tab/>
      </w:r>
      <w:r w:rsidRPr="00A256F6">
        <w:rPr>
          <w:b/>
        </w:rPr>
        <w:t>a)</w:t>
      </w:r>
      <w:r w:rsidRPr="00A256F6">
        <w:rPr>
          <w:b/>
        </w:rPr>
        <w:tab/>
      </w:r>
      <w:r w:rsidRPr="00A256F6">
        <w:rPr>
          <w:b/>
          <w:bCs/>
        </w:rPr>
        <w:t xml:space="preserve">принять всеобъемлющее антидискриминационное законодательство, которое предусматривало бы определение прямой и косвенной дискриминации и включало все основания для дискриминации, указанные в пункте 2 статьи 2 Пакта, с учетом принятого Комитетом замечания общего порядка № 20 (2009) о </w:t>
      </w:r>
      <w:proofErr w:type="spellStart"/>
      <w:r w:rsidRPr="00A256F6">
        <w:rPr>
          <w:b/>
          <w:bCs/>
        </w:rPr>
        <w:t>недискриминации</w:t>
      </w:r>
      <w:proofErr w:type="spellEnd"/>
      <w:r w:rsidRPr="00A256F6">
        <w:rPr>
          <w:b/>
          <w:bCs/>
        </w:rPr>
        <w:t xml:space="preserve"> экономических, социальных и культурных прав;</w:t>
      </w:r>
    </w:p>
    <w:p w:rsidR="00A256F6" w:rsidRPr="00A256F6" w:rsidRDefault="00A256F6" w:rsidP="00A256F6">
      <w:pPr>
        <w:pStyle w:val="SingleTxtG"/>
        <w:rPr>
          <w:b/>
          <w:bCs/>
        </w:rPr>
      </w:pPr>
      <w:r w:rsidRPr="00A256F6">
        <w:rPr>
          <w:b/>
        </w:rPr>
        <w:tab/>
      </w:r>
      <w:r w:rsidRPr="00A256F6">
        <w:rPr>
          <w:b/>
        </w:rPr>
        <w:tab/>
        <w:t>b)</w:t>
      </w:r>
      <w:r w:rsidRPr="00A256F6">
        <w:rPr>
          <w:b/>
        </w:rPr>
        <w:tab/>
      </w:r>
      <w:r w:rsidRPr="00A256F6">
        <w:rPr>
          <w:b/>
          <w:bCs/>
        </w:rPr>
        <w:t>принять необходимые меры для борьбы с дискриминацией в отношении иностранных и внутренних мигрантов и предупреждения ограничения – в рамках процесса регистрации местожительства иностранных и внутренних мигрантов – их доступа к экономическим, социальным и культурным правам, в частности в том, что касается доступа к официальному рынку труда и социальному обеспечению в таких сферах, как здравоохранение, жилье и образование;</w:t>
      </w:r>
    </w:p>
    <w:p w:rsidR="00A256F6" w:rsidRPr="00B2257F" w:rsidRDefault="00A256F6" w:rsidP="00A256F6">
      <w:pPr>
        <w:pStyle w:val="SingleTxtG"/>
        <w:rPr>
          <w:b/>
          <w:bCs/>
        </w:rPr>
      </w:pPr>
      <w:r w:rsidRPr="00A256F6">
        <w:rPr>
          <w:b/>
        </w:rPr>
        <w:tab/>
      </w:r>
      <w:r w:rsidRPr="00A256F6">
        <w:rPr>
          <w:b/>
        </w:rPr>
        <w:tab/>
        <w:t>c)</w:t>
      </w:r>
      <w:r w:rsidRPr="00A256F6">
        <w:rPr>
          <w:b/>
        </w:rPr>
        <w:tab/>
      </w:r>
      <w:r w:rsidRPr="00A256F6">
        <w:rPr>
          <w:b/>
          <w:bCs/>
        </w:rPr>
        <w:t>принять все необходимые меры для предупреждения и пресечения дискримин</w:t>
      </w:r>
      <w:r>
        <w:rPr>
          <w:b/>
          <w:bCs/>
        </w:rPr>
        <w:t>ации в отношении лесбиянок, гомосексуалистов, бисексуалов и транссексуалов, обеспечить им равное осуществление прав, предусмотренных Пактом, и предусмотреть специализированную правовую защиту этих лиц от нападений и преследования.</w:t>
      </w:r>
      <w:r>
        <w:t xml:space="preserve"> </w:t>
      </w:r>
    </w:p>
    <w:p w:rsidR="00A256F6" w:rsidRPr="00B2257F" w:rsidRDefault="00A256F6" w:rsidP="00A256F6">
      <w:pPr>
        <w:pStyle w:val="SingleTxtG"/>
      </w:pPr>
      <w:r>
        <w:t>12.</w:t>
      </w:r>
      <w:r>
        <w:tab/>
        <w:t>Приветствуя состоявшуюся в 2015 году ратификацию государством</w:t>
      </w:r>
      <w:r w:rsidR="0024132E">
        <w:rPr>
          <w:lang w:val="en-US"/>
        </w:rPr>
        <w:t> </w:t>
      </w:r>
      <w:r w:rsidR="0024132E" w:rsidRPr="0024132E">
        <w:t xml:space="preserve">– </w:t>
      </w:r>
      <w:r>
        <w:t>участником Конвенции о правах инвалидов, Комитет в то же время выражает обеспокоенность тем, что инвалиды продолжают сталкиваться с дискриминацией и неравенством во многих сферах жизни. Комитет особенно обеспокоен положением детей-инвалидов, которые, согласно сообщениям, сталкиваются с общественным осуждением, дискриминацией и изоляцией.</w:t>
      </w:r>
    </w:p>
    <w:p w:rsidR="00A256F6" w:rsidRPr="00B2257F" w:rsidRDefault="00A256F6" w:rsidP="00A256F6">
      <w:pPr>
        <w:pStyle w:val="SingleTxtG"/>
        <w:rPr>
          <w:b/>
          <w:bCs/>
        </w:rPr>
      </w:pPr>
      <w:r>
        <w:t>13.</w:t>
      </w:r>
      <w:r>
        <w:tab/>
      </w:r>
      <w:r>
        <w:rPr>
          <w:b/>
          <w:bCs/>
        </w:rPr>
        <w:t>Отмечая планы государства-участника по принятию в 2019 году нового плана действий в интересах инвалидов, Комитет рекомендует ему расширить работу по обеспечению инвалидам беспрепятственного доступа ко всем услугам в области социального обеспечения, включая доступ к образованию и труду, путем обеспечения разумного приспособления в школе и на рабочем месте и повышения доступности публичных объектов и услуг.</w:t>
      </w:r>
    </w:p>
    <w:p w:rsidR="00A256F6" w:rsidRPr="00B2257F" w:rsidRDefault="00A256F6" w:rsidP="00A256F6">
      <w:pPr>
        <w:pStyle w:val="H23G"/>
      </w:pPr>
      <w:r>
        <w:tab/>
      </w:r>
      <w:r>
        <w:tab/>
      </w:r>
      <w:r>
        <w:rPr>
          <w:bCs/>
        </w:rPr>
        <w:t>Равенство мужчин и женщин</w:t>
      </w:r>
      <w:r>
        <w:t xml:space="preserve"> </w:t>
      </w:r>
    </w:p>
    <w:p w:rsidR="00A256F6" w:rsidRPr="00B2257F" w:rsidRDefault="00A256F6" w:rsidP="00A256F6">
      <w:pPr>
        <w:pStyle w:val="SingleTxtG"/>
      </w:pPr>
      <w:r>
        <w:t>14.</w:t>
      </w:r>
      <w:r>
        <w:tab/>
        <w:t>Комитет обеспокоен тем, что, несмотря на усилия государства-участника по укреплению равноправия мужчин и женщин и очеви</w:t>
      </w:r>
      <w:r w:rsidR="0024132E">
        <w:t>дный прогресс в этой области, в </w:t>
      </w:r>
      <w:r>
        <w:t xml:space="preserve">его обществе по-прежнему сохраняются гендерные стереотипы, которые оказывают отрицательное воздействие на положение женщин в </w:t>
      </w:r>
      <w:r w:rsidR="0024132E">
        <w:t>семье и в общественной жизни, а </w:t>
      </w:r>
      <w:r>
        <w:t xml:space="preserve">также на их доступе к экономическим, социальным и культурным правам. Комитет также обеспокоен тем, что, несмотря на реализацию важных мер как в государственном, так и частном секторах женщины по-прежнему недостаточно широко представлены на руководящих должностях и должностях, связанных с принятием решений (статья 3). </w:t>
      </w:r>
    </w:p>
    <w:p w:rsidR="00A256F6" w:rsidRPr="00B2257F" w:rsidRDefault="00A256F6" w:rsidP="00A256F6">
      <w:pPr>
        <w:pStyle w:val="SingleTxtG"/>
        <w:rPr>
          <w:b/>
          <w:bCs/>
        </w:rPr>
      </w:pPr>
      <w:r>
        <w:t>15.</w:t>
      </w:r>
      <w:r>
        <w:tab/>
      </w:r>
      <w:r>
        <w:rPr>
          <w:b/>
          <w:bCs/>
        </w:rPr>
        <w:t>Комитет рекомендует государству-участнику изучить проблему стереотипных представлений о гендерных ролях и трудности, которые они создают как в семейной, так и в общественной жизни, руководствуясь в первую очередь задачей облегчить женщинам доступ к экономической деятельности, рынку труда и другим сферам социальной и культурной жизни.</w:t>
      </w:r>
      <w:r>
        <w:t xml:space="preserve"> </w:t>
      </w:r>
      <w:r>
        <w:rPr>
          <w:b/>
          <w:bCs/>
        </w:rPr>
        <w:t>Комитет рекомендует государству-участнику принять дополнительные меры для расширения представленности женщин на руководящих должностях и должностях, связанных с принятием решений, как в государственном, так и в частном секторах, в том числе специальные временные меры.</w:t>
      </w:r>
      <w:r>
        <w:t xml:space="preserve"> </w:t>
      </w:r>
      <w:r>
        <w:rPr>
          <w:b/>
          <w:bCs/>
        </w:rPr>
        <w:t xml:space="preserve">Он рекомендует государству-участнику расширить деятельность по поощрению профессиональной подготовки женщин в нетрадиционных областях занятости и в тех областях, в которых они смогут наравне с мужчинами развивать свою карьеру, а также принять другие необходимые меры с целью гарантировать женщинам полный доступ к экономическим, социальным и культурным правам </w:t>
      </w:r>
      <w:r>
        <w:rPr>
          <w:b/>
          <w:bCs/>
        </w:rPr>
        <w:lastRenderedPageBreak/>
        <w:t>и их осуществление.</w:t>
      </w:r>
      <w:r>
        <w:t xml:space="preserve"> </w:t>
      </w:r>
      <w:r>
        <w:rPr>
          <w:b/>
          <w:bCs/>
        </w:rPr>
        <w:t>Комитет обращает внимание государства-участника на свое замечание общего порядка № 16 (2005) о равном для мужчин и женщин праве пользования всеми экономическими, социальными и культурными правами.</w:t>
      </w:r>
      <w:r>
        <w:t xml:space="preserve"> </w:t>
      </w:r>
    </w:p>
    <w:p w:rsidR="00A256F6" w:rsidRPr="00B2257F" w:rsidRDefault="00A256F6" w:rsidP="00A256F6">
      <w:pPr>
        <w:pStyle w:val="H23G"/>
      </w:pPr>
      <w:r>
        <w:tab/>
      </w:r>
      <w:r>
        <w:tab/>
      </w:r>
      <w:r>
        <w:rPr>
          <w:bCs/>
        </w:rPr>
        <w:t>Предпринимательская деятельность и права человека</w:t>
      </w:r>
    </w:p>
    <w:p w:rsidR="00A256F6" w:rsidRPr="00B2257F" w:rsidRDefault="00A256F6" w:rsidP="00A256F6">
      <w:pPr>
        <w:pStyle w:val="SingleTxtG"/>
      </w:pPr>
      <w:r>
        <w:t>16.</w:t>
      </w:r>
      <w:r>
        <w:tab/>
      </w:r>
      <w:r w:rsidRPr="00820570">
        <w:t xml:space="preserve">Комитет принимает к сведению представленную государством-участником информацию о том, что план действий по вопросам предпринимательской деятельности и прав человека находится на этапе подготовки, но </w:t>
      </w:r>
      <w:r>
        <w:t>при этом</w:t>
      </w:r>
      <w:r w:rsidRPr="00820570">
        <w:t xml:space="preserve"> выражает сожаление в связи с отсутствием комплексных данных и информации о том, какие нормативные рамки созданы для обеспечения соблюдения коммерческими предприятиями прав, предусмотренных</w:t>
      </w:r>
      <w:r>
        <w:t xml:space="preserve"> Пактом, и применения ими политики должной осмотрительности в вопросах прав человека. Кроме того, Комитет выражает сожаление по поводу отсутствия процедуры сбора информации о жалобах лиц, чьи экономические, социальные и культурные права были нарушены в связи с коммерческой деятельностью. </w:t>
      </w:r>
    </w:p>
    <w:p w:rsidR="00A256F6" w:rsidRPr="00B2257F" w:rsidRDefault="00A256F6" w:rsidP="00A256F6">
      <w:pPr>
        <w:pStyle w:val="SingleTxtG"/>
        <w:rPr>
          <w:b/>
          <w:bCs/>
        </w:rPr>
      </w:pPr>
      <w:r>
        <w:t>17.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:rsidR="00A256F6" w:rsidRPr="0024132E" w:rsidRDefault="0024132E" w:rsidP="00A256F6">
      <w:pPr>
        <w:pStyle w:val="SingleTxtG"/>
        <w:rPr>
          <w:b/>
          <w:bCs/>
        </w:rPr>
      </w:pPr>
      <w:r>
        <w:tab/>
      </w:r>
      <w:r w:rsidR="00A256F6">
        <w:tab/>
      </w:r>
      <w:r w:rsidR="00A256F6" w:rsidRPr="0024132E">
        <w:rPr>
          <w:b/>
        </w:rPr>
        <w:t>a)</w:t>
      </w:r>
      <w:r w:rsidR="00A256F6" w:rsidRPr="0024132E">
        <w:rPr>
          <w:b/>
        </w:rPr>
        <w:tab/>
      </w:r>
      <w:r w:rsidR="00A256F6" w:rsidRPr="0024132E">
        <w:rPr>
          <w:b/>
          <w:bCs/>
        </w:rPr>
        <w:t>в соответствии с рекомендацией Совета по правам человека, вынесенной им в резолюции 26/22, завершить разработку и обеспечить утверждение национального плана действий по вопросам предпринимательской деятельности и прав человека в целях поддержки осуществления Руководящих принципов предпринимательской деятельности в аспекте прав человека;</w:t>
      </w:r>
    </w:p>
    <w:p w:rsidR="00A256F6" w:rsidRPr="0024132E" w:rsidRDefault="0024132E" w:rsidP="00A256F6">
      <w:pPr>
        <w:pStyle w:val="SingleTxtG"/>
        <w:rPr>
          <w:b/>
          <w:bCs/>
        </w:rPr>
      </w:pPr>
      <w:r w:rsidRPr="0024132E">
        <w:rPr>
          <w:b/>
        </w:rPr>
        <w:tab/>
      </w:r>
      <w:r w:rsidR="00A256F6" w:rsidRPr="0024132E">
        <w:rPr>
          <w:b/>
        </w:rPr>
        <w:tab/>
        <w:t>b)</w:t>
      </w:r>
      <w:r w:rsidR="00A256F6" w:rsidRPr="0024132E">
        <w:rPr>
          <w:b/>
        </w:rPr>
        <w:tab/>
      </w:r>
      <w:r w:rsidR="00A256F6" w:rsidRPr="0024132E">
        <w:rPr>
          <w:b/>
          <w:bCs/>
        </w:rPr>
        <w:t>продолжить разработку и внедрение нормативно-правовой базы, направленной на то, чтобы деятельность компаний, функционирующих в государстве-участнике или зарегистрированных на его территории, но функционирующих за рубежом, не оказывала негативного воздействия на осуществление экономических, социальных и культурных прав и способствовала их осуществлению;</w:t>
      </w:r>
      <w:r w:rsidR="00A256F6" w:rsidRPr="0024132E">
        <w:rPr>
          <w:b/>
        </w:rPr>
        <w:t xml:space="preserve"> </w:t>
      </w:r>
    </w:p>
    <w:p w:rsidR="00A256F6" w:rsidRPr="0024132E" w:rsidRDefault="00A256F6" w:rsidP="00A256F6">
      <w:pPr>
        <w:pStyle w:val="SingleTxtG"/>
        <w:rPr>
          <w:b/>
          <w:bCs/>
        </w:rPr>
      </w:pPr>
      <w:r w:rsidRPr="0024132E">
        <w:rPr>
          <w:b/>
        </w:rPr>
        <w:tab/>
      </w:r>
      <w:r w:rsidR="0024132E" w:rsidRPr="0024132E">
        <w:rPr>
          <w:b/>
        </w:rPr>
        <w:tab/>
      </w:r>
      <w:r w:rsidRPr="0024132E">
        <w:rPr>
          <w:b/>
        </w:rPr>
        <w:t>c)</w:t>
      </w:r>
      <w:r w:rsidRPr="0024132E">
        <w:rPr>
          <w:b/>
        </w:rPr>
        <w:tab/>
      </w:r>
      <w:r w:rsidRPr="0024132E">
        <w:rPr>
          <w:b/>
          <w:bCs/>
        </w:rPr>
        <w:t>принять все необходимые меры для привлечения компаний, зарегистрированных на территории государства-участника или управляемых с его территории, к правовой ответственности за нарушение экономических, социальных и культурных прав в результате их деятельности и предоставлять жертвам надлежащие средства правовой защиты;</w:t>
      </w:r>
      <w:r w:rsidRPr="0024132E">
        <w:rPr>
          <w:b/>
        </w:rPr>
        <w:t xml:space="preserve"> </w:t>
      </w:r>
    </w:p>
    <w:p w:rsidR="00A256F6" w:rsidRPr="0024132E" w:rsidRDefault="0024132E" w:rsidP="00A256F6">
      <w:pPr>
        <w:pStyle w:val="SingleTxtG"/>
        <w:rPr>
          <w:b/>
          <w:bCs/>
        </w:rPr>
      </w:pPr>
      <w:r w:rsidRPr="0024132E">
        <w:rPr>
          <w:b/>
        </w:rPr>
        <w:tab/>
      </w:r>
      <w:r w:rsidR="00A256F6" w:rsidRPr="0024132E">
        <w:rPr>
          <w:b/>
        </w:rPr>
        <w:tab/>
        <w:t>d)</w:t>
      </w:r>
      <w:r w:rsidR="00A256F6" w:rsidRPr="0024132E">
        <w:rPr>
          <w:b/>
        </w:rPr>
        <w:tab/>
      </w:r>
      <w:r w:rsidR="00A256F6" w:rsidRPr="0024132E">
        <w:rPr>
          <w:b/>
          <w:bCs/>
        </w:rPr>
        <w:t>собирать обновленную информацию о жалобах, поданных лицами, которые стали жертвами нарушения экономических, социальных и культурных прав в результате деятельности хозяйствующих субъектов;</w:t>
      </w:r>
      <w:r w:rsidR="00A256F6" w:rsidRPr="0024132E">
        <w:rPr>
          <w:b/>
        </w:rPr>
        <w:t xml:space="preserve"> </w:t>
      </w:r>
    </w:p>
    <w:p w:rsidR="00A256F6" w:rsidRPr="00B2257F" w:rsidRDefault="0024132E" w:rsidP="00A256F6">
      <w:pPr>
        <w:pStyle w:val="SingleTxtG"/>
        <w:rPr>
          <w:b/>
          <w:bCs/>
        </w:rPr>
      </w:pPr>
      <w:r w:rsidRPr="0024132E">
        <w:rPr>
          <w:b/>
        </w:rPr>
        <w:tab/>
      </w:r>
      <w:r w:rsidR="00A256F6" w:rsidRPr="0024132E">
        <w:rPr>
          <w:b/>
        </w:rPr>
        <w:tab/>
        <w:t>e)</w:t>
      </w:r>
      <w:r w:rsidR="00A256F6" w:rsidRPr="0024132E">
        <w:rPr>
          <w:b/>
        </w:rPr>
        <w:tab/>
      </w:r>
      <w:r w:rsidR="00A256F6" w:rsidRPr="0024132E">
        <w:rPr>
          <w:b/>
          <w:bCs/>
        </w:rPr>
        <w:t>на регулярной основе оценивать планируемые инвестиционные, торговые или лицензионные соглашения на предмет их потенциального воздействия</w:t>
      </w:r>
      <w:r w:rsidR="00A256F6">
        <w:rPr>
          <w:b/>
          <w:bCs/>
        </w:rPr>
        <w:t xml:space="preserve"> на права человека и окружающую среду, а также анализировать ход осуществления таких соглашений или использования лицензий.</w:t>
      </w:r>
      <w:r w:rsidR="00A256F6">
        <w:t xml:space="preserve"> </w:t>
      </w:r>
    </w:p>
    <w:p w:rsidR="00A256F6" w:rsidRPr="00B2257F" w:rsidRDefault="00A256F6" w:rsidP="00A256F6">
      <w:pPr>
        <w:pStyle w:val="SingleTxtG"/>
        <w:rPr>
          <w:b/>
          <w:bCs/>
        </w:rPr>
      </w:pPr>
      <w:r>
        <w:t>18.</w:t>
      </w:r>
      <w:r>
        <w:tab/>
      </w:r>
      <w:r>
        <w:rPr>
          <w:b/>
          <w:bCs/>
        </w:rPr>
        <w:t>Комитет обращает внимание государства-участника на свое замечание общего порядка № 24 (2017) об обязательствах государств по Международному пакту об экономических, социальных и культурных правах в контексте предпринимательской деятельности.</w:t>
      </w:r>
    </w:p>
    <w:p w:rsidR="00A256F6" w:rsidRPr="00B2257F" w:rsidRDefault="00A256F6" w:rsidP="00A256F6">
      <w:pPr>
        <w:pStyle w:val="H23G"/>
      </w:pPr>
      <w:r>
        <w:tab/>
      </w:r>
      <w:r>
        <w:tab/>
      </w:r>
      <w:r>
        <w:rPr>
          <w:bCs/>
        </w:rPr>
        <w:t>Максимальные имеющиеся ресурсы</w:t>
      </w:r>
      <w:r>
        <w:t xml:space="preserve"> </w:t>
      </w:r>
    </w:p>
    <w:p w:rsidR="00A256F6" w:rsidRPr="00B2257F" w:rsidRDefault="00A256F6" w:rsidP="00A256F6">
      <w:pPr>
        <w:pStyle w:val="SingleTxtG"/>
      </w:pPr>
      <w:r>
        <w:t>19.</w:t>
      </w:r>
      <w:r>
        <w:tab/>
        <w:t>Комитет принимает во внимание произошедший в государстве-участнике за последние годы экономический рост и приветствует заявленное им в ходе диалога обязательство увеличить государственные расходы на социальную сферу, но выражает обеспокоенность низким в соотношении с валовым внутренним продуктом уровнем государственных расходов на социальные услуги, в том числе на здравоохранение и образование. Комитет обеспокоен также недавним сокращением расходов на социальное обеспечение с 4</w:t>
      </w:r>
      <w:r w:rsidR="0024132E" w:rsidRPr="0024132E">
        <w:t>%</w:t>
      </w:r>
      <w:r>
        <w:t xml:space="preserve"> до 2</w:t>
      </w:r>
      <w:r w:rsidR="0024132E" w:rsidRPr="0024132E">
        <w:t>%</w:t>
      </w:r>
      <w:r>
        <w:t>. Кроме того, Комитет обеспокоен различиями между регионами: так, южные и восточные регионы Казахстана, как представляется, пользуются меньшими благами в плане осуществления экономических, социальных и культурных прав (пункт 1 статьи 2).</w:t>
      </w:r>
    </w:p>
    <w:p w:rsidR="00A256F6" w:rsidRPr="00B2257F" w:rsidRDefault="00A256F6" w:rsidP="00A256F6">
      <w:pPr>
        <w:pStyle w:val="SingleTxtG"/>
        <w:rPr>
          <w:b/>
          <w:bCs/>
        </w:rPr>
      </w:pPr>
      <w:r>
        <w:lastRenderedPageBreak/>
        <w:t>20.</w:t>
      </w:r>
      <w:r>
        <w:tab/>
      </w:r>
      <w:r>
        <w:rPr>
          <w:b/>
          <w:bCs/>
        </w:rPr>
        <w:t>Комитет рекомендует государству-участнику обеспечить постепенное осуществление экономических, социальных и культурных прав путем существенного увеличения как на национальном, так и на местном уровнях объема государственных ассигнований на социальную сферу, особенно на социальное обеспечение, здравоохранение и образование, в целях сокращения различий между регионами и искоренения нищеты.</w:t>
      </w:r>
      <w:r>
        <w:t xml:space="preserve"> </w:t>
      </w:r>
    </w:p>
    <w:p w:rsidR="00A256F6" w:rsidRPr="00B2257F" w:rsidRDefault="00A256F6" w:rsidP="00A256F6">
      <w:pPr>
        <w:pStyle w:val="H23G"/>
      </w:pPr>
      <w:r>
        <w:tab/>
      </w:r>
      <w:r>
        <w:tab/>
      </w:r>
      <w:r>
        <w:rPr>
          <w:bCs/>
        </w:rPr>
        <w:t>Борьба с коррупцией</w:t>
      </w:r>
    </w:p>
    <w:p w:rsidR="00A256F6" w:rsidRPr="00B2257F" w:rsidRDefault="00A256F6" w:rsidP="00A256F6">
      <w:pPr>
        <w:pStyle w:val="SingleTxtG"/>
      </w:pPr>
      <w:r>
        <w:t>21.</w:t>
      </w:r>
      <w:r>
        <w:tab/>
        <w:t>Комитет принял к сведению улучшение ситуации, зафик</w:t>
      </w:r>
      <w:r w:rsidR="0024132E">
        <w:t>сированное организацией «</w:t>
      </w:r>
      <w:proofErr w:type="spellStart"/>
      <w:r>
        <w:t>Трансперенси</w:t>
      </w:r>
      <w:proofErr w:type="spellEnd"/>
      <w:r>
        <w:t xml:space="preserve"> интернешнл</w:t>
      </w:r>
      <w:r w:rsidR="0024132E">
        <w:t>»</w:t>
      </w:r>
      <w:r>
        <w:t xml:space="preserve"> в Индексе восприятия коррупции, а также различные действия, предпринятые государством-участником в этом направлении, но при этом он по-прежнему обеспокоен тем, что в стране сохраняется высокий уровень коррупции и число жалоб на влияние коррупции на осуществление экономических, социальных и культурных прав по-прежнему велико. </w:t>
      </w:r>
    </w:p>
    <w:p w:rsidR="00A256F6" w:rsidRPr="00B2257F" w:rsidRDefault="00A256F6" w:rsidP="00A256F6">
      <w:pPr>
        <w:pStyle w:val="SingleTxtG"/>
        <w:rPr>
          <w:b/>
          <w:bCs/>
        </w:rPr>
      </w:pPr>
      <w:r>
        <w:t>22.</w:t>
      </w:r>
      <w:r>
        <w:tab/>
      </w:r>
      <w:r>
        <w:rPr>
          <w:b/>
          <w:bCs/>
        </w:rPr>
        <w:t>Комитет рекомендует государству-участнику продолжить и дополнительно расширить работу по борьбе с коррупцией путем систематического устранения ее системных причин, эффективной защиты активистов борьбы с коррупцией, осведомителей и свидетелей, а также путем предоставления жертвам надлежащей компенсации.</w:t>
      </w:r>
      <w:r>
        <w:t xml:space="preserve"> </w:t>
      </w:r>
      <w:r>
        <w:rPr>
          <w:b/>
          <w:bCs/>
        </w:rPr>
        <w:t>Он также рекомендует государству-участнику включить в следующий периодический доклад информацию о результатах разбирательств по жалобам о влиянии коррупции на осуществление экономических, социальных и культурных прав, а также о ходе реализации рассчитанной на 10 лет (2015–2025 годы) антикоррупционной стратегии.</w:t>
      </w:r>
    </w:p>
    <w:p w:rsidR="00A256F6" w:rsidRPr="00B2257F" w:rsidRDefault="00A256F6" w:rsidP="00A256F6">
      <w:pPr>
        <w:pStyle w:val="H23G"/>
      </w:pPr>
      <w:r>
        <w:tab/>
      </w:r>
      <w:r>
        <w:tab/>
      </w:r>
      <w:r>
        <w:rPr>
          <w:bCs/>
        </w:rPr>
        <w:t>Право женщин на труд</w:t>
      </w:r>
      <w:r>
        <w:t xml:space="preserve"> </w:t>
      </w:r>
    </w:p>
    <w:p w:rsidR="00A256F6" w:rsidRPr="00B2257F" w:rsidRDefault="00A256F6" w:rsidP="00A256F6">
      <w:pPr>
        <w:pStyle w:val="SingleTxtG"/>
      </w:pPr>
      <w:r>
        <w:t>23.</w:t>
      </w:r>
      <w:r>
        <w:tab/>
        <w:t>Комитет принимает к сведению, что число запрещенных для женщин профессий было сокращено с 287 до 191, но при этом выражает обеспокоенность в связи с тем, что этот список по-прежнему существует, а научной и медицинской оценки реального влияния этих профессий на женское репродуктивное здоровье проведено не было (статья 6).</w:t>
      </w:r>
    </w:p>
    <w:p w:rsidR="00A256F6" w:rsidRPr="00B2257F" w:rsidRDefault="00A256F6" w:rsidP="00A256F6">
      <w:pPr>
        <w:pStyle w:val="SingleTxtG"/>
        <w:rPr>
          <w:b/>
          <w:bCs/>
        </w:rPr>
      </w:pPr>
      <w:r>
        <w:t>24.</w:t>
      </w:r>
      <w:r>
        <w:tab/>
      </w:r>
      <w:r>
        <w:rPr>
          <w:b/>
          <w:bCs/>
        </w:rPr>
        <w:t xml:space="preserve">Комитет рекомендует государству-участнику пересмотреть перечень запрещенных для женщин профессий и обеспечить исключение из него любых ограничений, которые не являются необходимыми для охраны материнства и не </w:t>
      </w:r>
      <w:r w:rsidRPr="0024132E">
        <w:rPr>
          <w:b/>
          <w:bCs/>
          <w:spacing w:val="-2"/>
        </w:rPr>
        <w:t>объясняются исключительно медицинскими соображениями (см. пункты 17 и 47</w:t>
      </w:r>
      <w:r w:rsidR="0024132E" w:rsidRPr="0024132E">
        <w:rPr>
          <w:b/>
          <w:bCs/>
          <w:spacing w:val="-2"/>
        </w:rPr>
        <w:t> </w:t>
      </w:r>
      <w:r w:rsidRPr="0024132E">
        <w:rPr>
          <w:b/>
          <w:bCs/>
          <w:spacing w:val="-2"/>
        </w:rPr>
        <w:t>а)</w:t>
      </w:r>
      <w:r>
        <w:rPr>
          <w:b/>
          <w:bCs/>
        </w:rPr>
        <w:t xml:space="preserve"> Замечания общего порядка № 23 (2016)), и рассмотреть другие формы правовой защиты женщин в отношении гигиены и безопасности труда как потенциально более эффективные по сравнению с полным запретом на доступ к определенным профессиям.</w:t>
      </w:r>
    </w:p>
    <w:p w:rsidR="00A256F6" w:rsidRPr="00B2257F" w:rsidRDefault="00A256F6" w:rsidP="00A256F6">
      <w:pPr>
        <w:pStyle w:val="H23G"/>
      </w:pPr>
      <w:r>
        <w:tab/>
      </w:r>
      <w:r>
        <w:tab/>
      </w:r>
      <w:r>
        <w:rPr>
          <w:bCs/>
        </w:rPr>
        <w:t>Разрыв в оплате труда между мужчинами и женщинами</w:t>
      </w:r>
    </w:p>
    <w:p w:rsidR="00A256F6" w:rsidRPr="00B2257F" w:rsidRDefault="00A256F6" w:rsidP="00A256F6">
      <w:pPr>
        <w:pStyle w:val="SingleTxtG"/>
      </w:pPr>
      <w:r>
        <w:t>25.</w:t>
      </w:r>
      <w:r>
        <w:tab/>
        <w:t>Комитет принимает к сведению, что в 2017 году средняя заработная плата женщин несколько возросла, составив 67,8% от средней заработной платы мужчин, но при этом он обеспокоен сохранением разрыва в заработной плате между мужчинами и женщинами (статья 7).</w:t>
      </w:r>
    </w:p>
    <w:p w:rsidR="00A256F6" w:rsidRPr="00B2257F" w:rsidRDefault="00A256F6" w:rsidP="00A256F6">
      <w:pPr>
        <w:pStyle w:val="SingleTxtG"/>
        <w:rPr>
          <w:b/>
          <w:bCs/>
        </w:rPr>
      </w:pPr>
      <w:r>
        <w:t>26.</w:t>
      </w:r>
      <w:r>
        <w:tab/>
      </w:r>
      <w:r>
        <w:rPr>
          <w:b/>
          <w:bCs/>
        </w:rPr>
        <w:t>Комитет рекомендует государству-участнику обеспечить дальнейшее сокращение разрыва в оплате труда между мужчинами и женщинами, в том числе путем борьбы с гендерными стереотипами, повышения профессионально-технической квалификации женщин и расширения доступа женщин к равным возможностям в области занятости, в том числе в нетрадиционных для них областях.</w:t>
      </w:r>
      <w:r>
        <w:t xml:space="preserve"> </w:t>
      </w:r>
    </w:p>
    <w:p w:rsidR="00A256F6" w:rsidRPr="00B2257F" w:rsidRDefault="00A256F6" w:rsidP="00A256F6">
      <w:pPr>
        <w:pStyle w:val="H23G"/>
      </w:pPr>
      <w:r>
        <w:tab/>
      </w:r>
      <w:r>
        <w:tab/>
      </w:r>
      <w:r>
        <w:rPr>
          <w:bCs/>
        </w:rPr>
        <w:t>Право на забастовку</w:t>
      </w:r>
    </w:p>
    <w:p w:rsidR="00A256F6" w:rsidRPr="00B2257F" w:rsidRDefault="00A256F6" w:rsidP="00A256F6">
      <w:pPr>
        <w:pStyle w:val="SingleTxtG"/>
      </w:pPr>
      <w:r>
        <w:t>27.</w:t>
      </w:r>
      <w:r>
        <w:tab/>
        <w:t xml:space="preserve">Комитет обеспокоен тем, что, несмотря на вынесенную им в прошлый раз рекомендацию (E/C.12/KAZ/CO/1, пункт 22), в отношении чиновников и сотрудников правоохранительных органов продолжают действовать ограничения на участие в </w:t>
      </w:r>
      <w:r>
        <w:lastRenderedPageBreak/>
        <w:t>забастовках. Кроме того, Комитет обеспокоен тем, что широкое толкование статьи 402 Уголовного кодекса и статьи 177 Трудового кодекса, предусматривающих ответственность за действия в поддержку продолжения забастовки, которая была объявлена незаконной, может привести к неоправданному ограничению права на забастовку (статья 8).</w:t>
      </w:r>
    </w:p>
    <w:p w:rsidR="00A256F6" w:rsidRPr="00B2257F" w:rsidRDefault="00A256F6" w:rsidP="00A256F6">
      <w:pPr>
        <w:pStyle w:val="SingleTxtG"/>
        <w:rPr>
          <w:b/>
          <w:bCs/>
        </w:rPr>
      </w:pPr>
      <w:r>
        <w:t>28.</w:t>
      </w:r>
      <w:r>
        <w:tab/>
      </w:r>
      <w:r>
        <w:rPr>
          <w:b/>
          <w:bCs/>
        </w:rPr>
        <w:t>Комитет рекомендует государству-участнику внести изменения в национальное законодательство, в частности в статью 402 Уголовного кодекса и статью 177 Трудового кодекса, гарантировав трудящимся право на забастовку без каких-либо необоснованных ограничений.</w:t>
      </w:r>
    </w:p>
    <w:p w:rsidR="00A256F6" w:rsidRPr="00B2257F" w:rsidRDefault="00A256F6" w:rsidP="00A256F6">
      <w:pPr>
        <w:pStyle w:val="H23G"/>
      </w:pPr>
      <w:r>
        <w:tab/>
      </w:r>
      <w:r>
        <w:tab/>
      </w:r>
      <w:r>
        <w:rPr>
          <w:bCs/>
        </w:rPr>
        <w:t>Справедливые и благоприятные условия труда</w:t>
      </w:r>
      <w:r>
        <w:t xml:space="preserve"> </w:t>
      </w:r>
    </w:p>
    <w:p w:rsidR="00A256F6" w:rsidRPr="00B2257F" w:rsidRDefault="00A256F6" w:rsidP="00A256F6">
      <w:pPr>
        <w:pStyle w:val="SingleTxtG"/>
      </w:pPr>
      <w:r>
        <w:t>29.</w:t>
      </w:r>
      <w:r>
        <w:tab/>
      </w:r>
      <w:r w:rsidRPr="006E0A27">
        <w:t>Комитет выражает озабоченность по поводу условий труда трудящихся-мигрантов: их возможности в плане трудоустройства ограничены, на них распространяется система квот, и, согласно поступающим сообщениям, они не доверяют властям и боятся заявлять о нарушениях своих прав.</w:t>
      </w:r>
      <w:r>
        <w:t xml:space="preserve"> Трудящиеся-мигранты часто работают без контракта, сталкиваются с невыплатой заработной платы и конфискацией паспортов, а также работают по ненормированному графику. Кроме того, Комитет обеспокоен сообщениями о принудительном и подневольном труде некоторых трудящихся-мигрантов на табачных, хлопковых и строительных производствах, а также о случаях подневольного труда женщин – домашних работников. Кроме того, Комитет обеспокоен сообщениями о том, что значительное число лиц, в первую очередь мигранты, женщины и лица старше 65 лет, заняты в неформальном секторе экономики (статья 7). </w:t>
      </w:r>
    </w:p>
    <w:p w:rsidR="00A256F6" w:rsidRPr="00B2257F" w:rsidRDefault="00A256F6" w:rsidP="00A256F6">
      <w:pPr>
        <w:pStyle w:val="SingleTxtG"/>
        <w:rPr>
          <w:b/>
          <w:bCs/>
        </w:rPr>
      </w:pPr>
      <w:r>
        <w:t>30.</w:t>
      </w:r>
      <w:r>
        <w:tab/>
      </w:r>
      <w:r>
        <w:rPr>
          <w:b/>
          <w:bCs/>
        </w:rPr>
        <w:t>Комитет настоятельно рекомендует государству-участнику:</w:t>
      </w:r>
      <w:r>
        <w:t xml:space="preserve"> </w:t>
      </w:r>
    </w:p>
    <w:p w:rsidR="00A256F6" w:rsidRPr="0024132E" w:rsidRDefault="0024132E" w:rsidP="00A256F6">
      <w:pPr>
        <w:pStyle w:val="SingleTxtG"/>
        <w:rPr>
          <w:b/>
          <w:bCs/>
        </w:rPr>
      </w:pPr>
      <w:r>
        <w:tab/>
      </w:r>
      <w:r w:rsidR="00A256F6">
        <w:tab/>
      </w:r>
      <w:r w:rsidR="00A256F6" w:rsidRPr="0024132E">
        <w:rPr>
          <w:b/>
        </w:rPr>
        <w:t>a)</w:t>
      </w:r>
      <w:r w:rsidR="00A256F6" w:rsidRPr="0024132E">
        <w:rPr>
          <w:b/>
        </w:rPr>
        <w:tab/>
      </w:r>
      <w:r w:rsidR="00A256F6" w:rsidRPr="0024132E">
        <w:rPr>
          <w:b/>
          <w:bCs/>
        </w:rPr>
        <w:t xml:space="preserve">обеспечить трудящимся-мигрантам доступ к законному трудоустройству и принять необходимые меры в целях создания для трудящихся-мигрантов тех же условий, что действуют для остальных трудящихся (работа по контракту, выплата заработной платы, </w:t>
      </w:r>
      <w:proofErr w:type="spellStart"/>
      <w:r w:rsidR="00A256F6" w:rsidRPr="0024132E">
        <w:rPr>
          <w:b/>
          <w:bCs/>
        </w:rPr>
        <w:t>неконфискация</w:t>
      </w:r>
      <w:proofErr w:type="spellEnd"/>
      <w:r w:rsidR="00A256F6" w:rsidRPr="0024132E">
        <w:rPr>
          <w:b/>
          <w:bCs/>
        </w:rPr>
        <w:t xml:space="preserve"> паспортов и нормированный рабочий день);</w:t>
      </w:r>
      <w:r w:rsidR="00A256F6" w:rsidRPr="0024132E">
        <w:rPr>
          <w:b/>
        </w:rPr>
        <w:t xml:space="preserve"> </w:t>
      </w:r>
    </w:p>
    <w:p w:rsidR="00A256F6" w:rsidRPr="0024132E" w:rsidRDefault="00A256F6" w:rsidP="00A256F6">
      <w:pPr>
        <w:pStyle w:val="SingleTxtG"/>
        <w:rPr>
          <w:b/>
          <w:bCs/>
        </w:rPr>
      </w:pPr>
      <w:r w:rsidRPr="0024132E">
        <w:rPr>
          <w:b/>
        </w:rPr>
        <w:tab/>
      </w:r>
      <w:r w:rsidR="0024132E" w:rsidRPr="0024132E">
        <w:rPr>
          <w:b/>
        </w:rPr>
        <w:tab/>
      </w:r>
      <w:r w:rsidRPr="0024132E">
        <w:rPr>
          <w:b/>
        </w:rPr>
        <w:t>b)</w:t>
      </w:r>
      <w:r w:rsidRPr="0024132E">
        <w:rPr>
          <w:b/>
        </w:rPr>
        <w:tab/>
      </w:r>
      <w:r w:rsidRPr="0024132E">
        <w:rPr>
          <w:b/>
          <w:bCs/>
        </w:rPr>
        <w:t>усовершенствовать механизмы подачи жалоб и оказания правовой помощи трудящимся-мигрантам;</w:t>
      </w:r>
      <w:r w:rsidRPr="0024132E">
        <w:rPr>
          <w:b/>
        </w:rPr>
        <w:t xml:space="preserve"> </w:t>
      </w:r>
    </w:p>
    <w:p w:rsidR="00A256F6" w:rsidRPr="0024132E" w:rsidRDefault="0024132E" w:rsidP="00A256F6">
      <w:pPr>
        <w:pStyle w:val="SingleTxtG"/>
        <w:rPr>
          <w:b/>
          <w:bCs/>
        </w:rPr>
      </w:pPr>
      <w:r w:rsidRPr="0024132E">
        <w:rPr>
          <w:b/>
        </w:rPr>
        <w:tab/>
      </w:r>
      <w:r w:rsidR="00A256F6" w:rsidRPr="0024132E">
        <w:rPr>
          <w:b/>
        </w:rPr>
        <w:tab/>
        <w:t>c)</w:t>
      </w:r>
      <w:r w:rsidR="00A256F6" w:rsidRPr="0024132E">
        <w:rPr>
          <w:b/>
        </w:rPr>
        <w:tab/>
      </w:r>
      <w:r w:rsidR="00A256F6" w:rsidRPr="0024132E">
        <w:rPr>
          <w:b/>
          <w:bCs/>
        </w:rPr>
        <w:t>искоренить принудительный и подневольный труд, в частности путем укрепления нормативно-правовой базы и обеспечения эффективного соблюдения действующего законодательства, которым трудящимся-мигрантам гарантируется защита от таких злоупотреблений и эксплуатации;</w:t>
      </w:r>
    </w:p>
    <w:p w:rsidR="00A256F6" w:rsidRPr="0024132E" w:rsidRDefault="0024132E" w:rsidP="00A256F6">
      <w:pPr>
        <w:pStyle w:val="SingleTxtG"/>
        <w:rPr>
          <w:b/>
          <w:bCs/>
        </w:rPr>
      </w:pPr>
      <w:r w:rsidRPr="0024132E">
        <w:rPr>
          <w:b/>
        </w:rPr>
        <w:tab/>
      </w:r>
      <w:r w:rsidR="00A256F6" w:rsidRPr="0024132E">
        <w:rPr>
          <w:b/>
        </w:rPr>
        <w:tab/>
        <w:t>d)</w:t>
      </w:r>
      <w:r w:rsidR="00A256F6" w:rsidRPr="0024132E">
        <w:rPr>
          <w:b/>
        </w:rPr>
        <w:tab/>
      </w:r>
      <w:r w:rsidR="00A256F6" w:rsidRPr="0024132E">
        <w:rPr>
          <w:b/>
          <w:bCs/>
        </w:rPr>
        <w:t>активизировать меры, направленные на постепенное урегулирование статуса работников, занятых в неформальном секторе экономики, а до тех пор, пока он полностью не урегулирован, обеспечить применение к этим лицам действующего законодательства о защите труда и социальных гарантиях;</w:t>
      </w:r>
      <w:r w:rsidR="00A256F6" w:rsidRPr="0024132E">
        <w:rPr>
          <w:b/>
        </w:rPr>
        <w:t xml:space="preserve"> </w:t>
      </w:r>
    </w:p>
    <w:p w:rsidR="00A256F6" w:rsidRPr="00B2257F" w:rsidRDefault="0024132E" w:rsidP="00A256F6">
      <w:pPr>
        <w:pStyle w:val="SingleTxtG"/>
        <w:rPr>
          <w:b/>
          <w:bCs/>
        </w:rPr>
      </w:pPr>
      <w:r w:rsidRPr="0024132E">
        <w:rPr>
          <w:b/>
        </w:rPr>
        <w:tab/>
      </w:r>
      <w:r w:rsidR="00A256F6" w:rsidRPr="0024132E">
        <w:rPr>
          <w:b/>
        </w:rPr>
        <w:tab/>
        <w:t>e)</w:t>
      </w:r>
      <w:r w:rsidR="00A256F6" w:rsidRPr="0024132E">
        <w:rPr>
          <w:b/>
        </w:rPr>
        <w:tab/>
      </w:r>
      <w:r w:rsidR="00A256F6">
        <w:rPr>
          <w:b/>
          <w:bCs/>
        </w:rPr>
        <w:t>создать для трудовой инспекции возможность отслеживать соблюдение прав трудящихся в контексте неформальной занятости.</w:t>
      </w:r>
    </w:p>
    <w:p w:rsidR="00A256F6" w:rsidRPr="00B2257F" w:rsidRDefault="00A256F6" w:rsidP="00A256F6">
      <w:pPr>
        <w:pStyle w:val="SingleTxtG"/>
        <w:rPr>
          <w:b/>
          <w:bCs/>
        </w:rPr>
      </w:pPr>
      <w:r>
        <w:t>31.</w:t>
      </w:r>
      <w:r>
        <w:tab/>
      </w:r>
      <w:r>
        <w:rPr>
          <w:b/>
          <w:bCs/>
        </w:rPr>
        <w:t>Комитет обращает внимание государства-участника на свое замечание общего порядка № 23 (2016) о праве на справедливые и благоприятные условия труда.</w:t>
      </w:r>
    </w:p>
    <w:p w:rsidR="00A256F6" w:rsidRPr="00B2257F" w:rsidRDefault="00A256F6" w:rsidP="00A256F6">
      <w:pPr>
        <w:pStyle w:val="H23G"/>
      </w:pPr>
      <w:r>
        <w:tab/>
      </w:r>
      <w:r>
        <w:tab/>
      </w:r>
      <w:r>
        <w:rPr>
          <w:bCs/>
        </w:rPr>
        <w:t>Профсоюзные права</w:t>
      </w:r>
      <w:r>
        <w:t xml:space="preserve"> </w:t>
      </w:r>
    </w:p>
    <w:p w:rsidR="00A256F6" w:rsidRPr="00B2257F" w:rsidRDefault="00A256F6" w:rsidP="00A256F6">
      <w:pPr>
        <w:pStyle w:val="SingleTxtG"/>
      </w:pPr>
      <w:r>
        <w:t>32.</w:t>
      </w:r>
      <w:r>
        <w:tab/>
        <w:t xml:space="preserve">Комитет обеспокоен тем, что разработанные в 2018 году поправки в закон о профсоюзах 2014 года, предполагающие упрощение процедур регистрации профсоюзов, до сих пор не были представлены в парламент. Комитет выражает также озабоченность по поводу числа арестов и обвинительных приговоров в отношении руководителей профсоюзов в связи с их деятельностью. Кроме того, он выражает глубокую озабоченность по поводу сообщений о нападениях на профсоюзных активистов, их запугивании и притеснении (статья 8). </w:t>
      </w:r>
    </w:p>
    <w:p w:rsidR="00A256F6" w:rsidRPr="00B2257F" w:rsidRDefault="00A256F6" w:rsidP="00A256F6">
      <w:pPr>
        <w:pStyle w:val="SingleTxtG"/>
        <w:rPr>
          <w:b/>
          <w:bCs/>
        </w:rPr>
      </w:pPr>
      <w:r>
        <w:lastRenderedPageBreak/>
        <w:t>33.</w:t>
      </w:r>
      <w:r>
        <w:tab/>
      </w:r>
      <w:r>
        <w:rPr>
          <w:b/>
          <w:bCs/>
        </w:rPr>
        <w:t>Комитет рекомендует государству-участнику обеспечить действительное осуществление права на коллективные переговоры и профсоюзное представительство как законодательно, так и на практике, в соответствии со статьей 8 Пакта и положениями таких конвенций Международной организации труда, как Конвенция 1948 года (№ 87) о свободе объединений и защите права объединяться в профсоюзы и Конвенция 1949 года (№ 98) о праве на объединение в профсоюзы и на ведение коллективных переговоров.</w:t>
      </w:r>
      <w:r>
        <w:t xml:space="preserve"> </w:t>
      </w:r>
      <w:r>
        <w:rPr>
          <w:b/>
          <w:bCs/>
        </w:rPr>
        <w:t>Он также настоятельно призывает государство-участник принять все необходимые меры, в том числе законодательного характера, для недопущения привлечения к уголовной ответственности трудящихся, принявших участие в забастовке.</w:t>
      </w:r>
      <w:r>
        <w:t xml:space="preserve"> </w:t>
      </w:r>
      <w:r>
        <w:rPr>
          <w:b/>
          <w:bCs/>
        </w:rPr>
        <w:t>Он также рекомендует государству-участнику принять требуемые меры для обеспечения защиты профсоюзных активистов от нападений, запугивания и преследования.</w:t>
      </w:r>
    </w:p>
    <w:p w:rsidR="00A256F6" w:rsidRPr="00B2257F" w:rsidRDefault="00A256F6" w:rsidP="00A256F6">
      <w:pPr>
        <w:pStyle w:val="H23G"/>
      </w:pPr>
      <w:r>
        <w:tab/>
      </w:r>
      <w:r>
        <w:tab/>
      </w:r>
      <w:r>
        <w:rPr>
          <w:bCs/>
        </w:rPr>
        <w:t>Право на социальное обеспечение</w:t>
      </w:r>
      <w:r>
        <w:t xml:space="preserve"> </w:t>
      </w:r>
    </w:p>
    <w:p w:rsidR="00A256F6" w:rsidRPr="00B2257F" w:rsidRDefault="00A256F6" w:rsidP="00A256F6">
      <w:pPr>
        <w:pStyle w:val="SingleTxtG"/>
      </w:pPr>
      <w:r>
        <w:t>34.</w:t>
      </w:r>
      <w:r>
        <w:tab/>
      </w:r>
      <w:r w:rsidRPr="00B53301">
        <w:t>Комитет принимает к сведению существенное увеличение социальных пособий по инвалидности, но обеспокоен тем, что, несмотря на его предыдущую рекомендацию (E/C.12/KAZ/CO/1, п</w:t>
      </w:r>
      <w:r>
        <w:t>ункт</w:t>
      </w:r>
      <w:r w:rsidRPr="00B53301">
        <w:t xml:space="preserve"> 23), действующая в государстве-участнике система социального обеспечения охватывает не все группы населения</w:t>
      </w:r>
      <w:r>
        <w:t xml:space="preserve"> и</w:t>
      </w:r>
      <w:r w:rsidRPr="00B53301">
        <w:t xml:space="preserve"> не распростран</w:t>
      </w:r>
      <w:r>
        <w:t>яется</w:t>
      </w:r>
      <w:r w:rsidRPr="00B53301">
        <w:t>, в частности, на работников неформально</w:t>
      </w:r>
      <w:r>
        <w:t>го</w:t>
      </w:r>
      <w:r w:rsidRPr="00B53301">
        <w:t xml:space="preserve"> сектор</w:t>
      </w:r>
      <w:r>
        <w:t>а</w:t>
      </w:r>
      <w:r w:rsidRPr="00B53301">
        <w:t xml:space="preserve"> экономики, </w:t>
      </w:r>
      <w:proofErr w:type="spellStart"/>
      <w:r w:rsidRPr="00B53301">
        <w:t>самозанятых</w:t>
      </w:r>
      <w:proofErr w:type="spellEnd"/>
      <w:r w:rsidRPr="00B53301">
        <w:t xml:space="preserve"> граждан, </w:t>
      </w:r>
      <w:proofErr w:type="spellStart"/>
      <w:r w:rsidRPr="00B53301">
        <w:t>неграждан</w:t>
      </w:r>
      <w:proofErr w:type="spellEnd"/>
      <w:r w:rsidRPr="00B53301">
        <w:t>, а также трудящихся-мигрантов, не имеющих постоянного статуса (статья</w:t>
      </w:r>
      <w:r w:rsidR="0024132E">
        <w:t> </w:t>
      </w:r>
      <w:r w:rsidRPr="00B53301">
        <w:t>9)</w:t>
      </w:r>
      <w:r>
        <w:t xml:space="preserve">. </w:t>
      </w:r>
    </w:p>
    <w:p w:rsidR="00A256F6" w:rsidRPr="00B2257F" w:rsidRDefault="00A256F6" w:rsidP="00A256F6">
      <w:pPr>
        <w:pStyle w:val="SingleTxtG"/>
        <w:rPr>
          <w:b/>
          <w:bCs/>
        </w:rPr>
      </w:pPr>
      <w:r>
        <w:t>35.</w:t>
      </w:r>
      <w:r>
        <w:tab/>
      </w:r>
      <w:r>
        <w:rPr>
          <w:b/>
          <w:bCs/>
        </w:rPr>
        <w:t>Комитет рекомендует государству-участнику разработать универсальную систему социального обеспечения, охватывающую все группы населения.</w:t>
      </w:r>
      <w:r>
        <w:t xml:space="preserve"> </w:t>
      </w:r>
      <w:r>
        <w:rPr>
          <w:b/>
          <w:bCs/>
        </w:rPr>
        <w:t>В этой связи Комитет рекомендует государству-участнику рассмотреть вопрос об определении минимального уровня социальной защиты согласно тому, которое закреплено в Рекомендации МОТ 2012 года о минимальных уровнях социальной защиты (№ 202).</w:t>
      </w:r>
      <w:r>
        <w:t xml:space="preserve"> </w:t>
      </w:r>
      <w:r>
        <w:rPr>
          <w:b/>
          <w:bCs/>
        </w:rPr>
        <w:t>Комитет обращает внимание государства-участника на свое замечание общего порядка № 19 (2007) о праве на социальное обеспечение и на свое зая</w:t>
      </w:r>
      <w:r w:rsidR="0024132E">
        <w:rPr>
          <w:b/>
          <w:bCs/>
        </w:rPr>
        <w:t>вление 2015 года под названием «</w:t>
      </w:r>
      <w:r>
        <w:rPr>
          <w:b/>
          <w:bCs/>
        </w:rPr>
        <w:t>Минимальные уровни социальной защиты: важнейшая составляющая права на социальное обеспечение и целей в области устойчивого развития</w:t>
      </w:r>
      <w:r w:rsidR="0024132E">
        <w:rPr>
          <w:b/>
          <w:bCs/>
        </w:rPr>
        <w:t xml:space="preserve">» </w:t>
      </w:r>
      <w:r>
        <w:rPr>
          <w:b/>
          <w:bCs/>
        </w:rPr>
        <w:t>(E/C.12/2015/1).</w:t>
      </w:r>
    </w:p>
    <w:p w:rsidR="00A256F6" w:rsidRPr="00B2257F" w:rsidRDefault="00A256F6" w:rsidP="00A256F6">
      <w:pPr>
        <w:pStyle w:val="H23G"/>
      </w:pPr>
      <w:r>
        <w:tab/>
      </w:r>
      <w:r>
        <w:tab/>
      </w:r>
      <w:r>
        <w:rPr>
          <w:bCs/>
        </w:rPr>
        <w:t>Домашнее насилие</w:t>
      </w:r>
      <w:r>
        <w:t xml:space="preserve"> </w:t>
      </w:r>
    </w:p>
    <w:p w:rsidR="00A256F6" w:rsidRPr="00B2257F" w:rsidRDefault="00A256F6" w:rsidP="00A256F6">
      <w:pPr>
        <w:pStyle w:val="SingleTxtG"/>
      </w:pPr>
      <w:r>
        <w:t>36.</w:t>
      </w:r>
      <w:r>
        <w:tab/>
        <w:t xml:space="preserve">Комитет выражает озабоченность по поводу сохраняющейся в государстве-участнике проблемы домашнего насилия и того, что </w:t>
      </w:r>
      <w:r w:rsidR="0024132E">
        <w:t>«</w:t>
      </w:r>
      <w:r>
        <w:t>причинение легкого вреда здоровью и побои</w:t>
      </w:r>
      <w:r w:rsidR="0024132E">
        <w:t>»</w:t>
      </w:r>
      <w:r>
        <w:t xml:space="preserve"> предполагают административное, а не уголовное наказание. </w:t>
      </w:r>
    </w:p>
    <w:p w:rsidR="00A256F6" w:rsidRPr="00B2257F" w:rsidRDefault="00A256F6" w:rsidP="00A256F6">
      <w:pPr>
        <w:pStyle w:val="SingleTxtG"/>
        <w:rPr>
          <w:b/>
          <w:bCs/>
        </w:rPr>
      </w:pPr>
      <w:r>
        <w:t>37.</w:t>
      </w:r>
      <w:r>
        <w:tab/>
      </w:r>
      <w:r>
        <w:rPr>
          <w:b/>
          <w:bCs/>
        </w:rPr>
        <w:t>Комитет рекомендует государству-участнику ввести уголовную ответственность за любое домашнее насилие в целях обеспечения защиты всех жертв таких действий, привлечения виновных к ответственности и недопущения безнаказанности.</w:t>
      </w:r>
      <w:r>
        <w:t xml:space="preserve"> </w:t>
      </w:r>
      <w:r>
        <w:rPr>
          <w:b/>
          <w:bCs/>
        </w:rPr>
        <w:t>Кроме того, Комитет рекомендует государству-участнику активизировать усилия по борьбе с домашним насилием, в том числе путем расширения информационно-просветительских кампаний, оказания помощи жертвам и подготовки сотрудников правоохранительных органов в целях повышения их осведомленности о всех формах домашнего насилия.</w:t>
      </w:r>
    </w:p>
    <w:p w:rsidR="00A256F6" w:rsidRPr="00B2257F" w:rsidRDefault="00A256F6" w:rsidP="00A256F6">
      <w:pPr>
        <w:pStyle w:val="H23G"/>
      </w:pPr>
      <w:r>
        <w:tab/>
      </w:r>
      <w:r>
        <w:tab/>
      </w:r>
      <w:r>
        <w:rPr>
          <w:bCs/>
        </w:rPr>
        <w:t>Детский труд</w:t>
      </w:r>
    </w:p>
    <w:p w:rsidR="00A256F6" w:rsidRPr="00B2257F" w:rsidRDefault="00A256F6" w:rsidP="00A256F6">
      <w:pPr>
        <w:pStyle w:val="SingleTxtG"/>
      </w:pPr>
      <w:r>
        <w:t>38.</w:t>
      </w:r>
      <w:r>
        <w:tab/>
        <w:t>Комитет обеспокоен тем, что, несмотря на вынесенную им рекомендацию (E/C.12/KAZ/CO/1, пункт 27) и принятые государством-участником меры, продолжается привлечение как казахских детей, так и детей-</w:t>
      </w:r>
      <w:r w:rsidR="0024132E">
        <w:t>мигрантов к труду, в </w:t>
      </w:r>
      <w:r>
        <w:t>частности на табачных, хлопковых и сельскохозяйственных фермах (статья 10, пункт</w:t>
      </w:r>
      <w:r w:rsidR="0024132E">
        <w:t> </w:t>
      </w:r>
      <w:r>
        <w:t xml:space="preserve">3). </w:t>
      </w:r>
    </w:p>
    <w:p w:rsidR="00A256F6" w:rsidRPr="00B2257F" w:rsidRDefault="00A256F6" w:rsidP="00A256F6">
      <w:pPr>
        <w:pStyle w:val="SingleTxtG"/>
        <w:rPr>
          <w:b/>
          <w:bCs/>
        </w:rPr>
      </w:pPr>
      <w:r>
        <w:t>39.</w:t>
      </w:r>
      <w:r>
        <w:tab/>
      </w:r>
      <w:r>
        <w:rPr>
          <w:b/>
          <w:bCs/>
        </w:rPr>
        <w:t>Комитет настоятельно рекомендует государству-участнику принять эффективные меры по борьбе с детским трудом и обеспечить всем детям защиту от всех форм эксплуатации.</w:t>
      </w:r>
      <w:r>
        <w:t xml:space="preserve"> </w:t>
      </w:r>
      <w:r>
        <w:rPr>
          <w:b/>
          <w:bCs/>
        </w:rPr>
        <w:t>Комитет просит государство-участник в его следующем периодическом докладе подробно изложить реализуемые меры по искоренению детского труда и их результаты.</w:t>
      </w:r>
    </w:p>
    <w:p w:rsidR="00A256F6" w:rsidRPr="00B2257F" w:rsidRDefault="00A256F6" w:rsidP="00A256F6">
      <w:pPr>
        <w:pStyle w:val="H23G"/>
      </w:pPr>
      <w:r>
        <w:lastRenderedPageBreak/>
        <w:tab/>
      </w:r>
      <w:r>
        <w:tab/>
      </w:r>
      <w:r>
        <w:rPr>
          <w:bCs/>
        </w:rPr>
        <w:t>Дети-инвалиды</w:t>
      </w:r>
      <w:r>
        <w:t xml:space="preserve"> </w:t>
      </w:r>
    </w:p>
    <w:p w:rsidR="00A256F6" w:rsidRPr="00B2257F" w:rsidRDefault="00A256F6" w:rsidP="00A256F6">
      <w:pPr>
        <w:pStyle w:val="SingleTxtG"/>
      </w:pPr>
      <w:r>
        <w:t>40.</w:t>
      </w:r>
      <w:r>
        <w:tab/>
        <w:t xml:space="preserve">Комитет обеспокоен положением детей-инвалидов, находящихся в домах для детей с физическими и психическими нарушениями, которые, согласно поступающим сообщениям, переполнены, не обеспечивают надлежащих санитарных условий и </w:t>
      </w:r>
      <w:proofErr w:type="spellStart"/>
      <w:r>
        <w:t>недоукомплектованы</w:t>
      </w:r>
      <w:proofErr w:type="spellEnd"/>
      <w:r>
        <w:t xml:space="preserve"> персоналом (статья 10).</w:t>
      </w:r>
    </w:p>
    <w:p w:rsidR="00A256F6" w:rsidRPr="00B2257F" w:rsidRDefault="00A256F6" w:rsidP="00A256F6">
      <w:pPr>
        <w:pStyle w:val="SingleTxtG"/>
        <w:rPr>
          <w:b/>
          <w:bCs/>
        </w:rPr>
      </w:pPr>
      <w:r>
        <w:t>41.</w:t>
      </w:r>
      <w:r>
        <w:tab/>
      </w:r>
      <w:r>
        <w:rPr>
          <w:b/>
          <w:bCs/>
        </w:rPr>
        <w:t>Комитет рекомендует государству-участнику уделить особое внимание в национальном плане действий в интересах инвалидов, который должен быть принят в 2019 году, улучшению положения детей-инвалидов, в частности тех из них, которые находятся в детских домах.</w:t>
      </w:r>
      <w:r>
        <w:t xml:space="preserve"> </w:t>
      </w:r>
      <w:r>
        <w:rPr>
          <w:b/>
          <w:bCs/>
        </w:rPr>
        <w:t>Он также рекомендует государству-участнику обеспечить выделение достаточного объема бюджетных ассигнований на осуществление национального плана действий, а также реализацию программ и оказание услуг, связанных с инвалидностью.</w:t>
      </w:r>
    </w:p>
    <w:p w:rsidR="00A256F6" w:rsidRPr="00B2257F" w:rsidRDefault="00A256F6" w:rsidP="00A256F6">
      <w:pPr>
        <w:pStyle w:val="H23G"/>
      </w:pPr>
      <w:r>
        <w:tab/>
      </w:r>
      <w:r>
        <w:tab/>
      </w:r>
      <w:r>
        <w:rPr>
          <w:bCs/>
        </w:rPr>
        <w:t>Право на жилище</w:t>
      </w:r>
    </w:p>
    <w:p w:rsidR="00A256F6" w:rsidRPr="00B2257F" w:rsidRDefault="00A256F6" w:rsidP="00A256F6">
      <w:pPr>
        <w:pStyle w:val="SingleTxtG"/>
      </w:pPr>
      <w:r>
        <w:t>42.</w:t>
      </w:r>
      <w:r>
        <w:tab/>
        <w:t xml:space="preserve">Комитет принимает к сведению предоставленную ему информацию о последних программах в области жилищного строительства, но при этом выражает обеспокоенность по поводу отсутствия подробных сведений о принятых эффективных мерах по предоставлению социального жилья обездоленным и </w:t>
      </w:r>
      <w:proofErr w:type="spellStart"/>
      <w:r>
        <w:t>маргинализированным</w:t>
      </w:r>
      <w:proofErr w:type="spellEnd"/>
      <w:r>
        <w:t xml:space="preserve"> лицам и семьям, например трудящимся-мигрантам и людям, проживающим в сельских районах, а также о принятых мерах с целью </w:t>
      </w:r>
      <w:proofErr w:type="spellStart"/>
      <w:r>
        <w:t>уделения</w:t>
      </w:r>
      <w:proofErr w:type="spellEnd"/>
      <w:r>
        <w:t xml:space="preserve"> приоритетного внимания интересам этих групп населения при разработке и реализации программ жилищного строительства (статья 11).</w:t>
      </w:r>
    </w:p>
    <w:p w:rsidR="00A256F6" w:rsidRPr="00B2257F" w:rsidRDefault="00A256F6" w:rsidP="00A256F6">
      <w:pPr>
        <w:pStyle w:val="SingleTxtG"/>
        <w:rPr>
          <w:b/>
          <w:bCs/>
        </w:rPr>
      </w:pPr>
      <w:r>
        <w:t>43.</w:t>
      </w:r>
      <w:r>
        <w:tab/>
      </w:r>
      <w:r>
        <w:rPr>
          <w:b/>
          <w:bCs/>
        </w:rPr>
        <w:t xml:space="preserve">Комитет рекомендует государству-участнику принять все необходимые меры для обеспечения обделенных и </w:t>
      </w:r>
      <w:proofErr w:type="spellStart"/>
      <w:r>
        <w:rPr>
          <w:b/>
          <w:bCs/>
        </w:rPr>
        <w:t>мар</w:t>
      </w:r>
      <w:r w:rsidR="006A1485">
        <w:rPr>
          <w:b/>
          <w:bCs/>
        </w:rPr>
        <w:t>гинализированных</w:t>
      </w:r>
      <w:proofErr w:type="spellEnd"/>
      <w:r w:rsidR="006A1485">
        <w:rPr>
          <w:b/>
          <w:bCs/>
        </w:rPr>
        <w:t xml:space="preserve"> лиц и семей, в </w:t>
      </w:r>
      <w:r>
        <w:rPr>
          <w:b/>
          <w:bCs/>
        </w:rPr>
        <w:t>частности трудящихся-мигрантов и лиц, проживающих в сельских районах, финансово доступным социальным жильем.</w:t>
      </w:r>
      <w:r>
        <w:t xml:space="preserve"> </w:t>
      </w:r>
      <w:r>
        <w:rPr>
          <w:b/>
          <w:bCs/>
        </w:rPr>
        <w:t>Комитет просит государство-участник подробно осветить этот вопрос в своем следующем периодическом докладе.</w:t>
      </w:r>
      <w:r>
        <w:t xml:space="preserve"> </w:t>
      </w:r>
      <w:r>
        <w:rPr>
          <w:b/>
          <w:bCs/>
        </w:rPr>
        <w:t>Комитет обращает внимание государства-участника на свое замечание общего порядка № 4 (1991) о праве на достаточное жилище.</w:t>
      </w:r>
      <w:r>
        <w:t xml:space="preserve"> </w:t>
      </w:r>
    </w:p>
    <w:p w:rsidR="00A256F6" w:rsidRPr="00B2257F" w:rsidRDefault="00A256F6" w:rsidP="00A256F6">
      <w:pPr>
        <w:pStyle w:val="H23G"/>
      </w:pPr>
      <w:r>
        <w:tab/>
      </w:r>
      <w:r>
        <w:tab/>
      </w:r>
      <w:r>
        <w:rPr>
          <w:bCs/>
        </w:rPr>
        <w:t>Осознанное согласие на медицинские процедуры</w:t>
      </w:r>
    </w:p>
    <w:p w:rsidR="00A256F6" w:rsidRPr="00B2257F" w:rsidRDefault="00A256F6" w:rsidP="00A256F6">
      <w:pPr>
        <w:pStyle w:val="SingleTxtG"/>
      </w:pPr>
      <w:r>
        <w:t>44.</w:t>
      </w:r>
      <w:r>
        <w:tab/>
        <w:t>Комитет обеспокоен тем, что в соответстви</w:t>
      </w:r>
      <w:r w:rsidR="0024132E">
        <w:t>и с частью 2 статьи 94 Кодекса «О </w:t>
      </w:r>
      <w:r>
        <w:t>здоровье народа и системе здравоохранения</w:t>
      </w:r>
      <w:r w:rsidR="0024132E">
        <w:t>»</w:t>
      </w:r>
      <w:r>
        <w:t xml:space="preserve"> врачи могут осуществлять медицинские манипуляции над пациентами, признанными </w:t>
      </w:r>
      <w:r w:rsidR="0024132E">
        <w:t>«</w:t>
      </w:r>
      <w:r>
        <w:t>недееспособными</w:t>
      </w:r>
      <w:r w:rsidR="0024132E">
        <w:t>»</w:t>
      </w:r>
      <w:r>
        <w:t>, без предварительного получения их осознанного согласия, ограничиваясь согласием их законных представителей. Комитет также обеспокоен т</w:t>
      </w:r>
      <w:r w:rsidR="0024132E">
        <w:t>ем, что согласно пункту 5 части </w:t>
      </w:r>
      <w:r>
        <w:t xml:space="preserve">9 статьи 180 Кодекса в отдельных случаях на лицах, признанных судом недееспособными, могут проводиться </w:t>
      </w:r>
      <w:r w:rsidR="0024132E">
        <w:t>«</w:t>
      </w:r>
      <w:r>
        <w:t>клинические исследования медицинских технологий и лекарственных средств, предназначенных для лечения психических расстройств (заболеваний)</w:t>
      </w:r>
      <w:r w:rsidR="0024132E">
        <w:t>»</w:t>
      </w:r>
      <w:r>
        <w:t xml:space="preserve"> — если это больные психическими расстройствами (заболеваниями). Кроме того, Комитет обеспокоен тем, что, несмотря на то, что принудительное помещение в психиатрические учреждения может быть осуществлено только на основании постановления суда, лиц, признанных недееспособными, могут поместить в психиатрическое учреждение против их воли (статья 12). </w:t>
      </w:r>
    </w:p>
    <w:p w:rsidR="00A256F6" w:rsidRPr="00B2257F" w:rsidRDefault="00A256F6" w:rsidP="00A256F6">
      <w:pPr>
        <w:pStyle w:val="SingleTxtG"/>
        <w:rPr>
          <w:b/>
          <w:bCs/>
        </w:rPr>
      </w:pPr>
      <w:r>
        <w:t>45.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:rsidR="00A256F6" w:rsidRPr="0024132E" w:rsidRDefault="00A256F6" w:rsidP="00A256F6">
      <w:pPr>
        <w:pStyle w:val="SingleTxtG"/>
        <w:rPr>
          <w:b/>
          <w:bCs/>
        </w:rPr>
      </w:pPr>
      <w:r>
        <w:tab/>
      </w:r>
      <w:r w:rsidR="0024132E">
        <w:tab/>
      </w:r>
      <w:r w:rsidRPr="0024132E">
        <w:rPr>
          <w:b/>
        </w:rPr>
        <w:t>a)</w:t>
      </w:r>
      <w:r w:rsidRPr="0024132E">
        <w:rPr>
          <w:b/>
        </w:rPr>
        <w:tab/>
      </w:r>
      <w:r w:rsidRPr="0024132E">
        <w:rPr>
          <w:b/>
          <w:bCs/>
        </w:rPr>
        <w:t xml:space="preserve">рассмотреть вопрос о внесении в часть 2 статьи 94 Кодекса </w:t>
      </w:r>
      <w:r w:rsidR="0024132E" w:rsidRPr="0024132E">
        <w:rPr>
          <w:b/>
          <w:bCs/>
        </w:rPr>
        <w:t>«</w:t>
      </w:r>
      <w:r w:rsidR="0024132E">
        <w:rPr>
          <w:b/>
          <w:bCs/>
        </w:rPr>
        <w:t>О </w:t>
      </w:r>
      <w:r w:rsidRPr="0024132E">
        <w:rPr>
          <w:b/>
          <w:bCs/>
        </w:rPr>
        <w:t>здоровье народа и системе здравоохранения</w:t>
      </w:r>
      <w:r w:rsidR="0024132E" w:rsidRPr="0024132E">
        <w:rPr>
          <w:b/>
          <w:bCs/>
        </w:rPr>
        <w:t>»</w:t>
      </w:r>
      <w:r w:rsidRPr="0024132E">
        <w:rPr>
          <w:b/>
          <w:bCs/>
        </w:rPr>
        <w:t xml:space="preserve"> поправок, гарантирующих лечение пациентов, признанных недееспособными, только на основе их свободного и осознанного согласия за исключением случаев, когда особые обстоятельства требуют иного, принимая во внимание опубликованный Всемирной организацией здравоохранения в 2003 году свод методических рекомендаций относительно психического здоровья, законодательства и прав человека;</w:t>
      </w:r>
      <w:r w:rsidRPr="0024132E">
        <w:rPr>
          <w:b/>
        </w:rPr>
        <w:t xml:space="preserve"> </w:t>
      </w:r>
    </w:p>
    <w:p w:rsidR="00A256F6" w:rsidRPr="00B2257F" w:rsidRDefault="0024132E" w:rsidP="00A256F6">
      <w:pPr>
        <w:pStyle w:val="SingleTxtG"/>
        <w:rPr>
          <w:b/>
          <w:bCs/>
        </w:rPr>
      </w:pPr>
      <w:r w:rsidRPr="0024132E">
        <w:rPr>
          <w:b/>
        </w:rPr>
        <w:tab/>
      </w:r>
      <w:r w:rsidR="00A256F6" w:rsidRPr="0024132E">
        <w:rPr>
          <w:b/>
        </w:rPr>
        <w:tab/>
        <w:t>b)</w:t>
      </w:r>
      <w:r w:rsidR="00A256F6" w:rsidRPr="0024132E">
        <w:rPr>
          <w:b/>
        </w:rPr>
        <w:tab/>
      </w:r>
      <w:r w:rsidR="00A256F6" w:rsidRPr="0024132E">
        <w:rPr>
          <w:b/>
          <w:bCs/>
        </w:rPr>
        <w:t xml:space="preserve">рассмотреть возможность изъятия из пункта 5 части 9 статьи 180 Кодекса </w:t>
      </w:r>
      <w:r w:rsidRPr="0024132E">
        <w:rPr>
          <w:b/>
          <w:bCs/>
        </w:rPr>
        <w:t>«</w:t>
      </w:r>
      <w:r w:rsidR="00A256F6" w:rsidRPr="0024132E">
        <w:rPr>
          <w:b/>
          <w:bCs/>
        </w:rPr>
        <w:t>О здоровье народа и системе здравоохранения</w:t>
      </w:r>
      <w:r w:rsidRPr="0024132E">
        <w:rPr>
          <w:b/>
          <w:bCs/>
        </w:rPr>
        <w:t>»</w:t>
      </w:r>
      <w:r w:rsidR="00A256F6" w:rsidRPr="0024132E">
        <w:rPr>
          <w:b/>
          <w:bCs/>
        </w:rPr>
        <w:t xml:space="preserve"> исключения из запрета </w:t>
      </w:r>
      <w:r w:rsidR="00A256F6" w:rsidRPr="0024132E">
        <w:rPr>
          <w:b/>
          <w:bCs/>
        </w:rPr>
        <w:lastRenderedPageBreak/>
        <w:t>на проведение к</w:t>
      </w:r>
      <w:r w:rsidR="00A256F6">
        <w:rPr>
          <w:b/>
          <w:bCs/>
        </w:rPr>
        <w:t>линических исследований медицинских технологий и лекарственных средств на больных психическими расстройствами (заболеваниями), которые были признаны судом недееспособными;</w:t>
      </w:r>
    </w:p>
    <w:p w:rsidR="00A256F6" w:rsidRPr="00B2257F" w:rsidRDefault="0024132E" w:rsidP="00A256F6">
      <w:pPr>
        <w:pStyle w:val="SingleTxtG"/>
        <w:rPr>
          <w:b/>
          <w:bCs/>
        </w:rPr>
      </w:pPr>
      <w:r>
        <w:tab/>
      </w:r>
      <w:r w:rsidR="00A256F6">
        <w:tab/>
      </w:r>
      <w:r w:rsidR="00A256F6" w:rsidRPr="0024132E">
        <w:rPr>
          <w:b/>
        </w:rPr>
        <w:t>c)</w:t>
      </w:r>
      <w:r w:rsidR="00A256F6" w:rsidRPr="0024132E">
        <w:rPr>
          <w:b/>
        </w:rPr>
        <w:tab/>
      </w:r>
      <w:r w:rsidR="00A256F6" w:rsidRPr="0024132E">
        <w:rPr>
          <w:b/>
          <w:bCs/>
        </w:rPr>
        <w:t>гаран</w:t>
      </w:r>
      <w:r w:rsidR="00A256F6">
        <w:rPr>
          <w:b/>
          <w:bCs/>
        </w:rPr>
        <w:t>тировать полное уважение прав человека пациентов психиатрических учреждений, в том числе посредством независимого и эффективного мониторинга процедур лечения и организации эффективного судебного надзора за выдачей назначений на помещение в психиатрические учреждения.</w:t>
      </w:r>
    </w:p>
    <w:p w:rsidR="00A256F6" w:rsidRPr="00B2257F" w:rsidRDefault="00A256F6" w:rsidP="00A256F6">
      <w:pPr>
        <w:pStyle w:val="H23G"/>
      </w:pPr>
      <w:r>
        <w:tab/>
      </w:r>
      <w:r>
        <w:tab/>
      </w:r>
      <w:r>
        <w:rPr>
          <w:bCs/>
        </w:rPr>
        <w:t>Употребление наркотиков</w:t>
      </w:r>
      <w:r>
        <w:t xml:space="preserve"> </w:t>
      </w:r>
    </w:p>
    <w:p w:rsidR="00A256F6" w:rsidRPr="00B2257F" w:rsidRDefault="00A256F6" w:rsidP="00A256F6">
      <w:pPr>
        <w:pStyle w:val="SingleTxtG"/>
      </w:pPr>
      <w:r>
        <w:t>46.</w:t>
      </w:r>
      <w:r>
        <w:tab/>
      </w:r>
      <w:r w:rsidRPr="00505FCC">
        <w:t xml:space="preserve">Комитет обеспокоен числом лиц, имеющих зависимость от </w:t>
      </w:r>
      <w:proofErr w:type="spellStart"/>
      <w:r w:rsidRPr="00505FCC">
        <w:t>опиоидов</w:t>
      </w:r>
      <w:proofErr w:type="spellEnd"/>
      <w:r w:rsidRPr="00505FCC">
        <w:t>, и ростом доли ВИЧ-инфицированных среди лиц, употребляющих наркотики путем инъекций. Он также обеспокоен тем, что программы снижения вреда, реабилитации и лечения опиоидной зависимости, в частности заместительная терапия, остаются недоступными большому числу нуждающихся в них лиц.</w:t>
      </w:r>
      <w:r>
        <w:t xml:space="preserve"> Комитет также обеспокоен тем, что отнесение употребления наркотиков к уголовно наказуемым деяниям препятствует участию в этих программах многих лиц, употребляющих наркотики, а также сообщениями о случаях получения полицией и прокуратурой доступа к историям болезни лиц, проходящих лечение от наркозависимости в медицинских учреждениях (статья 12). </w:t>
      </w:r>
    </w:p>
    <w:p w:rsidR="00A256F6" w:rsidRPr="00B2257F" w:rsidRDefault="00A256F6" w:rsidP="00A256F6">
      <w:pPr>
        <w:pStyle w:val="SingleTxtG"/>
        <w:rPr>
          <w:b/>
          <w:bCs/>
        </w:rPr>
      </w:pPr>
      <w:r>
        <w:t>47.</w:t>
      </w:r>
      <w:r>
        <w:tab/>
      </w:r>
      <w:r>
        <w:rPr>
          <w:b/>
          <w:bCs/>
        </w:rPr>
        <w:t>Комитет рекомендует государству-участнику активизировать усилия по профилактике злоупотребления наркотиками, в том числе путем проведения информационно-просветительских кампаний.</w:t>
      </w:r>
      <w:r>
        <w:t xml:space="preserve"> </w:t>
      </w:r>
      <w:r>
        <w:rPr>
          <w:b/>
          <w:bCs/>
        </w:rPr>
        <w:t>Он также рекомендует государству-участнику усовершенствовать программы снижения вреда и предоставлять лицам, употребляющим наркотики, надлежащее медицинское обслуживание, психологическую поддержку и услуги по реабилитации, включая заместительную терапию при лечении опиоидной зависимости.</w:t>
      </w:r>
      <w:r>
        <w:t xml:space="preserve"> </w:t>
      </w:r>
      <w:r>
        <w:rPr>
          <w:b/>
          <w:bCs/>
        </w:rPr>
        <w:t>Комитет далее рекомендует государству-участнику обеспечить конфиденциальность историй болезни лиц, употребляющих наркотики, и рассмотреть вопрос об отмене уголовной ответственности за употребление наркотиков.</w:t>
      </w:r>
      <w:r>
        <w:t xml:space="preserve"> </w:t>
      </w:r>
      <w:r>
        <w:rPr>
          <w:b/>
          <w:bCs/>
        </w:rPr>
        <w:t>Комитет обращает внимание государства-участника на свое замечание общего порядка № 14 (2000) о праве на наивысший достижимый уровень здоровья.</w:t>
      </w:r>
    </w:p>
    <w:p w:rsidR="00A256F6" w:rsidRPr="00B2257F" w:rsidRDefault="00A256F6" w:rsidP="00A256F6">
      <w:pPr>
        <w:pStyle w:val="H23G"/>
      </w:pPr>
      <w:r>
        <w:tab/>
      </w:r>
      <w:r>
        <w:tab/>
      </w:r>
      <w:r>
        <w:rPr>
          <w:bCs/>
        </w:rPr>
        <w:t>Право на образование</w:t>
      </w:r>
      <w:r>
        <w:t xml:space="preserve"> </w:t>
      </w:r>
    </w:p>
    <w:p w:rsidR="00A256F6" w:rsidRPr="00B2257F" w:rsidRDefault="00A256F6" w:rsidP="00A256F6">
      <w:pPr>
        <w:pStyle w:val="SingleTxtG"/>
      </w:pPr>
      <w:r>
        <w:t>48.</w:t>
      </w:r>
      <w:r>
        <w:tab/>
        <w:t xml:space="preserve">Признавая усилия государства-участника по обеспечению всеобщего доступа к образованию и повышению его качества, Комитет в то же время по-прежнему обеспокоен сообщениями о том, что: </w:t>
      </w:r>
    </w:p>
    <w:p w:rsidR="00A256F6" w:rsidRPr="00B2257F" w:rsidRDefault="0024132E" w:rsidP="00A256F6">
      <w:pPr>
        <w:pStyle w:val="SingleTxtG"/>
      </w:pPr>
      <w:r>
        <w:tab/>
      </w:r>
      <w:r w:rsidR="00A256F6">
        <w:tab/>
        <w:t>a)</w:t>
      </w:r>
      <w:r w:rsidR="00A256F6">
        <w:tab/>
        <w:t>значительное число детей не имеют доступа к первым ступеням образования и что между регионами существуют значительные различия в доступности и качестве предоставляемого образования;</w:t>
      </w:r>
    </w:p>
    <w:p w:rsidR="00A256F6" w:rsidRPr="00B2257F" w:rsidRDefault="0024132E" w:rsidP="00A256F6">
      <w:pPr>
        <w:pStyle w:val="SingleTxtG"/>
      </w:pPr>
      <w:r>
        <w:tab/>
      </w:r>
      <w:r w:rsidR="00A256F6">
        <w:tab/>
        <w:t>b)</w:t>
      </w:r>
      <w:r w:rsidR="00A256F6">
        <w:tab/>
        <w:t>система образования по-прежнему страдает от повсеместной коррупции, особенно проявляющейся в контексте приема детей в школу и получения ими высоких оценок;</w:t>
      </w:r>
    </w:p>
    <w:p w:rsidR="00A256F6" w:rsidRPr="00B2257F" w:rsidRDefault="0024132E" w:rsidP="00A256F6">
      <w:pPr>
        <w:pStyle w:val="SingleTxtG"/>
      </w:pPr>
      <w:r>
        <w:tab/>
      </w:r>
      <w:r w:rsidR="00A256F6">
        <w:tab/>
        <w:t>c)</w:t>
      </w:r>
      <w:r w:rsidR="00A256F6">
        <w:tab/>
        <w:t xml:space="preserve">согласно данным Программы международной оценки учащихся, </w:t>
      </w:r>
      <w:r>
        <w:t>в </w:t>
      </w:r>
      <w:r w:rsidR="00A256F6">
        <w:t xml:space="preserve">сопоставлении с уровнем развития качество предоставляемого образования остается низким, что объясняется нехваткой необходимой инфраструктуры и недостаточным числом квалифицированных учителей; </w:t>
      </w:r>
    </w:p>
    <w:p w:rsidR="00A256F6" w:rsidRPr="00B2257F" w:rsidRDefault="0024132E" w:rsidP="00A256F6">
      <w:pPr>
        <w:pStyle w:val="SingleTxtG"/>
      </w:pPr>
      <w:r>
        <w:tab/>
      </w:r>
      <w:r w:rsidR="00A256F6">
        <w:tab/>
        <w:t>d)</w:t>
      </w:r>
      <w:r w:rsidR="00A256F6">
        <w:tab/>
        <w:t>качество инклюзивного образован</w:t>
      </w:r>
      <w:r>
        <w:t>ия и доступ к нему инвалидов по</w:t>
      </w:r>
      <w:r>
        <w:noBreakHyphen/>
      </w:r>
      <w:r w:rsidR="00A256F6">
        <w:t>прежнему остаются на низком уровне;</w:t>
      </w:r>
    </w:p>
    <w:p w:rsidR="00A256F6" w:rsidRPr="00B2257F" w:rsidRDefault="0024132E" w:rsidP="00A256F6">
      <w:pPr>
        <w:pStyle w:val="SingleTxtG"/>
      </w:pPr>
      <w:r>
        <w:tab/>
      </w:r>
      <w:r w:rsidR="00A256F6">
        <w:tab/>
        <w:t>e)</w:t>
      </w:r>
      <w:r w:rsidR="00A256F6">
        <w:tab/>
        <w:t>многие дети мигрантов, не имеющих регистрации, не могут учиться или получить учебники из-за проблем с регистрацией или отсутствия документов, удостоверяющих личность;</w:t>
      </w:r>
    </w:p>
    <w:p w:rsidR="00A256F6" w:rsidRPr="00B2257F" w:rsidRDefault="0024132E" w:rsidP="00A256F6">
      <w:pPr>
        <w:pStyle w:val="SingleTxtG"/>
      </w:pPr>
      <w:r>
        <w:lastRenderedPageBreak/>
        <w:tab/>
      </w:r>
      <w:r w:rsidR="00A256F6">
        <w:tab/>
        <w:t>f)</w:t>
      </w:r>
      <w:r w:rsidR="00A256F6">
        <w:tab/>
        <w:t>в школах продолжаются издевательс</w:t>
      </w:r>
      <w:r w:rsidR="006A1485">
        <w:t>тва, насилие и дискриминация, в </w:t>
      </w:r>
      <w:r w:rsidR="00A256F6">
        <w:t xml:space="preserve">частности в отношении учеников из числа лесбиянок, гомосексуалистов, бисексуалов и транссексуалов; </w:t>
      </w:r>
    </w:p>
    <w:p w:rsidR="00A256F6" w:rsidRPr="00B2257F" w:rsidRDefault="00A256F6" w:rsidP="00A256F6">
      <w:pPr>
        <w:pStyle w:val="SingleTxtG"/>
      </w:pPr>
      <w:r>
        <w:tab/>
      </w:r>
      <w:r w:rsidR="0024132E">
        <w:tab/>
      </w:r>
      <w:r>
        <w:t>g)</w:t>
      </w:r>
      <w:r>
        <w:tab/>
        <w:t>многие учащиеся не имеют доступа к образованию на родном языке национального меньшинства, к которому они относятся (статья 13).</w:t>
      </w:r>
    </w:p>
    <w:p w:rsidR="00A256F6" w:rsidRPr="00B2257F" w:rsidRDefault="00A256F6" w:rsidP="00A256F6">
      <w:pPr>
        <w:pStyle w:val="SingleTxtG"/>
        <w:rPr>
          <w:b/>
          <w:bCs/>
        </w:rPr>
      </w:pPr>
      <w:r>
        <w:t>49.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:rsidR="00A256F6" w:rsidRPr="0024132E" w:rsidRDefault="0024132E" w:rsidP="00A256F6">
      <w:pPr>
        <w:pStyle w:val="SingleTxtG"/>
        <w:rPr>
          <w:b/>
          <w:bCs/>
        </w:rPr>
      </w:pPr>
      <w:r>
        <w:tab/>
      </w:r>
      <w:r w:rsidR="00A256F6">
        <w:tab/>
      </w:r>
      <w:r w:rsidR="00A256F6" w:rsidRPr="0024132E">
        <w:rPr>
          <w:b/>
        </w:rPr>
        <w:t>a)</w:t>
      </w:r>
      <w:r w:rsidR="00A256F6" w:rsidRPr="0024132E">
        <w:rPr>
          <w:b/>
        </w:rPr>
        <w:tab/>
      </w:r>
      <w:r w:rsidR="00A256F6" w:rsidRPr="0024132E">
        <w:rPr>
          <w:b/>
          <w:bCs/>
        </w:rPr>
        <w:t>повысить качество государственных образовательных услуг, в том числе путем увеличения бюджетных ассигнований на начальное и среднее образование в целях расширения всеобщего доступа к нему и повышения качества образования на всех его ступенях; повысить показатели охвата населения образованием на всех его ступенях, уделяя особое внимание девочкам, детям, проживающим в сельских районах, и детям из малообеспеченных семей;</w:t>
      </w:r>
    </w:p>
    <w:p w:rsidR="00A256F6" w:rsidRPr="0024132E" w:rsidRDefault="0024132E" w:rsidP="00A256F6">
      <w:pPr>
        <w:pStyle w:val="SingleTxtG"/>
        <w:rPr>
          <w:b/>
          <w:bCs/>
        </w:rPr>
      </w:pPr>
      <w:r w:rsidRPr="0024132E">
        <w:rPr>
          <w:b/>
        </w:rPr>
        <w:tab/>
      </w:r>
      <w:r w:rsidR="00A256F6" w:rsidRPr="0024132E">
        <w:rPr>
          <w:b/>
        </w:rPr>
        <w:tab/>
        <w:t>b)</w:t>
      </w:r>
      <w:r w:rsidR="00A256F6" w:rsidRPr="0024132E">
        <w:rPr>
          <w:b/>
        </w:rPr>
        <w:tab/>
      </w:r>
      <w:r w:rsidR="00A256F6" w:rsidRPr="0024132E">
        <w:rPr>
          <w:b/>
          <w:bCs/>
        </w:rPr>
        <w:t xml:space="preserve">продолжать вести работу по искоренению коррупции в учебных заведениях, в частности путем создания </w:t>
      </w:r>
      <w:proofErr w:type="spellStart"/>
      <w:r w:rsidR="00A256F6" w:rsidRPr="0024132E">
        <w:rPr>
          <w:b/>
          <w:bCs/>
        </w:rPr>
        <w:t>транспарентных</w:t>
      </w:r>
      <w:proofErr w:type="spellEnd"/>
      <w:r w:rsidR="00A256F6" w:rsidRPr="0024132E">
        <w:rPr>
          <w:b/>
          <w:bCs/>
        </w:rPr>
        <w:t xml:space="preserve"> систем зачисления и очевидных каналов для информирования о нарушениях, а также посредством проведения эффективных расследований по делам о предполагаемой коррупции;</w:t>
      </w:r>
    </w:p>
    <w:p w:rsidR="00A256F6" w:rsidRPr="0024132E" w:rsidRDefault="0024132E" w:rsidP="00A256F6">
      <w:pPr>
        <w:pStyle w:val="SingleTxtG"/>
        <w:rPr>
          <w:b/>
          <w:bCs/>
        </w:rPr>
      </w:pPr>
      <w:r w:rsidRPr="0024132E">
        <w:rPr>
          <w:b/>
        </w:rPr>
        <w:tab/>
      </w:r>
      <w:r w:rsidR="00A256F6" w:rsidRPr="0024132E">
        <w:rPr>
          <w:b/>
        </w:rPr>
        <w:tab/>
        <w:t>c)</w:t>
      </w:r>
      <w:r w:rsidR="00A256F6" w:rsidRPr="0024132E">
        <w:rPr>
          <w:b/>
        </w:rPr>
        <w:tab/>
      </w:r>
      <w:r w:rsidR="00A256F6" w:rsidRPr="0024132E">
        <w:rPr>
          <w:b/>
          <w:bCs/>
        </w:rPr>
        <w:t>повысить качество образования и увеличить инвестиции в инфраструктуру и программы подготовки учителей;</w:t>
      </w:r>
    </w:p>
    <w:p w:rsidR="00A256F6" w:rsidRPr="0024132E" w:rsidRDefault="0024132E" w:rsidP="00A256F6">
      <w:pPr>
        <w:pStyle w:val="SingleTxtG"/>
        <w:rPr>
          <w:b/>
          <w:bCs/>
        </w:rPr>
      </w:pPr>
      <w:r w:rsidRPr="0024132E">
        <w:rPr>
          <w:b/>
        </w:rPr>
        <w:tab/>
      </w:r>
      <w:r w:rsidR="00A256F6" w:rsidRPr="0024132E">
        <w:rPr>
          <w:b/>
        </w:rPr>
        <w:tab/>
        <w:t>d)</w:t>
      </w:r>
      <w:r w:rsidR="00A256F6" w:rsidRPr="0024132E">
        <w:rPr>
          <w:b/>
        </w:rPr>
        <w:tab/>
      </w:r>
      <w:r w:rsidR="00A256F6" w:rsidRPr="0024132E">
        <w:rPr>
          <w:b/>
          <w:bCs/>
        </w:rPr>
        <w:t>приложить максимальные усилия для охвата всех детей-инвалидов инклюзивным образованием, в том числе выделять ресурсы на цели разумного приспособления и организации дополнительной профессиональной подготовки учителей;</w:t>
      </w:r>
    </w:p>
    <w:p w:rsidR="00A256F6" w:rsidRPr="0024132E" w:rsidRDefault="0024132E" w:rsidP="00A256F6">
      <w:pPr>
        <w:pStyle w:val="SingleTxtG"/>
        <w:rPr>
          <w:b/>
          <w:bCs/>
        </w:rPr>
      </w:pPr>
      <w:r w:rsidRPr="0024132E">
        <w:rPr>
          <w:b/>
        </w:rPr>
        <w:tab/>
      </w:r>
      <w:r w:rsidR="00A256F6" w:rsidRPr="0024132E">
        <w:rPr>
          <w:b/>
        </w:rPr>
        <w:tab/>
        <w:t>e)</w:t>
      </w:r>
      <w:r w:rsidR="00A256F6" w:rsidRPr="0024132E">
        <w:rPr>
          <w:b/>
        </w:rPr>
        <w:tab/>
      </w:r>
      <w:r w:rsidR="00A256F6" w:rsidRPr="0024132E">
        <w:rPr>
          <w:b/>
          <w:bCs/>
        </w:rPr>
        <w:t>защищать всех детей от издевательств и насилия в школах и активизировать усилия по предотвращению такого поведения среди детей;</w:t>
      </w:r>
    </w:p>
    <w:p w:rsidR="00A256F6" w:rsidRPr="0024132E" w:rsidRDefault="0024132E" w:rsidP="00A256F6">
      <w:pPr>
        <w:pStyle w:val="SingleTxtG"/>
        <w:rPr>
          <w:b/>
          <w:bCs/>
        </w:rPr>
      </w:pPr>
      <w:r w:rsidRPr="0024132E">
        <w:rPr>
          <w:b/>
        </w:rPr>
        <w:tab/>
      </w:r>
      <w:r w:rsidR="00A256F6" w:rsidRPr="0024132E">
        <w:rPr>
          <w:b/>
        </w:rPr>
        <w:tab/>
        <w:t>f)</w:t>
      </w:r>
      <w:r w:rsidR="00A256F6" w:rsidRPr="0024132E">
        <w:rPr>
          <w:b/>
        </w:rPr>
        <w:tab/>
      </w:r>
      <w:r w:rsidR="00A256F6" w:rsidRPr="0024132E">
        <w:rPr>
          <w:b/>
          <w:bCs/>
        </w:rPr>
        <w:t>обеспечить учащимся из числа этнических меньшинств доступ к образованию на их родном языке;</w:t>
      </w:r>
      <w:r w:rsidR="00A256F6" w:rsidRPr="0024132E">
        <w:rPr>
          <w:b/>
        </w:rPr>
        <w:t xml:space="preserve"> </w:t>
      </w:r>
    </w:p>
    <w:p w:rsidR="00A256F6" w:rsidRPr="00B2257F" w:rsidRDefault="0024132E" w:rsidP="00A256F6">
      <w:pPr>
        <w:pStyle w:val="SingleTxtG"/>
        <w:rPr>
          <w:b/>
          <w:bCs/>
        </w:rPr>
      </w:pPr>
      <w:r w:rsidRPr="0024132E">
        <w:rPr>
          <w:b/>
        </w:rPr>
        <w:tab/>
      </w:r>
      <w:r w:rsidR="00A256F6" w:rsidRPr="0024132E">
        <w:rPr>
          <w:b/>
        </w:rPr>
        <w:tab/>
        <w:t>g)</w:t>
      </w:r>
      <w:r w:rsidR="00A256F6" w:rsidRPr="0024132E">
        <w:rPr>
          <w:b/>
        </w:rPr>
        <w:tab/>
      </w:r>
      <w:r w:rsidR="00A256F6" w:rsidRPr="0024132E">
        <w:rPr>
          <w:b/>
          <w:bCs/>
        </w:rPr>
        <w:t>обратить внимание на принятое Комитетом замечание общего порядка № 13 (199</w:t>
      </w:r>
      <w:r w:rsidR="00A256F6">
        <w:rPr>
          <w:b/>
          <w:bCs/>
        </w:rPr>
        <w:t>9) о праве на образование (ст</w:t>
      </w:r>
      <w:r w:rsidR="006A1485">
        <w:rPr>
          <w:b/>
          <w:bCs/>
        </w:rPr>
        <w:t>атья</w:t>
      </w:r>
      <w:r w:rsidR="00A256F6">
        <w:rPr>
          <w:b/>
          <w:bCs/>
        </w:rPr>
        <w:t xml:space="preserve"> 13).</w:t>
      </w:r>
    </w:p>
    <w:p w:rsidR="00A256F6" w:rsidRPr="00B2257F" w:rsidRDefault="00A256F6" w:rsidP="00A256F6">
      <w:pPr>
        <w:pStyle w:val="H23G"/>
      </w:pPr>
      <w:r>
        <w:tab/>
      </w:r>
      <w:r>
        <w:tab/>
      </w:r>
      <w:r>
        <w:rPr>
          <w:bCs/>
        </w:rPr>
        <w:t>Культурные права</w:t>
      </w:r>
      <w:r>
        <w:t xml:space="preserve"> </w:t>
      </w:r>
    </w:p>
    <w:p w:rsidR="00A256F6" w:rsidRPr="00B2257F" w:rsidRDefault="00A256F6" w:rsidP="00A256F6">
      <w:pPr>
        <w:pStyle w:val="SingleTxtG"/>
      </w:pPr>
      <w:r>
        <w:t>50.</w:t>
      </w:r>
      <w:r>
        <w:tab/>
        <w:t>Комитет обеспокоен сообщениями о коррупции при распределении бюджета на научные исследования и о непрозрачности этого процесса, а также тем, как это влияет на право на участие в научной деятельности. Комитет также обеспокоен тем, что, хотя молодежь составляет большую часть населения страны, в государстве-участнике, согласно имеющейся информации, отсутствуют стратегии вовлечения молодежи в науку и культуру (статья 15).</w:t>
      </w:r>
    </w:p>
    <w:p w:rsidR="00A256F6" w:rsidRPr="00B2257F" w:rsidRDefault="00A256F6" w:rsidP="00A256F6">
      <w:pPr>
        <w:pStyle w:val="SingleTxtG"/>
        <w:rPr>
          <w:b/>
          <w:bCs/>
        </w:rPr>
      </w:pPr>
      <w:r>
        <w:t>51.</w:t>
      </w:r>
      <w:r>
        <w:tab/>
      </w:r>
      <w:r>
        <w:rPr>
          <w:b/>
          <w:bCs/>
        </w:rPr>
        <w:t>Комитет рекомендует государству-участнику и далее вести работу по поощрению развития науки и культуры и их популяризации, и в частности увеличить бюджетные ассигнования на эти сферы.</w:t>
      </w:r>
      <w:r>
        <w:t xml:space="preserve"> </w:t>
      </w:r>
      <w:r>
        <w:rPr>
          <w:b/>
          <w:bCs/>
        </w:rPr>
        <w:t>Он рекомендует также государству-участнику принять необходимые меры для дальнейшего укрепления физической и финансовой доступности культурных мероприятий и разработать политику и программы вовлечения молодежи в научную и культурную деятельность.</w:t>
      </w:r>
    </w:p>
    <w:p w:rsidR="00A256F6" w:rsidRPr="00B2257F" w:rsidRDefault="00A256F6" w:rsidP="0024132E">
      <w:pPr>
        <w:pStyle w:val="H1G"/>
      </w:pPr>
      <w:r>
        <w:tab/>
        <w:t>D.</w:t>
      </w:r>
      <w:r>
        <w:tab/>
      </w:r>
      <w:proofErr w:type="gramStart"/>
      <w:r>
        <w:t>Другие</w:t>
      </w:r>
      <w:proofErr w:type="gramEnd"/>
      <w:r>
        <w:t xml:space="preserve"> рекомендации</w:t>
      </w:r>
    </w:p>
    <w:p w:rsidR="00A256F6" w:rsidRPr="00B2257F" w:rsidRDefault="00A256F6" w:rsidP="00A256F6">
      <w:pPr>
        <w:pStyle w:val="SingleTxtG"/>
        <w:rPr>
          <w:b/>
          <w:bCs/>
        </w:rPr>
      </w:pPr>
      <w:r>
        <w:t>52.</w:t>
      </w:r>
      <w:r>
        <w:tab/>
      </w:r>
      <w:r>
        <w:rPr>
          <w:b/>
          <w:bCs/>
        </w:rPr>
        <w:t>Комитет призывает государство-участник ратифицировать Факультативный протокол к Международному пакту об экономических, социальных и культурных правах.</w:t>
      </w:r>
    </w:p>
    <w:p w:rsidR="00A256F6" w:rsidRPr="00DC5D41" w:rsidRDefault="00A256F6" w:rsidP="00A256F6">
      <w:pPr>
        <w:pStyle w:val="SingleTxtG"/>
        <w:rPr>
          <w:b/>
          <w:bCs/>
        </w:rPr>
      </w:pPr>
      <w:r>
        <w:t>53.</w:t>
      </w:r>
      <w:r>
        <w:tab/>
      </w:r>
      <w:r>
        <w:rPr>
          <w:b/>
          <w:bCs/>
        </w:rPr>
        <w:t xml:space="preserve">Комитет рекомендует государству-участнику в полной мере учитывать свои обязательства в соответствии с Пактом и обеспечивать полную реализацию закрепленных в нем прав в ходе осуществления на национальном уровне </w:t>
      </w:r>
      <w:r>
        <w:rPr>
          <w:b/>
          <w:bCs/>
        </w:rPr>
        <w:lastRenderedPageBreak/>
        <w:t>Повестки дня в области устойчивого развития на период до 2030 года, при необходимости прибегая к международной поддержке и сотрудничеству.</w:t>
      </w:r>
      <w:r>
        <w:t xml:space="preserve"> </w:t>
      </w:r>
      <w:r>
        <w:rPr>
          <w:b/>
          <w:bCs/>
        </w:rPr>
        <w:t>Государство-участник могло бы существенно содействовать достижению Целей в области устойчивого развития путем создания независимых механизмов мониторинга достигнутого прогресса и обращения с бенефициарами программ государственной помощи как с правообладателями, которые могут запрашивать причитающиеся им льготы.</w:t>
      </w:r>
      <w:r>
        <w:t xml:space="preserve"> </w:t>
      </w:r>
      <w:r>
        <w:rPr>
          <w:b/>
          <w:bCs/>
        </w:rPr>
        <w:t xml:space="preserve">Достижение Целей на основе принципов участия, подотчетности и </w:t>
      </w:r>
      <w:proofErr w:type="spellStart"/>
      <w:r>
        <w:rPr>
          <w:b/>
          <w:bCs/>
        </w:rPr>
        <w:t>недискриминации</w:t>
      </w:r>
      <w:proofErr w:type="spellEnd"/>
      <w:r>
        <w:rPr>
          <w:b/>
          <w:bCs/>
        </w:rPr>
        <w:t xml:space="preserve"> будет гарантировать, что никто не будет забыт.</w:t>
      </w:r>
    </w:p>
    <w:p w:rsidR="00A256F6" w:rsidRPr="00DC5D41" w:rsidRDefault="00A256F6" w:rsidP="00A256F6">
      <w:pPr>
        <w:pStyle w:val="SingleTxtG"/>
        <w:rPr>
          <w:b/>
          <w:bCs/>
        </w:rPr>
      </w:pPr>
      <w:r>
        <w:t>54.</w:t>
      </w:r>
      <w:r>
        <w:tab/>
      </w:r>
      <w:r>
        <w:rPr>
          <w:b/>
          <w:bCs/>
        </w:rPr>
        <w:t>Комитет рекомендует государству-участнику принять меры в целях поэтапной разработки и применения соответствующих показателей осуществления экономических, социальных и культурных прав для облегчения оценки прогресса, достигнутого государством-участником в деле выполнения им своих обязательств по Пакту применительно к различным слоям населения.</w:t>
      </w:r>
      <w:r>
        <w:t xml:space="preserve"> </w:t>
      </w:r>
      <w:r w:rsidR="006A1485">
        <w:rPr>
          <w:b/>
          <w:bCs/>
        </w:rPr>
        <w:t>В </w:t>
      </w:r>
      <w:r>
        <w:rPr>
          <w:b/>
          <w:bCs/>
        </w:rPr>
        <w:t>связи с этим Комитет обращает внимание государства-участника, в частности, на концептуальное и методологическое обоснование показателей в области прав человека</w:t>
      </w:r>
      <w:bookmarkStart w:id="0" w:name="_GoBack"/>
      <w:bookmarkEnd w:id="0"/>
      <w:r>
        <w:rPr>
          <w:b/>
          <w:bCs/>
        </w:rPr>
        <w:t>, которое было разработано Управлением Верховного комиссара Организации Объединенных Наций по правам человека (см. HRI/MC/2008/3).</w:t>
      </w:r>
    </w:p>
    <w:p w:rsidR="00A256F6" w:rsidRPr="00DC5D41" w:rsidRDefault="00A256F6" w:rsidP="00A256F6">
      <w:pPr>
        <w:pStyle w:val="SingleTxtG"/>
        <w:rPr>
          <w:b/>
          <w:bCs/>
        </w:rPr>
      </w:pPr>
      <w:r>
        <w:t>55.</w:t>
      </w:r>
      <w:r>
        <w:tab/>
      </w:r>
      <w:r>
        <w:rPr>
          <w:b/>
          <w:bCs/>
        </w:rPr>
        <w:t>Комитет просит государство-участник обеспечить широкое распространение настоящих заключительных замечаний среди всех слоев общества, в том числе на национальном, облас</w:t>
      </w:r>
      <w:r w:rsidR="006A1485">
        <w:rPr>
          <w:b/>
          <w:bCs/>
        </w:rPr>
        <w:t>тном и муниципальном уровнях, в </w:t>
      </w:r>
      <w:r>
        <w:rPr>
          <w:b/>
          <w:bCs/>
        </w:rPr>
        <w:t>частности среди парламентариев, государственных должностных лиц и судебных органов, и в своем следующем периодическом докладе сообщить Комитету о шагах, предпринятых с целью их выполнения.</w:t>
      </w:r>
      <w:r>
        <w:t xml:space="preserve"> </w:t>
      </w:r>
      <w:r>
        <w:rPr>
          <w:b/>
          <w:bCs/>
        </w:rPr>
        <w:t>Комитет рекомендует государству-участнику привлечь Уполномоченного по правам человека (Омбудсмена), неправительственные организации и других членов гражданского общества к процессу принятия последующих мер в соответствии с настоящими заключительными замечаниями, а также к процессу консультаций на национальном уровне перед представлением следующего периодического доклада.</w:t>
      </w:r>
    </w:p>
    <w:p w:rsidR="00A256F6" w:rsidRPr="00DC5D41" w:rsidRDefault="00A256F6" w:rsidP="00A256F6">
      <w:pPr>
        <w:pStyle w:val="SingleTxtG"/>
        <w:rPr>
          <w:b/>
          <w:bCs/>
        </w:rPr>
      </w:pPr>
      <w:r>
        <w:t>56.</w:t>
      </w:r>
      <w:r>
        <w:tab/>
      </w:r>
      <w:r>
        <w:rPr>
          <w:b/>
          <w:bCs/>
        </w:rPr>
        <w:t xml:space="preserve">В соответствии с процедурой последующей деятельности по выполнению принятых Комитетом заключительных замечаний Комитет просит государство-участник в течение 24 месяцев с момента принятия настоящих заключительных замечаний предоставить информацию о выполнении рекомендаций, содержащихся в пунктах, посвященных </w:t>
      </w:r>
      <w:proofErr w:type="spellStart"/>
      <w:r>
        <w:rPr>
          <w:b/>
          <w:bCs/>
        </w:rPr>
        <w:t>недискриминации</w:t>
      </w:r>
      <w:proofErr w:type="spellEnd"/>
      <w:r>
        <w:rPr>
          <w:b/>
          <w:bCs/>
        </w:rPr>
        <w:t xml:space="preserve"> (</w:t>
      </w:r>
      <w:proofErr w:type="gramStart"/>
      <w:r>
        <w:rPr>
          <w:b/>
          <w:bCs/>
        </w:rPr>
        <w:t>подпункты</w:t>
      </w:r>
      <w:proofErr w:type="gramEnd"/>
      <w:r>
        <w:rPr>
          <w:b/>
          <w:bCs/>
        </w:rPr>
        <w:t xml:space="preserve"> а) и b) пункта 11), максимальным имеющимся ресурсам (пункт 20) и профсоюзным правам (пункт 33).</w:t>
      </w:r>
      <w:r>
        <w:t xml:space="preserve"> </w:t>
      </w:r>
    </w:p>
    <w:p w:rsidR="00381C24" w:rsidRDefault="00A256F6" w:rsidP="00A256F6">
      <w:pPr>
        <w:pStyle w:val="SingleTxtG"/>
      </w:pPr>
      <w:r>
        <w:t>57.</w:t>
      </w:r>
      <w:r>
        <w:tab/>
      </w:r>
      <w:r>
        <w:rPr>
          <w:b/>
          <w:bCs/>
        </w:rPr>
        <w:t>Комитет просит государство-участник подготовить свой третий периодический доклад в соответствии с руководящими принципами представления докладов, принятыми Комитетом</w:t>
      </w:r>
      <w:r w:rsidR="0024132E">
        <w:rPr>
          <w:b/>
          <w:bCs/>
        </w:rPr>
        <w:t xml:space="preserve"> в 2008 году (E/C.12/2008/2), и </w:t>
      </w:r>
      <w:r>
        <w:rPr>
          <w:b/>
          <w:bCs/>
        </w:rPr>
        <w:t>представить его до 31 марта 2024 года.</w:t>
      </w:r>
    </w:p>
    <w:p w:rsidR="00A256F6" w:rsidRPr="00A256F6" w:rsidRDefault="00A256F6" w:rsidP="00A256F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256F6" w:rsidRPr="00A256F6" w:rsidSect="00A256F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C3D" w:rsidRPr="00A312BC" w:rsidRDefault="00456C3D" w:rsidP="00A312BC"/>
  </w:endnote>
  <w:endnote w:type="continuationSeparator" w:id="0">
    <w:p w:rsidR="00456C3D" w:rsidRPr="00A312BC" w:rsidRDefault="00456C3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F6" w:rsidRPr="00A256F6" w:rsidRDefault="00A256F6">
    <w:pPr>
      <w:pStyle w:val="aa"/>
    </w:pPr>
    <w:r w:rsidRPr="00A256F6">
      <w:rPr>
        <w:b/>
        <w:sz w:val="18"/>
      </w:rPr>
      <w:fldChar w:fldCharType="begin"/>
    </w:r>
    <w:r w:rsidRPr="00A256F6">
      <w:rPr>
        <w:b/>
        <w:sz w:val="18"/>
      </w:rPr>
      <w:instrText xml:space="preserve"> PAGE  \* MERGEFORMAT </w:instrText>
    </w:r>
    <w:r w:rsidRPr="00A256F6">
      <w:rPr>
        <w:b/>
        <w:sz w:val="18"/>
      </w:rPr>
      <w:fldChar w:fldCharType="separate"/>
    </w:r>
    <w:r w:rsidR="005B58FB">
      <w:rPr>
        <w:b/>
        <w:noProof/>
        <w:sz w:val="18"/>
      </w:rPr>
      <w:t>10</w:t>
    </w:r>
    <w:r w:rsidRPr="00A256F6">
      <w:rPr>
        <w:b/>
        <w:sz w:val="18"/>
      </w:rPr>
      <w:fldChar w:fldCharType="end"/>
    </w:r>
    <w:r>
      <w:rPr>
        <w:b/>
        <w:sz w:val="18"/>
      </w:rPr>
      <w:tab/>
    </w:r>
    <w:r>
      <w:t>GE.19-05266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F6" w:rsidRPr="00A256F6" w:rsidRDefault="00A256F6" w:rsidP="00A256F6">
    <w:pPr>
      <w:pStyle w:val="aa"/>
      <w:tabs>
        <w:tab w:val="clear" w:pos="9639"/>
        <w:tab w:val="right" w:pos="9638"/>
      </w:tabs>
      <w:rPr>
        <w:b/>
        <w:sz w:val="18"/>
      </w:rPr>
    </w:pPr>
    <w:r>
      <w:t>GE.19-05266</w:t>
    </w:r>
    <w:r>
      <w:tab/>
    </w:r>
    <w:r w:rsidRPr="00A256F6">
      <w:rPr>
        <w:b/>
        <w:sz w:val="18"/>
      </w:rPr>
      <w:fldChar w:fldCharType="begin"/>
    </w:r>
    <w:r w:rsidRPr="00A256F6">
      <w:rPr>
        <w:b/>
        <w:sz w:val="18"/>
      </w:rPr>
      <w:instrText xml:space="preserve"> PAGE  \* MERGEFORMAT </w:instrText>
    </w:r>
    <w:r w:rsidRPr="00A256F6">
      <w:rPr>
        <w:b/>
        <w:sz w:val="18"/>
      </w:rPr>
      <w:fldChar w:fldCharType="separate"/>
    </w:r>
    <w:r w:rsidR="005B58FB">
      <w:rPr>
        <w:b/>
        <w:noProof/>
        <w:sz w:val="18"/>
      </w:rPr>
      <w:t>11</w:t>
    </w:r>
    <w:r w:rsidRPr="00A256F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A256F6" w:rsidRDefault="00A256F6" w:rsidP="00A256F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D02EAED" wp14:editId="73FB7F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05266  (</w:t>
    </w:r>
    <w:proofErr w:type="gramEnd"/>
    <w:r>
      <w:t>R)</w:t>
    </w:r>
    <w:r>
      <w:rPr>
        <w:lang w:val="en-US"/>
      </w:rPr>
      <w:t xml:space="preserve">  080419  110419</w:t>
    </w:r>
    <w:r>
      <w:br/>
    </w:r>
    <w:r w:rsidRPr="00A256F6">
      <w:rPr>
        <w:rFonts w:ascii="C39T30Lfz" w:hAnsi="C39T30Lfz"/>
        <w:kern w:val="14"/>
        <w:sz w:val="56"/>
      </w:rPr>
      <w:t></w:t>
    </w:r>
    <w:r w:rsidRPr="00A256F6">
      <w:rPr>
        <w:rFonts w:ascii="C39T30Lfz" w:hAnsi="C39T30Lfz"/>
        <w:kern w:val="14"/>
        <w:sz w:val="56"/>
      </w:rPr>
      <w:t></w:t>
    </w:r>
    <w:r w:rsidRPr="00A256F6">
      <w:rPr>
        <w:rFonts w:ascii="C39T30Lfz" w:hAnsi="C39T30Lfz"/>
        <w:kern w:val="14"/>
        <w:sz w:val="56"/>
      </w:rPr>
      <w:t></w:t>
    </w:r>
    <w:r w:rsidRPr="00A256F6">
      <w:rPr>
        <w:rFonts w:ascii="C39T30Lfz" w:hAnsi="C39T30Lfz"/>
        <w:kern w:val="14"/>
        <w:sz w:val="56"/>
      </w:rPr>
      <w:t></w:t>
    </w:r>
    <w:r w:rsidRPr="00A256F6">
      <w:rPr>
        <w:rFonts w:ascii="C39T30Lfz" w:hAnsi="C39T30Lfz"/>
        <w:kern w:val="14"/>
        <w:sz w:val="56"/>
      </w:rPr>
      <w:t></w:t>
    </w:r>
    <w:r w:rsidRPr="00A256F6">
      <w:rPr>
        <w:rFonts w:ascii="C39T30Lfz" w:hAnsi="C39T30Lfz"/>
        <w:kern w:val="14"/>
        <w:sz w:val="56"/>
      </w:rPr>
      <w:t></w:t>
    </w:r>
    <w:r w:rsidRPr="00A256F6">
      <w:rPr>
        <w:rFonts w:ascii="C39T30Lfz" w:hAnsi="C39T30Lfz"/>
        <w:kern w:val="14"/>
        <w:sz w:val="56"/>
      </w:rPr>
      <w:t></w:t>
    </w:r>
    <w:r w:rsidRPr="00A256F6">
      <w:rPr>
        <w:rFonts w:ascii="C39T30Lfz" w:hAnsi="C39T30Lfz"/>
        <w:kern w:val="14"/>
        <w:sz w:val="56"/>
      </w:rPr>
      <w:t></w:t>
    </w:r>
    <w:r w:rsidRPr="00A256F6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/C.12/KAZ/CO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KAZ/CO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C3D" w:rsidRPr="001075E9" w:rsidRDefault="00456C3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56C3D" w:rsidRDefault="00456C3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256F6" w:rsidRPr="00DC5D41" w:rsidRDefault="00A256F6" w:rsidP="00A256F6">
      <w:pPr>
        <w:pStyle w:val="af"/>
        <w:rPr>
          <w:color w:val="000000"/>
        </w:rPr>
      </w:pPr>
      <w:r>
        <w:tab/>
      </w:r>
      <w:r w:rsidRPr="00A256F6">
        <w:rPr>
          <w:sz w:val="20"/>
        </w:rPr>
        <w:t>*</w:t>
      </w:r>
      <w:r>
        <w:tab/>
        <w:t>Приняты Комитетом на его шестьдесят пятой сессии (18 февраля – 8 марта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F6" w:rsidRPr="00A256F6" w:rsidRDefault="00A256F6">
    <w:pPr>
      <w:pStyle w:val="a5"/>
    </w:pPr>
    <w:fldSimple w:instr=" TITLE  \* MERGEFORMAT ">
      <w:r w:rsidR="005B58FB">
        <w:t>E/C.12/KAZ/CO/2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F6" w:rsidRPr="00A256F6" w:rsidRDefault="00A256F6" w:rsidP="00A256F6">
    <w:pPr>
      <w:pStyle w:val="a5"/>
      <w:jc w:val="right"/>
    </w:pPr>
    <w:fldSimple w:instr=" TITLE  \* MERGEFORMAT ">
      <w:r w:rsidR="005B58FB">
        <w:t>E/C.12/KAZ/CO/2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3D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0C13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4132E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56C3D"/>
    <w:rsid w:val="00472C5C"/>
    <w:rsid w:val="0050108D"/>
    <w:rsid w:val="00513081"/>
    <w:rsid w:val="00517901"/>
    <w:rsid w:val="00522E43"/>
    <w:rsid w:val="00526683"/>
    <w:rsid w:val="005709E0"/>
    <w:rsid w:val="00572E19"/>
    <w:rsid w:val="005961C8"/>
    <w:rsid w:val="005966F1"/>
    <w:rsid w:val="005B2F86"/>
    <w:rsid w:val="005B58FB"/>
    <w:rsid w:val="005D7914"/>
    <w:rsid w:val="005E2B41"/>
    <w:rsid w:val="005F0B42"/>
    <w:rsid w:val="005F1707"/>
    <w:rsid w:val="00640F49"/>
    <w:rsid w:val="00681A10"/>
    <w:rsid w:val="006A1485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906890"/>
    <w:rsid w:val="00911BE4"/>
    <w:rsid w:val="00951972"/>
    <w:rsid w:val="009608F3"/>
    <w:rsid w:val="009A24AC"/>
    <w:rsid w:val="00A14DA8"/>
    <w:rsid w:val="00A21F00"/>
    <w:rsid w:val="00A256F6"/>
    <w:rsid w:val="00A312BC"/>
    <w:rsid w:val="00A84021"/>
    <w:rsid w:val="00A84D35"/>
    <w:rsid w:val="00A917B3"/>
    <w:rsid w:val="00AB2DBD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ADEAC6"/>
  <w15:docId w15:val="{581276FA-A7A0-4C03-B4BD-42AA9A2B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8817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customStyle="1" w:styleId="SingleTxtGChar">
    <w:name w:val="_ Single Txt_G Char"/>
    <w:basedOn w:val="a0"/>
    <w:link w:val="SingleTxtG"/>
    <w:rsid w:val="00A256F6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2</TotalTime>
  <Pages>11</Pages>
  <Words>4281</Words>
  <Characters>30697</Characters>
  <Application>Microsoft Office Word</Application>
  <DocSecurity>0</DocSecurity>
  <Lines>558</Lines>
  <Paragraphs>139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E/C.12/KAZ/CO/2</vt:lpstr>
      <vt:lpstr>A/</vt:lpstr>
      <vt:lpstr>A/</vt:lpstr>
    </vt:vector>
  </TitlesOfParts>
  <Company>DCM</Company>
  <LinksUpToDate>false</LinksUpToDate>
  <CharactersWithSpaces>34839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E/C.12/KAZ/CO/2</dc:title>
  <dc:subject/>
  <dc:creator>Marina KOROTKOVA</dc:creator>
  <cp:keywords/>
  <cp:lastModifiedBy>Marina Korotkova</cp:lastModifiedBy>
  <cp:revision>3</cp:revision>
  <cp:lastPrinted>2019-04-11T07:21:00Z</cp:lastPrinted>
  <dcterms:created xsi:type="dcterms:W3CDTF">2019-04-11T07:21:00Z</dcterms:created>
  <dcterms:modified xsi:type="dcterms:W3CDTF">2019-04-11T07:23:00Z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