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1771B8"/>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1771B8" w:rsidP="001771B8">
            <w:pPr>
              <w:jc w:val="right"/>
            </w:pPr>
            <w:r w:rsidRPr="001771B8">
              <w:rPr>
                <w:sz w:val="40"/>
              </w:rPr>
              <w:t>E</w:t>
            </w:r>
            <w:r>
              <w:t>/C.12/NOR/6</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1771B8" w:rsidP="0002432E">
            <w:pPr>
              <w:spacing w:before="240"/>
            </w:pPr>
            <w:r>
              <w:t>Distr. générale</w:t>
            </w:r>
          </w:p>
          <w:p w:rsidR="001771B8" w:rsidRDefault="001771B8" w:rsidP="001771B8">
            <w:pPr>
              <w:spacing w:line="240" w:lineRule="exact"/>
            </w:pPr>
            <w:r>
              <w:t>2 décembre 2019</w:t>
            </w:r>
          </w:p>
          <w:p w:rsidR="001771B8" w:rsidRDefault="001771B8" w:rsidP="001771B8">
            <w:pPr>
              <w:spacing w:line="240" w:lineRule="exact"/>
            </w:pPr>
            <w:r>
              <w:t>Français</w:t>
            </w:r>
          </w:p>
          <w:p w:rsidR="001771B8" w:rsidRDefault="001771B8" w:rsidP="001771B8">
            <w:pPr>
              <w:spacing w:line="240" w:lineRule="exact"/>
            </w:pPr>
            <w:r>
              <w:t>Original : anglais</w:t>
            </w:r>
          </w:p>
          <w:p w:rsidR="001771B8" w:rsidRPr="00DB58B5" w:rsidRDefault="001771B8" w:rsidP="001771B8">
            <w:pPr>
              <w:spacing w:line="240" w:lineRule="exact"/>
            </w:pPr>
            <w:r>
              <w:t>Anglais, espagnol et français seulement</w:t>
            </w:r>
          </w:p>
        </w:tc>
      </w:tr>
    </w:tbl>
    <w:p w:rsidR="001771B8" w:rsidRPr="00E4666C" w:rsidRDefault="001771B8" w:rsidP="001771B8">
      <w:pPr>
        <w:spacing w:before="120"/>
        <w:rPr>
          <w:b/>
          <w:sz w:val="24"/>
          <w:szCs w:val="24"/>
        </w:rPr>
      </w:pPr>
      <w:r w:rsidRPr="00E4666C">
        <w:rPr>
          <w:b/>
          <w:sz w:val="24"/>
          <w:szCs w:val="24"/>
        </w:rPr>
        <w:t>Comité des droits économiques, sociaux et culturels</w:t>
      </w:r>
    </w:p>
    <w:p w:rsidR="001771B8" w:rsidRPr="00262910" w:rsidRDefault="001771B8" w:rsidP="001771B8">
      <w:pPr>
        <w:pStyle w:val="HMG"/>
        <w:rPr>
          <w:lang w:val="fr-FR"/>
        </w:rPr>
      </w:pPr>
      <w:r w:rsidRPr="00262910">
        <w:rPr>
          <w:lang w:val="fr-FR"/>
        </w:rPr>
        <w:tab/>
      </w:r>
      <w:r w:rsidRPr="00262910">
        <w:rPr>
          <w:lang w:val="fr-FR"/>
        </w:rPr>
        <w:tab/>
        <w:t xml:space="preserve">Sixième rapport périodique soumis par la Norvège en application des articles 16 et 17 du Pacte, </w:t>
      </w:r>
      <w:r w:rsidRPr="00C9236D">
        <w:rPr>
          <w:lang w:val="fr-FR"/>
        </w:rPr>
        <w:t>attendu</w:t>
      </w:r>
      <w:r w:rsidRPr="00262910">
        <w:rPr>
          <w:lang w:val="fr-FR"/>
        </w:rPr>
        <w:t xml:space="preserve"> en 2019</w:t>
      </w:r>
      <w:r w:rsidRPr="00262910">
        <w:rPr>
          <w:b w:val="0"/>
          <w:sz w:val="20"/>
          <w:lang w:val="fr-FR"/>
        </w:rPr>
        <w:footnoteReference w:customMarkFollows="1" w:id="2"/>
        <w:t>*</w:t>
      </w:r>
    </w:p>
    <w:p w:rsidR="001771B8" w:rsidRDefault="001771B8" w:rsidP="001771B8">
      <w:pPr>
        <w:pStyle w:val="SingleTxtG"/>
        <w:jc w:val="right"/>
        <w:rPr>
          <w:lang w:val="fr-FR"/>
        </w:rPr>
      </w:pPr>
      <w:r w:rsidRPr="00262910">
        <w:rPr>
          <w:lang w:val="fr-FR"/>
        </w:rPr>
        <w:t>[Date de réception</w:t>
      </w:r>
      <w:r>
        <w:rPr>
          <w:lang w:val="fr-FR"/>
        </w:rPr>
        <w:t> </w:t>
      </w:r>
      <w:r w:rsidRPr="00262910">
        <w:rPr>
          <w:lang w:val="fr-FR"/>
        </w:rPr>
        <w:t>: 31 octobre 2019]</w:t>
      </w:r>
    </w:p>
    <w:p w:rsidR="001771B8" w:rsidRPr="00262910" w:rsidRDefault="001771B8" w:rsidP="001771B8">
      <w:pPr>
        <w:pStyle w:val="H1G"/>
        <w:rPr>
          <w:lang w:val="fr-FR"/>
        </w:rPr>
      </w:pPr>
      <w:bookmarkStart w:id="0" w:name="_GoBack"/>
      <w:bookmarkEnd w:id="0"/>
      <w:r>
        <w:rPr>
          <w:lang w:val="fr-FR"/>
        </w:rPr>
        <w:br w:type="page"/>
      </w:r>
      <w:r w:rsidRPr="00262910">
        <w:rPr>
          <w:lang w:val="fr-FR"/>
        </w:rPr>
        <w:lastRenderedPageBreak/>
        <w:tab/>
      </w:r>
      <w:r w:rsidRPr="00262910">
        <w:rPr>
          <w:lang w:val="fr-FR"/>
        </w:rPr>
        <w:tab/>
        <w:t>Réponse au paragraphe 1 de la liste de points (E/C.12/NOR/QPR/6)</w:t>
      </w:r>
    </w:p>
    <w:p w:rsidR="001771B8" w:rsidRPr="00262910" w:rsidRDefault="001771B8" w:rsidP="001771B8">
      <w:pPr>
        <w:pStyle w:val="SingleTxtG"/>
        <w:rPr>
          <w:lang w:val="fr-FR"/>
        </w:rPr>
      </w:pPr>
      <w:r w:rsidRPr="00262910">
        <w:rPr>
          <w:lang w:val="fr-FR"/>
        </w:rPr>
        <w:t>1.</w:t>
      </w:r>
      <w:r w:rsidRPr="00262910">
        <w:rPr>
          <w:lang w:val="fr-FR"/>
        </w:rPr>
        <w:tab/>
      </w:r>
      <w:r>
        <w:rPr>
          <w:lang w:val="fr-FR"/>
        </w:rPr>
        <w:t>U</w:t>
      </w:r>
      <w:r w:rsidRPr="00262910">
        <w:rPr>
          <w:lang w:val="fr-FR"/>
        </w:rPr>
        <w:t>ne nouvelle section, qui regroupe les disposition</w:t>
      </w:r>
      <w:r>
        <w:rPr>
          <w:lang w:val="fr-FR"/>
        </w:rPr>
        <w:t>s</w:t>
      </w:r>
      <w:r w:rsidRPr="00262910">
        <w:rPr>
          <w:lang w:val="fr-FR"/>
        </w:rPr>
        <w:t xml:space="preserve"> relatives aux droits de l</w:t>
      </w:r>
      <w:r>
        <w:rPr>
          <w:lang w:val="fr-FR"/>
        </w:rPr>
        <w:t>’</w:t>
      </w:r>
      <w:r w:rsidRPr="00262910">
        <w:rPr>
          <w:lang w:val="fr-FR"/>
        </w:rPr>
        <w:t xml:space="preserve">homme et en introduit de nouvelles, a été incorporée </w:t>
      </w:r>
      <w:r>
        <w:rPr>
          <w:lang w:val="fr-FR"/>
        </w:rPr>
        <w:t>e</w:t>
      </w:r>
      <w:r w:rsidRPr="003608C3">
        <w:rPr>
          <w:lang w:val="fr-FR"/>
        </w:rPr>
        <w:t xml:space="preserve">n 2014, </w:t>
      </w:r>
      <w:r w:rsidRPr="00262910">
        <w:rPr>
          <w:lang w:val="fr-FR"/>
        </w:rPr>
        <w:t>dans la Constitution norvégienne</w:t>
      </w:r>
      <w:r>
        <w:rPr>
          <w:lang w:val="fr-FR"/>
        </w:rPr>
        <w:t xml:space="preserve">, qui </w:t>
      </w:r>
      <w:r w:rsidRPr="00262910">
        <w:rPr>
          <w:lang w:val="fr-FR"/>
        </w:rPr>
        <w:t>contient désormais des dispositions concernant la liberté d</w:t>
      </w:r>
      <w:r>
        <w:rPr>
          <w:lang w:val="fr-FR"/>
        </w:rPr>
        <w:t>’</w:t>
      </w:r>
      <w:r w:rsidRPr="00262910">
        <w:rPr>
          <w:lang w:val="fr-FR"/>
        </w:rPr>
        <w:t>association, y compris la liberté d</w:t>
      </w:r>
      <w:r>
        <w:rPr>
          <w:lang w:val="fr-FR"/>
        </w:rPr>
        <w:t>’</w:t>
      </w:r>
      <w:r w:rsidRPr="00262910">
        <w:rPr>
          <w:lang w:val="fr-FR"/>
        </w:rPr>
        <w:t>adhérer à des syndicats (art</w:t>
      </w:r>
      <w:r>
        <w:rPr>
          <w:lang w:val="fr-FR"/>
        </w:rPr>
        <w:t>. </w:t>
      </w:r>
      <w:r w:rsidRPr="00262910">
        <w:rPr>
          <w:lang w:val="fr-FR"/>
        </w:rPr>
        <w:t>101), le devoir de l</w:t>
      </w:r>
      <w:r>
        <w:rPr>
          <w:lang w:val="fr-FR"/>
        </w:rPr>
        <w:t>’</w:t>
      </w:r>
      <w:r w:rsidRPr="00262910">
        <w:rPr>
          <w:lang w:val="fr-FR"/>
        </w:rPr>
        <w:t>État de veiller à ce que les enfants bénéficient de la sécurité économique, sociale et sanitaire (art</w:t>
      </w:r>
      <w:r>
        <w:rPr>
          <w:lang w:val="fr-FR"/>
        </w:rPr>
        <w:t>. </w:t>
      </w:r>
      <w:r w:rsidRPr="00262910">
        <w:rPr>
          <w:lang w:val="fr-FR"/>
        </w:rPr>
        <w:t>104), les devoirs de l</w:t>
      </w:r>
      <w:r>
        <w:rPr>
          <w:lang w:val="fr-FR"/>
        </w:rPr>
        <w:t>’</w:t>
      </w:r>
      <w:r w:rsidRPr="00262910">
        <w:rPr>
          <w:lang w:val="fr-FR"/>
        </w:rPr>
        <w:t xml:space="preserve">État envers le peuple </w:t>
      </w:r>
      <w:r>
        <w:rPr>
          <w:lang w:val="fr-FR"/>
        </w:rPr>
        <w:t>sâme</w:t>
      </w:r>
      <w:r w:rsidRPr="00262910">
        <w:rPr>
          <w:lang w:val="fr-FR"/>
        </w:rPr>
        <w:t xml:space="preserve"> (</w:t>
      </w:r>
      <w:r w:rsidR="00EF1FC6" w:rsidRPr="00262910">
        <w:rPr>
          <w:lang w:val="fr-FR"/>
        </w:rPr>
        <w:t>art</w:t>
      </w:r>
      <w:r w:rsidR="00EF1FC6">
        <w:rPr>
          <w:lang w:val="fr-FR"/>
        </w:rPr>
        <w:t>. </w:t>
      </w:r>
      <w:r w:rsidRPr="00262910">
        <w:rPr>
          <w:lang w:val="fr-FR"/>
        </w:rPr>
        <w:t>108), le droit à l</w:t>
      </w:r>
      <w:r>
        <w:rPr>
          <w:lang w:val="fr-FR"/>
        </w:rPr>
        <w:t>’</w:t>
      </w:r>
      <w:r w:rsidRPr="00262910">
        <w:rPr>
          <w:lang w:val="fr-FR"/>
        </w:rPr>
        <w:t>éducation (</w:t>
      </w:r>
      <w:r w:rsidR="00EF1FC6" w:rsidRPr="00262910">
        <w:rPr>
          <w:lang w:val="fr-FR"/>
        </w:rPr>
        <w:t>art</w:t>
      </w:r>
      <w:r w:rsidR="00EF1FC6">
        <w:rPr>
          <w:lang w:val="fr-FR"/>
        </w:rPr>
        <w:t>. </w:t>
      </w:r>
      <w:r w:rsidRPr="00262910">
        <w:rPr>
          <w:lang w:val="fr-FR"/>
        </w:rPr>
        <w:t>109), l</w:t>
      </w:r>
      <w:r>
        <w:rPr>
          <w:lang w:val="fr-FR"/>
        </w:rPr>
        <w:t>’</w:t>
      </w:r>
      <w:r w:rsidRPr="00262910">
        <w:rPr>
          <w:lang w:val="fr-FR"/>
        </w:rPr>
        <w:t>obligation incombant à l</w:t>
      </w:r>
      <w:r>
        <w:rPr>
          <w:lang w:val="fr-FR"/>
        </w:rPr>
        <w:t>’</w:t>
      </w:r>
      <w:r w:rsidRPr="00262910">
        <w:rPr>
          <w:lang w:val="fr-FR"/>
        </w:rPr>
        <w:t xml:space="preserve">État de créer les conditions permettant </w:t>
      </w:r>
      <w:r>
        <w:rPr>
          <w:lang w:val="fr-FR"/>
        </w:rPr>
        <w:t>à</w:t>
      </w:r>
      <w:r w:rsidRPr="00262910">
        <w:rPr>
          <w:lang w:val="fr-FR"/>
        </w:rPr>
        <w:t xml:space="preserve"> toute personne en mesure de travailler de pouvoir vivre de son travail ou de son entreprise, le droit à la sécurité sociale (</w:t>
      </w:r>
      <w:r w:rsidR="00EF1FC6" w:rsidRPr="00262910">
        <w:rPr>
          <w:lang w:val="fr-FR"/>
        </w:rPr>
        <w:t>art</w:t>
      </w:r>
      <w:r w:rsidR="00EF1FC6">
        <w:rPr>
          <w:lang w:val="fr-FR"/>
        </w:rPr>
        <w:t>. </w:t>
      </w:r>
      <w:r w:rsidRPr="00262910">
        <w:rPr>
          <w:lang w:val="fr-FR"/>
        </w:rPr>
        <w:t xml:space="preserve">110) et le droit </w:t>
      </w:r>
      <w:r w:rsidRPr="003608C3">
        <w:rPr>
          <w:lang w:val="fr-FR"/>
        </w:rPr>
        <w:t>à un milieu naturel préservé et à un environnement sain</w:t>
      </w:r>
      <w:r w:rsidRPr="00262910">
        <w:rPr>
          <w:lang w:val="fr-FR"/>
        </w:rPr>
        <w:t xml:space="preserve"> (</w:t>
      </w:r>
      <w:r w:rsidR="00EF1FC6" w:rsidRPr="00262910">
        <w:rPr>
          <w:lang w:val="fr-FR"/>
        </w:rPr>
        <w:t>art</w:t>
      </w:r>
      <w:r w:rsidR="00EF1FC6">
        <w:rPr>
          <w:lang w:val="fr-FR"/>
        </w:rPr>
        <w:t>. </w:t>
      </w:r>
      <w:r w:rsidRPr="00262910">
        <w:rPr>
          <w:lang w:val="fr-FR"/>
        </w:rPr>
        <w:t>112). L</w:t>
      </w:r>
      <w:r>
        <w:rPr>
          <w:lang w:val="fr-FR"/>
        </w:rPr>
        <w:t>’</w:t>
      </w:r>
      <w:r w:rsidRPr="00262910">
        <w:rPr>
          <w:lang w:val="fr-FR"/>
        </w:rPr>
        <w:t>article 92 de la Constitution impose aux autorités de l</w:t>
      </w:r>
      <w:r>
        <w:rPr>
          <w:lang w:val="fr-FR"/>
        </w:rPr>
        <w:t>’</w:t>
      </w:r>
      <w:r w:rsidRPr="00262910">
        <w:rPr>
          <w:lang w:val="fr-FR"/>
        </w:rPr>
        <w:t>État l</w:t>
      </w:r>
      <w:r>
        <w:rPr>
          <w:lang w:val="fr-FR"/>
        </w:rPr>
        <w:t>’</w:t>
      </w:r>
      <w:r w:rsidRPr="00262910">
        <w:rPr>
          <w:lang w:val="fr-FR"/>
        </w:rPr>
        <w:t>obligation générale de respecter et de garantir les droits de l</w:t>
      </w:r>
      <w:r>
        <w:rPr>
          <w:lang w:val="fr-FR"/>
        </w:rPr>
        <w:t>’</w:t>
      </w:r>
      <w:r w:rsidRPr="00262910">
        <w:rPr>
          <w:lang w:val="fr-FR"/>
        </w:rPr>
        <w:t>homme énoncés dans la Constitution et dans les instruments relatifs aux droits de l</w:t>
      </w:r>
      <w:r>
        <w:rPr>
          <w:lang w:val="fr-FR"/>
        </w:rPr>
        <w:t>’</w:t>
      </w:r>
      <w:r w:rsidRPr="00262910">
        <w:rPr>
          <w:lang w:val="fr-FR"/>
        </w:rPr>
        <w:t xml:space="preserve">homme auxquels la Norvège est </w:t>
      </w:r>
      <w:r>
        <w:rPr>
          <w:lang w:val="fr-FR"/>
        </w:rPr>
        <w:t>p</w:t>
      </w:r>
      <w:r w:rsidRPr="00262910">
        <w:rPr>
          <w:lang w:val="fr-FR"/>
        </w:rPr>
        <w:t>artie. Le Pacte international relatif aux droits économiques, sociaux et culturels a été incorporé dans le droit norvégien par la loi sur les droits de l</w:t>
      </w:r>
      <w:r>
        <w:rPr>
          <w:lang w:val="fr-FR"/>
        </w:rPr>
        <w:t>’</w:t>
      </w:r>
      <w:r w:rsidRPr="00262910">
        <w:rPr>
          <w:lang w:val="fr-FR"/>
        </w:rPr>
        <w:t xml:space="preserve">homme et prime donc sur les autres lois norvégiennes en cas de conflit de normes. </w:t>
      </w:r>
    </w:p>
    <w:p w:rsidR="001771B8" w:rsidRPr="00262910" w:rsidRDefault="001771B8" w:rsidP="001771B8">
      <w:pPr>
        <w:pStyle w:val="SingleTxtG"/>
        <w:rPr>
          <w:lang w:val="fr-FR"/>
        </w:rPr>
      </w:pPr>
      <w:r w:rsidRPr="00262910">
        <w:rPr>
          <w:lang w:val="fr-FR"/>
        </w:rPr>
        <w:t>2.</w:t>
      </w:r>
      <w:r w:rsidRPr="00262910">
        <w:rPr>
          <w:lang w:val="fr-FR"/>
        </w:rPr>
        <w:tab/>
      </w:r>
      <w:r>
        <w:rPr>
          <w:lang w:val="fr-FR"/>
        </w:rPr>
        <w:t xml:space="preserve">Au cours de </w:t>
      </w:r>
      <w:r w:rsidRPr="00262910">
        <w:rPr>
          <w:lang w:val="fr-FR"/>
        </w:rPr>
        <w:t>la période considérée le Pacte a été invoqué dans deux affaires portées devant la Cour suprême</w:t>
      </w:r>
      <w:r>
        <w:rPr>
          <w:lang w:val="fr-FR"/>
        </w:rPr>
        <w:t xml:space="preserve"> (</w:t>
      </w:r>
      <w:r w:rsidRPr="00262910">
        <w:rPr>
          <w:lang w:val="fr-FR"/>
        </w:rPr>
        <w:t>HR-2018-456-P (art. 1) et HR-2015-342-A (art. 13)</w:t>
      </w:r>
      <w:r>
        <w:rPr>
          <w:lang w:val="fr-FR"/>
        </w:rPr>
        <w:t>)</w:t>
      </w:r>
      <w:r w:rsidRPr="00262910">
        <w:rPr>
          <w:lang w:val="fr-FR"/>
        </w:rPr>
        <w:t>, dans six portées devant les cours d</w:t>
      </w:r>
      <w:r>
        <w:rPr>
          <w:lang w:val="fr-FR"/>
        </w:rPr>
        <w:t>’</w:t>
      </w:r>
      <w:r w:rsidRPr="00262910">
        <w:rPr>
          <w:lang w:val="fr-FR"/>
        </w:rPr>
        <w:t>appel et dans au moins cinq portées devant les tribunaux de district. Les dispositions constitutionnelles susmentionnées ont</w:t>
      </w:r>
      <w:r>
        <w:rPr>
          <w:lang w:val="fr-FR"/>
        </w:rPr>
        <w:t xml:space="preserve"> </w:t>
      </w:r>
      <w:r w:rsidRPr="00262910">
        <w:rPr>
          <w:lang w:val="fr-FR"/>
        </w:rPr>
        <w:t>été invoquées dans plusieurs affaires.</w:t>
      </w:r>
    </w:p>
    <w:p w:rsidR="001771B8" w:rsidRPr="00262910" w:rsidRDefault="001771B8" w:rsidP="001771B8">
      <w:pPr>
        <w:pStyle w:val="SingleTxtG"/>
        <w:rPr>
          <w:lang w:val="fr-FR"/>
        </w:rPr>
      </w:pPr>
      <w:r w:rsidRPr="00262910">
        <w:rPr>
          <w:lang w:val="fr-FR"/>
        </w:rPr>
        <w:t>3.</w:t>
      </w:r>
      <w:r w:rsidRPr="00262910">
        <w:rPr>
          <w:lang w:val="fr-FR"/>
        </w:rPr>
        <w:tab/>
      </w:r>
      <w:r w:rsidRPr="00C61B6B">
        <w:rPr>
          <w:lang w:val="fr-FR"/>
        </w:rPr>
        <w:t>La formation</w:t>
      </w:r>
      <w:r w:rsidRPr="00262910">
        <w:rPr>
          <w:lang w:val="fr-FR"/>
        </w:rPr>
        <w:t xml:space="preserve"> des juges norvégiens repose sur un module de formation initiale et sur une formation continue </w:t>
      </w:r>
      <w:r>
        <w:rPr>
          <w:lang w:val="fr-FR"/>
        </w:rPr>
        <w:t xml:space="preserve">dispensée </w:t>
      </w:r>
      <w:r w:rsidRPr="00262910">
        <w:rPr>
          <w:lang w:val="fr-FR"/>
        </w:rPr>
        <w:t>dans le cadre de séminaires nouvellement introduits</w:t>
      </w:r>
      <w:r>
        <w:rPr>
          <w:lang w:val="fr-FR"/>
        </w:rPr>
        <w:t xml:space="preserve"> à leur intention</w:t>
      </w:r>
      <w:r w:rsidRPr="00262910">
        <w:rPr>
          <w:lang w:val="fr-FR"/>
        </w:rPr>
        <w:t xml:space="preserve">. Le module de formation initiale </w:t>
      </w:r>
      <w:r>
        <w:rPr>
          <w:lang w:val="fr-FR"/>
        </w:rPr>
        <w:t xml:space="preserve">que suivent les juges au </w:t>
      </w:r>
      <w:r w:rsidRPr="00262910">
        <w:rPr>
          <w:lang w:val="fr-FR"/>
        </w:rPr>
        <w:t>cours de la première année suivant l</w:t>
      </w:r>
      <w:r>
        <w:rPr>
          <w:lang w:val="fr-FR"/>
        </w:rPr>
        <w:t xml:space="preserve">eur </w:t>
      </w:r>
      <w:r w:rsidRPr="00262910">
        <w:rPr>
          <w:lang w:val="fr-FR"/>
        </w:rPr>
        <w:t xml:space="preserve">nomination </w:t>
      </w:r>
      <w:r>
        <w:rPr>
          <w:lang w:val="fr-FR"/>
        </w:rPr>
        <w:t xml:space="preserve">fait une large place à </w:t>
      </w:r>
      <w:r w:rsidRPr="00262910">
        <w:rPr>
          <w:lang w:val="fr-FR"/>
        </w:rPr>
        <w:t>la formation aux droits de l</w:t>
      </w:r>
      <w:r>
        <w:rPr>
          <w:lang w:val="fr-FR"/>
        </w:rPr>
        <w:t>’</w:t>
      </w:r>
      <w:r w:rsidRPr="00262910">
        <w:rPr>
          <w:lang w:val="fr-FR"/>
        </w:rPr>
        <w:t xml:space="preserve">homme, </w:t>
      </w:r>
      <w:r>
        <w:rPr>
          <w:lang w:val="fr-FR"/>
        </w:rPr>
        <w:t>en insistant s</w:t>
      </w:r>
      <w:r w:rsidRPr="00262910">
        <w:rPr>
          <w:lang w:val="fr-FR"/>
        </w:rPr>
        <w:t>ur la Convention européenne des droits de l</w:t>
      </w:r>
      <w:r>
        <w:rPr>
          <w:lang w:val="fr-FR"/>
        </w:rPr>
        <w:t>’</w:t>
      </w:r>
      <w:r w:rsidRPr="00262910">
        <w:rPr>
          <w:lang w:val="fr-FR"/>
        </w:rPr>
        <w:t>homme</w:t>
      </w:r>
      <w:r>
        <w:rPr>
          <w:lang w:val="fr-FR"/>
        </w:rPr>
        <w:t>.</w:t>
      </w:r>
      <w:r w:rsidRPr="00262910">
        <w:rPr>
          <w:lang w:val="fr-FR"/>
        </w:rPr>
        <w:t xml:space="preserve"> La formation </w:t>
      </w:r>
      <w:r>
        <w:rPr>
          <w:lang w:val="fr-FR"/>
        </w:rPr>
        <w:t xml:space="preserve">type dispensée aux </w:t>
      </w:r>
      <w:r w:rsidRPr="00262910">
        <w:rPr>
          <w:lang w:val="fr-FR"/>
        </w:rPr>
        <w:t>juges ne comprend pas d</w:t>
      </w:r>
      <w:r>
        <w:rPr>
          <w:lang w:val="fr-FR"/>
        </w:rPr>
        <w:t xml:space="preserve">’élément consacré spécifiquement </w:t>
      </w:r>
      <w:r w:rsidRPr="00262910">
        <w:rPr>
          <w:lang w:val="fr-FR"/>
        </w:rPr>
        <w:t xml:space="preserve">au Pacte, mais tant la formation nationale commune à tous les juges que les séminaires ad hoc </w:t>
      </w:r>
      <w:r>
        <w:rPr>
          <w:lang w:val="fr-FR"/>
        </w:rPr>
        <w:t>c</w:t>
      </w:r>
      <w:r w:rsidRPr="00262910">
        <w:rPr>
          <w:lang w:val="fr-FR"/>
        </w:rPr>
        <w:t>ouv</w:t>
      </w:r>
      <w:r>
        <w:rPr>
          <w:lang w:val="fr-FR"/>
        </w:rPr>
        <w:t xml:space="preserve">rent certains aspects des </w:t>
      </w:r>
      <w:r w:rsidRPr="00262910">
        <w:rPr>
          <w:lang w:val="fr-FR"/>
        </w:rPr>
        <w:t xml:space="preserve">droits énoncés dans le Pacte. </w:t>
      </w:r>
      <w:r>
        <w:rPr>
          <w:lang w:val="fr-FR"/>
        </w:rPr>
        <w:t xml:space="preserve">Une large place est faite aux </w:t>
      </w:r>
      <w:r w:rsidRPr="00262910">
        <w:rPr>
          <w:lang w:val="fr-FR"/>
        </w:rPr>
        <w:t xml:space="preserve">besoins particuliers </w:t>
      </w:r>
      <w:r>
        <w:rPr>
          <w:lang w:val="fr-FR"/>
        </w:rPr>
        <w:t xml:space="preserve">inhérents à une </w:t>
      </w:r>
      <w:r w:rsidRPr="00262910">
        <w:rPr>
          <w:lang w:val="fr-FR"/>
        </w:rPr>
        <w:t>société multiculturelle, ainsi qu</w:t>
      </w:r>
      <w:r>
        <w:rPr>
          <w:lang w:val="fr-FR"/>
        </w:rPr>
        <w:t>’à</w:t>
      </w:r>
      <w:r w:rsidRPr="00262910">
        <w:rPr>
          <w:lang w:val="fr-FR"/>
        </w:rPr>
        <w:t xml:space="preserve"> la formation axée sur les droits de l</w:t>
      </w:r>
      <w:r>
        <w:rPr>
          <w:lang w:val="fr-FR"/>
        </w:rPr>
        <w:t>’</w:t>
      </w:r>
      <w:r w:rsidRPr="00262910">
        <w:rPr>
          <w:lang w:val="fr-FR"/>
        </w:rPr>
        <w:t>enfant</w:t>
      </w:r>
      <w:r>
        <w:rPr>
          <w:lang w:val="fr-FR"/>
        </w:rPr>
        <w:t xml:space="preserve"> et </w:t>
      </w:r>
      <w:r w:rsidRPr="00262910">
        <w:rPr>
          <w:lang w:val="fr-FR"/>
        </w:rPr>
        <w:t xml:space="preserve">la dimension </w:t>
      </w:r>
      <w:r>
        <w:rPr>
          <w:lang w:val="fr-FR"/>
        </w:rPr>
        <w:t>sâme</w:t>
      </w:r>
      <w:r w:rsidRPr="00262910">
        <w:rPr>
          <w:lang w:val="fr-FR"/>
        </w:rPr>
        <w:t xml:space="preserve"> dans le système judiciaire, </w:t>
      </w:r>
      <w:r>
        <w:rPr>
          <w:lang w:val="fr-FR"/>
        </w:rPr>
        <w:t>entre autres</w:t>
      </w:r>
      <w:r w:rsidRPr="00262910">
        <w:rPr>
          <w:lang w:val="fr-FR"/>
        </w:rPr>
        <w:t xml:space="preserve">. </w:t>
      </w:r>
    </w:p>
    <w:p w:rsidR="001771B8" w:rsidRPr="00262910" w:rsidRDefault="001771B8" w:rsidP="001771B8">
      <w:pPr>
        <w:pStyle w:val="SingleTxtG"/>
        <w:rPr>
          <w:lang w:val="fr-FR"/>
        </w:rPr>
      </w:pPr>
      <w:r w:rsidRPr="00262910">
        <w:rPr>
          <w:lang w:val="fr-FR"/>
        </w:rPr>
        <w:t>4.</w:t>
      </w:r>
      <w:r w:rsidRPr="00262910">
        <w:rPr>
          <w:lang w:val="fr-FR"/>
        </w:rPr>
        <w:tab/>
        <w:t>L</w:t>
      </w:r>
      <w:r>
        <w:rPr>
          <w:lang w:val="fr-FR"/>
        </w:rPr>
        <w:t>’</w:t>
      </w:r>
      <w:r w:rsidRPr="00262910">
        <w:rPr>
          <w:lang w:val="fr-FR"/>
        </w:rPr>
        <w:t xml:space="preserve">Administration </w:t>
      </w:r>
      <w:r>
        <w:rPr>
          <w:lang w:val="fr-FR"/>
        </w:rPr>
        <w:t xml:space="preserve">nationale </w:t>
      </w:r>
      <w:r w:rsidRPr="00262910">
        <w:rPr>
          <w:lang w:val="fr-FR"/>
        </w:rPr>
        <w:t>des tribunaux organise des visites annuelles à la Cour européenne des droits de l</w:t>
      </w:r>
      <w:r>
        <w:rPr>
          <w:lang w:val="fr-FR"/>
        </w:rPr>
        <w:t>’</w:t>
      </w:r>
      <w:r w:rsidRPr="00262910">
        <w:rPr>
          <w:lang w:val="fr-FR"/>
        </w:rPr>
        <w:t>homme</w:t>
      </w:r>
      <w:r>
        <w:rPr>
          <w:lang w:val="fr-FR"/>
        </w:rPr>
        <w:t xml:space="preserve">, </w:t>
      </w:r>
      <w:r w:rsidRPr="00262910">
        <w:rPr>
          <w:lang w:val="fr-FR"/>
        </w:rPr>
        <w:t>à Strasbourg.</w:t>
      </w:r>
    </w:p>
    <w:p w:rsidR="001771B8" w:rsidRPr="00262910" w:rsidRDefault="001771B8" w:rsidP="008855C6">
      <w:pPr>
        <w:pStyle w:val="H1G"/>
        <w:rPr>
          <w:lang w:val="fr-FR"/>
        </w:rPr>
      </w:pPr>
      <w:r w:rsidRPr="00262910">
        <w:rPr>
          <w:lang w:val="fr-FR"/>
        </w:rPr>
        <w:tab/>
      </w:r>
      <w:r w:rsidRPr="00262910">
        <w:rPr>
          <w:lang w:val="fr-FR"/>
        </w:rPr>
        <w:tab/>
        <w:t>Réponse au paragraphe 2 de la liste de points</w:t>
      </w:r>
    </w:p>
    <w:p w:rsidR="001771B8" w:rsidRPr="00262910" w:rsidRDefault="001771B8" w:rsidP="001771B8">
      <w:pPr>
        <w:pStyle w:val="SingleTxtG"/>
        <w:rPr>
          <w:lang w:val="fr-FR"/>
        </w:rPr>
      </w:pPr>
      <w:r w:rsidRPr="00262910">
        <w:rPr>
          <w:lang w:val="fr-FR"/>
        </w:rPr>
        <w:t>5.</w:t>
      </w:r>
      <w:r w:rsidRPr="00262910">
        <w:rPr>
          <w:lang w:val="fr-FR"/>
        </w:rPr>
        <w:tab/>
      </w:r>
      <w:r w:rsidRPr="005D71BF">
        <w:rPr>
          <w:lang w:val="fr-FR"/>
        </w:rPr>
        <w:t>Dans les Instructions</w:t>
      </w:r>
      <w:r w:rsidRPr="00262910">
        <w:rPr>
          <w:lang w:val="fr-FR"/>
        </w:rPr>
        <w:t xml:space="preserve"> </w:t>
      </w:r>
      <w:r>
        <w:rPr>
          <w:lang w:val="fr-FR"/>
        </w:rPr>
        <w:t xml:space="preserve">relatives à l’élaboration des </w:t>
      </w:r>
      <w:r w:rsidRPr="00262910">
        <w:rPr>
          <w:lang w:val="fr-FR"/>
        </w:rPr>
        <w:t>mesures d</w:t>
      </w:r>
      <w:r>
        <w:rPr>
          <w:lang w:val="fr-FR"/>
        </w:rPr>
        <w:t xml:space="preserve">e l’Administration </w:t>
      </w:r>
      <w:r w:rsidRPr="00262910">
        <w:rPr>
          <w:lang w:val="fr-FR"/>
        </w:rPr>
        <w:t>central</w:t>
      </w:r>
      <w:r>
        <w:rPr>
          <w:lang w:val="fr-FR"/>
        </w:rPr>
        <w:t>e</w:t>
      </w:r>
      <w:r w:rsidRPr="00262910">
        <w:rPr>
          <w:lang w:val="fr-FR"/>
        </w:rPr>
        <w:t xml:space="preserve"> (2016), </w:t>
      </w:r>
      <w:r>
        <w:rPr>
          <w:lang w:val="fr-FR"/>
        </w:rPr>
        <w:t xml:space="preserve">il est indiqué que </w:t>
      </w:r>
      <w:r w:rsidRPr="00262910">
        <w:rPr>
          <w:lang w:val="fr-FR"/>
        </w:rPr>
        <w:t xml:space="preserve">toutes les </w:t>
      </w:r>
      <w:r>
        <w:rPr>
          <w:lang w:val="fr-FR"/>
        </w:rPr>
        <w:t>« </w:t>
      </w:r>
      <w:r w:rsidRPr="00262910">
        <w:rPr>
          <w:lang w:val="fr-FR"/>
        </w:rPr>
        <w:t>questions fondamentales</w:t>
      </w:r>
      <w:r>
        <w:rPr>
          <w:lang w:val="fr-FR"/>
        </w:rPr>
        <w:t> »</w:t>
      </w:r>
      <w:r w:rsidRPr="00262910">
        <w:rPr>
          <w:lang w:val="fr-FR"/>
        </w:rPr>
        <w:t xml:space="preserve"> </w:t>
      </w:r>
      <w:r>
        <w:rPr>
          <w:lang w:val="fr-FR"/>
        </w:rPr>
        <w:t xml:space="preserve">que soulève </w:t>
      </w:r>
      <w:r w:rsidRPr="00262910">
        <w:rPr>
          <w:lang w:val="fr-FR"/>
        </w:rPr>
        <w:t xml:space="preserve">une mesure gouvernementale proposée doivent </w:t>
      </w:r>
      <w:r>
        <w:rPr>
          <w:lang w:val="fr-FR"/>
        </w:rPr>
        <w:t xml:space="preserve">donner lieu à un examen </w:t>
      </w:r>
      <w:r w:rsidRPr="00262910">
        <w:rPr>
          <w:lang w:val="fr-FR"/>
        </w:rPr>
        <w:t xml:space="preserve">systématique et </w:t>
      </w:r>
      <w:r>
        <w:rPr>
          <w:lang w:val="fr-FR"/>
        </w:rPr>
        <w:t>complet</w:t>
      </w:r>
      <w:r w:rsidRPr="00262910">
        <w:rPr>
          <w:lang w:val="fr-FR"/>
        </w:rPr>
        <w:t xml:space="preserve">. Conformément aux directives </w:t>
      </w:r>
      <w:r>
        <w:rPr>
          <w:lang w:val="fr-FR"/>
        </w:rPr>
        <w:t xml:space="preserve">relatives aux </w:t>
      </w:r>
      <w:r w:rsidRPr="00262910">
        <w:rPr>
          <w:lang w:val="fr-FR"/>
        </w:rPr>
        <w:t xml:space="preserve">instructions, </w:t>
      </w:r>
      <w:r>
        <w:rPr>
          <w:lang w:val="fr-FR"/>
        </w:rPr>
        <w:t xml:space="preserve">un tel examen comprend la mise en évidence </w:t>
      </w:r>
      <w:r w:rsidRPr="00262910">
        <w:rPr>
          <w:lang w:val="fr-FR"/>
        </w:rPr>
        <w:t xml:space="preserve">et </w:t>
      </w:r>
      <w:r>
        <w:rPr>
          <w:lang w:val="fr-FR"/>
        </w:rPr>
        <w:t>la d</w:t>
      </w:r>
      <w:r w:rsidRPr="00262910">
        <w:rPr>
          <w:lang w:val="fr-FR"/>
        </w:rPr>
        <w:t>escription des obligations pertinentes en matière de droits de l</w:t>
      </w:r>
      <w:r>
        <w:rPr>
          <w:lang w:val="fr-FR"/>
        </w:rPr>
        <w:t>’</w:t>
      </w:r>
      <w:r w:rsidRPr="00262910">
        <w:rPr>
          <w:lang w:val="fr-FR"/>
        </w:rPr>
        <w:t>homme, y compris les obligations découlant du Pacte. Par exemple, lorsqu</w:t>
      </w:r>
      <w:r>
        <w:rPr>
          <w:lang w:val="fr-FR"/>
        </w:rPr>
        <w:t>’</w:t>
      </w:r>
      <w:r w:rsidRPr="00262910">
        <w:rPr>
          <w:lang w:val="fr-FR"/>
        </w:rPr>
        <w:t>un</w:t>
      </w:r>
      <w:r>
        <w:rPr>
          <w:lang w:val="fr-FR"/>
        </w:rPr>
        <w:t xml:space="preserve"> projet de loi a des incidences au regard du Pacte</w:t>
      </w:r>
      <w:r w:rsidRPr="00262910">
        <w:rPr>
          <w:lang w:val="fr-FR"/>
        </w:rPr>
        <w:t xml:space="preserve"> des considérations </w:t>
      </w:r>
      <w:r>
        <w:rPr>
          <w:lang w:val="fr-FR"/>
        </w:rPr>
        <w:t xml:space="preserve">sur </w:t>
      </w:r>
      <w:r w:rsidRPr="00262910">
        <w:rPr>
          <w:lang w:val="fr-FR"/>
        </w:rPr>
        <w:t xml:space="preserve">sa compatibilité avec le Pacte </w:t>
      </w:r>
      <w:r>
        <w:rPr>
          <w:lang w:val="fr-FR"/>
        </w:rPr>
        <w:t xml:space="preserve">figurent dans le texte que le </w:t>
      </w:r>
      <w:r w:rsidRPr="00262910">
        <w:rPr>
          <w:lang w:val="fr-FR"/>
        </w:rPr>
        <w:t xml:space="preserve">Gouvernement </w:t>
      </w:r>
      <w:r>
        <w:rPr>
          <w:lang w:val="fr-FR"/>
        </w:rPr>
        <w:t xml:space="preserve">présente </w:t>
      </w:r>
      <w:r w:rsidRPr="00262910">
        <w:rPr>
          <w:lang w:val="fr-FR"/>
        </w:rPr>
        <w:t>au Storting (Parlement).</w:t>
      </w:r>
    </w:p>
    <w:p w:rsidR="001771B8" w:rsidRPr="00262910" w:rsidRDefault="001771B8" w:rsidP="001771B8">
      <w:pPr>
        <w:pStyle w:val="SingleTxtG"/>
        <w:rPr>
          <w:lang w:val="fr-FR"/>
        </w:rPr>
      </w:pPr>
      <w:r w:rsidRPr="00262910">
        <w:rPr>
          <w:lang w:val="fr-FR"/>
        </w:rPr>
        <w:t>6.</w:t>
      </w:r>
      <w:r w:rsidRPr="00262910">
        <w:rPr>
          <w:lang w:val="fr-FR"/>
        </w:rPr>
        <w:tab/>
        <w:t xml:space="preserve">La </w:t>
      </w:r>
      <w:r w:rsidRPr="00071323">
        <w:rPr>
          <w:lang w:val="fr-FR"/>
        </w:rPr>
        <w:t>loi sur l</w:t>
      </w:r>
      <w:r>
        <w:rPr>
          <w:lang w:val="fr-FR"/>
        </w:rPr>
        <w:t>’</w:t>
      </w:r>
      <w:r w:rsidRPr="00071323">
        <w:rPr>
          <w:lang w:val="fr-FR"/>
        </w:rPr>
        <w:t>égalité et la lutte contre la discrimination</w:t>
      </w:r>
      <w:r w:rsidRPr="00262910">
        <w:rPr>
          <w:lang w:val="fr-FR"/>
        </w:rPr>
        <w:t xml:space="preserve"> (</w:t>
      </w:r>
      <w:r>
        <w:rPr>
          <w:lang w:val="fr-FR"/>
        </w:rPr>
        <w:t xml:space="preserve">entrée </w:t>
      </w:r>
      <w:r w:rsidRPr="00262910">
        <w:rPr>
          <w:lang w:val="fr-FR"/>
        </w:rPr>
        <w:t>en vigueur le 1</w:t>
      </w:r>
      <w:r w:rsidRPr="00ED44D4">
        <w:rPr>
          <w:vertAlign w:val="superscript"/>
          <w:lang w:val="fr-FR"/>
        </w:rPr>
        <w:t>er</w:t>
      </w:r>
      <w:r>
        <w:rPr>
          <w:lang w:val="fr-FR"/>
        </w:rPr>
        <w:t xml:space="preserve"> </w:t>
      </w:r>
      <w:r w:rsidRPr="00262910">
        <w:rPr>
          <w:lang w:val="fr-FR"/>
        </w:rPr>
        <w:t>janvier 2018) et la loi sur l</w:t>
      </w:r>
      <w:r>
        <w:rPr>
          <w:lang w:val="fr-FR"/>
        </w:rPr>
        <w:t>’</w:t>
      </w:r>
      <w:r w:rsidRPr="00262910">
        <w:rPr>
          <w:lang w:val="fr-FR"/>
        </w:rPr>
        <w:t xml:space="preserve">obligation de rendre des comptes imposent </w:t>
      </w:r>
      <w:r w:rsidRPr="008B03A6">
        <w:rPr>
          <w:lang w:val="fr-FR"/>
        </w:rPr>
        <w:t xml:space="preserve">aux grandes entreprises </w:t>
      </w:r>
      <w:r w:rsidRPr="00262910">
        <w:rPr>
          <w:lang w:val="fr-FR"/>
        </w:rPr>
        <w:t>des obligations en matière d</w:t>
      </w:r>
      <w:r>
        <w:rPr>
          <w:lang w:val="fr-FR"/>
        </w:rPr>
        <w:t>’</w:t>
      </w:r>
      <w:r w:rsidRPr="00262910">
        <w:rPr>
          <w:lang w:val="fr-FR"/>
        </w:rPr>
        <w:t>égalité.</w:t>
      </w:r>
      <w:r>
        <w:rPr>
          <w:lang w:val="fr-FR"/>
        </w:rPr>
        <w:t xml:space="preserve"> Dans la section</w:t>
      </w:r>
      <w:r w:rsidRPr="001071F8">
        <w:rPr>
          <w:lang w:val="fr-FR"/>
        </w:rPr>
        <w:t xml:space="preserve"> </w:t>
      </w:r>
      <w:r>
        <w:rPr>
          <w:lang w:val="fr-FR"/>
        </w:rPr>
        <w:t xml:space="preserve">de </w:t>
      </w:r>
      <w:r w:rsidRPr="001071F8">
        <w:rPr>
          <w:lang w:val="fr-FR"/>
        </w:rPr>
        <w:t>le</w:t>
      </w:r>
      <w:r>
        <w:rPr>
          <w:lang w:val="fr-FR"/>
        </w:rPr>
        <w:t>ur</w:t>
      </w:r>
      <w:r w:rsidRPr="001071F8">
        <w:rPr>
          <w:lang w:val="fr-FR"/>
        </w:rPr>
        <w:t xml:space="preserve"> rapport annuel de gestion</w:t>
      </w:r>
      <w:r>
        <w:rPr>
          <w:lang w:val="fr-FR"/>
        </w:rPr>
        <w:t xml:space="preserve"> consacrée à l’exercice de leur re</w:t>
      </w:r>
      <w:r w:rsidRPr="00262910">
        <w:rPr>
          <w:lang w:val="fr-FR"/>
        </w:rPr>
        <w:t xml:space="preserve">sponsabilité sociale </w:t>
      </w:r>
      <w:r>
        <w:rPr>
          <w:lang w:val="fr-FR"/>
        </w:rPr>
        <w:t xml:space="preserve">en tant qu’entreprise hors considérations financières, ces entreprises </w:t>
      </w:r>
      <w:r w:rsidRPr="00A540F9">
        <w:rPr>
          <w:lang w:val="fr-FR"/>
        </w:rPr>
        <w:t>sont tenues de rendre compte des mesures qu</w:t>
      </w:r>
      <w:r>
        <w:rPr>
          <w:lang w:val="fr-FR"/>
        </w:rPr>
        <w:t>’</w:t>
      </w:r>
      <w:r w:rsidRPr="00A540F9">
        <w:rPr>
          <w:lang w:val="fr-FR"/>
        </w:rPr>
        <w:t xml:space="preserve">elles ont mises en œuvre </w:t>
      </w:r>
      <w:r>
        <w:rPr>
          <w:lang w:val="fr-FR"/>
        </w:rPr>
        <w:t xml:space="preserve">afin de </w:t>
      </w:r>
      <w:r w:rsidRPr="00A540F9">
        <w:rPr>
          <w:lang w:val="fr-FR"/>
        </w:rPr>
        <w:t>promouvoir l</w:t>
      </w:r>
      <w:r>
        <w:rPr>
          <w:lang w:val="fr-FR"/>
        </w:rPr>
        <w:t>’</w:t>
      </w:r>
      <w:r w:rsidRPr="00A540F9">
        <w:rPr>
          <w:lang w:val="fr-FR"/>
        </w:rPr>
        <w:t>égalité et de prévenir la discrimination</w:t>
      </w:r>
      <w:r w:rsidRPr="00262910">
        <w:rPr>
          <w:lang w:val="fr-FR"/>
        </w:rPr>
        <w:t>. Il s</w:t>
      </w:r>
      <w:r>
        <w:rPr>
          <w:lang w:val="fr-FR"/>
        </w:rPr>
        <w:t>’</w:t>
      </w:r>
      <w:r w:rsidRPr="00262910">
        <w:rPr>
          <w:lang w:val="fr-FR"/>
        </w:rPr>
        <w:t xml:space="preserve">agit notamment </w:t>
      </w:r>
      <w:r>
        <w:rPr>
          <w:lang w:val="fr-FR"/>
        </w:rPr>
        <w:t xml:space="preserve">de fournir des renseignements </w:t>
      </w:r>
      <w:r w:rsidRPr="00262910">
        <w:rPr>
          <w:lang w:val="fr-FR"/>
        </w:rPr>
        <w:t>sur ce que l</w:t>
      </w:r>
      <w:r>
        <w:rPr>
          <w:lang w:val="fr-FR"/>
        </w:rPr>
        <w:t>’</w:t>
      </w:r>
      <w:r w:rsidRPr="00262910">
        <w:rPr>
          <w:lang w:val="fr-FR"/>
        </w:rPr>
        <w:t xml:space="preserve">entreprise </w:t>
      </w:r>
      <w:r>
        <w:rPr>
          <w:lang w:val="fr-FR"/>
        </w:rPr>
        <w:t xml:space="preserve">a </w:t>
      </w:r>
      <w:r w:rsidRPr="00A540F9">
        <w:rPr>
          <w:lang w:val="fr-FR"/>
        </w:rPr>
        <w:t xml:space="preserve">fait </w:t>
      </w:r>
      <w:r w:rsidRPr="00262910">
        <w:rPr>
          <w:lang w:val="fr-FR"/>
        </w:rPr>
        <w:t xml:space="preserve">pour </w:t>
      </w:r>
      <w:r>
        <w:rPr>
          <w:lang w:val="fr-FR"/>
        </w:rPr>
        <w:t xml:space="preserve">assurer la prise en considération des </w:t>
      </w:r>
      <w:r w:rsidRPr="00262910">
        <w:rPr>
          <w:lang w:val="fr-FR"/>
        </w:rPr>
        <w:t>droits de l</w:t>
      </w:r>
      <w:r>
        <w:rPr>
          <w:lang w:val="fr-FR"/>
        </w:rPr>
        <w:t>’</w:t>
      </w:r>
      <w:r w:rsidRPr="00262910">
        <w:rPr>
          <w:lang w:val="fr-FR"/>
        </w:rPr>
        <w:t xml:space="preserve">homme dans ses activités commerciales. </w:t>
      </w:r>
    </w:p>
    <w:p w:rsidR="001771B8" w:rsidRPr="00262910" w:rsidRDefault="001771B8" w:rsidP="001771B8">
      <w:pPr>
        <w:pStyle w:val="SingleTxtG"/>
        <w:rPr>
          <w:lang w:val="fr-FR"/>
        </w:rPr>
      </w:pPr>
      <w:r w:rsidRPr="00262910">
        <w:rPr>
          <w:lang w:val="fr-FR"/>
        </w:rPr>
        <w:t>7.</w:t>
      </w:r>
      <w:r w:rsidRPr="00262910">
        <w:rPr>
          <w:lang w:val="fr-FR"/>
        </w:rPr>
        <w:tab/>
      </w:r>
      <w:r w:rsidRPr="00A1721F">
        <w:rPr>
          <w:lang w:val="fr-FR"/>
        </w:rPr>
        <w:t>La Norvège n</w:t>
      </w:r>
      <w:r>
        <w:rPr>
          <w:lang w:val="fr-FR"/>
        </w:rPr>
        <w:t>’</w:t>
      </w:r>
      <w:r w:rsidRPr="00A1721F">
        <w:rPr>
          <w:lang w:val="fr-FR"/>
        </w:rPr>
        <w:t>a</w:t>
      </w:r>
      <w:r w:rsidRPr="00262910">
        <w:rPr>
          <w:lang w:val="fr-FR"/>
        </w:rPr>
        <w:t xml:space="preserve"> pas </w:t>
      </w:r>
      <w:r>
        <w:rPr>
          <w:lang w:val="fr-FR"/>
        </w:rPr>
        <w:t xml:space="preserve">mis en place </w:t>
      </w:r>
      <w:r w:rsidRPr="00262910">
        <w:rPr>
          <w:lang w:val="fr-FR"/>
        </w:rPr>
        <w:t>d</w:t>
      </w:r>
      <w:r>
        <w:rPr>
          <w:lang w:val="fr-FR"/>
        </w:rPr>
        <w:t>’</w:t>
      </w:r>
      <w:r w:rsidRPr="00262910">
        <w:rPr>
          <w:lang w:val="fr-FR"/>
        </w:rPr>
        <w:t>unité ou de mécanisme distinct chargé de donner suite aux recommandations des organes conventionnels internationaux</w:t>
      </w:r>
      <w:r w:rsidRPr="008B03A6">
        <w:rPr>
          <w:lang w:val="fr-FR"/>
        </w:rPr>
        <w:t xml:space="preserve"> et n</w:t>
      </w:r>
      <w:r>
        <w:rPr>
          <w:lang w:val="fr-FR"/>
        </w:rPr>
        <w:t>’</w:t>
      </w:r>
      <w:r w:rsidRPr="008B03A6">
        <w:rPr>
          <w:lang w:val="fr-FR"/>
        </w:rPr>
        <w:t>envisage pas de le faire</w:t>
      </w:r>
      <w:r w:rsidRPr="00262910">
        <w:rPr>
          <w:lang w:val="fr-FR"/>
        </w:rPr>
        <w:t xml:space="preserve">. Les différentes recommandations </w:t>
      </w:r>
      <w:r>
        <w:rPr>
          <w:lang w:val="fr-FR"/>
        </w:rPr>
        <w:t xml:space="preserve">relatives aux </w:t>
      </w:r>
      <w:r w:rsidRPr="00262910">
        <w:rPr>
          <w:lang w:val="fr-FR"/>
        </w:rPr>
        <w:t>droits de l</w:t>
      </w:r>
      <w:r>
        <w:rPr>
          <w:lang w:val="fr-FR"/>
        </w:rPr>
        <w:t>’</w:t>
      </w:r>
      <w:r w:rsidRPr="00262910">
        <w:rPr>
          <w:lang w:val="fr-FR"/>
        </w:rPr>
        <w:t xml:space="preserve">homme que la Norvège reçoit </w:t>
      </w:r>
      <w:r>
        <w:rPr>
          <w:lang w:val="fr-FR"/>
        </w:rPr>
        <w:t>donnent lieu à u</w:t>
      </w:r>
      <w:r w:rsidRPr="00262910">
        <w:rPr>
          <w:lang w:val="fr-FR"/>
        </w:rPr>
        <w:t xml:space="preserve">n suivi dans le cadre du travail quotidien des ministères. La Norvège </w:t>
      </w:r>
      <w:r>
        <w:rPr>
          <w:lang w:val="fr-FR"/>
        </w:rPr>
        <w:t xml:space="preserve">considère </w:t>
      </w:r>
      <w:r w:rsidRPr="00262910">
        <w:rPr>
          <w:lang w:val="fr-FR"/>
        </w:rPr>
        <w:t>que les droits de l</w:t>
      </w:r>
      <w:r>
        <w:rPr>
          <w:lang w:val="fr-FR"/>
        </w:rPr>
        <w:t>’</w:t>
      </w:r>
      <w:r w:rsidRPr="00262910">
        <w:rPr>
          <w:lang w:val="fr-FR"/>
        </w:rPr>
        <w:t xml:space="preserve">homme ne devraient pas être traités comme une question distincte </w:t>
      </w:r>
      <w:r>
        <w:rPr>
          <w:lang w:val="fr-FR"/>
        </w:rPr>
        <w:t xml:space="preserve">du reste des </w:t>
      </w:r>
      <w:r w:rsidRPr="00262910">
        <w:rPr>
          <w:lang w:val="fr-FR"/>
        </w:rPr>
        <w:t>activités de</w:t>
      </w:r>
      <w:r>
        <w:rPr>
          <w:lang w:val="fr-FR"/>
        </w:rPr>
        <w:t xml:space="preserve"> se</w:t>
      </w:r>
      <w:r w:rsidRPr="00262910">
        <w:rPr>
          <w:lang w:val="fr-FR"/>
        </w:rPr>
        <w:t xml:space="preserve">s ministères. </w:t>
      </w:r>
      <w:r>
        <w:rPr>
          <w:lang w:val="fr-FR"/>
        </w:rPr>
        <w:t xml:space="preserve">Dans le </w:t>
      </w:r>
      <w:r w:rsidRPr="00262910">
        <w:rPr>
          <w:lang w:val="fr-FR"/>
        </w:rPr>
        <w:t xml:space="preserve">programme de la matière Christianisme, religion, philosophie de vie et éthique </w:t>
      </w:r>
      <w:r>
        <w:rPr>
          <w:lang w:val="fr-FR"/>
        </w:rPr>
        <w:t xml:space="preserve">enseignée à l’école il est indiqué </w:t>
      </w:r>
      <w:r w:rsidRPr="00262910">
        <w:rPr>
          <w:lang w:val="fr-FR"/>
        </w:rPr>
        <w:t>qu</w:t>
      </w:r>
      <w:r>
        <w:rPr>
          <w:lang w:val="fr-FR"/>
        </w:rPr>
        <w:t xml:space="preserve">’en fin de </w:t>
      </w:r>
      <w:r w:rsidRPr="00262910">
        <w:rPr>
          <w:lang w:val="fr-FR"/>
        </w:rPr>
        <w:t>quatrième année les élèves d</w:t>
      </w:r>
      <w:r>
        <w:rPr>
          <w:lang w:val="fr-FR"/>
        </w:rPr>
        <w:t xml:space="preserve">oivent </w:t>
      </w:r>
      <w:r w:rsidRPr="00262910">
        <w:rPr>
          <w:lang w:val="fr-FR"/>
        </w:rPr>
        <w:t xml:space="preserve">être </w:t>
      </w:r>
      <w:r>
        <w:rPr>
          <w:lang w:val="fr-FR"/>
        </w:rPr>
        <w:t xml:space="preserve">capables de </w:t>
      </w:r>
      <w:r w:rsidRPr="00262910">
        <w:rPr>
          <w:lang w:val="fr-FR"/>
        </w:rPr>
        <w:t>comprendre les droits et l</w:t>
      </w:r>
      <w:r>
        <w:rPr>
          <w:lang w:val="fr-FR"/>
        </w:rPr>
        <w:t>’</w:t>
      </w:r>
      <w:r w:rsidRPr="00262910">
        <w:rPr>
          <w:lang w:val="fr-FR"/>
        </w:rPr>
        <w:t xml:space="preserve">égalité </w:t>
      </w:r>
      <w:r>
        <w:rPr>
          <w:lang w:val="fr-FR"/>
        </w:rPr>
        <w:t>reconnus aux e</w:t>
      </w:r>
      <w:r w:rsidRPr="00262910">
        <w:rPr>
          <w:lang w:val="fr-FR"/>
        </w:rPr>
        <w:t xml:space="preserve">nfants </w:t>
      </w:r>
      <w:r>
        <w:rPr>
          <w:lang w:val="fr-FR"/>
        </w:rPr>
        <w:t xml:space="preserve">sur la base de </w:t>
      </w:r>
      <w:r w:rsidRPr="00A540F9">
        <w:rPr>
          <w:lang w:val="fr-FR"/>
        </w:rPr>
        <w:t>la Convention des Nations Unies relative aux droits de l</w:t>
      </w:r>
      <w:r>
        <w:rPr>
          <w:lang w:val="fr-FR"/>
        </w:rPr>
        <w:t>’</w:t>
      </w:r>
      <w:r w:rsidRPr="00A540F9">
        <w:rPr>
          <w:lang w:val="fr-FR"/>
        </w:rPr>
        <w:t>enfant</w:t>
      </w:r>
      <w:r>
        <w:rPr>
          <w:lang w:val="fr-FR"/>
        </w:rPr>
        <w:t>,</w:t>
      </w:r>
      <w:r w:rsidRPr="00A540F9">
        <w:rPr>
          <w:lang w:val="fr-FR"/>
        </w:rPr>
        <w:t xml:space="preserve"> </w:t>
      </w:r>
      <w:r>
        <w:rPr>
          <w:lang w:val="fr-FR"/>
        </w:rPr>
        <w:t xml:space="preserve">ainsi que </w:t>
      </w:r>
      <w:r w:rsidRPr="00262910">
        <w:rPr>
          <w:lang w:val="fr-FR"/>
        </w:rPr>
        <w:t>de trouver des exemples dans les médias et sur Internet. Les enseignants de cette matière d</w:t>
      </w:r>
      <w:r>
        <w:rPr>
          <w:lang w:val="fr-FR"/>
        </w:rPr>
        <w:t xml:space="preserve">oivent </w:t>
      </w:r>
      <w:r w:rsidRPr="00262910">
        <w:rPr>
          <w:lang w:val="fr-FR"/>
        </w:rPr>
        <w:t xml:space="preserve">donc </w:t>
      </w:r>
      <w:r>
        <w:rPr>
          <w:lang w:val="fr-FR"/>
        </w:rPr>
        <w:t xml:space="preserve">connaître </w:t>
      </w:r>
      <w:r w:rsidRPr="00262910">
        <w:rPr>
          <w:lang w:val="fr-FR"/>
        </w:rPr>
        <w:t xml:space="preserve">la Convention. </w:t>
      </w:r>
      <w:r>
        <w:rPr>
          <w:lang w:val="fr-FR"/>
        </w:rPr>
        <w:t xml:space="preserve">La </w:t>
      </w:r>
      <w:r w:rsidRPr="00262910">
        <w:rPr>
          <w:lang w:val="fr-FR"/>
        </w:rPr>
        <w:t>Norvège</w:t>
      </w:r>
      <w:r>
        <w:rPr>
          <w:lang w:val="fr-FR"/>
        </w:rPr>
        <w:t xml:space="preserve"> est </w:t>
      </w:r>
      <w:r w:rsidRPr="00262910">
        <w:rPr>
          <w:lang w:val="fr-FR"/>
        </w:rPr>
        <w:t>en train de r</w:t>
      </w:r>
      <w:r>
        <w:rPr>
          <w:lang w:val="fr-FR"/>
        </w:rPr>
        <w:t xml:space="preserve">éviser le </w:t>
      </w:r>
      <w:r w:rsidRPr="00262910">
        <w:rPr>
          <w:lang w:val="fr-FR"/>
        </w:rPr>
        <w:t xml:space="preserve">programme </w:t>
      </w:r>
      <w:r>
        <w:rPr>
          <w:lang w:val="fr-FR"/>
        </w:rPr>
        <w:t xml:space="preserve">d’enseignement de base ainsi que les </w:t>
      </w:r>
      <w:r w:rsidRPr="00262910">
        <w:rPr>
          <w:lang w:val="fr-FR"/>
        </w:rPr>
        <w:t xml:space="preserve">programmes </w:t>
      </w:r>
      <w:r>
        <w:rPr>
          <w:lang w:val="fr-FR"/>
        </w:rPr>
        <w:t xml:space="preserve">des différentes </w:t>
      </w:r>
      <w:r w:rsidRPr="00262910">
        <w:rPr>
          <w:lang w:val="fr-FR"/>
        </w:rPr>
        <w:t xml:space="preserve">matières. </w:t>
      </w:r>
      <w:r>
        <w:rPr>
          <w:lang w:val="fr-FR"/>
        </w:rPr>
        <w:t>Ce processus de révision devrait s’achever en 2</w:t>
      </w:r>
      <w:r w:rsidRPr="00262910">
        <w:rPr>
          <w:lang w:val="fr-FR"/>
        </w:rPr>
        <w:t xml:space="preserve">020. La nouvelle partie générale du programme </w:t>
      </w:r>
      <w:r>
        <w:rPr>
          <w:lang w:val="fr-FR"/>
        </w:rPr>
        <w:t xml:space="preserve">précise </w:t>
      </w:r>
      <w:r w:rsidRPr="00262910">
        <w:rPr>
          <w:lang w:val="fr-FR"/>
        </w:rPr>
        <w:t>que les droits de l</w:t>
      </w:r>
      <w:r>
        <w:rPr>
          <w:lang w:val="fr-FR"/>
        </w:rPr>
        <w:t>’</w:t>
      </w:r>
      <w:r w:rsidRPr="00262910">
        <w:rPr>
          <w:lang w:val="fr-FR"/>
        </w:rPr>
        <w:t xml:space="preserve">homme </w:t>
      </w:r>
      <w:r>
        <w:rPr>
          <w:lang w:val="fr-FR"/>
        </w:rPr>
        <w:t xml:space="preserve">constituent </w:t>
      </w:r>
      <w:r w:rsidRPr="00262910">
        <w:rPr>
          <w:lang w:val="fr-FR"/>
        </w:rPr>
        <w:t xml:space="preserve">un élément important du </w:t>
      </w:r>
      <w:r>
        <w:rPr>
          <w:lang w:val="fr-FR"/>
        </w:rPr>
        <w:t xml:space="preserve">socle </w:t>
      </w:r>
      <w:r w:rsidRPr="00262910">
        <w:rPr>
          <w:lang w:val="fr-FR"/>
        </w:rPr>
        <w:t>de l</w:t>
      </w:r>
      <w:r>
        <w:rPr>
          <w:lang w:val="fr-FR"/>
        </w:rPr>
        <w:t>’é</w:t>
      </w:r>
      <w:r w:rsidRPr="00262910">
        <w:rPr>
          <w:lang w:val="fr-FR"/>
        </w:rPr>
        <w:t xml:space="preserve">tat de droit. </w:t>
      </w:r>
      <w:r>
        <w:rPr>
          <w:lang w:val="fr-FR"/>
        </w:rPr>
        <w:t xml:space="preserve">Ces droits reposent </w:t>
      </w:r>
      <w:r w:rsidRPr="00262910">
        <w:rPr>
          <w:lang w:val="fr-FR"/>
        </w:rPr>
        <w:t>sur des valeurs universelles appli</w:t>
      </w:r>
      <w:r>
        <w:rPr>
          <w:lang w:val="fr-FR"/>
        </w:rPr>
        <w:t xml:space="preserve">cables </w:t>
      </w:r>
      <w:r w:rsidRPr="00262910">
        <w:rPr>
          <w:lang w:val="fr-FR"/>
        </w:rPr>
        <w:t>à tou</w:t>
      </w:r>
      <w:r>
        <w:rPr>
          <w:lang w:val="fr-FR"/>
        </w:rPr>
        <w:t>tes les personnes</w:t>
      </w:r>
      <w:r w:rsidRPr="00262910">
        <w:rPr>
          <w:lang w:val="fr-FR"/>
        </w:rPr>
        <w:t xml:space="preserve">, </w:t>
      </w:r>
      <w:r>
        <w:rPr>
          <w:lang w:val="fr-FR"/>
        </w:rPr>
        <w:t xml:space="preserve">qui </w:t>
      </w:r>
      <w:r w:rsidRPr="00262910">
        <w:rPr>
          <w:lang w:val="fr-FR"/>
        </w:rPr>
        <w:t>qu</w:t>
      </w:r>
      <w:r>
        <w:rPr>
          <w:lang w:val="fr-FR"/>
        </w:rPr>
        <w:t xml:space="preserve">’elles </w:t>
      </w:r>
      <w:r w:rsidRPr="00262910">
        <w:rPr>
          <w:lang w:val="fr-FR"/>
        </w:rPr>
        <w:t>soient, d</w:t>
      </w:r>
      <w:r>
        <w:rPr>
          <w:lang w:val="fr-FR"/>
        </w:rPr>
        <w:t>’</w:t>
      </w:r>
      <w:r w:rsidRPr="00262910">
        <w:rPr>
          <w:lang w:val="fr-FR"/>
        </w:rPr>
        <w:t>où qu</w:t>
      </w:r>
      <w:r>
        <w:rPr>
          <w:lang w:val="fr-FR"/>
        </w:rPr>
        <w:t>’elles</w:t>
      </w:r>
      <w:r w:rsidRPr="00262910">
        <w:rPr>
          <w:lang w:val="fr-FR"/>
        </w:rPr>
        <w:t xml:space="preserve"> viennent et où qu</w:t>
      </w:r>
      <w:r>
        <w:rPr>
          <w:lang w:val="fr-FR"/>
        </w:rPr>
        <w:t xml:space="preserve">’elles </w:t>
      </w:r>
      <w:r w:rsidRPr="00262910">
        <w:rPr>
          <w:lang w:val="fr-FR"/>
        </w:rPr>
        <w:t>vivent. La C</w:t>
      </w:r>
      <w:r>
        <w:rPr>
          <w:lang w:val="fr-FR"/>
        </w:rPr>
        <w:t xml:space="preserve">onvention </w:t>
      </w:r>
      <w:r w:rsidRPr="00262910">
        <w:rPr>
          <w:lang w:val="fr-FR"/>
        </w:rPr>
        <w:t>est une p</w:t>
      </w:r>
      <w:r>
        <w:rPr>
          <w:lang w:val="fr-FR"/>
        </w:rPr>
        <w:t xml:space="preserve">ièce maîtresse des </w:t>
      </w:r>
      <w:r w:rsidRPr="00262910">
        <w:rPr>
          <w:lang w:val="fr-FR"/>
        </w:rPr>
        <w:t xml:space="preserve">droits </w:t>
      </w:r>
      <w:r>
        <w:rPr>
          <w:lang w:val="fr-FR"/>
        </w:rPr>
        <w:t>de la personne e</w:t>
      </w:r>
      <w:r w:rsidRPr="00262910">
        <w:rPr>
          <w:lang w:val="fr-FR"/>
        </w:rPr>
        <w:t>n ce qu</w:t>
      </w:r>
      <w:r>
        <w:rPr>
          <w:lang w:val="fr-FR"/>
        </w:rPr>
        <w:t>’</w:t>
      </w:r>
      <w:r w:rsidRPr="00262910">
        <w:rPr>
          <w:lang w:val="fr-FR"/>
        </w:rPr>
        <w:t xml:space="preserve">elle </w:t>
      </w:r>
      <w:r>
        <w:rPr>
          <w:lang w:val="fr-FR"/>
        </w:rPr>
        <w:t>garantit</w:t>
      </w:r>
      <w:r w:rsidRPr="004252D4">
        <w:rPr>
          <w:lang w:val="fr-FR"/>
        </w:rPr>
        <w:t xml:space="preserve"> une protection spéciale</w:t>
      </w:r>
      <w:r>
        <w:rPr>
          <w:lang w:val="fr-FR"/>
        </w:rPr>
        <w:t xml:space="preserve"> </w:t>
      </w:r>
      <w:r w:rsidRPr="00262910">
        <w:rPr>
          <w:lang w:val="fr-FR"/>
        </w:rPr>
        <w:t xml:space="preserve">aux enfants et aux </w:t>
      </w:r>
      <w:r>
        <w:rPr>
          <w:lang w:val="fr-FR"/>
        </w:rPr>
        <w:t>adolescents</w:t>
      </w:r>
      <w:r w:rsidRPr="00262910">
        <w:rPr>
          <w:lang w:val="fr-FR"/>
        </w:rPr>
        <w:t>. L</w:t>
      </w:r>
      <w:r>
        <w:rPr>
          <w:lang w:val="fr-FR"/>
        </w:rPr>
        <w:t>’</w:t>
      </w:r>
      <w:r w:rsidRPr="00262910">
        <w:rPr>
          <w:lang w:val="fr-FR"/>
        </w:rPr>
        <w:t xml:space="preserve">éducation doit être dispensée dans le respect des droits de </w:t>
      </w:r>
      <w:r>
        <w:rPr>
          <w:lang w:val="fr-FR"/>
        </w:rPr>
        <w:t xml:space="preserve">la personne, </w:t>
      </w:r>
      <w:r w:rsidRPr="00262910">
        <w:rPr>
          <w:lang w:val="fr-FR"/>
        </w:rPr>
        <w:t>tout en transmettant aux élèves la connaissance de</w:t>
      </w:r>
      <w:r>
        <w:rPr>
          <w:lang w:val="fr-FR"/>
        </w:rPr>
        <w:t xml:space="preserve"> ce</w:t>
      </w:r>
      <w:r w:rsidRPr="00262910">
        <w:rPr>
          <w:lang w:val="fr-FR"/>
        </w:rPr>
        <w:t xml:space="preserve">s droits. </w:t>
      </w:r>
    </w:p>
    <w:p w:rsidR="001771B8" w:rsidRPr="00262910" w:rsidRDefault="001771B8" w:rsidP="0067149B">
      <w:pPr>
        <w:pStyle w:val="H1G"/>
        <w:rPr>
          <w:lang w:val="fr-FR"/>
        </w:rPr>
      </w:pPr>
      <w:r w:rsidRPr="00262910">
        <w:rPr>
          <w:lang w:val="fr-FR"/>
        </w:rPr>
        <w:tab/>
      </w:r>
      <w:r w:rsidRPr="00262910">
        <w:rPr>
          <w:lang w:val="fr-FR"/>
        </w:rPr>
        <w:tab/>
      </w:r>
      <w:r w:rsidRPr="0007214C">
        <w:rPr>
          <w:lang w:val="fr-FR"/>
        </w:rPr>
        <w:t>Réponse</w:t>
      </w:r>
      <w:r w:rsidRPr="00262910">
        <w:rPr>
          <w:lang w:val="fr-FR"/>
        </w:rPr>
        <w:t xml:space="preserve"> </w:t>
      </w:r>
      <w:r>
        <w:rPr>
          <w:lang w:val="fr-FR"/>
        </w:rPr>
        <w:t xml:space="preserve">au </w:t>
      </w:r>
      <w:r w:rsidRPr="00262910">
        <w:rPr>
          <w:lang w:val="fr-FR"/>
        </w:rPr>
        <w:t>paragraphe 3 de la liste de points</w:t>
      </w:r>
    </w:p>
    <w:p w:rsidR="001771B8" w:rsidRPr="00262910" w:rsidRDefault="001771B8" w:rsidP="001771B8">
      <w:pPr>
        <w:pStyle w:val="SingleTxtG"/>
        <w:rPr>
          <w:lang w:val="fr-FR"/>
        </w:rPr>
      </w:pPr>
      <w:r w:rsidRPr="00262910">
        <w:rPr>
          <w:lang w:val="fr-FR"/>
        </w:rPr>
        <w:t>8.</w:t>
      </w:r>
      <w:r w:rsidRPr="00262910">
        <w:rPr>
          <w:lang w:val="fr-FR"/>
        </w:rPr>
        <w:tab/>
        <w:t>La loi sur l</w:t>
      </w:r>
      <w:r>
        <w:rPr>
          <w:lang w:val="fr-FR"/>
        </w:rPr>
        <w:t>’</w:t>
      </w:r>
      <w:r w:rsidRPr="00262910">
        <w:rPr>
          <w:lang w:val="fr-FR"/>
        </w:rPr>
        <w:t xml:space="preserve">égalité et la lutte contre la discrimination interdit la discrimination, fondée </w:t>
      </w:r>
      <w:r>
        <w:rPr>
          <w:lang w:val="fr-FR"/>
        </w:rPr>
        <w:t xml:space="preserve">notamment </w:t>
      </w:r>
      <w:r w:rsidRPr="00262910">
        <w:rPr>
          <w:lang w:val="fr-FR"/>
        </w:rPr>
        <w:t>sur l</w:t>
      </w:r>
      <w:r>
        <w:rPr>
          <w:lang w:val="fr-FR"/>
        </w:rPr>
        <w:t>’</w:t>
      </w:r>
      <w:r w:rsidRPr="00262910">
        <w:rPr>
          <w:lang w:val="fr-FR"/>
        </w:rPr>
        <w:t xml:space="preserve">appartenance ethnique. </w:t>
      </w:r>
      <w:r>
        <w:rPr>
          <w:lang w:val="fr-FR"/>
        </w:rPr>
        <w:t xml:space="preserve">Cette loi ne définit pas </w:t>
      </w:r>
      <w:r w:rsidRPr="0007214C">
        <w:rPr>
          <w:lang w:val="fr-FR"/>
        </w:rPr>
        <w:t>les mesures spécifiques à prendre</w:t>
      </w:r>
      <w:r>
        <w:rPr>
          <w:lang w:val="fr-FR"/>
        </w:rPr>
        <w:t xml:space="preserve"> pour s’acquitter de </w:t>
      </w:r>
      <w:r w:rsidRPr="00892E09">
        <w:rPr>
          <w:lang w:val="fr-FR"/>
        </w:rPr>
        <w:t>l</w:t>
      </w:r>
      <w:r>
        <w:rPr>
          <w:lang w:val="fr-FR"/>
        </w:rPr>
        <w:t>’</w:t>
      </w:r>
      <w:r w:rsidRPr="00892E09">
        <w:rPr>
          <w:lang w:val="fr-FR"/>
        </w:rPr>
        <w:t>obligation de faire des efforts actifs,</w:t>
      </w:r>
      <w:r w:rsidRPr="00262910">
        <w:rPr>
          <w:lang w:val="fr-FR"/>
        </w:rPr>
        <w:t xml:space="preserve"> mais </w:t>
      </w:r>
      <w:r>
        <w:rPr>
          <w:lang w:val="fr-FR"/>
        </w:rPr>
        <w:t xml:space="preserve">elle </w:t>
      </w:r>
      <w:r w:rsidRPr="00262910">
        <w:rPr>
          <w:lang w:val="fr-FR"/>
        </w:rPr>
        <w:t xml:space="preserve">invite </w:t>
      </w:r>
      <w:r>
        <w:rPr>
          <w:lang w:val="fr-FR"/>
        </w:rPr>
        <w:t xml:space="preserve">chaque </w:t>
      </w:r>
      <w:r w:rsidRPr="00262910">
        <w:rPr>
          <w:lang w:val="fr-FR"/>
        </w:rPr>
        <w:t xml:space="preserve">employeur à concevoir des mesures </w:t>
      </w:r>
      <w:r>
        <w:rPr>
          <w:lang w:val="fr-FR"/>
        </w:rPr>
        <w:t xml:space="preserve">pour remédier aux </w:t>
      </w:r>
      <w:r w:rsidRPr="00262910">
        <w:rPr>
          <w:lang w:val="fr-FR"/>
        </w:rPr>
        <w:t xml:space="preserve">problèmes de discrimination </w:t>
      </w:r>
      <w:r>
        <w:rPr>
          <w:lang w:val="fr-FR"/>
        </w:rPr>
        <w:t xml:space="preserve">se posant au sein de son </w:t>
      </w:r>
      <w:r w:rsidRPr="00262910">
        <w:rPr>
          <w:lang w:val="fr-FR"/>
        </w:rPr>
        <w:t>entreprise. Les autorités publiques ont une responsabilité particulière dans la prévention de la discrimination. L</w:t>
      </w:r>
      <w:r>
        <w:rPr>
          <w:lang w:val="fr-FR"/>
        </w:rPr>
        <w:t xml:space="preserve">a législation </w:t>
      </w:r>
      <w:r w:rsidRPr="00262910">
        <w:rPr>
          <w:lang w:val="fr-FR"/>
        </w:rPr>
        <w:t xml:space="preserve">norvégienne relative au logement </w:t>
      </w:r>
      <w:r>
        <w:rPr>
          <w:lang w:val="fr-FR"/>
        </w:rPr>
        <w:t xml:space="preserve">énonce </w:t>
      </w:r>
      <w:r w:rsidRPr="00262910">
        <w:rPr>
          <w:lang w:val="fr-FR"/>
        </w:rPr>
        <w:t xml:space="preserve">des interdictions générales contre la discrimination, </w:t>
      </w:r>
      <w:r>
        <w:rPr>
          <w:lang w:val="fr-FR"/>
        </w:rPr>
        <w:t xml:space="preserve">dont </w:t>
      </w:r>
      <w:r w:rsidRPr="00262910">
        <w:rPr>
          <w:lang w:val="fr-FR"/>
        </w:rPr>
        <w:t xml:space="preserve">la discrimination ethnique et religieuse. Depuis 2018, </w:t>
      </w:r>
      <w:bookmarkStart w:id="1" w:name="_Hlk29876744"/>
      <w:r w:rsidRPr="00262910">
        <w:rPr>
          <w:lang w:val="fr-FR"/>
        </w:rPr>
        <w:t xml:space="preserve">le </w:t>
      </w:r>
      <w:r>
        <w:rPr>
          <w:lang w:val="fr-FR"/>
        </w:rPr>
        <w:t xml:space="preserve">dispositif de lutte contre la </w:t>
      </w:r>
      <w:r w:rsidRPr="00262910">
        <w:rPr>
          <w:lang w:val="fr-FR"/>
        </w:rPr>
        <w:t xml:space="preserve">discrimination </w:t>
      </w:r>
      <w:bookmarkEnd w:id="1"/>
      <w:r w:rsidRPr="00262910">
        <w:rPr>
          <w:lang w:val="fr-FR"/>
        </w:rPr>
        <w:t>a été réorganisé afin d</w:t>
      </w:r>
      <w:r>
        <w:rPr>
          <w:lang w:val="fr-FR"/>
        </w:rPr>
        <w:t>’</w:t>
      </w:r>
      <w:r w:rsidRPr="00262910">
        <w:rPr>
          <w:lang w:val="fr-FR"/>
        </w:rPr>
        <w:t>assurer une protection plus efficace</w:t>
      </w:r>
      <w:r w:rsidR="00EB45E2">
        <w:rPr>
          <w:lang w:val="fr-FR"/>
        </w:rPr>
        <w:t> </w:t>
      </w:r>
      <w:r w:rsidRPr="00262910">
        <w:rPr>
          <w:lang w:val="fr-FR"/>
        </w:rPr>
        <w:t xml:space="preserve">; voir la réponse à la question 13. Les infractions présumées à la loi peuvent être portées devant le </w:t>
      </w:r>
      <w:r w:rsidRPr="00071323">
        <w:rPr>
          <w:lang w:val="fr-FR"/>
        </w:rPr>
        <w:t>Tribunal contre la discrimination</w:t>
      </w:r>
      <w:r w:rsidRPr="00262910">
        <w:rPr>
          <w:lang w:val="fr-FR"/>
        </w:rPr>
        <w:t xml:space="preserve">. Toute personne </w:t>
      </w:r>
      <w:r>
        <w:rPr>
          <w:lang w:val="fr-FR"/>
        </w:rPr>
        <w:t>s’</w:t>
      </w:r>
      <w:r w:rsidRPr="00262910">
        <w:rPr>
          <w:lang w:val="fr-FR"/>
        </w:rPr>
        <w:t>estim</w:t>
      </w:r>
      <w:r>
        <w:rPr>
          <w:lang w:val="fr-FR"/>
        </w:rPr>
        <w:t>ant</w:t>
      </w:r>
      <w:r w:rsidRPr="00262910">
        <w:rPr>
          <w:lang w:val="fr-FR"/>
        </w:rPr>
        <w:t xml:space="preserve"> victime de discrimination peut </w:t>
      </w:r>
      <w:r>
        <w:rPr>
          <w:lang w:val="fr-FR"/>
        </w:rPr>
        <w:t xml:space="preserve">s’adresser </w:t>
      </w:r>
      <w:r w:rsidRPr="00071323">
        <w:rPr>
          <w:lang w:val="fr-FR"/>
        </w:rPr>
        <w:t>au Médiateur pour l</w:t>
      </w:r>
      <w:r>
        <w:rPr>
          <w:lang w:val="fr-FR"/>
        </w:rPr>
        <w:t>’</w:t>
      </w:r>
      <w:r w:rsidRPr="00071323">
        <w:rPr>
          <w:lang w:val="fr-FR"/>
        </w:rPr>
        <w:t>égalité et la lutte contre la discrimination, qui fournit des conseils à titre gracieux</w:t>
      </w:r>
      <w:r w:rsidRPr="00262910">
        <w:rPr>
          <w:lang w:val="fr-FR"/>
        </w:rPr>
        <w:t>.</w:t>
      </w:r>
    </w:p>
    <w:p w:rsidR="001771B8" w:rsidRPr="00071323" w:rsidRDefault="001771B8" w:rsidP="001771B8">
      <w:pPr>
        <w:pStyle w:val="SingleTxtG"/>
        <w:rPr>
          <w:lang w:val="fr-FR"/>
        </w:rPr>
      </w:pPr>
      <w:r w:rsidRPr="00071323">
        <w:rPr>
          <w:lang w:val="fr-FR"/>
        </w:rPr>
        <w:t>9.</w:t>
      </w:r>
      <w:r w:rsidRPr="00071323">
        <w:rPr>
          <w:lang w:val="fr-FR"/>
        </w:rPr>
        <w:tab/>
      </w:r>
      <w:r w:rsidRPr="00E46E97">
        <w:rPr>
          <w:lang w:val="fr-FR"/>
        </w:rPr>
        <w:t>Le Gouvernement a commencé</w:t>
      </w:r>
      <w:r w:rsidRPr="00262910">
        <w:rPr>
          <w:lang w:val="fr-FR"/>
        </w:rPr>
        <w:t xml:space="preserve"> à </w:t>
      </w:r>
      <w:r>
        <w:rPr>
          <w:lang w:val="fr-FR"/>
        </w:rPr>
        <w:t xml:space="preserve">travailler sur </w:t>
      </w:r>
      <w:r w:rsidRPr="00262910">
        <w:rPr>
          <w:lang w:val="fr-FR"/>
        </w:rPr>
        <w:t>un nouveau Plan d</w:t>
      </w:r>
      <w:r>
        <w:rPr>
          <w:lang w:val="fr-FR"/>
        </w:rPr>
        <w:t>’</w:t>
      </w:r>
      <w:r w:rsidRPr="00262910">
        <w:rPr>
          <w:lang w:val="fr-FR"/>
        </w:rPr>
        <w:t>action contre le racisme et la discrimination fondé</w:t>
      </w:r>
      <w:r>
        <w:rPr>
          <w:lang w:val="fr-FR"/>
        </w:rPr>
        <w:t>e</w:t>
      </w:r>
      <w:r w:rsidRPr="00262910">
        <w:rPr>
          <w:lang w:val="fr-FR"/>
        </w:rPr>
        <w:t xml:space="preserve"> sur l</w:t>
      </w:r>
      <w:r>
        <w:rPr>
          <w:lang w:val="fr-FR"/>
        </w:rPr>
        <w:t>’</w:t>
      </w:r>
      <w:r w:rsidRPr="00262910">
        <w:rPr>
          <w:lang w:val="fr-FR"/>
        </w:rPr>
        <w:t>appartenance ethnique et la religion, qui dev</w:t>
      </w:r>
      <w:r>
        <w:rPr>
          <w:lang w:val="fr-FR"/>
        </w:rPr>
        <w:t>r</w:t>
      </w:r>
      <w:r w:rsidRPr="00262910">
        <w:rPr>
          <w:lang w:val="fr-FR"/>
        </w:rPr>
        <w:t>ait être présenté à l</w:t>
      </w:r>
      <w:r>
        <w:rPr>
          <w:lang w:val="fr-FR"/>
        </w:rPr>
        <w:t>’</w:t>
      </w:r>
      <w:r w:rsidRPr="00262910">
        <w:rPr>
          <w:lang w:val="fr-FR"/>
        </w:rPr>
        <w:t xml:space="preserve">automne 2019. </w:t>
      </w:r>
      <w:r>
        <w:rPr>
          <w:lang w:val="fr-FR"/>
        </w:rPr>
        <w:t>L</w:t>
      </w:r>
      <w:r w:rsidRPr="00262910">
        <w:rPr>
          <w:lang w:val="fr-FR"/>
        </w:rPr>
        <w:t xml:space="preserve">e Ministère </w:t>
      </w:r>
      <w:r>
        <w:rPr>
          <w:lang w:val="fr-FR"/>
        </w:rPr>
        <w:t xml:space="preserve">élaborera le Plan dans le souci de renforcer </w:t>
      </w:r>
      <w:r w:rsidRPr="00262910">
        <w:rPr>
          <w:lang w:val="fr-FR"/>
        </w:rPr>
        <w:t xml:space="preserve">les compétences en matière de </w:t>
      </w:r>
      <w:r>
        <w:rPr>
          <w:lang w:val="fr-FR"/>
        </w:rPr>
        <w:t xml:space="preserve">lutte contre le </w:t>
      </w:r>
      <w:r w:rsidRPr="00262910">
        <w:rPr>
          <w:lang w:val="fr-FR"/>
        </w:rPr>
        <w:t xml:space="preserve">racisme et </w:t>
      </w:r>
      <w:r>
        <w:rPr>
          <w:lang w:val="fr-FR"/>
        </w:rPr>
        <w:t xml:space="preserve">la </w:t>
      </w:r>
      <w:r w:rsidRPr="00071323">
        <w:rPr>
          <w:lang w:val="fr-FR"/>
        </w:rPr>
        <w:t>discrimination dans les administrations publiques.</w:t>
      </w:r>
    </w:p>
    <w:p w:rsidR="001771B8" w:rsidRPr="00262910" w:rsidRDefault="001771B8" w:rsidP="001771B8">
      <w:pPr>
        <w:pStyle w:val="SingleTxtG"/>
        <w:rPr>
          <w:lang w:val="fr-FR"/>
        </w:rPr>
      </w:pPr>
      <w:r w:rsidRPr="00262910">
        <w:rPr>
          <w:lang w:val="fr-FR"/>
        </w:rPr>
        <w:t>10.</w:t>
      </w:r>
      <w:r w:rsidRPr="00262910">
        <w:rPr>
          <w:lang w:val="fr-FR"/>
        </w:rPr>
        <w:tab/>
      </w:r>
      <w:r>
        <w:rPr>
          <w:lang w:val="fr-FR"/>
        </w:rPr>
        <w:t xml:space="preserve">Chaque personne a </w:t>
      </w:r>
      <w:r w:rsidRPr="00262910">
        <w:rPr>
          <w:lang w:val="fr-FR"/>
        </w:rPr>
        <w:t>droit à une évaluation de son besoin d</w:t>
      </w:r>
      <w:r>
        <w:rPr>
          <w:lang w:val="fr-FR"/>
        </w:rPr>
        <w:t>’</w:t>
      </w:r>
      <w:r w:rsidRPr="00262910">
        <w:rPr>
          <w:lang w:val="fr-FR"/>
        </w:rPr>
        <w:t>un interprète professionnel lorsqu</w:t>
      </w:r>
      <w:r>
        <w:rPr>
          <w:lang w:val="fr-FR"/>
        </w:rPr>
        <w:t xml:space="preserve">’elle </w:t>
      </w:r>
      <w:r w:rsidRPr="00262910">
        <w:rPr>
          <w:lang w:val="fr-FR"/>
        </w:rPr>
        <w:t xml:space="preserve">reçoit des conseils et des avis de </w:t>
      </w:r>
      <w:r w:rsidRPr="00071323">
        <w:rPr>
          <w:lang w:val="fr-FR"/>
        </w:rPr>
        <w:t>l</w:t>
      </w:r>
      <w:r>
        <w:rPr>
          <w:lang w:val="fr-FR"/>
        </w:rPr>
        <w:t>’</w:t>
      </w:r>
      <w:r w:rsidRPr="00071323">
        <w:rPr>
          <w:lang w:val="fr-FR"/>
        </w:rPr>
        <w:t>Administration nationale du travail et de la protection sociale (NAV). Une</w:t>
      </w:r>
      <w:r w:rsidRPr="00262910">
        <w:rPr>
          <w:lang w:val="fr-FR"/>
        </w:rPr>
        <w:t xml:space="preserve"> bonne communication et </w:t>
      </w:r>
      <w:r>
        <w:rPr>
          <w:lang w:val="fr-FR"/>
        </w:rPr>
        <w:t xml:space="preserve">une </w:t>
      </w:r>
      <w:r w:rsidRPr="00262910">
        <w:rPr>
          <w:lang w:val="fr-FR"/>
        </w:rPr>
        <w:t>compréhension mutuelle entre u</w:t>
      </w:r>
      <w:r>
        <w:rPr>
          <w:lang w:val="fr-FR"/>
        </w:rPr>
        <w:t xml:space="preserve">sager </w:t>
      </w:r>
      <w:r w:rsidRPr="00262910">
        <w:rPr>
          <w:lang w:val="fr-FR"/>
        </w:rPr>
        <w:t xml:space="preserve">et conseiller sont </w:t>
      </w:r>
      <w:r>
        <w:rPr>
          <w:lang w:val="fr-FR"/>
        </w:rPr>
        <w:t xml:space="preserve">indispensables </w:t>
      </w:r>
      <w:r w:rsidRPr="00262910">
        <w:rPr>
          <w:lang w:val="fr-FR"/>
        </w:rPr>
        <w:t>pour assurer la participation d</w:t>
      </w:r>
      <w:r>
        <w:rPr>
          <w:lang w:val="fr-FR"/>
        </w:rPr>
        <w:t xml:space="preserve">es </w:t>
      </w:r>
      <w:r w:rsidRPr="00262910">
        <w:rPr>
          <w:lang w:val="fr-FR"/>
        </w:rPr>
        <w:t>u</w:t>
      </w:r>
      <w:r>
        <w:rPr>
          <w:lang w:val="fr-FR"/>
        </w:rPr>
        <w:t xml:space="preserve">sagers et leur </w:t>
      </w:r>
      <w:r w:rsidRPr="00262910">
        <w:rPr>
          <w:lang w:val="fr-FR"/>
        </w:rPr>
        <w:t xml:space="preserve">accès à des services de qualité et bien adaptés. Un modèle budgétaire </w:t>
      </w:r>
      <w:r>
        <w:rPr>
          <w:lang w:val="fr-FR"/>
        </w:rPr>
        <w:t xml:space="preserve">entré en vigueur au </w:t>
      </w:r>
      <w:r w:rsidRPr="00262910">
        <w:rPr>
          <w:lang w:val="fr-FR"/>
        </w:rPr>
        <w:t>1</w:t>
      </w:r>
      <w:r w:rsidRPr="002E277E">
        <w:rPr>
          <w:vertAlign w:val="superscript"/>
          <w:lang w:val="fr-FR"/>
        </w:rPr>
        <w:t>er</w:t>
      </w:r>
      <w:r>
        <w:rPr>
          <w:lang w:val="fr-FR"/>
        </w:rPr>
        <w:t xml:space="preserve"> </w:t>
      </w:r>
      <w:r w:rsidRPr="00262910">
        <w:rPr>
          <w:lang w:val="fr-FR"/>
        </w:rPr>
        <w:t>janvier 2018 garantit que le budget n</w:t>
      </w:r>
      <w:r>
        <w:rPr>
          <w:lang w:val="fr-FR"/>
        </w:rPr>
        <w:t xml:space="preserve">’entrave pas </w:t>
      </w:r>
      <w:r w:rsidRPr="00262910">
        <w:rPr>
          <w:lang w:val="fr-FR"/>
        </w:rPr>
        <w:t>la mise à disposition d</w:t>
      </w:r>
      <w:r>
        <w:rPr>
          <w:lang w:val="fr-FR"/>
        </w:rPr>
        <w:t>’</w:t>
      </w:r>
      <w:r w:rsidRPr="00262910">
        <w:rPr>
          <w:lang w:val="fr-FR"/>
        </w:rPr>
        <w:t>un interprète.</w:t>
      </w:r>
    </w:p>
    <w:p w:rsidR="001771B8" w:rsidRPr="00262910" w:rsidRDefault="001771B8" w:rsidP="001771B8">
      <w:pPr>
        <w:pStyle w:val="SingleTxtG"/>
        <w:rPr>
          <w:bCs/>
          <w:lang w:val="fr-FR"/>
        </w:rPr>
      </w:pPr>
      <w:r w:rsidRPr="00262910">
        <w:rPr>
          <w:bCs/>
          <w:lang w:val="fr-FR"/>
        </w:rPr>
        <w:t>11.</w:t>
      </w:r>
      <w:r w:rsidRPr="00262910">
        <w:rPr>
          <w:bCs/>
          <w:lang w:val="fr-FR"/>
        </w:rPr>
        <w:tab/>
      </w:r>
      <w:r>
        <w:rPr>
          <w:lang w:val="fr-FR"/>
        </w:rPr>
        <w:t xml:space="preserve">Toute </w:t>
      </w:r>
      <w:r w:rsidRPr="0021190A">
        <w:rPr>
          <w:lang w:val="fr-FR"/>
        </w:rPr>
        <w:t>personne devrait</w:t>
      </w:r>
      <w:r w:rsidRPr="00262910">
        <w:rPr>
          <w:lang w:val="fr-FR"/>
        </w:rPr>
        <w:t xml:space="preserve"> pouvoir utiliser les services publics, quelle que soit la langue qu</w:t>
      </w:r>
      <w:r>
        <w:rPr>
          <w:lang w:val="fr-FR"/>
        </w:rPr>
        <w:t>’elle</w:t>
      </w:r>
      <w:r w:rsidRPr="00262910">
        <w:rPr>
          <w:lang w:val="fr-FR"/>
        </w:rPr>
        <w:t xml:space="preserve"> parle. </w:t>
      </w:r>
      <w:r>
        <w:rPr>
          <w:lang w:val="fr-FR"/>
        </w:rPr>
        <w:t>D</w:t>
      </w:r>
      <w:r w:rsidRPr="00F943BD">
        <w:rPr>
          <w:lang w:val="fr-FR"/>
        </w:rPr>
        <w:t xml:space="preserve">ifférentes dispositions législatives sectorielles </w:t>
      </w:r>
      <w:r>
        <w:rPr>
          <w:lang w:val="fr-FR"/>
        </w:rPr>
        <w:t xml:space="preserve">régissent le recours à des </w:t>
      </w:r>
      <w:r w:rsidRPr="00262910">
        <w:rPr>
          <w:lang w:val="fr-FR"/>
        </w:rPr>
        <w:t>interprètes dans le secteur public. Il existe une obligation générale de fournir</w:t>
      </w:r>
      <w:r w:rsidRPr="00B67E75">
        <w:rPr>
          <w:lang w:val="fr-FR"/>
        </w:rPr>
        <w:t xml:space="preserve"> des conseils</w:t>
      </w:r>
      <w:r>
        <w:rPr>
          <w:lang w:val="fr-FR"/>
        </w:rPr>
        <w:t xml:space="preserve"> et</w:t>
      </w:r>
      <w:r w:rsidRPr="00262910">
        <w:rPr>
          <w:lang w:val="fr-FR"/>
        </w:rPr>
        <w:t xml:space="preserve"> des </w:t>
      </w:r>
      <w:r>
        <w:rPr>
          <w:lang w:val="fr-FR"/>
        </w:rPr>
        <w:t xml:space="preserve">informations </w:t>
      </w:r>
      <w:r w:rsidRPr="00262910">
        <w:rPr>
          <w:lang w:val="fr-FR"/>
        </w:rPr>
        <w:t xml:space="preserve">sur les questions </w:t>
      </w:r>
      <w:r>
        <w:rPr>
          <w:lang w:val="fr-FR"/>
        </w:rPr>
        <w:t xml:space="preserve">en lien avec </w:t>
      </w:r>
      <w:r w:rsidRPr="00262910">
        <w:rPr>
          <w:lang w:val="fr-FR"/>
        </w:rPr>
        <w:t>la loi sur l</w:t>
      </w:r>
      <w:r>
        <w:rPr>
          <w:lang w:val="fr-FR"/>
        </w:rPr>
        <w:t>’</w:t>
      </w:r>
      <w:r w:rsidRPr="00262910">
        <w:rPr>
          <w:lang w:val="fr-FR"/>
        </w:rPr>
        <w:t xml:space="preserve">administration publique, qui prévoit le recours à des interprètes. Le Gouvernement </w:t>
      </w:r>
      <w:r>
        <w:rPr>
          <w:lang w:val="fr-FR"/>
        </w:rPr>
        <w:t xml:space="preserve">entend </w:t>
      </w:r>
      <w:r w:rsidRPr="00262910">
        <w:rPr>
          <w:lang w:val="fr-FR"/>
        </w:rPr>
        <w:t>améliorer l</w:t>
      </w:r>
      <w:r>
        <w:rPr>
          <w:lang w:val="fr-FR"/>
        </w:rPr>
        <w:t>’</w:t>
      </w:r>
      <w:r w:rsidRPr="00262910">
        <w:rPr>
          <w:lang w:val="fr-FR"/>
        </w:rPr>
        <w:t>utilisation et la qualité d</w:t>
      </w:r>
      <w:r>
        <w:rPr>
          <w:lang w:val="fr-FR"/>
        </w:rPr>
        <w:t>es services d’</w:t>
      </w:r>
      <w:r w:rsidRPr="00262910">
        <w:rPr>
          <w:lang w:val="fr-FR"/>
        </w:rPr>
        <w:t xml:space="preserve">interprétation dans le secteur public et a récemment proposé une nouvelle loi </w:t>
      </w:r>
      <w:r>
        <w:rPr>
          <w:lang w:val="fr-FR"/>
        </w:rPr>
        <w:t>relative à ces services</w:t>
      </w:r>
      <w:r w:rsidRPr="00262910">
        <w:rPr>
          <w:lang w:val="fr-FR"/>
        </w:rPr>
        <w:t>.</w:t>
      </w:r>
      <w:r>
        <w:rPr>
          <w:lang w:val="fr-FR"/>
        </w:rPr>
        <w:t xml:space="preserve"> Des fonds ont été affectés à l’acquisition des </w:t>
      </w:r>
      <w:r w:rsidRPr="00262910">
        <w:rPr>
          <w:lang w:val="fr-FR"/>
        </w:rPr>
        <w:t>qualification</w:t>
      </w:r>
      <w:r>
        <w:rPr>
          <w:lang w:val="fr-FR"/>
        </w:rPr>
        <w:t>s</w:t>
      </w:r>
      <w:r w:rsidRPr="00262910">
        <w:rPr>
          <w:lang w:val="fr-FR"/>
        </w:rPr>
        <w:t xml:space="preserve"> </w:t>
      </w:r>
      <w:r>
        <w:rPr>
          <w:lang w:val="fr-FR"/>
        </w:rPr>
        <w:t>requises pour l’interprétation</w:t>
      </w:r>
      <w:r w:rsidRPr="00B67E75">
        <w:rPr>
          <w:lang w:val="fr-FR"/>
        </w:rPr>
        <w:t xml:space="preserve"> </w:t>
      </w:r>
      <w:r>
        <w:rPr>
          <w:lang w:val="fr-FR"/>
        </w:rPr>
        <w:t>en vue d’</w:t>
      </w:r>
      <w:r w:rsidRPr="00B67E75">
        <w:rPr>
          <w:lang w:val="fr-FR"/>
        </w:rPr>
        <w:t>assurer un bon accès à des interprètes qualifiés</w:t>
      </w:r>
      <w:r w:rsidRPr="00262910">
        <w:rPr>
          <w:bCs/>
          <w:lang w:val="fr-FR"/>
        </w:rPr>
        <w:t xml:space="preserve">. </w:t>
      </w:r>
    </w:p>
    <w:p w:rsidR="001771B8" w:rsidRPr="00262910" w:rsidRDefault="001771B8" w:rsidP="001771B8">
      <w:pPr>
        <w:pStyle w:val="SingleTxtG"/>
        <w:rPr>
          <w:b/>
          <w:bCs/>
          <w:lang w:val="fr-FR"/>
        </w:rPr>
      </w:pPr>
      <w:r w:rsidRPr="00262910">
        <w:rPr>
          <w:bCs/>
          <w:lang w:val="fr-FR"/>
        </w:rPr>
        <w:t>12.</w:t>
      </w:r>
      <w:r w:rsidRPr="00262910">
        <w:rPr>
          <w:bCs/>
          <w:lang w:val="fr-FR"/>
        </w:rPr>
        <w:tab/>
        <w:t xml:space="preserve">Les tribunaux norvégiens peuvent désigner un interprète </w:t>
      </w:r>
      <w:r>
        <w:rPr>
          <w:bCs/>
          <w:lang w:val="fr-FR"/>
        </w:rPr>
        <w:t xml:space="preserve">dans le souci </w:t>
      </w:r>
      <w:r w:rsidRPr="00262910">
        <w:rPr>
          <w:bCs/>
          <w:lang w:val="fr-FR"/>
        </w:rPr>
        <w:t>de traiter les affaires correctement et équitablement. Ce</w:t>
      </w:r>
      <w:r>
        <w:rPr>
          <w:bCs/>
          <w:lang w:val="fr-FR"/>
        </w:rPr>
        <w:t xml:space="preserve">tte mesure s’impose </w:t>
      </w:r>
      <w:r w:rsidRPr="00262910">
        <w:rPr>
          <w:bCs/>
          <w:lang w:val="fr-FR"/>
        </w:rPr>
        <w:t>lorsqu</w:t>
      </w:r>
      <w:r>
        <w:rPr>
          <w:bCs/>
          <w:lang w:val="fr-FR"/>
        </w:rPr>
        <w:t xml:space="preserve">e dans une affaire </w:t>
      </w:r>
      <w:r w:rsidRPr="00262910">
        <w:rPr>
          <w:bCs/>
          <w:lang w:val="fr-FR"/>
        </w:rPr>
        <w:t>un</w:t>
      </w:r>
      <w:r>
        <w:rPr>
          <w:bCs/>
          <w:lang w:val="fr-FR"/>
        </w:rPr>
        <w:t>e</w:t>
      </w:r>
      <w:r w:rsidRPr="00262910">
        <w:rPr>
          <w:bCs/>
          <w:lang w:val="fr-FR"/>
        </w:rPr>
        <w:t xml:space="preserve"> ou plusieurs des </w:t>
      </w:r>
      <w:r>
        <w:rPr>
          <w:bCs/>
          <w:lang w:val="fr-FR"/>
        </w:rPr>
        <w:t xml:space="preserve">parties principales </w:t>
      </w:r>
      <w:r w:rsidRPr="00262910">
        <w:rPr>
          <w:bCs/>
          <w:lang w:val="fr-FR"/>
        </w:rPr>
        <w:t>parlent une langue minoritaire. Les frais s</w:t>
      </w:r>
      <w:r>
        <w:rPr>
          <w:bCs/>
          <w:lang w:val="fr-FR"/>
        </w:rPr>
        <w:t xml:space="preserve">ont pris en charge par </w:t>
      </w:r>
      <w:r w:rsidRPr="00262910">
        <w:rPr>
          <w:bCs/>
          <w:lang w:val="fr-FR"/>
        </w:rPr>
        <w:t>l</w:t>
      </w:r>
      <w:r>
        <w:rPr>
          <w:bCs/>
          <w:lang w:val="fr-FR"/>
        </w:rPr>
        <w:t>’</w:t>
      </w:r>
      <w:r w:rsidRPr="00262910">
        <w:rPr>
          <w:bCs/>
          <w:lang w:val="fr-FR"/>
        </w:rPr>
        <w:t>État dans les cas où</w:t>
      </w:r>
      <w:hyperlink r:id="rId9" w:tooltip="Legal glossary" w:history="1">
        <w:r w:rsidRPr="007B4651">
          <w:rPr>
            <w:color w:val="000000" w:themeColor="text1"/>
            <w:lang w:val="fr-FR"/>
          </w:rPr>
          <w:t xml:space="preserve"> </w:t>
        </w:r>
        <w:r w:rsidRPr="007B4651">
          <w:rPr>
            <w:rStyle w:val="Lienhypertexte"/>
            <w:bCs/>
            <w:color w:val="000000" w:themeColor="text1"/>
            <w:lang w:val="fr-FR"/>
          </w:rPr>
          <w:t xml:space="preserve">une aide est fournie </w:t>
        </w:r>
        <w:r>
          <w:rPr>
            <w:rStyle w:val="Lienhypertexte"/>
            <w:bCs/>
            <w:color w:val="000000" w:themeColor="text1"/>
            <w:lang w:val="fr-FR"/>
          </w:rPr>
          <w:t xml:space="preserve">gratuitement </w:t>
        </w:r>
        <w:r w:rsidRPr="007B4651">
          <w:rPr>
            <w:rStyle w:val="Lienhypertexte"/>
            <w:bCs/>
            <w:color w:val="000000" w:themeColor="text1"/>
            <w:lang w:val="fr-FR"/>
          </w:rPr>
          <w:t>au titre de la procédure</w:t>
        </w:r>
      </w:hyperlink>
      <w:r>
        <w:rPr>
          <w:rStyle w:val="Lienhypertexte"/>
          <w:bCs/>
          <w:color w:val="000000" w:themeColor="text1"/>
          <w:lang w:val="fr-FR"/>
        </w:rPr>
        <w:t xml:space="preserve"> </w:t>
      </w:r>
      <w:r>
        <w:rPr>
          <w:bCs/>
          <w:color w:val="000000" w:themeColor="text1"/>
          <w:lang w:val="fr-FR"/>
        </w:rPr>
        <w:t xml:space="preserve">ainsi que </w:t>
      </w:r>
      <w:r w:rsidRPr="00262910">
        <w:rPr>
          <w:bCs/>
          <w:lang w:val="fr-FR"/>
        </w:rPr>
        <w:t>dans toutes les affaires pénales. Les frais d</w:t>
      </w:r>
      <w:r>
        <w:rPr>
          <w:bCs/>
          <w:lang w:val="fr-FR"/>
        </w:rPr>
        <w:t>’</w:t>
      </w:r>
      <w:r w:rsidRPr="00262910">
        <w:rPr>
          <w:bCs/>
          <w:lang w:val="fr-FR"/>
        </w:rPr>
        <w:t>interpr</w:t>
      </w:r>
      <w:r>
        <w:rPr>
          <w:bCs/>
          <w:lang w:val="fr-FR"/>
        </w:rPr>
        <w:t xml:space="preserve">étation sont </w:t>
      </w:r>
      <w:r w:rsidRPr="00262910">
        <w:rPr>
          <w:bCs/>
          <w:lang w:val="fr-FR"/>
        </w:rPr>
        <w:t xml:space="preserve">pris en charge dans </w:t>
      </w:r>
      <w:r>
        <w:rPr>
          <w:bCs/>
          <w:lang w:val="fr-FR"/>
        </w:rPr>
        <w:t xml:space="preserve">certaines </w:t>
      </w:r>
      <w:r w:rsidRPr="00262910">
        <w:rPr>
          <w:bCs/>
          <w:lang w:val="fr-FR"/>
        </w:rPr>
        <w:t xml:space="preserve">affaires civiles </w:t>
      </w:r>
      <w:r>
        <w:rPr>
          <w:bCs/>
          <w:lang w:val="fr-FR"/>
        </w:rPr>
        <w:t xml:space="preserve">si </w:t>
      </w:r>
      <w:r w:rsidRPr="00262910">
        <w:rPr>
          <w:bCs/>
          <w:lang w:val="fr-FR"/>
        </w:rPr>
        <w:t>le tribunal estime nécessaire de faire appel à un interprète parce qu</w:t>
      </w:r>
      <w:r>
        <w:rPr>
          <w:bCs/>
          <w:lang w:val="fr-FR"/>
        </w:rPr>
        <w:t>’</w:t>
      </w:r>
      <w:r w:rsidRPr="00262910">
        <w:rPr>
          <w:bCs/>
          <w:lang w:val="fr-FR"/>
        </w:rPr>
        <w:t>une partie</w:t>
      </w:r>
      <w:r>
        <w:rPr>
          <w:bCs/>
          <w:lang w:val="fr-FR"/>
        </w:rPr>
        <w:t>,</w:t>
      </w:r>
      <w:r w:rsidRPr="00262910">
        <w:rPr>
          <w:bCs/>
          <w:lang w:val="fr-FR"/>
        </w:rPr>
        <w:t xml:space="preserve"> </w:t>
      </w:r>
      <w:r w:rsidRPr="00915A0E">
        <w:rPr>
          <w:bCs/>
          <w:lang w:val="fr-FR"/>
        </w:rPr>
        <w:t>ou plusieurs</w:t>
      </w:r>
      <w:r>
        <w:rPr>
          <w:bCs/>
          <w:lang w:val="fr-FR"/>
        </w:rPr>
        <w:t>,</w:t>
      </w:r>
      <w:r w:rsidRPr="00915A0E">
        <w:rPr>
          <w:bCs/>
          <w:lang w:val="fr-FR"/>
        </w:rPr>
        <w:t xml:space="preserve"> </w:t>
      </w:r>
      <w:r w:rsidRPr="00262910">
        <w:rPr>
          <w:bCs/>
          <w:lang w:val="fr-FR"/>
        </w:rPr>
        <w:t xml:space="preserve">ne parle pas norvégien et que cette partie est un citoyen norvégien ou un citoyen étranger résidant en Norvège. Si un témoin ou un expert ne parle pas norvégien, ou si une partie est un étranger non-résident en Norvège, les frais peuvent être </w:t>
      </w:r>
      <w:r>
        <w:rPr>
          <w:bCs/>
          <w:lang w:val="fr-FR"/>
        </w:rPr>
        <w:t xml:space="preserve">pris en charge </w:t>
      </w:r>
      <w:r w:rsidRPr="00262910">
        <w:rPr>
          <w:bCs/>
          <w:lang w:val="fr-FR"/>
        </w:rPr>
        <w:t>si le tribunal le juge raisonnable</w:t>
      </w:r>
      <w:r>
        <w:rPr>
          <w:bCs/>
          <w:lang w:val="fr-FR"/>
        </w:rPr>
        <w:t>, ce qui est fonction du ty</w:t>
      </w:r>
      <w:r w:rsidRPr="00262910">
        <w:rPr>
          <w:bCs/>
          <w:lang w:val="fr-FR"/>
        </w:rPr>
        <w:t>pe d</w:t>
      </w:r>
      <w:r>
        <w:rPr>
          <w:bCs/>
          <w:lang w:val="fr-FR"/>
        </w:rPr>
        <w:t>’affaire</w:t>
      </w:r>
      <w:r w:rsidRPr="00262910">
        <w:rPr>
          <w:bCs/>
          <w:lang w:val="fr-FR"/>
        </w:rPr>
        <w:t xml:space="preserve">. </w:t>
      </w:r>
    </w:p>
    <w:p w:rsidR="001771B8" w:rsidRPr="00262910" w:rsidRDefault="001771B8" w:rsidP="001771B8">
      <w:pPr>
        <w:pStyle w:val="SingleTxtG"/>
        <w:rPr>
          <w:bCs/>
          <w:lang w:val="fr-FR"/>
        </w:rPr>
      </w:pPr>
      <w:r w:rsidRPr="00262910">
        <w:rPr>
          <w:bCs/>
          <w:lang w:val="fr-FR"/>
        </w:rPr>
        <w:t>13.</w:t>
      </w:r>
      <w:r w:rsidRPr="00262910">
        <w:rPr>
          <w:bCs/>
          <w:lang w:val="fr-FR"/>
        </w:rPr>
        <w:tab/>
      </w:r>
      <w:r>
        <w:rPr>
          <w:lang w:val="fr-FR"/>
        </w:rPr>
        <w:t xml:space="preserve">Conformément à </w:t>
      </w:r>
      <w:r w:rsidRPr="00927444">
        <w:rPr>
          <w:lang w:val="fr-FR"/>
        </w:rPr>
        <w:t>la loi sur</w:t>
      </w:r>
      <w:r w:rsidRPr="00262910">
        <w:rPr>
          <w:lang w:val="fr-FR"/>
        </w:rPr>
        <w:t xml:space="preserve"> les </w:t>
      </w:r>
      <w:r>
        <w:rPr>
          <w:lang w:val="fr-FR"/>
        </w:rPr>
        <w:t>Sâme</w:t>
      </w:r>
      <w:r w:rsidRPr="00262910">
        <w:rPr>
          <w:lang w:val="fr-FR"/>
        </w:rPr>
        <w:t>s, une personne d</w:t>
      </w:r>
      <w:r>
        <w:rPr>
          <w:lang w:val="fr-FR"/>
        </w:rPr>
        <w:t>’</w:t>
      </w:r>
      <w:r w:rsidRPr="00262910">
        <w:rPr>
          <w:lang w:val="fr-FR"/>
        </w:rPr>
        <w:t xml:space="preserve">origine </w:t>
      </w:r>
      <w:r>
        <w:rPr>
          <w:lang w:val="fr-FR"/>
        </w:rPr>
        <w:t>sâme</w:t>
      </w:r>
      <w:r w:rsidRPr="00262910">
        <w:rPr>
          <w:lang w:val="fr-FR"/>
        </w:rPr>
        <w:t xml:space="preserve"> a le droit</w:t>
      </w:r>
      <w:r>
        <w:rPr>
          <w:lang w:val="fr-FR"/>
        </w:rPr>
        <w:t xml:space="preserve"> </w:t>
      </w:r>
      <w:r w:rsidRPr="00262910">
        <w:rPr>
          <w:lang w:val="fr-FR"/>
        </w:rPr>
        <w:t>individuel d</w:t>
      </w:r>
      <w:r>
        <w:rPr>
          <w:lang w:val="fr-FR"/>
        </w:rPr>
        <w:t>’</w:t>
      </w:r>
      <w:r w:rsidRPr="00262910">
        <w:rPr>
          <w:lang w:val="fr-FR"/>
        </w:rPr>
        <w:t>utiliser sa langue devant</w:t>
      </w:r>
      <w:r>
        <w:rPr>
          <w:lang w:val="fr-FR"/>
        </w:rPr>
        <w:t xml:space="preserve"> un </w:t>
      </w:r>
      <w:r w:rsidRPr="00262910">
        <w:rPr>
          <w:lang w:val="fr-FR"/>
        </w:rPr>
        <w:t>tribuna</w:t>
      </w:r>
      <w:r>
        <w:rPr>
          <w:lang w:val="fr-FR"/>
        </w:rPr>
        <w:t>l</w:t>
      </w:r>
      <w:r w:rsidRPr="00262910">
        <w:rPr>
          <w:lang w:val="fr-FR"/>
        </w:rPr>
        <w:t xml:space="preserve"> dont la compétence </w:t>
      </w:r>
      <w:r>
        <w:rPr>
          <w:lang w:val="fr-FR"/>
        </w:rPr>
        <w:t xml:space="preserve">territoriale </w:t>
      </w:r>
      <w:r w:rsidRPr="00262910">
        <w:rPr>
          <w:lang w:val="fr-FR"/>
        </w:rPr>
        <w:t>s</w:t>
      </w:r>
      <w:r>
        <w:rPr>
          <w:lang w:val="fr-FR"/>
        </w:rPr>
        <w:t>’</w:t>
      </w:r>
      <w:r w:rsidRPr="00262910">
        <w:rPr>
          <w:lang w:val="fr-FR"/>
        </w:rPr>
        <w:t>étend à tout ou partie d</w:t>
      </w:r>
      <w:r>
        <w:rPr>
          <w:lang w:val="fr-FR"/>
        </w:rPr>
        <w:t xml:space="preserve">u </w:t>
      </w:r>
      <w:r w:rsidRPr="00262910">
        <w:rPr>
          <w:lang w:val="fr-FR"/>
        </w:rPr>
        <w:t xml:space="preserve">district administratif pour la langue </w:t>
      </w:r>
      <w:r>
        <w:rPr>
          <w:lang w:val="fr-FR"/>
        </w:rPr>
        <w:t>sâme</w:t>
      </w:r>
      <w:r w:rsidRPr="00262910">
        <w:rPr>
          <w:lang w:val="fr-FR"/>
        </w:rPr>
        <w:t xml:space="preserve">. Cette loi </w:t>
      </w:r>
      <w:r>
        <w:rPr>
          <w:lang w:val="fr-FR"/>
        </w:rPr>
        <w:t xml:space="preserve">vise à </w:t>
      </w:r>
      <w:r w:rsidRPr="00262910">
        <w:rPr>
          <w:lang w:val="fr-FR"/>
        </w:rPr>
        <w:t xml:space="preserve">permettre au peuple </w:t>
      </w:r>
      <w:r>
        <w:rPr>
          <w:lang w:val="fr-FR"/>
        </w:rPr>
        <w:t>sâme</w:t>
      </w:r>
      <w:r w:rsidRPr="00262910">
        <w:rPr>
          <w:lang w:val="fr-FR"/>
        </w:rPr>
        <w:t xml:space="preserve"> de Norvège de sauvegarder et développer sa langue, sa culture et son mode de vie.</w:t>
      </w:r>
      <w:r w:rsidRPr="00262910">
        <w:rPr>
          <w:bCs/>
          <w:lang w:val="fr-FR"/>
        </w:rPr>
        <w:t xml:space="preserve"> </w:t>
      </w:r>
    </w:p>
    <w:p w:rsidR="001771B8" w:rsidRPr="00262910" w:rsidRDefault="001771B8" w:rsidP="001771B8">
      <w:pPr>
        <w:pStyle w:val="SingleTxtG"/>
        <w:rPr>
          <w:bCs/>
          <w:lang w:val="fr-FR"/>
        </w:rPr>
      </w:pPr>
      <w:r w:rsidRPr="00262910">
        <w:rPr>
          <w:bCs/>
          <w:lang w:val="fr-FR"/>
        </w:rPr>
        <w:t>14.</w:t>
      </w:r>
      <w:r w:rsidRPr="00262910">
        <w:rPr>
          <w:bCs/>
          <w:lang w:val="fr-FR"/>
        </w:rPr>
        <w:tab/>
      </w:r>
      <w:r w:rsidRPr="00927444">
        <w:rPr>
          <w:lang w:val="fr-FR"/>
        </w:rPr>
        <w:t>L</w:t>
      </w:r>
      <w:r>
        <w:rPr>
          <w:lang w:val="fr-FR"/>
        </w:rPr>
        <w:t>’</w:t>
      </w:r>
      <w:r w:rsidRPr="00927444">
        <w:rPr>
          <w:lang w:val="fr-FR"/>
        </w:rPr>
        <w:t>article 3-4 de</w:t>
      </w:r>
      <w:r w:rsidRPr="00262910">
        <w:rPr>
          <w:lang w:val="fr-FR"/>
        </w:rPr>
        <w:t xml:space="preserve"> la loi sur les </w:t>
      </w:r>
      <w:r>
        <w:rPr>
          <w:lang w:val="fr-FR"/>
        </w:rPr>
        <w:t>Sâme</w:t>
      </w:r>
      <w:r w:rsidRPr="00262910">
        <w:rPr>
          <w:lang w:val="fr-FR"/>
        </w:rPr>
        <w:t xml:space="preserve">s </w:t>
      </w:r>
      <w:r>
        <w:rPr>
          <w:lang w:val="fr-FR"/>
        </w:rPr>
        <w:t>fixe l</w:t>
      </w:r>
      <w:r w:rsidRPr="00262910">
        <w:rPr>
          <w:lang w:val="fr-FR"/>
        </w:rPr>
        <w:t xml:space="preserve">es règles </w:t>
      </w:r>
      <w:r>
        <w:rPr>
          <w:lang w:val="fr-FR"/>
        </w:rPr>
        <w:t xml:space="preserve">particulières applicables aux </w:t>
      </w:r>
      <w:r w:rsidRPr="00262910">
        <w:rPr>
          <w:lang w:val="fr-FR"/>
        </w:rPr>
        <w:t>procédures judiciaires</w:t>
      </w:r>
      <w:r>
        <w:rPr>
          <w:lang w:val="fr-FR"/>
        </w:rPr>
        <w:t xml:space="preserve"> les concernant, à savoir</w:t>
      </w:r>
      <w:r w:rsidR="00FE45B4">
        <w:rPr>
          <w:lang w:val="fr-FR"/>
        </w:rPr>
        <w:t> </w:t>
      </w:r>
      <w:r w:rsidRPr="00262910">
        <w:rPr>
          <w:lang w:val="fr-FR"/>
        </w:rPr>
        <w:t xml:space="preserve">: le droit de présenter des pièces de procédure écrites en langue </w:t>
      </w:r>
      <w:r>
        <w:rPr>
          <w:lang w:val="fr-FR"/>
        </w:rPr>
        <w:t>sâme,</w:t>
      </w:r>
      <w:r w:rsidRPr="00262910">
        <w:rPr>
          <w:lang w:val="fr-FR"/>
        </w:rPr>
        <w:t xml:space="preserve"> le droit de présenter une requête orale en langue </w:t>
      </w:r>
      <w:r>
        <w:rPr>
          <w:lang w:val="fr-FR"/>
        </w:rPr>
        <w:t>sâme</w:t>
      </w:r>
      <w:r w:rsidRPr="00262910">
        <w:rPr>
          <w:lang w:val="fr-FR"/>
        </w:rPr>
        <w:t xml:space="preserve"> et le droit de </w:t>
      </w:r>
      <w:r>
        <w:rPr>
          <w:lang w:val="fr-FR"/>
        </w:rPr>
        <w:t>s’exprimer en langue sâme</w:t>
      </w:r>
      <w:r w:rsidRPr="00262910">
        <w:rPr>
          <w:lang w:val="fr-FR"/>
        </w:rPr>
        <w:t xml:space="preserve"> </w:t>
      </w:r>
      <w:r>
        <w:rPr>
          <w:lang w:val="fr-FR"/>
        </w:rPr>
        <w:t xml:space="preserve">en </w:t>
      </w:r>
      <w:r w:rsidRPr="00262910">
        <w:rPr>
          <w:lang w:val="fr-FR"/>
        </w:rPr>
        <w:t xml:space="preserve">audience. Le tribunal est responsable de la traduction en norvégien. Le juge peut </w:t>
      </w:r>
      <w:r>
        <w:rPr>
          <w:lang w:val="fr-FR"/>
        </w:rPr>
        <w:t xml:space="preserve">en outre </w:t>
      </w:r>
      <w:r w:rsidRPr="00262910">
        <w:rPr>
          <w:lang w:val="fr-FR"/>
        </w:rPr>
        <w:t xml:space="preserve">décider que la langue utilisée dans la procédure sera le </w:t>
      </w:r>
      <w:r>
        <w:rPr>
          <w:lang w:val="fr-FR"/>
        </w:rPr>
        <w:t>sâme</w:t>
      </w:r>
      <w:r w:rsidRPr="00262910">
        <w:rPr>
          <w:lang w:val="fr-FR"/>
        </w:rPr>
        <w:t xml:space="preserve"> et que les </w:t>
      </w:r>
      <w:r>
        <w:rPr>
          <w:lang w:val="fr-FR"/>
        </w:rPr>
        <w:t xml:space="preserve">procès-verbaux d’audience </w:t>
      </w:r>
      <w:r w:rsidRPr="00262910">
        <w:rPr>
          <w:lang w:val="fr-FR"/>
        </w:rPr>
        <w:t xml:space="preserve">seront </w:t>
      </w:r>
      <w:r>
        <w:rPr>
          <w:lang w:val="fr-FR"/>
        </w:rPr>
        <w:t xml:space="preserve">établis </w:t>
      </w:r>
      <w:r w:rsidRPr="00262910">
        <w:rPr>
          <w:lang w:val="fr-FR"/>
        </w:rPr>
        <w:t xml:space="preserve">en </w:t>
      </w:r>
      <w:r>
        <w:rPr>
          <w:lang w:val="fr-FR"/>
        </w:rPr>
        <w:t>sâme</w:t>
      </w:r>
      <w:r w:rsidRPr="00262910">
        <w:rPr>
          <w:bCs/>
          <w:lang w:val="fr-FR"/>
        </w:rPr>
        <w:t xml:space="preserve">. </w:t>
      </w:r>
    </w:p>
    <w:p w:rsidR="001771B8" w:rsidRPr="00262910" w:rsidRDefault="001771B8" w:rsidP="001771B8">
      <w:pPr>
        <w:pStyle w:val="SingleTxtG"/>
        <w:rPr>
          <w:b/>
          <w:lang w:val="fr-FR"/>
        </w:rPr>
      </w:pPr>
      <w:r w:rsidRPr="00262910">
        <w:rPr>
          <w:lang w:val="fr-FR"/>
        </w:rPr>
        <w:t>15.</w:t>
      </w:r>
      <w:r w:rsidRPr="00262910">
        <w:rPr>
          <w:lang w:val="fr-FR"/>
        </w:rPr>
        <w:tab/>
      </w:r>
      <w:r>
        <w:rPr>
          <w:lang w:val="fr-FR"/>
        </w:rPr>
        <w:t xml:space="preserve">Dans les </w:t>
      </w:r>
      <w:r w:rsidRPr="00262910">
        <w:rPr>
          <w:lang w:val="fr-FR"/>
        </w:rPr>
        <w:t>a</w:t>
      </w:r>
      <w:r>
        <w:rPr>
          <w:lang w:val="fr-FR"/>
        </w:rPr>
        <w:t xml:space="preserve">nnonces de </w:t>
      </w:r>
      <w:r w:rsidRPr="00262910">
        <w:rPr>
          <w:lang w:val="fr-FR"/>
        </w:rPr>
        <w:t xml:space="preserve">postes </w:t>
      </w:r>
      <w:r>
        <w:rPr>
          <w:lang w:val="fr-FR"/>
        </w:rPr>
        <w:t xml:space="preserve">à pourvoir dans la </w:t>
      </w:r>
      <w:r w:rsidRPr="00262910">
        <w:rPr>
          <w:lang w:val="fr-FR"/>
        </w:rPr>
        <w:t>police</w:t>
      </w:r>
      <w:r>
        <w:rPr>
          <w:lang w:val="fr-FR"/>
        </w:rPr>
        <w:t xml:space="preserve"> il est indiqué </w:t>
      </w:r>
      <w:r w:rsidRPr="00262910">
        <w:rPr>
          <w:lang w:val="fr-FR"/>
        </w:rPr>
        <w:t xml:space="preserve">que les effectifs </w:t>
      </w:r>
      <w:r>
        <w:rPr>
          <w:lang w:val="fr-FR"/>
        </w:rPr>
        <w:t xml:space="preserve">de la fonction </w:t>
      </w:r>
      <w:r w:rsidRPr="00262910">
        <w:rPr>
          <w:lang w:val="fr-FR"/>
        </w:rPr>
        <w:t>publi</w:t>
      </w:r>
      <w:r>
        <w:rPr>
          <w:lang w:val="fr-FR"/>
        </w:rPr>
        <w:t xml:space="preserve">que </w:t>
      </w:r>
      <w:r w:rsidRPr="00262910">
        <w:rPr>
          <w:lang w:val="fr-FR"/>
        </w:rPr>
        <w:t xml:space="preserve">doivent refléter la diversité de la société. </w:t>
      </w:r>
      <w:r>
        <w:rPr>
          <w:lang w:val="fr-FR"/>
        </w:rPr>
        <w:t>T</w:t>
      </w:r>
      <w:r w:rsidRPr="00262910">
        <w:rPr>
          <w:lang w:val="fr-FR"/>
        </w:rPr>
        <w:t>outes les personnes qualifiées sont encouragées à poser leur candidature</w:t>
      </w:r>
      <w:r>
        <w:rPr>
          <w:lang w:val="fr-FR"/>
        </w:rPr>
        <w:t xml:space="preserve"> </w:t>
      </w:r>
      <w:r w:rsidR="00E85A57">
        <w:rPr>
          <w:lang w:val="fr-FR"/>
        </w:rPr>
        <w:t>−</w:t>
      </w:r>
      <w:r>
        <w:rPr>
          <w:lang w:val="fr-FR"/>
        </w:rPr>
        <w:t xml:space="preserve"> leur </w:t>
      </w:r>
      <w:r w:rsidRPr="004F4CD7">
        <w:rPr>
          <w:lang w:val="fr-FR"/>
        </w:rPr>
        <w:t xml:space="preserve">formation, </w:t>
      </w:r>
      <w:r>
        <w:rPr>
          <w:lang w:val="fr-FR"/>
        </w:rPr>
        <w:t xml:space="preserve">leur </w:t>
      </w:r>
      <w:r w:rsidRPr="004F4CD7">
        <w:rPr>
          <w:lang w:val="fr-FR"/>
        </w:rPr>
        <w:t xml:space="preserve">expérience professionnelle et </w:t>
      </w:r>
      <w:r>
        <w:rPr>
          <w:lang w:val="fr-FR"/>
        </w:rPr>
        <w:t>leur vécu pouvant ainsi être divers</w:t>
      </w:r>
      <w:r w:rsidRPr="00262910">
        <w:rPr>
          <w:lang w:val="fr-FR"/>
        </w:rPr>
        <w:t>. Un plan d</w:t>
      </w:r>
      <w:r>
        <w:rPr>
          <w:lang w:val="fr-FR"/>
        </w:rPr>
        <w:t>’</w:t>
      </w:r>
      <w:r w:rsidRPr="00262910">
        <w:rPr>
          <w:lang w:val="fr-FR"/>
        </w:rPr>
        <w:t xml:space="preserve">action </w:t>
      </w:r>
      <w:r w:rsidRPr="00186B21">
        <w:rPr>
          <w:lang w:val="fr-FR"/>
        </w:rPr>
        <w:t xml:space="preserve">a été élaboré </w:t>
      </w:r>
      <w:r>
        <w:rPr>
          <w:lang w:val="fr-FR"/>
        </w:rPr>
        <w:t xml:space="preserve">en vue de promouvoir la diversité </w:t>
      </w:r>
      <w:r w:rsidRPr="00262910">
        <w:rPr>
          <w:lang w:val="fr-FR"/>
        </w:rPr>
        <w:t>dans les forces de police</w:t>
      </w:r>
      <w:r w:rsidR="00E85A57">
        <w:rPr>
          <w:lang w:val="fr-FR"/>
        </w:rPr>
        <w:t> </w:t>
      </w:r>
      <w:r>
        <w:rPr>
          <w:lang w:val="fr-FR"/>
        </w:rPr>
        <w:t>; il vise à garantir l’</w:t>
      </w:r>
      <w:r w:rsidRPr="00262910">
        <w:rPr>
          <w:lang w:val="fr-FR"/>
        </w:rPr>
        <w:t xml:space="preserve">égalité </w:t>
      </w:r>
      <w:r>
        <w:rPr>
          <w:lang w:val="fr-FR"/>
        </w:rPr>
        <w:t xml:space="preserve">au regard du genre, de </w:t>
      </w:r>
      <w:r w:rsidRPr="00262910">
        <w:rPr>
          <w:lang w:val="fr-FR"/>
        </w:rPr>
        <w:t>l</w:t>
      </w:r>
      <w:r>
        <w:rPr>
          <w:lang w:val="fr-FR"/>
        </w:rPr>
        <w:t>’</w:t>
      </w:r>
      <w:r w:rsidRPr="00262910">
        <w:rPr>
          <w:lang w:val="fr-FR"/>
        </w:rPr>
        <w:t xml:space="preserve">ethnie, </w:t>
      </w:r>
      <w:r>
        <w:rPr>
          <w:lang w:val="fr-FR"/>
        </w:rPr>
        <w:t xml:space="preserve">de </w:t>
      </w:r>
      <w:r w:rsidRPr="00262910">
        <w:rPr>
          <w:lang w:val="fr-FR"/>
        </w:rPr>
        <w:t>l</w:t>
      </w:r>
      <w:r>
        <w:rPr>
          <w:lang w:val="fr-FR"/>
        </w:rPr>
        <w:t>’</w:t>
      </w:r>
      <w:r w:rsidRPr="00262910">
        <w:rPr>
          <w:lang w:val="fr-FR"/>
        </w:rPr>
        <w:t xml:space="preserve">orientation sexuelle, </w:t>
      </w:r>
      <w:r>
        <w:rPr>
          <w:lang w:val="fr-FR"/>
        </w:rPr>
        <w:t xml:space="preserve">de </w:t>
      </w:r>
      <w:r w:rsidRPr="00262910">
        <w:rPr>
          <w:lang w:val="fr-FR"/>
        </w:rPr>
        <w:t>l</w:t>
      </w:r>
      <w:r>
        <w:rPr>
          <w:lang w:val="fr-FR"/>
        </w:rPr>
        <w:t>’</w:t>
      </w:r>
      <w:r w:rsidRPr="00262910">
        <w:rPr>
          <w:lang w:val="fr-FR"/>
        </w:rPr>
        <w:t xml:space="preserve">âge et </w:t>
      </w:r>
      <w:r>
        <w:rPr>
          <w:lang w:val="fr-FR"/>
        </w:rPr>
        <w:t xml:space="preserve">du handicap </w:t>
      </w:r>
      <w:r w:rsidRPr="00262910">
        <w:rPr>
          <w:lang w:val="fr-FR"/>
        </w:rPr>
        <w:t xml:space="preserve">physique. </w:t>
      </w:r>
      <w:r>
        <w:rPr>
          <w:lang w:val="fr-FR"/>
        </w:rPr>
        <w:t xml:space="preserve">Ce </w:t>
      </w:r>
      <w:r w:rsidRPr="00262910">
        <w:rPr>
          <w:lang w:val="fr-FR"/>
        </w:rPr>
        <w:t xml:space="preserve">plan </w:t>
      </w:r>
      <w:r>
        <w:rPr>
          <w:lang w:val="fr-FR"/>
        </w:rPr>
        <w:t xml:space="preserve">tend à rendre aussi énergique et systématique que possible l’action en faveur de </w:t>
      </w:r>
      <w:r w:rsidRPr="00262910">
        <w:rPr>
          <w:lang w:val="fr-FR"/>
        </w:rPr>
        <w:t>la diversité</w:t>
      </w:r>
      <w:r w:rsidRPr="00262910">
        <w:rPr>
          <w:bCs/>
          <w:lang w:val="fr-FR"/>
        </w:rPr>
        <w:t>.</w:t>
      </w:r>
    </w:p>
    <w:p w:rsidR="001771B8" w:rsidRPr="00262910" w:rsidRDefault="001771B8" w:rsidP="001771B8">
      <w:pPr>
        <w:pStyle w:val="SingleTxtG"/>
        <w:rPr>
          <w:b/>
          <w:lang w:val="fr-FR"/>
        </w:rPr>
      </w:pPr>
      <w:r w:rsidRPr="00262910">
        <w:rPr>
          <w:lang w:val="fr-FR"/>
        </w:rPr>
        <w:t>16.</w:t>
      </w:r>
      <w:r w:rsidRPr="00262910">
        <w:rPr>
          <w:lang w:val="fr-FR"/>
        </w:rPr>
        <w:tab/>
        <w:t xml:space="preserve">Le Gouvernement ne prévoit pas </w:t>
      </w:r>
      <w:r>
        <w:rPr>
          <w:lang w:val="fr-FR"/>
        </w:rPr>
        <w:t xml:space="preserve">de </w:t>
      </w:r>
      <w:r w:rsidRPr="00262910">
        <w:rPr>
          <w:lang w:val="fr-FR"/>
        </w:rPr>
        <w:t>réviser l</w:t>
      </w:r>
      <w:r>
        <w:rPr>
          <w:lang w:val="fr-FR"/>
        </w:rPr>
        <w:t>’</w:t>
      </w:r>
      <w:r w:rsidRPr="00262910">
        <w:rPr>
          <w:lang w:val="fr-FR"/>
        </w:rPr>
        <w:t>article 21 de la loi sur l</w:t>
      </w:r>
      <w:r>
        <w:rPr>
          <w:lang w:val="fr-FR"/>
        </w:rPr>
        <w:t>’</w:t>
      </w:r>
      <w:r w:rsidRPr="00262910">
        <w:rPr>
          <w:lang w:val="fr-FR"/>
        </w:rPr>
        <w:t xml:space="preserve">immigration. La police </w:t>
      </w:r>
      <w:r>
        <w:rPr>
          <w:lang w:val="fr-FR"/>
        </w:rPr>
        <w:t xml:space="preserve">a pour politique une </w:t>
      </w:r>
      <w:r w:rsidRPr="00262910">
        <w:rPr>
          <w:lang w:val="fr-FR"/>
        </w:rPr>
        <w:t xml:space="preserve">tolérance zéro vis-à-vis du racisme et des comportements discriminatoires. </w:t>
      </w:r>
    </w:p>
    <w:p w:rsidR="001771B8" w:rsidRPr="00262910" w:rsidRDefault="001771B8" w:rsidP="00E85A57">
      <w:pPr>
        <w:pStyle w:val="H1G"/>
        <w:rPr>
          <w:lang w:val="fr-FR"/>
        </w:rPr>
      </w:pPr>
      <w:r w:rsidRPr="00262910">
        <w:rPr>
          <w:lang w:val="fr-FR"/>
        </w:rPr>
        <w:tab/>
      </w:r>
      <w:r w:rsidRPr="00262910">
        <w:rPr>
          <w:lang w:val="fr-FR"/>
        </w:rPr>
        <w:tab/>
        <w:t>Réponse au paragraphe 4 de la liste de points</w:t>
      </w:r>
    </w:p>
    <w:p w:rsidR="001771B8" w:rsidRPr="00262910" w:rsidRDefault="001771B8" w:rsidP="001771B8">
      <w:pPr>
        <w:pStyle w:val="SingleTxtG"/>
        <w:rPr>
          <w:lang w:val="fr-FR"/>
        </w:rPr>
      </w:pPr>
      <w:r w:rsidRPr="00262910">
        <w:rPr>
          <w:lang w:val="fr-FR"/>
        </w:rPr>
        <w:t>17.</w:t>
      </w:r>
      <w:r w:rsidRPr="00262910">
        <w:rPr>
          <w:lang w:val="fr-FR"/>
        </w:rPr>
        <w:tab/>
      </w:r>
      <w:r w:rsidRPr="003F0FFB">
        <w:rPr>
          <w:lang w:val="fr-FR"/>
        </w:rPr>
        <w:t>Au cours de la période 2011-2018,</w:t>
      </w:r>
      <w:r w:rsidRPr="00262910">
        <w:rPr>
          <w:lang w:val="fr-FR"/>
        </w:rPr>
        <w:t xml:space="preserve"> le Conseil </w:t>
      </w:r>
      <w:r>
        <w:rPr>
          <w:lang w:val="fr-FR"/>
        </w:rPr>
        <w:t xml:space="preserve">national </w:t>
      </w:r>
      <w:r w:rsidRPr="00262910">
        <w:rPr>
          <w:lang w:val="fr-FR"/>
        </w:rPr>
        <w:t>de recherche</w:t>
      </w:r>
      <w:r>
        <w:rPr>
          <w:lang w:val="fr-FR"/>
        </w:rPr>
        <w:t xml:space="preserve"> </w:t>
      </w:r>
      <w:r w:rsidRPr="00262910">
        <w:rPr>
          <w:lang w:val="fr-FR"/>
        </w:rPr>
        <w:t xml:space="preserve">a </w:t>
      </w:r>
      <w:r>
        <w:rPr>
          <w:lang w:val="fr-FR"/>
        </w:rPr>
        <w:t xml:space="preserve">procédé à </w:t>
      </w:r>
      <w:r w:rsidRPr="00262910">
        <w:rPr>
          <w:lang w:val="fr-FR"/>
        </w:rPr>
        <w:t>une évaluation de la réforme</w:t>
      </w:r>
      <w:r>
        <w:rPr>
          <w:lang w:val="fr-FR"/>
        </w:rPr>
        <w:t xml:space="preserve"> du régime </w:t>
      </w:r>
      <w:r w:rsidRPr="00262910">
        <w:rPr>
          <w:lang w:val="fr-FR"/>
        </w:rPr>
        <w:t xml:space="preserve">des </w:t>
      </w:r>
      <w:r>
        <w:rPr>
          <w:lang w:val="fr-FR"/>
        </w:rPr>
        <w:t xml:space="preserve">pensions de retraite introduite </w:t>
      </w:r>
      <w:r w:rsidRPr="00262910">
        <w:rPr>
          <w:lang w:val="fr-FR"/>
        </w:rPr>
        <w:t xml:space="preserve">en Norvège. </w:t>
      </w:r>
      <w:r>
        <w:rPr>
          <w:lang w:val="fr-FR"/>
        </w:rPr>
        <w:t xml:space="preserve">Cette </w:t>
      </w:r>
      <w:r w:rsidRPr="00262910">
        <w:rPr>
          <w:lang w:val="fr-FR"/>
        </w:rPr>
        <w:t>réforme</w:t>
      </w:r>
      <w:r>
        <w:rPr>
          <w:lang w:val="fr-FR"/>
        </w:rPr>
        <w:t xml:space="preserve">, qui </w:t>
      </w:r>
      <w:r w:rsidRPr="00262910">
        <w:rPr>
          <w:lang w:val="fr-FR"/>
        </w:rPr>
        <w:t>a été mise en œuvre progressivement</w:t>
      </w:r>
      <w:r>
        <w:rPr>
          <w:lang w:val="fr-FR"/>
        </w:rPr>
        <w:t xml:space="preserve"> en appliquant </w:t>
      </w:r>
      <w:r w:rsidRPr="00262910">
        <w:rPr>
          <w:lang w:val="fr-FR"/>
        </w:rPr>
        <w:t xml:space="preserve">un certain nombre de règles transitoires, continuera </w:t>
      </w:r>
      <w:r>
        <w:rPr>
          <w:lang w:val="fr-FR"/>
        </w:rPr>
        <w:t xml:space="preserve">d’avoir </w:t>
      </w:r>
      <w:r w:rsidRPr="00262910">
        <w:rPr>
          <w:lang w:val="fr-FR"/>
        </w:rPr>
        <w:t xml:space="preserve">des effets </w:t>
      </w:r>
      <w:r>
        <w:rPr>
          <w:lang w:val="fr-FR"/>
        </w:rPr>
        <w:t>sur l’</w:t>
      </w:r>
      <w:r w:rsidRPr="00262910">
        <w:rPr>
          <w:lang w:val="fr-FR"/>
        </w:rPr>
        <w:t>économi</w:t>
      </w:r>
      <w:r>
        <w:rPr>
          <w:lang w:val="fr-FR"/>
        </w:rPr>
        <w:t xml:space="preserve">e </w:t>
      </w:r>
      <w:r w:rsidRPr="00262910">
        <w:rPr>
          <w:lang w:val="fr-FR"/>
        </w:rPr>
        <w:t xml:space="preserve">dans les décennies à venir. </w:t>
      </w:r>
    </w:p>
    <w:p w:rsidR="001771B8" w:rsidRPr="00262910" w:rsidRDefault="001771B8" w:rsidP="001771B8">
      <w:pPr>
        <w:pStyle w:val="SingleTxtG"/>
        <w:rPr>
          <w:lang w:val="fr-FR"/>
        </w:rPr>
      </w:pPr>
      <w:r w:rsidRPr="00262910">
        <w:rPr>
          <w:lang w:val="fr-FR"/>
        </w:rPr>
        <w:t>18.</w:t>
      </w:r>
      <w:r w:rsidRPr="00262910">
        <w:rPr>
          <w:lang w:val="fr-FR"/>
        </w:rPr>
        <w:tab/>
        <w:t>L</w:t>
      </w:r>
      <w:r>
        <w:rPr>
          <w:lang w:val="fr-FR"/>
        </w:rPr>
        <w:t>’</w:t>
      </w:r>
      <w:r w:rsidRPr="00262910">
        <w:rPr>
          <w:lang w:val="fr-FR"/>
        </w:rPr>
        <w:t xml:space="preserve">évaluation montre que depuis </w:t>
      </w:r>
      <w:r>
        <w:rPr>
          <w:lang w:val="fr-FR"/>
        </w:rPr>
        <w:t xml:space="preserve">son introduction, en </w:t>
      </w:r>
      <w:r w:rsidRPr="00262910">
        <w:rPr>
          <w:lang w:val="fr-FR"/>
        </w:rPr>
        <w:t>2011</w:t>
      </w:r>
      <w:r>
        <w:rPr>
          <w:lang w:val="fr-FR"/>
        </w:rPr>
        <w:t>,</w:t>
      </w:r>
      <w:r w:rsidRPr="00262910">
        <w:rPr>
          <w:lang w:val="fr-FR"/>
        </w:rPr>
        <w:t xml:space="preserve"> la réforme a </w:t>
      </w:r>
      <w:r>
        <w:rPr>
          <w:lang w:val="fr-FR"/>
        </w:rPr>
        <w:t xml:space="preserve">permis d’inciter davantage les personnes à travailler, ainsi que faire monter le taux d’activité </w:t>
      </w:r>
      <w:r w:rsidRPr="00262910">
        <w:rPr>
          <w:lang w:val="fr-FR"/>
        </w:rPr>
        <w:t>des personnes âgées. L</w:t>
      </w:r>
      <w:r>
        <w:rPr>
          <w:lang w:val="fr-FR"/>
        </w:rPr>
        <w:t xml:space="preserve">e taux d’activité </w:t>
      </w:r>
      <w:r w:rsidRPr="00262910">
        <w:rPr>
          <w:lang w:val="fr-FR"/>
        </w:rPr>
        <w:t>s</w:t>
      </w:r>
      <w:r>
        <w:rPr>
          <w:lang w:val="fr-FR"/>
        </w:rPr>
        <w:t>’</w:t>
      </w:r>
      <w:r w:rsidRPr="00262910">
        <w:rPr>
          <w:lang w:val="fr-FR"/>
        </w:rPr>
        <w:t xml:space="preserve">est </w:t>
      </w:r>
      <w:r>
        <w:rPr>
          <w:lang w:val="fr-FR"/>
        </w:rPr>
        <w:t xml:space="preserve">surtout accru </w:t>
      </w:r>
      <w:r w:rsidRPr="00262910">
        <w:rPr>
          <w:lang w:val="fr-FR"/>
        </w:rPr>
        <w:t xml:space="preserve">dans le secteur privé. </w:t>
      </w:r>
      <w:r>
        <w:rPr>
          <w:lang w:val="fr-FR"/>
        </w:rPr>
        <w:t>L</w:t>
      </w:r>
      <w:r w:rsidRPr="00262910">
        <w:rPr>
          <w:lang w:val="fr-FR"/>
        </w:rPr>
        <w:t>e régime</w:t>
      </w:r>
      <w:r>
        <w:rPr>
          <w:lang w:val="fr-FR"/>
        </w:rPr>
        <w:t xml:space="preserve"> </w:t>
      </w:r>
      <w:r w:rsidRPr="00262910">
        <w:rPr>
          <w:lang w:val="fr-FR"/>
        </w:rPr>
        <w:t>de</w:t>
      </w:r>
      <w:r>
        <w:rPr>
          <w:lang w:val="fr-FR"/>
        </w:rPr>
        <w:t xml:space="preserve">s pensions de retraite des agents de la fonction publique </w:t>
      </w:r>
      <w:r w:rsidRPr="00262910">
        <w:rPr>
          <w:lang w:val="fr-FR"/>
        </w:rPr>
        <w:t xml:space="preserve">et </w:t>
      </w:r>
      <w:r>
        <w:rPr>
          <w:lang w:val="fr-FR"/>
        </w:rPr>
        <w:t>le dispositif de départ anticipé à la retraite de ces agents n’ont été que peu modifiés, ce qui n’a donc pas eu d’effet incitatif sur le plan de l’emploi d</w:t>
      </w:r>
      <w:r w:rsidRPr="00262910">
        <w:rPr>
          <w:lang w:val="fr-FR"/>
        </w:rPr>
        <w:t>ans le secteur public</w:t>
      </w:r>
      <w:r>
        <w:rPr>
          <w:lang w:val="fr-FR"/>
        </w:rPr>
        <w:t xml:space="preserve"> depuis </w:t>
      </w:r>
      <w:r w:rsidRPr="00262910">
        <w:rPr>
          <w:lang w:val="fr-FR"/>
        </w:rPr>
        <w:t xml:space="preserve">2011. </w:t>
      </w:r>
    </w:p>
    <w:p w:rsidR="001771B8" w:rsidRPr="00262910" w:rsidRDefault="001771B8" w:rsidP="001771B8">
      <w:pPr>
        <w:pStyle w:val="SingleTxtG"/>
        <w:rPr>
          <w:lang w:val="fr-FR"/>
        </w:rPr>
      </w:pPr>
      <w:r w:rsidRPr="00262910">
        <w:rPr>
          <w:lang w:val="fr-FR"/>
        </w:rPr>
        <w:t>19.</w:t>
      </w:r>
      <w:r w:rsidRPr="00262910">
        <w:rPr>
          <w:lang w:val="fr-FR"/>
        </w:rPr>
        <w:tab/>
        <w:t>En 2018, un accord a été conclu pour réformer le</w:t>
      </w:r>
      <w:r>
        <w:rPr>
          <w:lang w:val="fr-FR"/>
        </w:rPr>
        <w:t xml:space="preserve"> régime des</w:t>
      </w:r>
      <w:r w:rsidRPr="00262910">
        <w:rPr>
          <w:lang w:val="fr-FR"/>
        </w:rPr>
        <w:t xml:space="preserve"> pensions </w:t>
      </w:r>
      <w:r>
        <w:rPr>
          <w:lang w:val="fr-FR"/>
        </w:rPr>
        <w:t xml:space="preserve">de retraite </w:t>
      </w:r>
      <w:r w:rsidRPr="00262910">
        <w:rPr>
          <w:lang w:val="fr-FR"/>
        </w:rPr>
        <w:t xml:space="preserve">du secteur public </w:t>
      </w:r>
      <w:r>
        <w:rPr>
          <w:lang w:val="fr-FR"/>
        </w:rPr>
        <w:t xml:space="preserve">pour les </w:t>
      </w:r>
      <w:r w:rsidRPr="00262910">
        <w:rPr>
          <w:lang w:val="fr-FR"/>
        </w:rPr>
        <w:t xml:space="preserve">personnes nées en 1963 ou après. </w:t>
      </w:r>
      <w:r>
        <w:rPr>
          <w:lang w:val="fr-FR"/>
        </w:rPr>
        <w:t xml:space="preserve">Les agents </w:t>
      </w:r>
      <w:r w:rsidRPr="00262910">
        <w:rPr>
          <w:lang w:val="fr-FR"/>
        </w:rPr>
        <w:t xml:space="preserve">du secteur public seront </w:t>
      </w:r>
      <w:r>
        <w:rPr>
          <w:lang w:val="fr-FR"/>
        </w:rPr>
        <w:t xml:space="preserve">donc désormais eux-aussi </w:t>
      </w:r>
      <w:r w:rsidRPr="00262910">
        <w:rPr>
          <w:lang w:val="fr-FR"/>
        </w:rPr>
        <w:t>davantage incités à travailler</w:t>
      </w:r>
      <w:r>
        <w:rPr>
          <w:lang w:val="fr-FR"/>
        </w:rPr>
        <w:t xml:space="preserve"> jusqu’à un âge plus avancé</w:t>
      </w:r>
      <w:r w:rsidRPr="00262910">
        <w:rPr>
          <w:lang w:val="fr-FR"/>
        </w:rPr>
        <w:t xml:space="preserve">, </w:t>
      </w:r>
      <w:r>
        <w:rPr>
          <w:lang w:val="fr-FR"/>
        </w:rPr>
        <w:t xml:space="preserve">en particulier </w:t>
      </w:r>
      <w:r w:rsidRPr="00262910">
        <w:rPr>
          <w:lang w:val="fr-FR"/>
        </w:rPr>
        <w:t xml:space="preserve">ceux qui prendront leur retraite à </w:t>
      </w:r>
      <w:r>
        <w:rPr>
          <w:lang w:val="fr-FR"/>
        </w:rPr>
        <w:t xml:space="preserve">partir </w:t>
      </w:r>
      <w:r w:rsidRPr="00262910">
        <w:rPr>
          <w:lang w:val="fr-FR"/>
        </w:rPr>
        <w:t xml:space="preserve">de 2025. </w:t>
      </w:r>
    </w:p>
    <w:p w:rsidR="001771B8" w:rsidRPr="00262910" w:rsidRDefault="001771B8" w:rsidP="001771B8">
      <w:pPr>
        <w:pStyle w:val="SingleTxtG"/>
        <w:rPr>
          <w:lang w:val="fr-FR"/>
        </w:rPr>
      </w:pPr>
      <w:r w:rsidRPr="00262910">
        <w:rPr>
          <w:lang w:val="fr-FR"/>
        </w:rPr>
        <w:t>20.</w:t>
      </w:r>
      <w:r w:rsidRPr="00262910">
        <w:rPr>
          <w:lang w:val="fr-FR"/>
        </w:rPr>
        <w:tab/>
      </w:r>
      <w:r>
        <w:rPr>
          <w:lang w:val="fr-FR"/>
        </w:rPr>
        <w:t>En Norvège, l</w:t>
      </w:r>
      <w:r w:rsidRPr="00262910">
        <w:rPr>
          <w:lang w:val="fr-FR"/>
        </w:rPr>
        <w:t xml:space="preserve">es dépenses </w:t>
      </w:r>
      <w:r>
        <w:rPr>
          <w:lang w:val="fr-FR"/>
        </w:rPr>
        <w:t xml:space="preserve">de la caisse de </w:t>
      </w:r>
      <w:r w:rsidRPr="00262910">
        <w:rPr>
          <w:lang w:val="fr-FR"/>
        </w:rPr>
        <w:t>retraite</w:t>
      </w:r>
      <w:r>
        <w:rPr>
          <w:lang w:val="fr-FR"/>
        </w:rPr>
        <w:t xml:space="preserve"> </w:t>
      </w:r>
      <w:r w:rsidRPr="008E1E0B">
        <w:rPr>
          <w:lang w:val="fr-FR"/>
        </w:rPr>
        <w:t>publi</w:t>
      </w:r>
      <w:r>
        <w:rPr>
          <w:lang w:val="fr-FR"/>
        </w:rPr>
        <w:t xml:space="preserve">que ont augmenté dans le </w:t>
      </w:r>
      <w:r w:rsidRPr="00262910">
        <w:rPr>
          <w:lang w:val="fr-FR"/>
        </w:rPr>
        <w:t>court terme</w:t>
      </w:r>
      <w:r>
        <w:rPr>
          <w:lang w:val="fr-FR"/>
        </w:rPr>
        <w:t>,</w:t>
      </w:r>
      <w:r w:rsidRPr="00262910">
        <w:rPr>
          <w:lang w:val="fr-FR"/>
        </w:rPr>
        <w:t xml:space="preserve"> en raison d</w:t>
      </w:r>
      <w:r>
        <w:rPr>
          <w:lang w:val="fr-FR"/>
        </w:rPr>
        <w:t xml:space="preserve">u </w:t>
      </w:r>
      <w:r w:rsidRPr="00262910">
        <w:rPr>
          <w:lang w:val="fr-FR"/>
        </w:rPr>
        <w:t>recours élevé</w:t>
      </w:r>
      <w:r>
        <w:rPr>
          <w:lang w:val="fr-FR"/>
        </w:rPr>
        <w:t xml:space="preserve"> au départ anticipé à la retraite, mais elles devraient diminuer dans le </w:t>
      </w:r>
      <w:r w:rsidRPr="00262910">
        <w:rPr>
          <w:lang w:val="fr-FR"/>
        </w:rPr>
        <w:t xml:space="preserve">long terme avec le nouveau système </w:t>
      </w:r>
      <w:r>
        <w:rPr>
          <w:lang w:val="fr-FR"/>
        </w:rPr>
        <w:t xml:space="preserve">qui prévoit un </w:t>
      </w:r>
      <w:r w:rsidRPr="00262910">
        <w:rPr>
          <w:lang w:val="fr-FR"/>
        </w:rPr>
        <w:t>ajustement des pensions</w:t>
      </w:r>
      <w:r>
        <w:rPr>
          <w:lang w:val="fr-FR"/>
        </w:rPr>
        <w:t xml:space="preserve"> de retraite selon </w:t>
      </w:r>
      <w:r w:rsidRPr="008E1E0B">
        <w:rPr>
          <w:lang w:val="fr-FR"/>
        </w:rPr>
        <w:t>l</w:t>
      </w:r>
      <w:r>
        <w:rPr>
          <w:lang w:val="fr-FR"/>
        </w:rPr>
        <w:t>’</w:t>
      </w:r>
      <w:r w:rsidRPr="008E1E0B">
        <w:rPr>
          <w:lang w:val="fr-FR"/>
        </w:rPr>
        <w:t xml:space="preserve">espérance de vie </w:t>
      </w:r>
      <w:r w:rsidRPr="00262910">
        <w:rPr>
          <w:lang w:val="fr-FR"/>
        </w:rPr>
        <w:t xml:space="preserve">et </w:t>
      </w:r>
      <w:r>
        <w:rPr>
          <w:lang w:val="fr-FR"/>
        </w:rPr>
        <w:t xml:space="preserve">une </w:t>
      </w:r>
      <w:r w:rsidRPr="00262910">
        <w:rPr>
          <w:lang w:val="fr-FR"/>
        </w:rPr>
        <w:t xml:space="preserve">nouvelle </w:t>
      </w:r>
      <w:r>
        <w:rPr>
          <w:lang w:val="fr-FR"/>
        </w:rPr>
        <w:t>échelle d’</w:t>
      </w:r>
      <w:r w:rsidRPr="00262910">
        <w:rPr>
          <w:lang w:val="fr-FR"/>
        </w:rPr>
        <w:t>indexation de</w:t>
      </w:r>
      <w:r>
        <w:rPr>
          <w:lang w:val="fr-FR"/>
        </w:rPr>
        <w:t xml:space="preserve">s </w:t>
      </w:r>
      <w:r w:rsidRPr="00262910">
        <w:rPr>
          <w:lang w:val="fr-FR"/>
        </w:rPr>
        <w:t xml:space="preserve">pensions. </w:t>
      </w:r>
    </w:p>
    <w:p w:rsidR="001771B8" w:rsidRPr="00262910" w:rsidRDefault="001771B8" w:rsidP="001771B8">
      <w:pPr>
        <w:pStyle w:val="SingleTxtG"/>
        <w:rPr>
          <w:lang w:val="fr-FR"/>
        </w:rPr>
      </w:pPr>
      <w:r w:rsidRPr="00262910">
        <w:rPr>
          <w:lang w:val="fr-FR"/>
        </w:rPr>
        <w:t>21.</w:t>
      </w:r>
      <w:r w:rsidRPr="00262910">
        <w:rPr>
          <w:lang w:val="fr-FR"/>
        </w:rPr>
        <w:tab/>
        <w:t xml:space="preserve">La réforme pourrait </w:t>
      </w:r>
      <w:r>
        <w:rPr>
          <w:lang w:val="fr-FR"/>
        </w:rPr>
        <w:t xml:space="preserve">à terme creuser les écarts de </w:t>
      </w:r>
      <w:r w:rsidRPr="00262910">
        <w:rPr>
          <w:lang w:val="fr-FR"/>
        </w:rPr>
        <w:t xml:space="preserve">revenus </w:t>
      </w:r>
      <w:r>
        <w:rPr>
          <w:lang w:val="fr-FR"/>
        </w:rPr>
        <w:t xml:space="preserve">entre les retraités car les personnes qui auront eu une vie </w:t>
      </w:r>
      <w:r w:rsidRPr="00262910">
        <w:rPr>
          <w:lang w:val="fr-FR"/>
        </w:rPr>
        <w:t xml:space="preserve">professionnelle </w:t>
      </w:r>
      <w:r w:rsidRPr="003F0FFB">
        <w:rPr>
          <w:lang w:val="fr-FR"/>
        </w:rPr>
        <w:t xml:space="preserve">longue </w:t>
      </w:r>
      <w:r w:rsidRPr="00262910">
        <w:rPr>
          <w:lang w:val="fr-FR"/>
        </w:rPr>
        <w:t xml:space="preserve">et </w:t>
      </w:r>
      <w:r>
        <w:rPr>
          <w:lang w:val="fr-FR"/>
        </w:rPr>
        <w:t xml:space="preserve">auront pris </w:t>
      </w:r>
      <w:r w:rsidRPr="00262910">
        <w:rPr>
          <w:lang w:val="fr-FR"/>
        </w:rPr>
        <w:t>tard</w:t>
      </w:r>
      <w:r>
        <w:rPr>
          <w:lang w:val="fr-FR"/>
        </w:rPr>
        <w:t xml:space="preserve"> </w:t>
      </w:r>
      <w:r w:rsidRPr="00BA3CF6">
        <w:rPr>
          <w:lang w:val="fr-FR"/>
        </w:rPr>
        <w:t xml:space="preserve">leur retraite </w:t>
      </w:r>
      <w:r w:rsidRPr="00262910">
        <w:rPr>
          <w:lang w:val="fr-FR"/>
        </w:rPr>
        <w:t>toucheront des pensions annuelles b</w:t>
      </w:r>
      <w:r>
        <w:rPr>
          <w:lang w:val="fr-FR"/>
        </w:rPr>
        <w:t>ien p</w:t>
      </w:r>
      <w:r w:rsidRPr="00262910">
        <w:rPr>
          <w:lang w:val="fr-FR"/>
        </w:rPr>
        <w:t xml:space="preserve">lus élevées que </w:t>
      </w:r>
      <w:r>
        <w:rPr>
          <w:lang w:val="fr-FR"/>
        </w:rPr>
        <w:t xml:space="preserve">celles qui auront pris </w:t>
      </w:r>
      <w:r w:rsidRPr="00A36615">
        <w:rPr>
          <w:lang w:val="fr-FR"/>
        </w:rPr>
        <w:t xml:space="preserve">plus tôt </w:t>
      </w:r>
      <w:r>
        <w:rPr>
          <w:lang w:val="fr-FR"/>
        </w:rPr>
        <w:t>leur retraite</w:t>
      </w:r>
      <w:r w:rsidRPr="00262910">
        <w:rPr>
          <w:lang w:val="fr-FR"/>
        </w:rPr>
        <w:t xml:space="preserve">. </w:t>
      </w:r>
      <w:r>
        <w:rPr>
          <w:lang w:val="fr-FR"/>
        </w:rPr>
        <w:t xml:space="preserve">Les récentes </w:t>
      </w:r>
      <w:r w:rsidRPr="00BA3CF6">
        <w:rPr>
          <w:lang w:val="fr-FR"/>
        </w:rPr>
        <w:t>revalorisation</w:t>
      </w:r>
      <w:r>
        <w:rPr>
          <w:lang w:val="fr-FR"/>
        </w:rPr>
        <w:t xml:space="preserve">s du montant minimal de la pension de retraite </w:t>
      </w:r>
      <w:r w:rsidRPr="00262910">
        <w:rPr>
          <w:lang w:val="fr-FR"/>
        </w:rPr>
        <w:t xml:space="preserve">ont </w:t>
      </w:r>
      <w:r>
        <w:rPr>
          <w:lang w:val="fr-FR"/>
        </w:rPr>
        <w:t>concouru à</w:t>
      </w:r>
      <w:r w:rsidRPr="00262910">
        <w:rPr>
          <w:lang w:val="fr-FR"/>
        </w:rPr>
        <w:t xml:space="preserve"> </w:t>
      </w:r>
      <w:r>
        <w:rPr>
          <w:lang w:val="fr-FR"/>
        </w:rPr>
        <w:t xml:space="preserve">relever le montant des pensions des </w:t>
      </w:r>
      <w:r w:rsidRPr="00262910">
        <w:rPr>
          <w:lang w:val="fr-FR"/>
        </w:rPr>
        <w:t xml:space="preserve">retraités à faible revenu. </w:t>
      </w:r>
    </w:p>
    <w:p w:rsidR="001771B8" w:rsidRPr="00262910" w:rsidRDefault="001771B8" w:rsidP="001771B8">
      <w:pPr>
        <w:pStyle w:val="SingleTxtG"/>
        <w:rPr>
          <w:lang w:val="fr-FR"/>
        </w:rPr>
      </w:pPr>
      <w:r w:rsidRPr="00262910">
        <w:rPr>
          <w:lang w:val="fr-FR"/>
        </w:rPr>
        <w:t>22.</w:t>
      </w:r>
      <w:r w:rsidRPr="00262910">
        <w:rPr>
          <w:lang w:val="fr-FR"/>
        </w:rPr>
        <w:tab/>
      </w:r>
      <w:r>
        <w:rPr>
          <w:lang w:val="fr-FR"/>
        </w:rPr>
        <w:t>L</w:t>
      </w:r>
      <w:r w:rsidRPr="00A36615">
        <w:rPr>
          <w:lang w:val="fr-FR"/>
        </w:rPr>
        <w:t>e coefficient d</w:t>
      </w:r>
      <w:r>
        <w:rPr>
          <w:lang w:val="fr-FR"/>
        </w:rPr>
        <w:t>’</w:t>
      </w:r>
      <w:r w:rsidRPr="00A36615">
        <w:rPr>
          <w:lang w:val="fr-FR"/>
        </w:rPr>
        <w:t>ajustement selon l</w:t>
      </w:r>
      <w:r>
        <w:rPr>
          <w:lang w:val="fr-FR"/>
        </w:rPr>
        <w:t>’</w:t>
      </w:r>
      <w:r w:rsidRPr="00A36615">
        <w:rPr>
          <w:lang w:val="fr-FR"/>
        </w:rPr>
        <w:t xml:space="preserve">espérance de vie </w:t>
      </w:r>
      <w:r>
        <w:rPr>
          <w:lang w:val="fr-FR"/>
        </w:rPr>
        <w:t xml:space="preserve">qui s’applique aux personnes titulaires d’une pension d’invalidité quand elles </w:t>
      </w:r>
      <w:r w:rsidRPr="0039592B">
        <w:rPr>
          <w:lang w:val="fr-FR"/>
        </w:rPr>
        <w:t>commencent à percevoir</w:t>
      </w:r>
      <w:r>
        <w:rPr>
          <w:lang w:val="fr-FR"/>
        </w:rPr>
        <w:t xml:space="preserve"> leur </w:t>
      </w:r>
      <w:r w:rsidRPr="0039592B">
        <w:rPr>
          <w:lang w:val="fr-FR"/>
        </w:rPr>
        <w:t xml:space="preserve">pension de vieillesse </w:t>
      </w:r>
      <w:r w:rsidRPr="00262910">
        <w:rPr>
          <w:lang w:val="fr-FR"/>
        </w:rPr>
        <w:t>n</w:t>
      </w:r>
      <w:r>
        <w:rPr>
          <w:lang w:val="fr-FR"/>
        </w:rPr>
        <w:t>’est que la m</w:t>
      </w:r>
      <w:r w:rsidRPr="00262910">
        <w:rPr>
          <w:lang w:val="fr-FR"/>
        </w:rPr>
        <w:t xml:space="preserve">oitié </w:t>
      </w:r>
      <w:r>
        <w:rPr>
          <w:lang w:val="fr-FR"/>
        </w:rPr>
        <w:t xml:space="preserve">de celui applicable aux </w:t>
      </w:r>
      <w:r w:rsidRPr="00262910">
        <w:rPr>
          <w:lang w:val="fr-FR"/>
        </w:rPr>
        <w:t xml:space="preserve">personnes </w:t>
      </w:r>
      <w:r>
        <w:rPr>
          <w:lang w:val="fr-FR"/>
        </w:rPr>
        <w:t>valides</w:t>
      </w:r>
      <w:r w:rsidRPr="00262910">
        <w:rPr>
          <w:lang w:val="fr-FR"/>
        </w:rPr>
        <w:t>. Ce</w:t>
      </w:r>
      <w:r>
        <w:rPr>
          <w:lang w:val="fr-FR"/>
        </w:rPr>
        <w:t xml:space="preserve">tte disposition se </w:t>
      </w:r>
      <w:r w:rsidRPr="00262910">
        <w:rPr>
          <w:lang w:val="fr-FR"/>
        </w:rPr>
        <w:t>justifie par le fait que les titulaires d</w:t>
      </w:r>
      <w:r>
        <w:rPr>
          <w:lang w:val="fr-FR"/>
        </w:rPr>
        <w:t xml:space="preserve">’une </w:t>
      </w:r>
      <w:r w:rsidRPr="00262910">
        <w:rPr>
          <w:lang w:val="fr-FR"/>
        </w:rPr>
        <w:t>pension d</w:t>
      </w:r>
      <w:r>
        <w:rPr>
          <w:lang w:val="fr-FR"/>
        </w:rPr>
        <w:t>’</w:t>
      </w:r>
      <w:r w:rsidRPr="00262910">
        <w:rPr>
          <w:lang w:val="fr-FR"/>
        </w:rPr>
        <w:t>invalidité n</w:t>
      </w:r>
      <w:r>
        <w:rPr>
          <w:lang w:val="fr-FR"/>
        </w:rPr>
        <w:t xml:space="preserve">’ont pas la possibilité </w:t>
      </w:r>
      <w:r w:rsidRPr="00262910">
        <w:rPr>
          <w:lang w:val="fr-FR"/>
        </w:rPr>
        <w:t xml:space="preserve">de travailler </w:t>
      </w:r>
      <w:r>
        <w:rPr>
          <w:lang w:val="fr-FR"/>
        </w:rPr>
        <w:t xml:space="preserve">jusqu’à un âge plus avancé pour </w:t>
      </w:r>
      <w:r w:rsidRPr="00262910">
        <w:rPr>
          <w:lang w:val="fr-FR"/>
        </w:rPr>
        <w:t>compenser l</w:t>
      </w:r>
      <w:r>
        <w:rPr>
          <w:lang w:val="fr-FR"/>
        </w:rPr>
        <w:t>’</w:t>
      </w:r>
      <w:r w:rsidRPr="00262910">
        <w:rPr>
          <w:lang w:val="fr-FR"/>
        </w:rPr>
        <w:t xml:space="preserve">ajustement </w:t>
      </w:r>
      <w:r>
        <w:rPr>
          <w:lang w:val="fr-FR"/>
        </w:rPr>
        <w:t xml:space="preserve">selon </w:t>
      </w:r>
      <w:r w:rsidRPr="00262910">
        <w:rPr>
          <w:lang w:val="fr-FR"/>
        </w:rPr>
        <w:t>l</w:t>
      </w:r>
      <w:r>
        <w:rPr>
          <w:lang w:val="fr-FR"/>
        </w:rPr>
        <w:t>’</w:t>
      </w:r>
      <w:r w:rsidRPr="00262910">
        <w:rPr>
          <w:lang w:val="fr-FR"/>
        </w:rPr>
        <w:t xml:space="preserve">espérance de vie. </w:t>
      </w:r>
    </w:p>
    <w:p w:rsidR="001771B8" w:rsidRPr="00262910" w:rsidRDefault="001771B8" w:rsidP="001771B8">
      <w:pPr>
        <w:pStyle w:val="SingleTxtG"/>
        <w:rPr>
          <w:lang w:val="fr-FR"/>
        </w:rPr>
      </w:pPr>
      <w:r w:rsidRPr="00262910">
        <w:rPr>
          <w:lang w:val="fr-FR"/>
        </w:rPr>
        <w:t>23.</w:t>
      </w:r>
      <w:r w:rsidRPr="00262910">
        <w:rPr>
          <w:lang w:val="fr-FR"/>
        </w:rPr>
        <w:tab/>
      </w:r>
      <w:r w:rsidRPr="00AE65C3">
        <w:rPr>
          <w:lang w:val="fr-FR"/>
        </w:rPr>
        <w:t>Les règles applicables</w:t>
      </w:r>
      <w:r>
        <w:rPr>
          <w:lang w:val="fr-FR"/>
        </w:rPr>
        <w:t xml:space="preserve"> aux </w:t>
      </w:r>
      <w:r w:rsidRPr="00B4426A">
        <w:rPr>
          <w:lang w:val="fr-FR"/>
        </w:rPr>
        <w:t>pension</w:t>
      </w:r>
      <w:r>
        <w:rPr>
          <w:lang w:val="fr-FR"/>
        </w:rPr>
        <w:t>s</w:t>
      </w:r>
      <w:r w:rsidRPr="00B4426A">
        <w:rPr>
          <w:lang w:val="fr-FR"/>
        </w:rPr>
        <w:t xml:space="preserve"> de vieillesse </w:t>
      </w:r>
      <w:r>
        <w:rPr>
          <w:lang w:val="fr-FR"/>
        </w:rPr>
        <w:t xml:space="preserve">des titulaires d’une pension d’invalidité ont été fixées en arbitrant entre </w:t>
      </w:r>
      <w:r w:rsidRPr="00262910">
        <w:rPr>
          <w:lang w:val="fr-FR"/>
        </w:rPr>
        <w:t xml:space="preserve">différentes considérations. </w:t>
      </w:r>
      <w:r>
        <w:rPr>
          <w:lang w:val="fr-FR"/>
        </w:rPr>
        <w:t>Il s’agissait, d’un côté, de garantir</w:t>
      </w:r>
      <w:r w:rsidRPr="00B4426A">
        <w:rPr>
          <w:lang w:val="fr-FR"/>
        </w:rPr>
        <w:t xml:space="preserve"> </w:t>
      </w:r>
      <w:r>
        <w:rPr>
          <w:lang w:val="fr-FR"/>
        </w:rPr>
        <w:t>aux titul</w:t>
      </w:r>
      <w:r w:rsidRPr="00262910">
        <w:rPr>
          <w:lang w:val="fr-FR"/>
        </w:rPr>
        <w:t>aires d</w:t>
      </w:r>
      <w:r>
        <w:rPr>
          <w:lang w:val="fr-FR"/>
        </w:rPr>
        <w:t>’</w:t>
      </w:r>
      <w:r w:rsidRPr="00262910">
        <w:rPr>
          <w:lang w:val="fr-FR"/>
        </w:rPr>
        <w:t>une pension d</w:t>
      </w:r>
      <w:r>
        <w:rPr>
          <w:lang w:val="fr-FR"/>
        </w:rPr>
        <w:t>’</w:t>
      </w:r>
      <w:r w:rsidRPr="00262910">
        <w:rPr>
          <w:lang w:val="fr-FR"/>
        </w:rPr>
        <w:t>invalidité</w:t>
      </w:r>
      <w:r>
        <w:rPr>
          <w:lang w:val="fr-FR"/>
        </w:rPr>
        <w:t xml:space="preserve"> </w:t>
      </w:r>
      <w:r w:rsidRPr="00AE65C3">
        <w:rPr>
          <w:lang w:val="fr-FR"/>
        </w:rPr>
        <w:t xml:space="preserve">une pension de vieillesse décente </w:t>
      </w:r>
      <w:r>
        <w:rPr>
          <w:lang w:val="fr-FR"/>
        </w:rPr>
        <w:t>et, de l’a</w:t>
      </w:r>
      <w:r w:rsidRPr="00262910">
        <w:rPr>
          <w:lang w:val="fr-FR"/>
        </w:rPr>
        <w:t>utre</w:t>
      </w:r>
      <w:r>
        <w:rPr>
          <w:lang w:val="fr-FR"/>
        </w:rPr>
        <w:t xml:space="preserve">, de </w:t>
      </w:r>
      <w:r w:rsidRPr="00262910">
        <w:rPr>
          <w:lang w:val="fr-FR"/>
        </w:rPr>
        <w:t>tenir compte du coût et des effets</w:t>
      </w:r>
      <w:r>
        <w:rPr>
          <w:lang w:val="fr-FR"/>
        </w:rPr>
        <w:t xml:space="preserve"> </w:t>
      </w:r>
      <w:r w:rsidRPr="00262910">
        <w:rPr>
          <w:lang w:val="fr-FR"/>
        </w:rPr>
        <w:t>incitat</w:t>
      </w:r>
      <w:r>
        <w:rPr>
          <w:lang w:val="fr-FR"/>
        </w:rPr>
        <w:t xml:space="preserve">ifs de l’attribution </w:t>
      </w:r>
      <w:r w:rsidRPr="00B4426A">
        <w:rPr>
          <w:lang w:val="fr-FR"/>
        </w:rPr>
        <w:t>aux titulaires d</w:t>
      </w:r>
      <w:r>
        <w:rPr>
          <w:lang w:val="fr-FR"/>
        </w:rPr>
        <w:t>’</w:t>
      </w:r>
      <w:r w:rsidRPr="00B4426A">
        <w:rPr>
          <w:lang w:val="fr-FR"/>
        </w:rPr>
        <w:t>une pension d</w:t>
      </w:r>
      <w:r>
        <w:rPr>
          <w:lang w:val="fr-FR"/>
        </w:rPr>
        <w:t>’</w:t>
      </w:r>
      <w:r w:rsidRPr="00B4426A">
        <w:rPr>
          <w:lang w:val="fr-FR"/>
        </w:rPr>
        <w:t xml:space="preserve">invalidité </w:t>
      </w:r>
      <w:r>
        <w:rPr>
          <w:lang w:val="fr-FR"/>
        </w:rPr>
        <w:t>d’</w:t>
      </w:r>
      <w:r w:rsidRPr="00262910">
        <w:rPr>
          <w:lang w:val="fr-FR"/>
        </w:rPr>
        <w:t xml:space="preserve">une pension de vieillesse </w:t>
      </w:r>
      <w:r>
        <w:rPr>
          <w:lang w:val="fr-FR"/>
        </w:rPr>
        <w:t xml:space="preserve">plus élevée que celle servie aux bénéficiaires </w:t>
      </w:r>
      <w:r w:rsidRPr="00262910">
        <w:rPr>
          <w:lang w:val="fr-FR"/>
        </w:rPr>
        <w:t>d</w:t>
      </w:r>
      <w:r>
        <w:rPr>
          <w:lang w:val="fr-FR"/>
        </w:rPr>
        <w:t>’</w:t>
      </w:r>
      <w:r w:rsidRPr="00262910">
        <w:rPr>
          <w:lang w:val="fr-FR"/>
        </w:rPr>
        <w:t xml:space="preserve">une pension de vieillesse </w:t>
      </w:r>
      <w:r>
        <w:rPr>
          <w:lang w:val="fr-FR"/>
        </w:rPr>
        <w:t xml:space="preserve">prenant </w:t>
      </w:r>
      <w:r w:rsidRPr="00262910">
        <w:rPr>
          <w:lang w:val="fr-FR"/>
        </w:rPr>
        <w:t xml:space="preserve">une retraite anticipée. Les règles entrées en vigueur </w:t>
      </w:r>
      <w:r>
        <w:rPr>
          <w:lang w:val="fr-FR"/>
        </w:rPr>
        <w:t xml:space="preserve">en </w:t>
      </w:r>
      <w:r w:rsidRPr="00262910">
        <w:rPr>
          <w:lang w:val="fr-FR"/>
        </w:rPr>
        <w:t xml:space="preserve">2011 ont </w:t>
      </w:r>
      <w:r>
        <w:rPr>
          <w:lang w:val="fr-FR"/>
        </w:rPr>
        <w:t xml:space="preserve">globalement permis de verser </w:t>
      </w:r>
      <w:r w:rsidRPr="00262910">
        <w:rPr>
          <w:lang w:val="fr-FR"/>
        </w:rPr>
        <w:t xml:space="preserve">aux </w:t>
      </w:r>
      <w:r>
        <w:rPr>
          <w:lang w:val="fr-FR"/>
        </w:rPr>
        <w:t xml:space="preserve">titulaires d’une </w:t>
      </w:r>
      <w:r w:rsidRPr="00262910">
        <w:rPr>
          <w:lang w:val="fr-FR"/>
        </w:rPr>
        <w:t>pension d</w:t>
      </w:r>
      <w:r>
        <w:rPr>
          <w:lang w:val="fr-FR"/>
        </w:rPr>
        <w:t>’</w:t>
      </w:r>
      <w:r w:rsidRPr="00262910">
        <w:rPr>
          <w:lang w:val="fr-FR"/>
        </w:rPr>
        <w:t xml:space="preserve">invalidité </w:t>
      </w:r>
      <w:r>
        <w:rPr>
          <w:lang w:val="fr-FR"/>
        </w:rPr>
        <w:t xml:space="preserve">une pension de </w:t>
      </w:r>
      <w:r w:rsidRPr="00262910">
        <w:rPr>
          <w:lang w:val="fr-FR"/>
        </w:rPr>
        <w:t xml:space="preserve">vieillesse raisonnable par rapport aux valides. </w:t>
      </w:r>
    </w:p>
    <w:p w:rsidR="001771B8" w:rsidRPr="00262910" w:rsidRDefault="001771B8" w:rsidP="001771B8">
      <w:pPr>
        <w:pStyle w:val="SingleTxtG"/>
        <w:rPr>
          <w:lang w:val="fr-FR"/>
        </w:rPr>
      </w:pPr>
      <w:r w:rsidRPr="00262910">
        <w:rPr>
          <w:lang w:val="fr-FR"/>
        </w:rPr>
        <w:t>24.</w:t>
      </w:r>
      <w:r w:rsidRPr="00262910">
        <w:rPr>
          <w:lang w:val="fr-FR"/>
        </w:rPr>
        <w:tab/>
      </w:r>
      <w:r w:rsidRPr="00AE65C3">
        <w:rPr>
          <w:lang w:val="fr-FR"/>
        </w:rPr>
        <w:t>Depuis 2011</w:t>
      </w:r>
      <w:r w:rsidRPr="00262910">
        <w:rPr>
          <w:lang w:val="fr-FR"/>
        </w:rPr>
        <w:t xml:space="preserve"> il est possible de c</w:t>
      </w:r>
      <w:r>
        <w:rPr>
          <w:lang w:val="fr-FR"/>
        </w:rPr>
        <w:t xml:space="preserve">umuler </w:t>
      </w:r>
      <w:r w:rsidRPr="00262910">
        <w:rPr>
          <w:lang w:val="fr-FR"/>
        </w:rPr>
        <w:t xml:space="preserve">travail et retraite sans </w:t>
      </w:r>
      <w:r>
        <w:rPr>
          <w:lang w:val="fr-FR"/>
        </w:rPr>
        <w:t>conditions de ressources</w:t>
      </w:r>
      <w:r w:rsidRPr="00262910">
        <w:rPr>
          <w:lang w:val="fr-FR"/>
        </w:rPr>
        <w:t xml:space="preserve">, ce qui </w:t>
      </w:r>
      <w:r>
        <w:rPr>
          <w:lang w:val="fr-FR"/>
        </w:rPr>
        <w:t xml:space="preserve">a induit une </w:t>
      </w:r>
      <w:r w:rsidRPr="00262910">
        <w:rPr>
          <w:lang w:val="fr-FR"/>
        </w:rPr>
        <w:t xml:space="preserve">forte </w:t>
      </w:r>
      <w:r>
        <w:rPr>
          <w:lang w:val="fr-FR"/>
        </w:rPr>
        <w:t xml:space="preserve">hausse </w:t>
      </w:r>
      <w:r w:rsidRPr="00262910">
        <w:rPr>
          <w:lang w:val="fr-FR"/>
        </w:rPr>
        <w:t xml:space="preserve">du nombre de personnes </w:t>
      </w:r>
      <w:r>
        <w:rPr>
          <w:lang w:val="fr-FR"/>
        </w:rPr>
        <w:t xml:space="preserve">qui travaillent tout en percevant une </w:t>
      </w:r>
      <w:r w:rsidRPr="00262910">
        <w:rPr>
          <w:lang w:val="fr-FR"/>
        </w:rPr>
        <w:t xml:space="preserve">retraite. La Direction du travail et de la protection sociale publie des </w:t>
      </w:r>
      <w:r>
        <w:rPr>
          <w:lang w:val="fr-FR"/>
        </w:rPr>
        <w:t xml:space="preserve">données sur </w:t>
      </w:r>
      <w:r w:rsidRPr="00262910">
        <w:rPr>
          <w:lang w:val="fr-FR"/>
        </w:rPr>
        <w:t>l</w:t>
      </w:r>
      <w:r>
        <w:rPr>
          <w:lang w:val="fr-FR"/>
        </w:rPr>
        <w:t>’</w:t>
      </w:r>
      <w:r w:rsidRPr="00262910">
        <w:rPr>
          <w:lang w:val="fr-FR"/>
        </w:rPr>
        <w:t xml:space="preserve">âge moyen </w:t>
      </w:r>
      <w:r>
        <w:rPr>
          <w:lang w:val="fr-FR"/>
        </w:rPr>
        <w:t xml:space="preserve">de départ à la retraite </w:t>
      </w:r>
      <w:r w:rsidRPr="00262910">
        <w:rPr>
          <w:lang w:val="fr-FR"/>
        </w:rPr>
        <w:t>(</w:t>
      </w:r>
      <w:r>
        <w:rPr>
          <w:lang w:val="fr-FR"/>
        </w:rPr>
        <w:t xml:space="preserve">liquidation de la </w:t>
      </w:r>
      <w:r w:rsidRPr="00262910">
        <w:rPr>
          <w:lang w:val="fr-FR"/>
        </w:rPr>
        <w:t>pension de vieillesse, pension contractuelle de retraite anticipée ou pension d</w:t>
      </w:r>
      <w:r>
        <w:rPr>
          <w:lang w:val="fr-FR"/>
        </w:rPr>
        <w:t>’</w:t>
      </w:r>
      <w:r w:rsidRPr="00262910">
        <w:rPr>
          <w:lang w:val="fr-FR"/>
        </w:rPr>
        <w:t xml:space="preserve">invalidité) et </w:t>
      </w:r>
      <w:r>
        <w:rPr>
          <w:lang w:val="fr-FR"/>
        </w:rPr>
        <w:t xml:space="preserve">sur </w:t>
      </w:r>
      <w:r w:rsidRPr="00262910">
        <w:rPr>
          <w:lang w:val="fr-FR"/>
        </w:rPr>
        <w:t>l</w:t>
      </w:r>
      <w:r>
        <w:rPr>
          <w:lang w:val="fr-FR"/>
        </w:rPr>
        <w:t>’</w:t>
      </w:r>
      <w:r w:rsidRPr="00262910">
        <w:rPr>
          <w:lang w:val="fr-FR"/>
        </w:rPr>
        <w:t>âge effectif de</w:t>
      </w:r>
      <w:r>
        <w:rPr>
          <w:lang w:val="fr-FR"/>
        </w:rPr>
        <w:t xml:space="preserve"> </w:t>
      </w:r>
      <w:r w:rsidRPr="00262910">
        <w:rPr>
          <w:lang w:val="fr-FR"/>
        </w:rPr>
        <w:t xml:space="preserve">sortie du marché du travail. </w:t>
      </w:r>
      <w:r>
        <w:rPr>
          <w:lang w:val="fr-FR"/>
        </w:rPr>
        <w:t xml:space="preserve">Depuis </w:t>
      </w:r>
      <w:r w:rsidRPr="00262910">
        <w:rPr>
          <w:lang w:val="fr-FR"/>
        </w:rPr>
        <w:t>la réforme de 2011, l</w:t>
      </w:r>
      <w:r>
        <w:rPr>
          <w:lang w:val="fr-FR"/>
        </w:rPr>
        <w:t>’</w:t>
      </w:r>
      <w:r w:rsidRPr="00262910">
        <w:rPr>
          <w:lang w:val="fr-FR"/>
        </w:rPr>
        <w:t>âge moyen d</w:t>
      </w:r>
      <w:r>
        <w:rPr>
          <w:lang w:val="fr-FR"/>
        </w:rPr>
        <w:t>e</w:t>
      </w:r>
      <w:r w:rsidRPr="00262910">
        <w:rPr>
          <w:lang w:val="fr-FR"/>
        </w:rPr>
        <w:t xml:space="preserve"> départ à la retraite a diminué, </w:t>
      </w:r>
      <w:r>
        <w:rPr>
          <w:lang w:val="fr-FR"/>
        </w:rPr>
        <w:t>tandis que l’</w:t>
      </w:r>
      <w:r w:rsidRPr="00262910">
        <w:rPr>
          <w:lang w:val="fr-FR"/>
        </w:rPr>
        <w:t xml:space="preserve">âge effectif de sortie du marché du travail </w:t>
      </w:r>
      <w:r>
        <w:rPr>
          <w:lang w:val="fr-FR"/>
        </w:rPr>
        <w:t>a sensiblement augmenté</w:t>
      </w:r>
      <w:r w:rsidRPr="00262910">
        <w:rPr>
          <w:lang w:val="fr-FR"/>
        </w:rPr>
        <w:t xml:space="preserve">. </w:t>
      </w:r>
    </w:p>
    <w:p w:rsidR="001771B8" w:rsidRPr="00262910" w:rsidRDefault="001771B8" w:rsidP="001771B8">
      <w:pPr>
        <w:pStyle w:val="SingleTxtG"/>
        <w:rPr>
          <w:lang w:val="fr-FR"/>
        </w:rPr>
      </w:pPr>
      <w:r w:rsidRPr="00262910">
        <w:rPr>
          <w:lang w:val="fr-FR"/>
        </w:rPr>
        <w:t>25.</w:t>
      </w:r>
      <w:r w:rsidRPr="00262910">
        <w:rPr>
          <w:lang w:val="fr-FR"/>
        </w:rPr>
        <w:tab/>
        <w:t>L</w:t>
      </w:r>
      <w:r>
        <w:rPr>
          <w:lang w:val="fr-FR"/>
        </w:rPr>
        <w:t>’</w:t>
      </w:r>
      <w:r w:rsidRPr="00262910">
        <w:rPr>
          <w:lang w:val="fr-FR"/>
        </w:rPr>
        <w:t xml:space="preserve">analyse </w:t>
      </w:r>
      <w:r>
        <w:rPr>
          <w:lang w:val="fr-FR"/>
        </w:rPr>
        <w:t xml:space="preserve">ci-après </w:t>
      </w:r>
      <w:r w:rsidRPr="00262910">
        <w:rPr>
          <w:lang w:val="fr-FR"/>
        </w:rPr>
        <w:t>des tendances en matière de</w:t>
      </w:r>
      <w:r>
        <w:rPr>
          <w:lang w:val="fr-FR"/>
        </w:rPr>
        <w:t xml:space="preserve"> départ à la </w:t>
      </w:r>
      <w:r w:rsidRPr="00262910">
        <w:rPr>
          <w:lang w:val="fr-FR"/>
        </w:rPr>
        <w:t xml:space="preserve">retraite </w:t>
      </w:r>
      <w:r>
        <w:rPr>
          <w:lang w:val="fr-FR"/>
        </w:rPr>
        <w:t xml:space="preserve">porte sur </w:t>
      </w:r>
      <w:r w:rsidRPr="00262910">
        <w:rPr>
          <w:lang w:val="fr-FR"/>
        </w:rPr>
        <w:t xml:space="preserve">les personnes </w:t>
      </w:r>
      <w:r>
        <w:rPr>
          <w:lang w:val="fr-FR"/>
        </w:rPr>
        <w:t xml:space="preserve">qui occupaient un </w:t>
      </w:r>
      <w:r w:rsidRPr="00262910">
        <w:rPr>
          <w:lang w:val="fr-FR"/>
        </w:rPr>
        <w:t>emploi à l</w:t>
      </w:r>
      <w:r>
        <w:rPr>
          <w:lang w:val="fr-FR"/>
        </w:rPr>
        <w:t>’</w:t>
      </w:r>
      <w:r w:rsidRPr="00262910">
        <w:rPr>
          <w:lang w:val="fr-FR"/>
        </w:rPr>
        <w:t>âge de 50 ans.</w:t>
      </w:r>
    </w:p>
    <w:p w:rsidR="001771B8" w:rsidRPr="00262910" w:rsidRDefault="001771B8" w:rsidP="001771B8">
      <w:pPr>
        <w:pStyle w:val="SingleTxtG"/>
        <w:rPr>
          <w:lang w:val="fr-FR"/>
        </w:rPr>
      </w:pPr>
      <w:r w:rsidRPr="00262910">
        <w:rPr>
          <w:lang w:val="fr-FR"/>
        </w:rPr>
        <w:t>26.</w:t>
      </w:r>
      <w:r w:rsidRPr="00262910">
        <w:rPr>
          <w:lang w:val="fr-FR"/>
        </w:rPr>
        <w:tab/>
        <w:t>Le tableau 1 indique l</w:t>
      </w:r>
      <w:r>
        <w:rPr>
          <w:lang w:val="fr-FR"/>
        </w:rPr>
        <w:t>’</w:t>
      </w:r>
      <w:r w:rsidRPr="00262910">
        <w:rPr>
          <w:lang w:val="fr-FR"/>
        </w:rPr>
        <w:t>âge moyen d</w:t>
      </w:r>
      <w:r>
        <w:rPr>
          <w:lang w:val="fr-FR"/>
        </w:rPr>
        <w:t>u</w:t>
      </w:r>
      <w:r w:rsidRPr="00262910">
        <w:rPr>
          <w:lang w:val="fr-FR"/>
        </w:rPr>
        <w:t xml:space="preserve"> départ à la retraite </w:t>
      </w:r>
      <w:r>
        <w:rPr>
          <w:lang w:val="fr-FR"/>
        </w:rPr>
        <w:t>des personnes de c</w:t>
      </w:r>
      <w:r w:rsidRPr="00262910">
        <w:rPr>
          <w:lang w:val="fr-FR"/>
        </w:rPr>
        <w:t xml:space="preserve">e groupe. </w:t>
      </w:r>
      <w:r>
        <w:rPr>
          <w:lang w:val="fr-FR"/>
        </w:rPr>
        <w:t xml:space="preserve">Il </w:t>
      </w:r>
      <w:r w:rsidRPr="00262910">
        <w:rPr>
          <w:lang w:val="fr-FR"/>
        </w:rPr>
        <w:t>montre qu</w:t>
      </w:r>
      <w:r>
        <w:rPr>
          <w:lang w:val="fr-FR"/>
        </w:rPr>
        <w:t>’</w:t>
      </w:r>
      <w:r w:rsidRPr="008339AF">
        <w:rPr>
          <w:lang w:val="fr-FR"/>
        </w:rPr>
        <w:t xml:space="preserve">en Norvège </w:t>
      </w:r>
      <w:r w:rsidRPr="00262910">
        <w:rPr>
          <w:lang w:val="fr-FR"/>
        </w:rPr>
        <w:t>l</w:t>
      </w:r>
      <w:r>
        <w:rPr>
          <w:lang w:val="fr-FR"/>
        </w:rPr>
        <w:t>’</w:t>
      </w:r>
      <w:r w:rsidRPr="00262910">
        <w:rPr>
          <w:lang w:val="fr-FR"/>
        </w:rPr>
        <w:t>âge moyen de la retraite (c</w:t>
      </w:r>
      <w:r>
        <w:rPr>
          <w:lang w:val="fr-FR"/>
        </w:rPr>
        <w:t>’</w:t>
      </w:r>
      <w:r w:rsidRPr="00262910">
        <w:rPr>
          <w:lang w:val="fr-FR"/>
        </w:rPr>
        <w:t>est-à-dire l</w:t>
      </w:r>
      <w:r>
        <w:rPr>
          <w:lang w:val="fr-FR"/>
        </w:rPr>
        <w:t>’</w:t>
      </w:r>
      <w:r w:rsidRPr="00262910">
        <w:rPr>
          <w:lang w:val="fr-FR"/>
        </w:rPr>
        <w:t xml:space="preserve">âge auquel les personnes commencent à percevoir une pension) a </w:t>
      </w:r>
      <w:r>
        <w:rPr>
          <w:lang w:val="fr-FR"/>
        </w:rPr>
        <w:t xml:space="preserve">légèrement baissé </w:t>
      </w:r>
      <w:r w:rsidRPr="00262910">
        <w:rPr>
          <w:lang w:val="fr-FR"/>
        </w:rPr>
        <w:t xml:space="preserve">en 2011 </w:t>
      </w:r>
      <w:r>
        <w:rPr>
          <w:lang w:val="fr-FR"/>
        </w:rPr>
        <w:t xml:space="preserve">en raison du </w:t>
      </w:r>
      <w:r w:rsidRPr="00262910">
        <w:rPr>
          <w:lang w:val="fr-FR"/>
        </w:rPr>
        <w:t xml:space="preserve">nombre élevé de personnes </w:t>
      </w:r>
      <w:r>
        <w:rPr>
          <w:lang w:val="fr-FR"/>
        </w:rPr>
        <w:t xml:space="preserve">ayant pris une retraite </w:t>
      </w:r>
      <w:r w:rsidRPr="00262910">
        <w:rPr>
          <w:lang w:val="fr-FR"/>
        </w:rPr>
        <w:t xml:space="preserve">anticipée. </w:t>
      </w:r>
      <w:r>
        <w:rPr>
          <w:lang w:val="fr-FR"/>
        </w:rPr>
        <w:t xml:space="preserve">Depuis </w:t>
      </w:r>
      <w:r w:rsidRPr="00262910">
        <w:rPr>
          <w:lang w:val="fr-FR"/>
        </w:rPr>
        <w:t>2012, l</w:t>
      </w:r>
      <w:r>
        <w:rPr>
          <w:lang w:val="fr-FR"/>
        </w:rPr>
        <w:t>’</w:t>
      </w:r>
      <w:r w:rsidRPr="00262910">
        <w:rPr>
          <w:lang w:val="fr-FR"/>
        </w:rPr>
        <w:t xml:space="preserve">âge moyen de </w:t>
      </w:r>
      <w:r>
        <w:rPr>
          <w:lang w:val="fr-FR"/>
        </w:rPr>
        <w:t xml:space="preserve">départ à </w:t>
      </w:r>
      <w:r w:rsidRPr="00262910">
        <w:rPr>
          <w:lang w:val="fr-FR"/>
        </w:rPr>
        <w:t>la retraite est demeuré relativement stable. Les c</w:t>
      </w:r>
      <w:r>
        <w:rPr>
          <w:lang w:val="fr-FR"/>
        </w:rPr>
        <w:t xml:space="preserve">hiffres présentés dans le </w:t>
      </w:r>
      <w:r w:rsidRPr="00262910">
        <w:rPr>
          <w:lang w:val="fr-FR"/>
        </w:rPr>
        <w:t xml:space="preserve">tableau 1 </w:t>
      </w:r>
      <w:r>
        <w:rPr>
          <w:lang w:val="fr-FR"/>
        </w:rPr>
        <w:t xml:space="preserve">couvrent </w:t>
      </w:r>
      <w:r w:rsidRPr="00262910">
        <w:rPr>
          <w:lang w:val="fr-FR"/>
        </w:rPr>
        <w:t>pension de vieillesse, pension d</w:t>
      </w:r>
      <w:r>
        <w:rPr>
          <w:lang w:val="fr-FR"/>
        </w:rPr>
        <w:t>’</w:t>
      </w:r>
      <w:r w:rsidRPr="00262910">
        <w:rPr>
          <w:lang w:val="fr-FR"/>
        </w:rPr>
        <w:t xml:space="preserve">invalidité et régime de </w:t>
      </w:r>
      <w:r>
        <w:rPr>
          <w:lang w:val="fr-FR"/>
        </w:rPr>
        <w:t>r</w:t>
      </w:r>
      <w:r w:rsidRPr="00262910">
        <w:rPr>
          <w:lang w:val="fr-FR"/>
        </w:rPr>
        <w:t xml:space="preserve">etraite </w:t>
      </w:r>
      <w:r>
        <w:rPr>
          <w:lang w:val="fr-FR"/>
        </w:rPr>
        <w:t>anticipée (</w:t>
      </w:r>
      <w:r w:rsidRPr="00262910">
        <w:rPr>
          <w:lang w:val="fr-FR"/>
        </w:rPr>
        <w:t>AFP</w:t>
      </w:r>
      <w:r>
        <w:rPr>
          <w:lang w:val="fr-FR"/>
        </w:rPr>
        <w:t>)</w:t>
      </w:r>
      <w:r w:rsidRPr="00262910">
        <w:rPr>
          <w:lang w:val="fr-FR"/>
        </w:rPr>
        <w:t>.</w:t>
      </w:r>
    </w:p>
    <w:p w:rsidR="001771B8" w:rsidRPr="00262910" w:rsidRDefault="001771B8" w:rsidP="00D31C67">
      <w:pPr>
        <w:pStyle w:val="Titre1"/>
        <w:spacing w:before="240" w:after="120"/>
        <w:ind w:right="1134"/>
        <w:rPr>
          <w:b/>
          <w:lang w:val="fr-FR"/>
        </w:rPr>
      </w:pPr>
      <w:r w:rsidRPr="00262910">
        <w:rPr>
          <w:lang w:val="fr-FR"/>
        </w:rPr>
        <w:t xml:space="preserve">Tableau 1 </w:t>
      </w:r>
      <w:r w:rsidRPr="00262910">
        <w:rPr>
          <w:lang w:val="fr-FR"/>
        </w:rPr>
        <w:br/>
      </w:r>
      <w:r w:rsidRPr="00262910">
        <w:rPr>
          <w:b/>
          <w:lang w:val="fr-FR"/>
        </w:rPr>
        <w:t>Âge moyen d</w:t>
      </w:r>
      <w:r>
        <w:rPr>
          <w:b/>
          <w:lang w:val="fr-FR"/>
        </w:rPr>
        <w:t>e</w:t>
      </w:r>
      <w:r w:rsidRPr="00262910">
        <w:rPr>
          <w:b/>
          <w:lang w:val="fr-FR"/>
        </w:rPr>
        <w:t xml:space="preserve"> départ à la retraite des </w:t>
      </w:r>
      <w:r>
        <w:rPr>
          <w:b/>
          <w:lang w:val="fr-FR"/>
        </w:rPr>
        <w:t xml:space="preserve">personnes qui occupaient un emploi </w:t>
      </w:r>
      <w:r w:rsidRPr="00262910">
        <w:rPr>
          <w:b/>
          <w:lang w:val="fr-FR"/>
        </w:rPr>
        <w:t xml:space="preserve">à </w:t>
      </w:r>
      <w:r>
        <w:rPr>
          <w:b/>
          <w:lang w:val="fr-FR"/>
        </w:rPr>
        <w:t xml:space="preserve">l’âge </w:t>
      </w:r>
      <w:r w:rsidR="00D31C67">
        <w:rPr>
          <w:b/>
          <w:lang w:val="fr-FR"/>
        </w:rPr>
        <w:br/>
      </w:r>
      <w:r>
        <w:rPr>
          <w:b/>
          <w:lang w:val="fr-FR"/>
        </w:rPr>
        <w:t xml:space="preserve">de </w:t>
      </w:r>
      <w:r w:rsidRPr="00262910">
        <w:rPr>
          <w:b/>
          <w:lang w:val="fr-FR"/>
        </w:rPr>
        <w:t xml:space="preserve">50 ans </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2"/>
        <w:gridCol w:w="1826"/>
        <w:gridCol w:w="1961"/>
        <w:gridCol w:w="1781"/>
      </w:tblGrid>
      <w:tr w:rsidR="001771B8" w:rsidRPr="00262910" w:rsidTr="001771B8">
        <w:trPr>
          <w:tblHeader/>
        </w:trPr>
        <w:tc>
          <w:tcPr>
            <w:tcW w:w="2093" w:type="dxa"/>
            <w:tcBorders>
              <w:top w:val="single" w:sz="4" w:space="0" w:color="auto"/>
              <w:bottom w:val="single" w:sz="12" w:space="0" w:color="auto"/>
            </w:tcBorders>
            <w:shd w:val="clear" w:color="auto" w:fill="auto"/>
            <w:vAlign w:val="bottom"/>
          </w:tcPr>
          <w:p w:rsidR="001771B8" w:rsidRPr="00262910" w:rsidRDefault="001771B8" w:rsidP="001771B8">
            <w:pPr>
              <w:pStyle w:val="SingleTxtG"/>
              <w:suppressAutoHyphens w:val="0"/>
              <w:spacing w:before="80" w:after="80" w:line="200" w:lineRule="exact"/>
              <w:ind w:left="0" w:right="0"/>
              <w:jc w:val="left"/>
              <w:rPr>
                <w:i/>
                <w:sz w:val="16"/>
                <w:lang w:val="fr-FR"/>
              </w:rPr>
            </w:pPr>
          </w:p>
        </w:tc>
        <w:tc>
          <w:tcPr>
            <w:tcW w:w="2120" w:type="dxa"/>
            <w:tcBorders>
              <w:top w:val="single" w:sz="4" w:space="0" w:color="auto"/>
              <w:bottom w:val="single" w:sz="12" w:space="0" w:color="auto"/>
            </w:tcBorders>
            <w:shd w:val="clear" w:color="auto" w:fill="auto"/>
            <w:vAlign w:val="bottom"/>
          </w:tcPr>
          <w:p w:rsidR="001771B8" w:rsidRPr="00262910" w:rsidRDefault="001771B8" w:rsidP="001771B8">
            <w:pPr>
              <w:pStyle w:val="SingleTxtG"/>
              <w:suppressAutoHyphens w:val="0"/>
              <w:spacing w:before="80" w:after="80" w:line="200" w:lineRule="exact"/>
              <w:ind w:left="0" w:right="0"/>
              <w:jc w:val="right"/>
              <w:rPr>
                <w:i/>
                <w:sz w:val="16"/>
                <w:lang w:val="fr-FR"/>
              </w:rPr>
            </w:pPr>
            <w:r>
              <w:rPr>
                <w:i/>
                <w:sz w:val="16"/>
                <w:lang w:val="fr-FR"/>
              </w:rPr>
              <w:t xml:space="preserve">Général </w:t>
            </w:r>
          </w:p>
        </w:tc>
        <w:tc>
          <w:tcPr>
            <w:tcW w:w="2277" w:type="dxa"/>
            <w:tcBorders>
              <w:top w:val="single" w:sz="4" w:space="0" w:color="auto"/>
              <w:bottom w:val="single" w:sz="12" w:space="0" w:color="auto"/>
            </w:tcBorders>
            <w:shd w:val="clear" w:color="auto" w:fill="auto"/>
            <w:vAlign w:val="bottom"/>
          </w:tcPr>
          <w:p w:rsidR="001771B8" w:rsidRPr="00262910" w:rsidRDefault="001771B8" w:rsidP="001771B8">
            <w:pPr>
              <w:pStyle w:val="SingleTxtG"/>
              <w:suppressAutoHyphens w:val="0"/>
              <w:spacing w:before="80" w:after="80" w:line="200" w:lineRule="exact"/>
              <w:ind w:left="0" w:right="0"/>
              <w:jc w:val="right"/>
              <w:rPr>
                <w:i/>
                <w:sz w:val="16"/>
                <w:lang w:val="fr-FR"/>
              </w:rPr>
            </w:pPr>
            <w:r w:rsidRPr="00262910">
              <w:rPr>
                <w:i/>
                <w:sz w:val="16"/>
                <w:lang w:val="fr-FR"/>
              </w:rPr>
              <w:t>Femmes</w:t>
            </w:r>
          </w:p>
        </w:tc>
        <w:tc>
          <w:tcPr>
            <w:tcW w:w="2068" w:type="dxa"/>
            <w:tcBorders>
              <w:top w:val="single" w:sz="4" w:space="0" w:color="auto"/>
              <w:bottom w:val="single" w:sz="12" w:space="0" w:color="auto"/>
            </w:tcBorders>
            <w:shd w:val="clear" w:color="auto" w:fill="auto"/>
            <w:vAlign w:val="bottom"/>
          </w:tcPr>
          <w:p w:rsidR="001771B8" w:rsidRPr="00262910" w:rsidRDefault="001771B8" w:rsidP="001771B8">
            <w:pPr>
              <w:pStyle w:val="SingleTxtG"/>
              <w:suppressAutoHyphens w:val="0"/>
              <w:spacing w:before="80" w:after="80" w:line="200" w:lineRule="exact"/>
              <w:ind w:left="0" w:right="0"/>
              <w:jc w:val="right"/>
              <w:rPr>
                <w:i/>
                <w:sz w:val="16"/>
                <w:lang w:val="fr-FR"/>
              </w:rPr>
            </w:pPr>
            <w:r w:rsidRPr="00262910">
              <w:rPr>
                <w:i/>
                <w:sz w:val="16"/>
                <w:lang w:val="fr-FR"/>
              </w:rPr>
              <w:t>Hommes</w:t>
            </w:r>
          </w:p>
        </w:tc>
      </w:tr>
      <w:tr w:rsidR="001771B8" w:rsidRPr="00262910" w:rsidTr="001771B8">
        <w:tc>
          <w:tcPr>
            <w:tcW w:w="2093" w:type="dxa"/>
            <w:tcBorders>
              <w:top w:val="single" w:sz="12" w:space="0" w:color="auto"/>
            </w:tcBorders>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2010</w:t>
            </w:r>
          </w:p>
        </w:tc>
        <w:tc>
          <w:tcPr>
            <w:tcW w:w="2120" w:type="dxa"/>
            <w:tcBorders>
              <w:top w:val="single" w:sz="12" w:space="0" w:color="auto"/>
            </w:tcBorders>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63</w:t>
            </w:r>
            <w:r>
              <w:rPr>
                <w:sz w:val="18"/>
                <w:lang w:val="fr-FR"/>
              </w:rPr>
              <w:t>,</w:t>
            </w:r>
            <w:r w:rsidRPr="00262910">
              <w:rPr>
                <w:sz w:val="18"/>
                <w:lang w:val="fr-FR"/>
              </w:rPr>
              <w:t>7</w:t>
            </w:r>
          </w:p>
        </w:tc>
        <w:tc>
          <w:tcPr>
            <w:tcW w:w="2277" w:type="dxa"/>
            <w:tcBorders>
              <w:top w:val="single" w:sz="12" w:space="0" w:color="auto"/>
            </w:tcBorders>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63</w:t>
            </w:r>
            <w:r>
              <w:rPr>
                <w:sz w:val="18"/>
                <w:lang w:val="fr-FR"/>
              </w:rPr>
              <w:t>,</w:t>
            </w:r>
            <w:r w:rsidRPr="00262910">
              <w:rPr>
                <w:sz w:val="18"/>
                <w:lang w:val="fr-FR"/>
              </w:rPr>
              <w:t>4</w:t>
            </w:r>
          </w:p>
        </w:tc>
        <w:tc>
          <w:tcPr>
            <w:tcW w:w="2068" w:type="dxa"/>
            <w:tcBorders>
              <w:top w:val="single" w:sz="12" w:space="0" w:color="auto"/>
            </w:tcBorders>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64</w:t>
            </w:r>
            <w:r>
              <w:rPr>
                <w:sz w:val="18"/>
                <w:lang w:val="fr-FR"/>
              </w:rPr>
              <w:t>,</w:t>
            </w:r>
            <w:r w:rsidRPr="00262910">
              <w:rPr>
                <w:sz w:val="18"/>
                <w:lang w:val="fr-FR"/>
              </w:rPr>
              <w:t>0</w:t>
            </w:r>
          </w:p>
        </w:tc>
      </w:tr>
      <w:tr w:rsidR="001771B8" w:rsidRPr="00262910" w:rsidTr="001771B8">
        <w:tc>
          <w:tcPr>
            <w:tcW w:w="2093" w:type="dxa"/>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2011</w:t>
            </w:r>
          </w:p>
        </w:tc>
        <w:tc>
          <w:tcPr>
            <w:tcW w:w="2120"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62</w:t>
            </w:r>
            <w:r>
              <w:rPr>
                <w:sz w:val="18"/>
                <w:lang w:val="fr-FR"/>
              </w:rPr>
              <w:t>,</w:t>
            </w:r>
            <w:r w:rsidRPr="00262910">
              <w:rPr>
                <w:sz w:val="18"/>
                <w:lang w:val="fr-FR"/>
              </w:rPr>
              <w:t>3</w:t>
            </w:r>
          </w:p>
        </w:tc>
        <w:tc>
          <w:tcPr>
            <w:tcW w:w="2277"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62</w:t>
            </w:r>
            <w:r>
              <w:rPr>
                <w:sz w:val="18"/>
                <w:lang w:val="fr-FR"/>
              </w:rPr>
              <w:t>,</w:t>
            </w:r>
            <w:r w:rsidRPr="00262910">
              <w:rPr>
                <w:sz w:val="18"/>
                <w:lang w:val="fr-FR"/>
              </w:rPr>
              <w:t>5</w:t>
            </w:r>
          </w:p>
        </w:tc>
        <w:tc>
          <w:tcPr>
            <w:tcW w:w="2068"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62</w:t>
            </w:r>
            <w:r>
              <w:rPr>
                <w:sz w:val="18"/>
                <w:lang w:val="fr-FR"/>
              </w:rPr>
              <w:t>,</w:t>
            </w:r>
            <w:r w:rsidRPr="00262910">
              <w:rPr>
                <w:sz w:val="18"/>
                <w:lang w:val="fr-FR"/>
              </w:rPr>
              <w:t>3</w:t>
            </w:r>
          </w:p>
        </w:tc>
      </w:tr>
      <w:tr w:rsidR="001771B8" w:rsidRPr="00262910" w:rsidTr="001771B8">
        <w:tc>
          <w:tcPr>
            <w:tcW w:w="2093" w:type="dxa"/>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2012</w:t>
            </w:r>
          </w:p>
        </w:tc>
        <w:tc>
          <w:tcPr>
            <w:tcW w:w="2120"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62</w:t>
            </w:r>
            <w:r>
              <w:rPr>
                <w:sz w:val="18"/>
                <w:lang w:val="fr-FR"/>
              </w:rPr>
              <w:t>,</w:t>
            </w:r>
            <w:r w:rsidRPr="00262910">
              <w:rPr>
                <w:sz w:val="18"/>
                <w:lang w:val="fr-FR"/>
              </w:rPr>
              <w:t>7</w:t>
            </w:r>
          </w:p>
        </w:tc>
        <w:tc>
          <w:tcPr>
            <w:tcW w:w="2277"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62</w:t>
            </w:r>
            <w:r>
              <w:rPr>
                <w:sz w:val="18"/>
                <w:lang w:val="fr-FR"/>
              </w:rPr>
              <w:t>,</w:t>
            </w:r>
            <w:r w:rsidRPr="00262910">
              <w:rPr>
                <w:sz w:val="18"/>
                <w:lang w:val="fr-FR"/>
              </w:rPr>
              <w:t>9</w:t>
            </w:r>
          </w:p>
        </w:tc>
        <w:tc>
          <w:tcPr>
            <w:tcW w:w="2068"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62</w:t>
            </w:r>
            <w:r>
              <w:rPr>
                <w:sz w:val="18"/>
                <w:lang w:val="fr-FR"/>
              </w:rPr>
              <w:t>,</w:t>
            </w:r>
            <w:r w:rsidRPr="00262910">
              <w:rPr>
                <w:sz w:val="18"/>
                <w:lang w:val="fr-FR"/>
              </w:rPr>
              <w:t>5</w:t>
            </w:r>
          </w:p>
        </w:tc>
      </w:tr>
      <w:tr w:rsidR="001771B8" w:rsidRPr="00262910" w:rsidTr="001771B8">
        <w:tc>
          <w:tcPr>
            <w:tcW w:w="2093" w:type="dxa"/>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2013</w:t>
            </w:r>
          </w:p>
        </w:tc>
        <w:tc>
          <w:tcPr>
            <w:tcW w:w="2120"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63</w:t>
            </w:r>
            <w:r>
              <w:rPr>
                <w:sz w:val="18"/>
                <w:lang w:val="fr-FR"/>
              </w:rPr>
              <w:t>,</w:t>
            </w:r>
            <w:r w:rsidRPr="00262910">
              <w:rPr>
                <w:sz w:val="18"/>
                <w:lang w:val="fr-FR"/>
              </w:rPr>
              <w:t>0</w:t>
            </w:r>
          </w:p>
        </w:tc>
        <w:tc>
          <w:tcPr>
            <w:tcW w:w="2277"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63</w:t>
            </w:r>
            <w:r>
              <w:rPr>
                <w:sz w:val="18"/>
                <w:lang w:val="fr-FR"/>
              </w:rPr>
              <w:t>,</w:t>
            </w:r>
            <w:r w:rsidRPr="00262910">
              <w:rPr>
                <w:sz w:val="18"/>
                <w:lang w:val="fr-FR"/>
              </w:rPr>
              <w:t>2</w:t>
            </w:r>
          </w:p>
        </w:tc>
        <w:tc>
          <w:tcPr>
            <w:tcW w:w="2068"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62</w:t>
            </w:r>
            <w:r>
              <w:rPr>
                <w:sz w:val="18"/>
                <w:lang w:val="fr-FR"/>
              </w:rPr>
              <w:t>,</w:t>
            </w:r>
            <w:r w:rsidRPr="00262910">
              <w:rPr>
                <w:sz w:val="18"/>
                <w:lang w:val="fr-FR"/>
              </w:rPr>
              <w:t>8</w:t>
            </w:r>
          </w:p>
        </w:tc>
      </w:tr>
      <w:tr w:rsidR="001771B8" w:rsidRPr="00262910" w:rsidTr="001771B8">
        <w:tc>
          <w:tcPr>
            <w:tcW w:w="2093" w:type="dxa"/>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2014</w:t>
            </w:r>
          </w:p>
        </w:tc>
        <w:tc>
          <w:tcPr>
            <w:tcW w:w="2120"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62</w:t>
            </w:r>
            <w:r>
              <w:rPr>
                <w:sz w:val="18"/>
                <w:lang w:val="fr-FR"/>
              </w:rPr>
              <w:t>,</w:t>
            </w:r>
            <w:r w:rsidRPr="00262910">
              <w:rPr>
                <w:sz w:val="18"/>
                <w:lang w:val="fr-FR"/>
              </w:rPr>
              <w:t>6</w:t>
            </w:r>
          </w:p>
        </w:tc>
        <w:tc>
          <w:tcPr>
            <w:tcW w:w="2277"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62</w:t>
            </w:r>
            <w:r>
              <w:rPr>
                <w:sz w:val="18"/>
                <w:lang w:val="fr-FR"/>
              </w:rPr>
              <w:t>,</w:t>
            </w:r>
            <w:r w:rsidRPr="00262910">
              <w:rPr>
                <w:sz w:val="18"/>
                <w:lang w:val="fr-FR"/>
              </w:rPr>
              <w:t>7</w:t>
            </w:r>
          </w:p>
        </w:tc>
        <w:tc>
          <w:tcPr>
            <w:tcW w:w="2068"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62</w:t>
            </w:r>
            <w:r>
              <w:rPr>
                <w:sz w:val="18"/>
                <w:lang w:val="fr-FR"/>
              </w:rPr>
              <w:t>,</w:t>
            </w:r>
            <w:r w:rsidRPr="00262910">
              <w:rPr>
                <w:sz w:val="18"/>
                <w:lang w:val="fr-FR"/>
              </w:rPr>
              <w:t>6</w:t>
            </w:r>
          </w:p>
        </w:tc>
      </w:tr>
      <w:tr w:rsidR="001771B8" w:rsidRPr="00262910" w:rsidTr="001771B8">
        <w:tc>
          <w:tcPr>
            <w:tcW w:w="2093" w:type="dxa"/>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2015</w:t>
            </w:r>
          </w:p>
        </w:tc>
        <w:tc>
          <w:tcPr>
            <w:tcW w:w="2120"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62</w:t>
            </w:r>
            <w:r>
              <w:rPr>
                <w:sz w:val="18"/>
                <w:lang w:val="fr-FR"/>
              </w:rPr>
              <w:t>,</w:t>
            </w:r>
            <w:r w:rsidRPr="00262910">
              <w:rPr>
                <w:sz w:val="18"/>
                <w:lang w:val="fr-FR"/>
              </w:rPr>
              <w:t>8</w:t>
            </w:r>
          </w:p>
        </w:tc>
        <w:tc>
          <w:tcPr>
            <w:tcW w:w="2277"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62</w:t>
            </w:r>
            <w:r>
              <w:rPr>
                <w:sz w:val="18"/>
                <w:lang w:val="fr-FR"/>
              </w:rPr>
              <w:t>,</w:t>
            </w:r>
            <w:r w:rsidRPr="00262910">
              <w:rPr>
                <w:sz w:val="18"/>
                <w:lang w:val="fr-FR"/>
              </w:rPr>
              <w:t>9</w:t>
            </w:r>
          </w:p>
        </w:tc>
        <w:tc>
          <w:tcPr>
            <w:tcW w:w="2068"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62</w:t>
            </w:r>
            <w:r>
              <w:rPr>
                <w:sz w:val="18"/>
                <w:lang w:val="fr-FR"/>
              </w:rPr>
              <w:t>,</w:t>
            </w:r>
            <w:r w:rsidRPr="00262910">
              <w:rPr>
                <w:sz w:val="18"/>
                <w:lang w:val="fr-FR"/>
              </w:rPr>
              <w:t>7</w:t>
            </w:r>
          </w:p>
        </w:tc>
      </w:tr>
      <w:tr w:rsidR="001771B8" w:rsidRPr="00262910" w:rsidTr="001771B8">
        <w:tc>
          <w:tcPr>
            <w:tcW w:w="2093" w:type="dxa"/>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2016</w:t>
            </w:r>
          </w:p>
        </w:tc>
        <w:tc>
          <w:tcPr>
            <w:tcW w:w="2120"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62</w:t>
            </w:r>
            <w:r>
              <w:rPr>
                <w:sz w:val="18"/>
                <w:lang w:val="fr-FR"/>
              </w:rPr>
              <w:t>,</w:t>
            </w:r>
            <w:r w:rsidRPr="00262910">
              <w:rPr>
                <w:sz w:val="18"/>
                <w:lang w:val="fr-FR"/>
              </w:rPr>
              <w:t>9</w:t>
            </w:r>
          </w:p>
        </w:tc>
        <w:tc>
          <w:tcPr>
            <w:tcW w:w="2277"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63</w:t>
            </w:r>
            <w:r>
              <w:rPr>
                <w:sz w:val="18"/>
                <w:lang w:val="fr-FR"/>
              </w:rPr>
              <w:t>,</w:t>
            </w:r>
            <w:r w:rsidRPr="00262910">
              <w:rPr>
                <w:sz w:val="18"/>
                <w:lang w:val="fr-FR"/>
              </w:rPr>
              <w:t>0</w:t>
            </w:r>
          </w:p>
        </w:tc>
        <w:tc>
          <w:tcPr>
            <w:tcW w:w="2068"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62</w:t>
            </w:r>
            <w:r>
              <w:rPr>
                <w:sz w:val="18"/>
                <w:lang w:val="fr-FR"/>
              </w:rPr>
              <w:t>,</w:t>
            </w:r>
            <w:r w:rsidRPr="00262910">
              <w:rPr>
                <w:sz w:val="18"/>
                <w:lang w:val="fr-FR"/>
              </w:rPr>
              <w:t>8</w:t>
            </w:r>
          </w:p>
        </w:tc>
      </w:tr>
      <w:tr w:rsidR="001771B8" w:rsidRPr="00262910" w:rsidTr="001771B8">
        <w:tc>
          <w:tcPr>
            <w:tcW w:w="2093" w:type="dxa"/>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2017</w:t>
            </w:r>
          </w:p>
        </w:tc>
        <w:tc>
          <w:tcPr>
            <w:tcW w:w="2120"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62</w:t>
            </w:r>
            <w:r>
              <w:rPr>
                <w:sz w:val="18"/>
                <w:lang w:val="fr-FR"/>
              </w:rPr>
              <w:t>,</w:t>
            </w:r>
            <w:r w:rsidRPr="00262910">
              <w:rPr>
                <w:sz w:val="18"/>
                <w:lang w:val="fr-FR"/>
              </w:rPr>
              <w:t>8</w:t>
            </w:r>
          </w:p>
        </w:tc>
        <w:tc>
          <w:tcPr>
            <w:tcW w:w="2277"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62</w:t>
            </w:r>
            <w:r>
              <w:rPr>
                <w:sz w:val="18"/>
                <w:lang w:val="fr-FR"/>
              </w:rPr>
              <w:t>,</w:t>
            </w:r>
            <w:r w:rsidRPr="00262910">
              <w:rPr>
                <w:sz w:val="18"/>
                <w:lang w:val="fr-FR"/>
              </w:rPr>
              <w:t>9</w:t>
            </w:r>
          </w:p>
        </w:tc>
        <w:tc>
          <w:tcPr>
            <w:tcW w:w="2068"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62</w:t>
            </w:r>
            <w:r>
              <w:rPr>
                <w:sz w:val="18"/>
                <w:lang w:val="fr-FR"/>
              </w:rPr>
              <w:t>,</w:t>
            </w:r>
            <w:r w:rsidRPr="00262910">
              <w:rPr>
                <w:sz w:val="18"/>
                <w:lang w:val="fr-FR"/>
              </w:rPr>
              <w:t>8</w:t>
            </w:r>
          </w:p>
        </w:tc>
      </w:tr>
      <w:tr w:rsidR="001771B8" w:rsidRPr="00262910" w:rsidTr="001771B8">
        <w:tc>
          <w:tcPr>
            <w:tcW w:w="2093" w:type="dxa"/>
            <w:tcBorders>
              <w:bottom w:val="single" w:sz="12" w:space="0" w:color="auto"/>
            </w:tcBorders>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2018</w:t>
            </w:r>
          </w:p>
        </w:tc>
        <w:tc>
          <w:tcPr>
            <w:tcW w:w="2120" w:type="dxa"/>
            <w:tcBorders>
              <w:bottom w:val="single" w:sz="12" w:space="0" w:color="auto"/>
            </w:tcBorders>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62</w:t>
            </w:r>
            <w:r>
              <w:rPr>
                <w:sz w:val="18"/>
                <w:lang w:val="fr-FR"/>
              </w:rPr>
              <w:t>,</w:t>
            </w:r>
            <w:r w:rsidRPr="00262910">
              <w:rPr>
                <w:sz w:val="18"/>
                <w:lang w:val="fr-FR"/>
              </w:rPr>
              <w:t>7</w:t>
            </w:r>
          </w:p>
        </w:tc>
        <w:tc>
          <w:tcPr>
            <w:tcW w:w="2277" w:type="dxa"/>
            <w:tcBorders>
              <w:bottom w:val="single" w:sz="12" w:space="0" w:color="auto"/>
            </w:tcBorders>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62</w:t>
            </w:r>
            <w:r>
              <w:rPr>
                <w:sz w:val="18"/>
                <w:lang w:val="fr-FR"/>
              </w:rPr>
              <w:t>,</w:t>
            </w:r>
            <w:r w:rsidRPr="00262910">
              <w:rPr>
                <w:sz w:val="18"/>
                <w:lang w:val="fr-FR"/>
              </w:rPr>
              <w:t>7</w:t>
            </w:r>
          </w:p>
        </w:tc>
        <w:tc>
          <w:tcPr>
            <w:tcW w:w="2068" w:type="dxa"/>
            <w:tcBorders>
              <w:bottom w:val="single" w:sz="12" w:space="0" w:color="auto"/>
            </w:tcBorders>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62</w:t>
            </w:r>
            <w:r>
              <w:rPr>
                <w:sz w:val="18"/>
                <w:lang w:val="fr-FR"/>
              </w:rPr>
              <w:t>,</w:t>
            </w:r>
            <w:r w:rsidRPr="00262910">
              <w:rPr>
                <w:sz w:val="18"/>
                <w:lang w:val="fr-FR"/>
              </w:rPr>
              <w:t>8</w:t>
            </w:r>
          </w:p>
        </w:tc>
      </w:tr>
    </w:tbl>
    <w:p w:rsidR="001771B8" w:rsidRPr="00262910" w:rsidRDefault="001771B8" w:rsidP="001771B8">
      <w:pPr>
        <w:pStyle w:val="SingleTxtG"/>
        <w:spacing w:before="120" w:after="240" w:line="220" w:lineRule="exact"/>
        <w:ind w:firstLine="170"/>
        <w:jc w:val="left"/>
        <w:rPr>
          <w:i/>
          <w:sz w:val="18"/>
          <w:szCs w:val="18"/>
          <w:lang w:val="fr-FR"/>
        </w:rPr>
      </w:pPr>
      <w:r w:rsidRPr="00262910">
        <w:rPr>
          <w:i/>
          <w:sz w:val="18"/>
          <w:szCs w:val="18"/>
          <w:lang w:val="fr-FR"/>
        </w:rPr>
        <w:t>Source</w:t>
      </w:r>
      <w:r w:rsidR="00291114">
        <w:rPr>
          <w:i/>
          <w:sz w:val="18"/>
          <w:szCs w:val="18"/>
          <w:lang w:val="fr-FR"/>
        </w:rPr>
        <w:t> </w:t>
      </w:r>
      <w:r w:rsidRPr="00262910">
        <w:rPr>
          <w:i/>
          <w:sz w:val="18"/>
          <w:szCs w:val="18"/>
          <w:lang w:val="fr-FR"/>
        </w:rPr>
        <w:t xml:space="preserve">: </w:t>
      </w:r>
      <w:r w:rsidRPr="00262910">
        <w:rPr>
          <w:sz w:val="18"/>
          <w:szCs w:val="18"/>
          <w:lang w:val="fr-FR"/>
        </w:rPr>
        <w:t>Direction du travail et de la protection sociale.</w:t>
      </w:r>
    </w:p>
    <w:p w:rsidR="001771B8" w:rsidRPr="00262910" w:rsidRDefault="001771B8" w:rsidP="001771B8">
      <w:pPr>
        <w:pStyle w:val="SingleTxtG"/>
        <w:spacing w:after="240"/>
        <w:rPr>
          <w:lang w:val="fr-FR"/>
        </w:rPr>
      </w:pPr>
      <w:r w:rsidRPr="00262910">
        <w:rPr>
          <w:lang w:val="fr-FR"/>
        </w:rPr>
        <w:t>27.</w:t>
      </w:r>
      <w:r w:rsidRPr="00262910">
        <w:rPr>
          <w:lang w:val="fr-FR"/>
        </w:rPr>
        <w:tab/>
        <w:t>Le tableau 2 montre que l</w:t>
      </w:r>
      <w:r>
        <w:rPr>
          <w:lang w:val="fr-FR"/>
        </w:rPr>
        <w:t>’</w:t>
      </w:r>
      <w:r w:rsidRPr="00262910">
        <w:rPr>
          <w:lang w:val="fr-FR"/>
        </w:rPr>
        <w:t>âge moyen de départ à la retraite est</w:t>
      </w:r>
      <w:r>
        <w:rPr>
          <w:lang w:val="fr-FR"/>
        </w:rPr>
        <w:t xml:space="preserve"> supérieur à </w:t>
      </w:r>
      <w:r w:rsidRPr="00262910">
        <w:rPr>
          <w:lang w:val="fr-FR"/>
        </w:rPr>
        <w:t>l</w:t>
      </w:r>
      <w:r>
        <w:rPr>
          <w:lang w:val="fr-FR"/>
        </w:rPr>
        <w:t>’</w:t>
      </w:r>
      <w:r w:rsidRPr="00262910">
        <w:rPr>
          <w:lang w:val="fr-FR"/>
        </w:rPr>
        <w:t xml:space="preserve">âge moyen auquel les </w:t>
      </w:r>
      <w:r>
        <w:rPr>
          <w:lang w:val="fr-FR"/>
        </w:rPr>
        <w:t xml:space="preserve">personnes </w:t>
      </w:r>
      <w:r w:rsidRPr="00262910">
        <w:rPr>
          <w:lang w:val="fr-FR"/>
        </w:rPr>
        <w:t xml:space="preserve">commencent à </w:t>
      </w:r>
      <w:r>
        <w:rPr>
          <w:lang w:val="fr-FR"/>
        </w:rPr>
        <w:t xml:space="preserve">toucher </w:t>
      </w:r>
      <w:r w:rsidRPr="00262910">
        <w:rPr>
          <w:lang w:val="fr-FR"/>
        </w:rPr>
        <w:t>une pension</w:t>
      </w:r>
      <w:r>
        <w:rPr>
          <w:lang w:val="fr-FR"/>
        </w:rPr>
        <w:t xml:space="preserve">, du fait que beaucoup </w:t>
      </w:r>
      <w:r w:rsidRPr="00262910">
        <w:rPr>
          <w:lang w:val="fr-FR"/>
        </w:rPr>
        <w:t>d</w:t>
      </w:r>
      <w:r>
        <w:rPr>
          <w:lang w:val="fr-FR"/>
        </w:rPr>
        <w:t>’</w:t>
      </w:r>
      <w:r w:rsidRPr="00262910">
        <w:rPr>
          <w:lang w:val="fr-FR"/>
        </w:rPr>
        <w:t xml:space="preserve">entre </w:t>
      </w:r>
      <w:r>
        <w:rPr>
          <w:lang w:val="fr-FR"/>
        </w:rPr>
        <w:t xml:space="preserve">elles </w:t>
      </w:r>
      <w:r w:rsidRPr="00262910">
        <w:rPr>
          <w:lang w:val="fr-FR"/>
        </w:rPr>
        <w:t>c</w:t>
      </w:r>
      <w:r>
        <w:rPr>
          <w:lang w:val="fr-FR"/>
        </w:rPr>
        <w:t xml:space="preserve">umulent </w:t>
      </w:r>
      <w:r w:rsidRPr="00262910">
        <w:rPr>
          <w:lang w:val="fr-FR"/>
        </w:rPr>
        <w:t>travail et retraite un certain nombre d</w:t>
      </w:r>
      <w:r>
        <w:rPr>
          <w:lang w:val="fr-FR"/>
        </w:rPr>
        <w:t>’</w:t>
      </w:r>
      <w:r w:rsidRPr="00262910">
        <w:rPr>
          <w:lang w:val="fr-FR"/>
        </w:rPr>
        <w:t xml:space="preserve">années. En moyenne, les hommes </w:t>
      </w:r>
      <w:r>
        <w:rPr>
          <w:lang w:val="fr-FR"/>
        </w:rPr>
        <w:t xml:space="preserve">sortent de </w:t>
      </w:r>
      <w:r w:rsidRPr="00262910">
        <w:rPr>
          <w:lang w:val="fr-FR"/>
        </w:rPr>
        <w:t>la population active un peu plus tard que les femmes. L</w:t>
      </w:r>
      <w:r>
        <w:rPr>
          <w:lang w:val="fr-FR"/>
        </w:rPr>
        <w:t>’</w:t>
      </w:r>
      <w:r w:rsidRPr="00262910">
        <w:rPr>
          <w:lang w:val="fr-FR"/>
        </w:rPr>
        <w:t xml:space="preserve">âge moyen de </w:t>
      </w:r>
      <w:r>
        <w:rPr>
          <w:lang w:val="fr-FR"/>
        </w:rPr>
        <w:t xml:space="preserve">sortie de </w:t>
      </w:r>
      <w:r w:rsidRPr="00262910">
        <w:rPr>
          <w:lang w:val="fr-FR"/>
        </w:rPr>
        <w:t xml:space="preserve">la population active </w:t>
      </w:r>
      <w:r>
        <w:rPr>
          <w:lang w:val="fr-FR"/>
        </w:rPr>
        <w:t xml:space="preserve">s’est légèrement accru en </w:t>
      </w:r>
      <w:r w:rsidRPr="00262910">
        <w:rPr>
          <w:lang w:val="fr-FR"/>
        </w:rPr>
        <w:t xml:space="preserve">2011 </w:t>
      </w:r>
      <w:r>
        <w:rPr>
          <w:lang w:val="fr-FR"/>
        </w:rPr>
        <w:t xml:space="preserve">par rapport à 2010 et est </w:t>
      </w:r>
      <w:r w:rsidRPr="00262910">
        <w:rPr>
          <w:lang w:val="fr-FR"/>
        </w:rPr>
        <w:t xml:space="preserve">demeuré </w:t>
      </w:r>
      <w:r>
        <w:rPr>
          <w:lang w:val="fr-FR"/>
        </w:rPr>
        <w:t xml:space="preserve">assez </w:t>
      </w:r>
      <w:r w:rsidRPr="00262910">
        <w:rPr>
          <w:lang w:val="fr-FR"/>
        </w:rPr>
        <w:t>stable depuis.</w:t>
      </w:r>
    </w:p>
    <w:p w:rsidR="001771B8" w:rsidRPr="00262910" w:rsidRDefault="001771B8" w:rsidP="00291114">
      <w:pPr>
        <w:pStyle w:val="Titre1"/>
        <w:spacing w:after="120"/>
        <w:ind w:right="1134"/>
        <w:rPr>
          <w:b/>
          <w:lang w:val="fr-FR"/>
        </w:rPr>
      </w:pPr>
      <w:r w:rsidRPr="00262910">
        <w:rPr>
          <w:lang w:val="fr-FR"/>
        </w:rPr>
        <w:t xml:space="preserve">Tableau 2 </w:t>
      </w:r>
      <w:r w:rsidRPr="00262910">
        <w:rPr>
          <w:lang w:val="fr-FR"/>
        </w:rPr>
        <w:br/>
      </w:r>
      <w:r w:rsidRPr="00262910">
        <w:rPr>
          <w:b/>
          <w:lang w:val="fr-FR"/>
        </w:rPr>
        <w:t xml:space="preserve">Âge moyen de sortie de la population active </w:t>
      </w:r>
      <w:r>
        <w:rPr>
          <w:b/>
          <w:lang w:val="fr-FR"/>
        </w:rPr>
        <w:t xml:space="preserve">des </w:t>
      </w:r>
      <w:r w:rsidRPr="00262910">
        <w:rPr>
          <w:b/>
          <w:lang w:val="fr-FR"/>
        </w:rPr>
        <w:t xml:space="preserve">personnes </w:t>
      </w:r>
      <w:r>
        <w:rPr>
          <w:b/>
          <w:lang w:val="fr-FR"/>
        </w:rPr>
        <w:t xml:space="preserve">qui occupaient un emploi </w:t>
      </w:r>
      <w:r w:rsidR="00291114">
        <w:rPr>
          <w:b/>
          <w:lang w:val="fr-FR"/>
        </w:rPr>
        <w:br/>
      </w:r>
      <w:r>
        <w:rPr>
          <w:b/>
          <w:lang w:val="fr-FR"/>
        </w:rPr>
        <w:t xml:space="preserve">à l’âge de </w:t>
      </w:r>
      <w:r w:rsidRPr="00262910">
        <w:rPr>
          <w:b/>
          <w:lang w:val="fr-FR"/>
        </w:rPr>
        <w:t xml:space="preserve">50 ans </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2"/>
        <w:gridCol w:w="1826"/>
        <w:gridCol w:w="1961"/>
        <w:gridCol w:w="1781"/>
      </w:tblGrid>
      <w:tr w:rsidR="001771B8" w:rsidRPr="00262910" w:rsidTr="001771B8">
        <w:trPr>
          <w:tblHeader/>
        </w:trPr>
        <w:tc>
          <w:tcPr>
            <w:tcW w:w="1802" w:type="dxa"/>
            <w:tcBorders>
              <w:top w:val="single" w:sz="4" w:space="0" w:color="auto"/>
              <w:bottom w:val="single" w:sz="12" w:space="0" w:color="auto"/>
            </w:tcBorders>
            <w:shd w:val="clear" w:color="auto" w:fill="auto"/>
            <w:vAlign w:val="bottom"/>
          </w:tcPr>
          <w:p w:rsidR="001771B8" w:rsidRPr="00262910" w:rsidRDefault="001771B8" w:rsidP="001771B8">
            <w:pPr>
              <w:pStyle w:val="SingleTxtG"/>
              <w:suppressAutoHyphens w:val="0"/>
              <w:spacing w:before="80" w:after="80" w:line="200" w:lineRule="exact"/>
              <w:ind w:left="0" w:right="0"/>
              <w:jc w:val="left"/>
              <w:rPr>
                <w:i/>
                <w:sz w:val="16"/>
                <w:lang w:val="fr-FR"/>
              </w:rPr>
            </w:pPr>
          </w:p>
        </w:tc>
        <w:tc>
          <w:tcPr>
            <w:tcW w:w="1826" w:type="dxa"/>
            <w:tcBorders>
              <w:top w:val="single" w:sz="4" w:space="0" w:color="auto"/>
              <w:bottom w:val="single" w:sz="12" w:space="0" w:color="auto"/>
            </w:tcBorders>
            <w:shd w:val="clear" w:color="auto" w:fill="auto"/>
            <w:vAlign w:val="bottom"/>
          </w:tcPr>
          <w:p w:rsidR="001771B8" w:rsidRPr="00262910" w:rsidRDefault="001771B8" w:rsidP="001771B8">
            <w:pPr>
              <w:pStyle w:val="SingleTxtG"/>
              <w:suppressAutoHyphens w:val="0"/>
              <w:spacing w:before="80" w:after="80" w:line="200" w:lineRule="exact"/>
              <w:ind w:left="0" w:right="0"/>
              <w:jc w:val="right"/>
              <w:rPr>
                <w:i/>
                <w:sz w:val="16"/>
                <w:lang w:val="fr-FR"/>
              </w:rPr>
            </w:pPr>
            <w:r>
              <w:rPr>
                <w:i/>
                <w:sz w:val="16"/>
                <w:lang w:val="fr-FR"/>
              </w:rPr>
              <w:t>Général</w:t>
            </w:r>
          </w:p>
        </w:tc>
        <w:tc>
          <w:tcPr>
            <w:tcW w:w="1961" w:type="dxa"/>
            <w:tcBorders>
              <w:top w:val="single" w:sz="4" w:space="0" w:color="auto"/>
              <w:bottom w:val="single" w:sz="12" w:space="0" w:color="auto"/>
            </w:tcBorders>
            <w:shd w:val="clear" w:color="auto" w:fill="auto"/>
            <w:vAlign w:val="bottom"/>
          </w:tcPr>
          <w:p w:rsidR="001771B8" w:rsidRPr="00262910" w:rsidRDefault="001771B8" w:rsidP="001771B8">
            <w:pPr>
              <w:pStyle w:val="SingleTxtG"/>
              <w:suppressAutoHyphens w:val="0"/>
              <w:spacing w:before="80" w:after="80" w:line="200" w:lineRule="exact"/>
              <w:ind w:left="0" w:right="0"/>
              <w:jc w:val="right"/>
              <w:rPr>
                <w:i/>
                <w:sz w:val="16"/>
                <w:lang w:val="fr-FR"/>
              </w:rPr>
            </w:pPr>
            <w:r w:rsidRPr="00262910">
              <w:rPr>
                <w:i/>
                <w:sz w:val="16"/>
                <w:lang w:val="fr-FR"/>
              </w:rPr>
              <w:t>Femmes</w:t>
            </w:r>
          </w:p>
        </w:tc>
        <w:tc>
          <w:tcPr>
            <w:tcW w:w="1781" w:type="dxa"/>
            <w:tcBorders>
              <w:top w:val="single" w:sz="4" w:space="0" w:color="auto"/>
              <w:bottom w:val="single" w:sz="12" w:space="0" w:color="auto"/>
            </w:tcBorders>
            <w:shd w:val="clear" w:color="auto" w:fill="auto"/>
            <w:vAlign w:val="bottom"/>
          </w:tcPr>
          <w:p w:rsidR="001771B8" w:rsidRPr="00262910" w:rsidRDefault="001771B8" w:rsidP="001771B8">
            <w:pPr>
              <w:pStyle w:val="SingleTxtG"/>
              <w:suppressAutoHyphens w:val="0"/>
              <w:spacing w:before="80" w:after="80" w:line="200" w:lineRule="exact"/>
              <w:ind w:left="0" w:right="0"/>
              <w:jc w:val="right"/>
              <w:rPr>
                <w:i/>
                <w:sz w:val="16"/>
                <w:lang w:val="fr-FR"/>
              </w:rPr>
            </w:pPr>
            <w:r w:rsidRPr="00262910">
              <w:rPr>
                <w:i/>
                <w:sz w:val="16"/>
                <w:lang w:val="fr-FR"/>
              </w:rPr>
              <w:t>Hommes</w:t>
            </w:r>
          </w:p>
        </w:tc>
      </w:tr>
      <w:tr w:rsidR="001771B8" w:rsidRPr="00262910" w:rsidTr="001771B8">
        <w:tc>
          <w:tcPr>
            <w:tcW w:w="1802" w:type="dxa"/>
            <w:tcBorders>
              <w:top w:val="single" w:sz="12" w:space="0" w:color="auto"/>
            </w:tcBorders>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2010</w:t>
            </w:r>
          </w:p>
        </w:tc>
        <w:tc>
          <w:tcPr>
            <w:tcW w:w="1826" w:type="dxa"/>
            <w:tcBorders>
              <w:top w:val="single" w:sz="12" w:space="0" w:color="auto"/>
            </w:tcBorders>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65</w:t>
            </w:r>
            <w:r>
              <w:rPr>
                <w:sz w:val="18"/>
                <w:lang w:val="fr-FR"/>
              </w:rPr>
              <w:t>,</w:t>
            </w:r>
            <w:r w:rsidRPr="00262910">
              <w:rPr>
                <w:sz w:val="18"/>
                <w:lang w:val="fr-FR"/>
              </w:rPr>
              <w:t>1</w:t>
            </w:r>
          </w:p>
        </w:tc>
        <w:tc>
          <w:tcPr>
            <w:tcW w:w="1961" w:type="dxa"/>
            <w:tcBorders>
              <w:top w:val="single" w:sz="12" w:space="0" w:color="auto"/>
            </w:tcBorders>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64</w:t>
            </w:r>
            <w:r>
              <w:rPr>
                <w:sz w:val="18"/>
                <w:lang w:val="fr-FR"/>
              </w:rPr>
              <w:t>,</w:t>
            </w:r>
            <w:r w:rsidRPr="00262910">
              <w:rPr>
                <w:sz w:val="18"/>
                <w:lang w:val="fr-FR"/>
              </w:rPr>
              <w:t>7</w:t>
            </w:r>
          </w:p>
        </w:tc>
        <w:tc>
          <w:tcPr>
            <w:tcW w:w="1781" w:type="dxa"/>
            <w:tcBorders>
              <w:top w:val="single" w:sz="12" w:space="0" w:color="auto"/>
            </w:tcBorders>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65</w:t>
            </w:r>
            <w:r>
              <w:rPr>
                <w:sz w:val="18"/>
                <w:lang w:val="fr-FR"/>
              </w:rPr>
              <w:t>,</w:t>
            </w:r>
            <w:r w:rsidRPr="00262910">
              <w:rPr>
                <w:sz w:val="18"/>
                <w:lang w:val="fr-FR"/>
              </w:rPr>
              <w:t>6</w:t>
            </w:r>
          </w:p>
        </w:tc>
      </w:tr>
      <w:tr w:rsidR="001771B8" w:rsidRPr="00262910" w:rsidTr="001771B8">
        <w:tc>
          <w:tcPr>
            <w:tcW w:w="1802" w:type="dxa"/>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2011</w:t>
            </w:r>
          </w:p>
        </w:tc>
        <w:tc>
          <w:tcPr>
            <w:tcW w:w="1826"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65</w:t>
            </w:r>
            <w:r>
              <w:rPr>
                <w:sz w:val="18"/>
                <w:lang w:val="fr-FR"/>
              </w:rPr>
              <w:t>,</w:t>
            </w:r>
            <w:r w:rsidRPr="00262910">
              <w:rPr>
                <w:sz w:val="18"/>
                <w:lang w:val="fr-FR"/>
              </w:rPr>
              <w:t>5</w:t>
            </w:r>
          </w:p>
        </w:tc>
        <w:tc>
          <w:tcPr>
            <w:tcW w:w="196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65</w:t>
            </w:r>
            <w:r>
              <w:rPr>
                <w:sz w:val="18"/>
                <w:lang w:val="fr-FR"/>
              </w:rPr>
              <w:t>,</w:t>
            </w:r>
            <w:r w:rsidRPr="00262910">
              <w:rPr>
                <w:sz w:val="18"/>
                <w:lang w:val="fr-FR"/>
              </w:rPr>
              <w:t>0</w:t>
            </w:r>
          </w:p>
        </w:tc>
        <w:tc>
          <w:tcPr>
            <w:tcW w:w="178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66</w:t>
            </w:r>
            <w:r>
              <w:rPr>
                <w:sz w:val="18"/>
                <w:lang w:val="fr-FR"/>
              </w:rPr>
              <w:t>,</w:t>
            </w:r>
            <w:r w:rsidRPr="00262910">
              <w:rPr>
                <w:sz w:val="18"/>
                <w:lang w:val="fr-FR"/>
              </w:rPr>
              <w:t>0</w:t>
            </w:r>
          </w:p>
        </w:tc>
      </w:tr>
      <w:tr w:rsidR="001771B8" w:rsidRPr="00262910" w:rsidTr="001771B8">
        <w:tc>
          <w:tcPr>
            <w:tcW w:w="1802" w:type="dxa"/>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2012</w:t>
            </w:r>
          </w:p>
        </w:tc>
        <w:tc>
          <w:tcPr>
            <w:tcW w:w="1826"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65</w:t>
            </w:r>
            <w:r>
              <w:rPr>
                <w:sz w:val="18"/>
                <w:lang w:val="fr-FR"/>
              </w:rPr>
              <w:t>,</w:t>
            </w:r>
            <w:r w:rsidRPr="00262910">
              <w:rPr>
                <w:sz w:val="18"/>
                <w:lang w:val="fr-FR"/>
              </w:rPr>
              <w:t>6</w:t>
            </w:r>
          </w:p>
        </w:tc>
        <w:tc>
          <w:tcPr>
            <w:tcW w:w="196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65</w:t>
            </w:r>
            <w:r>
              <w:rPr>
                <w:sz w:val="18"/>
                <w:lang w:val="fr-FR"/>
              </w:rPr>
              <w:t>,</w:t>
            </w:r>
            <w:r w:rsidRPr="00262910">
              <w:rPr>
                <w:sz w:val="18"/>
                <w:lang w:val="fr-FR"/>
              </w:rPr>
              <w:t>1</w:t>
            </w:r>
          </w:p>
        </w:tc>
        <w:tc>
          <w:tcPr>
            <w:tcW w:w="178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66</w:t>
            </w:r>
            <w:r>
              <w:rPr>
                <w:sz w:val="18"/>
                <w:lang w:val="fr-FR"/>
              </w:rPr>
              <w:t>,</w:t>
            </w:r>
            <w:r w:rsidRPr="00262910">
              <w:rPr>
                <w:sz w:val="18"/>
                <w:lang w:val="fr-FR"/>
              </w:rPr>
              <w:t>1</w:t>
            </w:r>
          </w:p>
        </w:tc>
      </w:tr>
      <w:tr w:rsidR="001771B8" w:rsidRPr="00262910" w:rsidTr="001771B8">
        <w:tc>
          <w:tcPr>
            <w:tcW w:w="1802" w:type="dxa"/>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2013</w:t>
            </w:r>
          </w:p>
        </w:tc>
        <w:tc>
          <w:tcPr>
            <w:tcW w:w="1826"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65</w:t>
            </w:r>
            <w:r>
              <w:rPr>
                <w:sz w:val="18"/>
                <w:lang w:val="fr-FR"/>
              </w:rPr>
              <w:t>,</w:t>
            </w:r>
            <w:r w:rsidRPr="00262910">
              <w:rPr>
                <w:sz w:val="18"/>
                <w:lang w:val="fr-FR"/>
              </w:rPr>
              <w:t>7</w:t>
            </w:r>
          </w:p>
        </w:tc>
        <w:tc>
          <w:tcPr>
            <w:tcW w:w="196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65</w:t>
            </w:r>
            <w:r>
              <w:rPr>
                <w:sz w:val="18"/>
                <w:lang w:val="fr-FR"/>
              </w:rPr>
              <w:t>,</w:t>
            </w:r>
            <w:r w:rsidRPr="00262910">
              <w:rPr>
                <w:sz w:val="18"/>
                <w:lang w:val="fr-FR"/>
              </w:rPr>
              <w:t>2</w:t>
            </w:r>
          </w:p>
        </w:tc>
        <w:tc>
          <w:tcPr>
            <w:tcW w:w="178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66</w:t>
            </w:r>
            <w:r>
              <w:rPr>
                <w:sz w:val="18"/>
                <w:lang w:val="fr-FR"/>
              </w:rPr>
              <w:t>,</w:t>
            </w:r>
            <w:r w:rsidRPr="00262910">
              <w:rPr>
                <w:sz w:val="18"/>
                <w:lang w:val="fr-FR"/>
              </w:rPr>
              <w:t>2</w:t>
            </w:r>
          </w:p>
        </w:tc>
      </w:tr>
      <w:tr w:rsidR="001771B8" w:rsidRPr="00262910" w:rsidTr="001771B8">
        <w:tc>
          <w:tcPr>
            <w:tcW w:w="1802" w:type="dxa"/>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2014</w:t>
            </w:r>
          </w:p>
        </w:tc>
        <w:tc>
          <w:tcPr>
            <w:tcW w:w="1826"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65</w:t>
            </w:r>
            <w:r>
              <w:rPr>
                <w:sz w:val="18"/>
                <w:lang w:val="fr-FR"/>
              </w:rPr>
              <w:t>,</w:t>
            </w:r>
            <w:r w:rsidRPr="00262910">
              <w:rPr>
                <w:sz w:val="18"/>
                <w:lang w:val="fr-FR"/>
              </w:rPr>
              <w:t>8</w:t>
            </w:r>
          </w:p>
        </w:tc>
        <w:tc>
          <w:tcPr>
            <w:tcW w:w="196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65</w:t>
            </w:r>
            <w:r>
              <w:rPr>
                <w:sz w:val="18"/>
                <w:lang w:val="fr-FR"/>
              </w:rPr>
              <w:t>,</w:t>
            </w:r>
            <w:r w:rsidRPr="00262910">
              <w:rPr>
                <w:sz w:val="18"/>
                <w:lang w:val="fr-FR"/>
              </w:rPr>
              <w:t>3</w:t>
            </w:r>
          </w:p>
        </w:tc>
        <w:tc>
          <w:tcPr>
            <w:tcW w:w="178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66</w:t>
            </w:r>
            <w:r>
              <w:rPr>
                <w:sz w:val="18"/>
                <w:lang w:val="fr-FR"/>
              </w:rPr>
              <w:t>,</w:t>
            </w:r>
            <w:r w:rsidRPr="00262910">
              <w:rPr>
                <w:sz w:val="18"/>
                <w:lang w:val="fr-FR"/>
              </w:rPr>
              <w:t>3</w:t>
            </w:r>
          </w:p>
        </w:tc>
      </w:tr>
      <w:tr w:rsidR="001771B8" w:rsidRPr="00262910" w:rsidTr="001771B8">
        <w:tc>
          <w:tcPr>
            <w:tcW w:w="1802" w:type="dxa"/>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2015</w:t>
            </w:r>
          </w:p>
        </w:tc>
        <w:tc>
          <w:tcPr>
            <w:tcW w:w="1826"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65</w:t>
            </w:r>
            <w:r>
              <w:rPr>
                <w:sz w:val="18"/>
                <w:lang w:val="fr-FR"/>
              </w:rPr>
              <w:t>,</w:t>
            </w:r>
            <w:r w:rsidRPr="00262910">
              <w:rPr>
                <w:sz w:val="18"/>
                <w:lang w:val="fr-FR"/>
              </w:rPr>
              <w:t>7</w:t>
            </w:r>
          </w:p>
        </w:tc>
        <w:tc>
          <w:tcPr>
            <w:tcW w:w="196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65</w:t>
            </w:r>
            <w:r>
              <w:rPr>
                <w:sz w:val="18"/>
                <w:lang w:val="fr-FR"/>
              </w:rPr>
              <w:t>,</w:t>
            </w:r>
            <w:r w:rsidRPr="00262910">
              <w:rPr>
                <w:sz w:val="18"/>
                <w:lang w:val="fr-FR"/>
              </w:rPr>
              <w:t>2</w:t>
            </w:r>
          </w:p>
        </w:tc>
        <w:tc>
          <w:tcPr>
            <w:tcW w:w="178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66</w:t>
            </w:r>
            <w:r>
              <w:rPr>
                <w:sz w:val="18"/>
                <w:lang w:val="fr-FR"/>
              </w:rPr>
              <w:t>,</w:t>
            </w:r>
            <w:r w:rsidRPr="00262910">
              <w:rPr>
                <w:sz w:val="18"/>
                <w:lang w:val="fr-FR"/>
              </w:rPr>
              <w:t>1</w:t>
            </w:r>
          </w:p>
        </w:tc>
      </w:tr>
      <w:tr w:rsidR="001771B8" w:rsidRPr="00262910" w:rsidTr="001771B8">
        <w:tc>
          <w:tcPr>
            <w:tcW w:w="1802" w:type="dxa"/>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2016</w:t>
            </w:r>
          </w:p>
        </w:tc>
        <w:tc>
          <w:tcPr>
            <w:tcW w:w="1826"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65</w:t>
            </w:r>
            <w:r>
              <w:rPr>
                <w:sz w:val="18"/>
                <w:lang w:val="fr-FR"/>
              </w:rPr>
              <w:t>,</w:t>
            </w:r>
            <w:r w:rsidRPr="00262910">
              <w:rPr>
                <w:sz w:val="18"/>
                <w:lang w:val="fr-FR"/>
              </w:rPr>
              <w:t>6</w:t>
            </w:r>
          </w:p>
        </w:tc>
        <w:tc>
          <w:tcPr>
            <w:tcW w:w="196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65</w:t>
            </w:r>
            <w:r>
              <w:rPr>
                <w:sz w:val="18"/>
                <w:lang w:val="fr-FR"/>
              </w:rPr>
              <w:t>,</w:t>
            </w:r>
            <w:r w:rsidRPr="00262910">
              <w:rPr>
                <w:sz w:val="18"/>
                <w:lang w:val="fr-FR"/>
              </w:rPr>
              <w:t>3</w:t>
            </w:r>
          </w:p>
        </w:tc>
        <w:tc>
          <w:tcPr>
            <w:tcW w:w="178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66</w:t>
            </w:r>
            <w:r>
              <w:rPr>
                <w:sz w:val="18"/>
                <w:lang w:val="fr-FR"/>
              </w:rPr>
              <w:t>,</w:t>
            </w:r>
            <w:r w:rsidRPr="00262910">
              <w:rPr>
                <w:sz w:val="18"/>
                <w:lang w:val="fr-FR"/>
              </w:rPr>
              <w:t>0</w:t>
            </w:r>
          </w:p>
        </w:tc>
      </w:tr>
      <w:tr w:rsidR="001771B8" w:rsidRPr="00262910" w:rsidTr="001771B8">
        <w:tc>
          <w:tcPr>
            <w:tcW w:w="1802" w:type="dxa"/>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2017</w:t>
            </w:r>
          </w:p>
        </w:tc>
        <w:tc>
          <w:tcPr>
            <w:tcW w:w="1826"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65</w:t>
            </w:r>
            <w:r>
              <w:rPr>
                <w:sz w:val="18"/>
                <w:lang w:val="fr-FR"/>
              </w:rPr>
              <w:t>,</w:t>
            </w:r>
            <w:r w:rsidRPr="00262910">
              <w:rPr>
                <w:sz w:val="18"/>
                <w:lang w:val="fr-FR"/>
              </w:rPr>
              <w:t>6</w:t>
            </w:r>
          </w:p>
        </w:tc>
        <w:tc>
          <w:tcPr>
            <w:tcW w:w="196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65</w:t>
            </w:r>
            <w:r>
              <w:rPr>
                <w:sz w:val="18"/>
                <w:lang w:val="fr-FR"/>
              </w:rPr>
              <w:t>,</w:t>
            </w:r>
            <w:r w:rsidRPr="00262910">
              <w:rPr>
                <w:sz w:val="18"/>
                <w:lang w:val="fr-FR"/>
              </w:rPr>
              <w:t>2</w:t>
            </w:r>
          </w:p>
        </w:tc>
        <w:tc>
          <w:tcPr>
            <w:tcW w:w="178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66</w:t>
            </w:r>
            <w:r>
              <w:rPr>
                <w:sz w:val="18"/>
                <w:lang w:val="fr-FR"/>
              </w:rPr>
              <w:t>,</w:t>
            </w:r>
            <w:r w:rsidRPr="00262910">
              <w:rPr>
                <w:sz w:val="18"/>
                <w:lang w:val="fr-FR"/>
              </w:rPr>
              <w:t>1</w:t>
            </w:r>
          </w:p>
        </w:tc>
      </w:tr>
      <w:tr w:rsidR="001771B8" w:rsidRPr="00262910" w:rsidTr="001771B8">
        <w:tc>
          <w:tcPr>
            <w:tcW w:w="1802" w:type="dxa"/>
            <w:tcBorders>
              <w:bottom w:val="single" w:sz="12" w:space="0" w:color="auto"/>
            </w:tcBorders>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2018</w:t>
            </w:r>
          </w:p>
        </w:tc>
        <w:tc>
          <w:tcPr>
            <w:tcW w:w="1826" w:type="dxa"/>
            <w:tcBorders>
              <w:bottom w:val="single" w:sz="12" w:space="0" w:color="auto"/>
            </w:tcBorders>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65</w:t>
            </w:r>
            <w:r>
              <w:rPr>
                <w:sz w:val="18"/>
                <w:lang w:val="fr-FR"/>
              </w:rPr>
              <w:t>,</w:t>
            </w:r>
            <w:r w:rsidRPr="00262910">
              <w:rPr>
                <w:sz w:val="18"/>
                <w:lang w:val="fr-FR"/>
              </w:rPr>
              <w:t>7</w:t>
            </w:r>
          </w:p>
        </w:tc>
        <w:tc>
          <w:tcPr>
            <w:tcW w:w="1961" w:type="dxa"/>
            <w:tcBorders>
              <w:bottom w:val="single" w:sz="12" w:space="0" w:color="auto"/>
            </w:tcBorders>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65</w:t>
            </w:r>
            <w:r>
              <w:rPr>
                <w:sz w:val="18"/>
                <w:lang w:val="fr-FR"/>
              </w:rPr>
              <w:t>,</w:t>
            </w:r>
            <w:r w:rsidRPr="00262910">
              <w:rPr>
                <w:sz w:val="18"/>
                <w:lang w:val="fr-FR"/>
              </w:rPr>
              <w:t>2</w:t>
            </w:r>
          </w:p>
        </w:tc>
        <w:tc>
          <w:tcPr>
            <w:tcW w:w="1781" w:type="dxa"/>
            <w:tcBorders>
              <w:bottom w:val="single" w:sz="12" w:space="0" w:color="auto"/>
            </w:tcBorders>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66</w:t>
            </w:r>
            <w:r>
              <w:rPr>
                <w:sz w:val="18"/>
                <w:lang w:val="fr-FR"/>
              </w:rPr>
              <w:t>,</w:t>
            </w:r>
            <w:r w:rsidRPr="00262910">
              <w:rPr>
                <w:sz w:val="18"/>
                <w:lang w:val="fr-FR"/>
              </w:rPr>
              <w:t>1</w:t>
            </w:r>
          </w:p>
        </w:tc>
      </w:tr>
    </w:tbl>
    <w:p w:rsidR="001771B8" w:rsidRPr="00262910" w:rsidRDefault="001771B8" w:rsidP="00884421">
      <w:pPr>
        <w:pStyle w:val="SingleTxtG"/>
        <w:spacing w:before="120" w:after="240" w:line="220" w:lineRule="exact"/>
        <w:ind w:firstLine="170"/>
        <w:jc w:val="left"/>
        <w:rPr>
          <w:i/>
          <w:sz w:val="18"/>
          <w:szCs w:val="18"/>
          <w:lang w:val="fr-FR"/>
        </w:rPr>
      </w:pPr>
      <w:r w:rsidRPr="00262910">
        <w:rPr>
          <w:i/>
          <w:sz w:val="18"/>
          <w:szCs w:val="18"/>
          <w:lang w:val="fr-FR"/>
        </w:rPr>
        <w:t>Source</w:t>
      </w:r>
      <w:r w:rsidR="00884421">
        <w:rPr>
          <w:i/>
          <w:sz w:val="18"/>
          <w:szCs w:val="18"/>
          <w:lang w:val="fr-FR"/>
        </w:rPr>
        <w:t> </w:t>
      </w:r>
      <w:r w:rsidRPr="00262910">
        <w:rPr>
          <w:i/>
          <w:sz w:val="18"/>
          <w:szCs w:val="18"/>
          <w:lang w:val="fr-FR"/>
        </w:rPr>
        <w:t xml:space="preserve">: </w:t>
      </w:r>
      <w:r w:rsidRPr="00262910">
        <w:rPr>
          <w:sz w:val="18"/>
          <w:szCs w:val="18"/>
          <w:lang w:val="fr-FR"/>
        </w:rPr>
        <w:t>Direction du travail et de la protection sociale.</w:t>
      </w:r>
    </w:p>
    <w:p w:rsidR="001771B8" w:rsidRPr="00262910" w:rsidRDefault="001771B8" w:rsidP="001771B8">
      <w:pPr>
        <w:pStyle w:val="SingleTxtG"/>
        <w:rPr>
          <w:lang w:val="fr-FR"/>
        </w:rPr>
      </w:pPr>
      <w:r w:rsidRPr="00262910">
        <w:rPr>
          <w:lang w:val="fr-FR"/>
        </w:rPr>
        <w:t>28.</w:t>
      </w:r>
      <w:r w:rsidRPr="00262910">
        <w:rPr>
          <w:lang w:val="fr-FR"/>
        </w:rPr>
        <w:tab/>
      </w:r>
      <w:r w:rsidRPr="00E0296F">
        <w:rPr>
          <w:lang w:val="fr-FR"/>
        </w:rPr>
        <w:t>Depuis 2011, il est possible</w:t>
      </w:r>
      <w:r w:rsidRPr="0036398C">
        <w:rPr>
          <w:lang w:val="fr-FR"/>
        </w:rPr>
        <w:t xml:space="preserve"> de percevoir</w:t>
      </w:r>
      <w:r w:rsidRPr="00262910">
        <w:rPr>
          <w:lang w:val="fr-FR"/>
        </w:rPr>
        <w:t xml:space="preserve"> une pension </w:t>
      </w:r>
      <w:r>
        <w:rPr>
          <w:lang w:val="fr-FR"/>
        </w:rPr>
        <w:t xml:space="preserve">de retraite dès </w:t>
      </w:r>
      <w:r w:rsidRPr="00262910">
        <w:rPr>
          <w:lang w:val="fr-FR"/>
        </w:rPr>
        <w:t>l</w:t>
      </w:r>
      <w:r>
        <w:rPr>
          <w:lang w:val="fr-FR"/>
        </w:rPr>
        <w:t>’</w:t>
      </w:r>
      <w:r w:rsidRPr="00262910">
        <w:rPr>
          <w:lang w:val="fr-FR"/>
        </w:rPr>
        <w:t>âge de 62</w:t>
      </w:r>
      <w:r w:rsidR="00884421">
        <w:rPr>
          <w:lang w:val="fr-FR"/>
        </w:rPr>
        <w:t> </w:t>
      </w:r>
      <w:r w:rsidRPr="00262910">
        <w:rPr>
          <w:lang w:val="fr-FR"/>
        </w:rPr>
        <w:t>ans</w:t>
      </w:r>
      <w:r>
        <w:rPr>
          <w:lang w:val="fr-FR"/>
        </w:rPr>
        <w:t xml:space="preserve"> et cette option </w:t>
      </w:r>
      <w:r w:rsidRPr="00262910">
        <w:rPr>
          <w:lang w:val="fr-FR"/>
        </w:rPr>
        <w:t>est devenu</w:t>
      </w:r>
      <w:r>
        <w:rPr>
          <w:lang w:val="fr-FR"/>
        </w:rPr>
        <w:t>e</w:t>
      </w:r>
      <w:r w:rsidRPr="00262910">
        <w:rPr>
          <w:lang w:val="fr-FR"/>
        </w:rPr>
        <w:t xml:space="preserve"> populaire, </w:t>
      </w:r>
      <w:r>
        <w:rPr>
          <w:lang w:val="fr-FR"/>
        </w:rPr>
        <w:t xml:space="preserve">chez les </w:t>
      </w:r>
      <w:r w:rsidRPr="00262910">
        <w:rPr>
          <w:lang w:val="fr-FR"/>
        </w:rPr>
        <w:t>hommes</w:t>
      </w:r>
      <w:r>
        <w:rPr>
          <w:lang w:val="fr-FR"/>
        </w:rPr>
        <w:t xml:space="preserve"> </w:t>
      </w:r>
      <w:r w:rsidRPr="00D660F8">
        <w:rPr>
          <w:lang w:val="fr-FR"/>
        </w:rPr>
        <w:t>surtout</w:t>
      </w:r>
      <w:r w:rsidRPr="00262910">
        <w:rPr>
          <w:lang w:val="fr-FR"/>
        </w:rPr>
        <w:t xml:space="preserve">. Les </w:t>
      </w:r>
      <w:r>
        <w:rPr>
          <w:lang w:val="fr-FR"/>
        </w:rPr>
        <w:t xml:space="preserve">titulaires </w:t>
      </w:r>
      <w:r w:rsidRPr="00262910">
        <w:rPr>
          <w:lang w:val="fr-FR"/>
        </w:rPr>
        <w:t>d</w:t>
      </w:r>
      <w:r>
        <w:rPr>
          <w:lang w:val="fr-FR"/>
        </w:rPr>
        <w:t>’</w:t>
      </w:r>
      <w:r w:rsidRPr="00262910">
        <w:rPr>
          <w:lang w:val="fr-FR"/>
        </w:rPr>
        <w:t>une pension d</w:t>
      </w:r>
      <w:r>
        <w:rPr>
          <w:lang w:val="fr-FR"/>
        </w:rPr>
        <w:t>’</w:t>
      </w:r>
      <w:r w:rsidRPr="00262910">
        <w:rPr>
          <w:lang w:val="fr-FR"/>
        </w:rPr>
        <w:t>invalidité commencent à percevoir une pension de vieillesse à l</w:t>
      </w:r>
      <w:r>
        <w:rPr>
          <w:lang w:val="fr-FR"/>
        </w:rPr>
        <w:t>’</w:t>
      </w:r>
      <w:r w:rsidRPr="00262910">
        <w:rPr>
          <w:lang w:val="fr-FR"/>
        </w:rPr>
        <w:t>âge de 67 ans, ce qui contribue au fait qu</w:t>
      </w:r>
      <w:r>
        <w:rPr>
          <w:lang w:val="fr-FR"/>
        </w:rPr>
        <w:t>’</w:t>
      </w:r>
      <w:r w:rsidRPr="00262910">
        <w:rPr>
          <w:lang w:val="fr-FR"/>
        </w:rPr>
        <w:t>une grande partie de la population commence à percevoir une pension de vieillesse à cet âge</w:t>
      </w:r>
      <w:r>
        <w:rPr>
          <w:lang w:val="fr-FR"/>
        </w:rPr>
        <w:t xml:space="preserve"> encore</w:t>
      </w:r>
      <w:r w:rsidRPr="00262910">
        <w:rPr>
          <w:lang w:val="fr-FR"/>
        </w:rPr>
        <w:t>. L</w:t>
      </w:r>
      <w:r>
        <w:rPr>
          <w:lang w:val="fr-FR"/>
        </w:rPr>
        <w:t xml:space="preserve">e départ anticipé à la retraite n’a cessé de gagner en popularité </w:t>
      </w:r>
      <w:r w:rsidRPr="00262910">
        <w:rPr>
          <w:lang w:val="fr-FR"/>
        </w:rPr>
        <w:t xml:space="preserve">pour les premières cohortes </w:t>
      </w:r>
      <w:r>
        <w:rPr>
          <w:lang w:val="fr-FR"/>
        </w:rPr>
        <w:t xml:space="preserve">ayant </w:t>
      </w:r>
      <w:r w:rsidRPr="00262910">
        <w:rPr>
          <w:lang w:val="fr-FR"/>
        </w:rPr>
        <w:t>eu cette possibilité</w:t>
      </w:r>
      <w:r>
        <w:rPr>
          <w:lang w:val="fr-FR"/>
        </w:rPr>
        <w:t xml:space="preserve"> en Norvège</w:t>
      </w:r>
      <w:r w:rsidRPr="00262910">
        <w:rPr>
          <w:lang w:val="fr-FR"/>
        </w:rPr>
        <w:t xml:space="preserve">, mais </w:t>
      </w:r>
      <w:r>
        <w:rPr>
          <w:lang w:val="fr-FR"/>
        </w:rPr>
        <w:t xml:space="preserve">le recours à cette option s’est </w:t>
      </w:r>
      <w:r w:rsidRPr="00262910">
        <w:rPr>
          <w:lang w:val="fr-FR"/>
        </w:rPr>
        <w:t>stabilisé récemment</w:t>
      </w:r>
      <w:r>
        <w:rPr>
          <w:lang w:val="fr-FR"/>
        </w:rPr>
        <w:t xml:space="preserve"> et a même tendu à reculer</w:t>
      </w:r>
      <w:r w:rsidRPr="00262910">
        <w:rPr>
          <w:lang w:val="fr-FR"/>
        </w:rPr>
        <w:t>.</w:t>
      </w:r>
    </w:p>
    <w:p w:rsidR="001771B8" w:rsidRPr="00262910" w:rsidRDefault="001771B8" w:rsidP="001771B8">
      <w:pPr>
        <w:pStyle w:val="SingleTxtG"/>
        <w:spacing w:after="240"/>
        <w:rPr>
          <w:lang w:val="fr-FR"/>
        </w:rPr>
      </w:pPr>
      <w:r w:rsidRPr="00262910">
        <w:rPr>
          <w:lang w:val="fr-FR"/>
        </w:rPr>
        <w:t>29.</w:t>
      </w:r>
      <w:r w:rsidRPr="00262910">
        <w:rPr>
          <w:lang w:val="fr-FR"/>
        </w:rPr>
        <w:tab/>
        <w:t xml:space="preserve">Les tableaux 3 et 4 </w:t>
      </w:r>
      <w:r>
        <w:rPr>
          <w:lang w:val="fr-FR"/>
        </w:rPr>
        <w:t xml:space="preserve">indiquent respectivement </w:t>
      </w:r>
      <w:r w:rsidRPr="009A542C">
        <w:rPr>
          <w:lang w:val="fr-FR"/>
        </w:rPr>
        <w:t>l</w:t>
      </w:r>
      <w:r>
        <w:rPr>
          <w:lang w:val="fr-FR"/>
        </w:rPr>
        <w:t xml:space="preserve">es </w:t>
      </w:r>
      <w:r w:rsidRPr="009A542C">
        <w:rPr>
          <w:lang w:val="fr-FR"/>
        </w:rPr>
        <w:t>p</w:t>
      </w:r>
      <w:r>
        <w:rPr>
          <w:lang w:val="fr-FR"/>
        </w:rPr>
        <w:t xml:space="preserve">ourcentages </w:t>
      </w:r>
      <w:r w:rsidRPr="009A542C">
        <w:rPr>
          <w:lang w:val="fr-FR"/>
        </w:rPr>
        <w:t>de femmes et d</w:t>
      </w:r>
      <w:r>
        <w:rPr>
          <w:lang w:val="fr-FR"/>
        </w:rPr>
        <w:t>’</w:t>
      </w:r>
      <w:r w:rsidRPr="009A542C">
        <w:rPr>
          <w:lang w:val="fr-FR"/>
        </w:rPr>
        <w:t xml:space="preserve">hommes </w:t>
      </w:r>
      <w:r>
        <w:rPr>
          <w:lang w:val="fr-FR"/>
        </w:rPr>
        <w:t xml:space="preserve">de différentes cohortes bénéficiaires d’une </w:t>
      </w:r>
      <w:r w:rsidRPr="00262910">
        <w:rPr>
          <w:lang w:val="fr-FR"/>
        </w:rPr>
        <w:t>pension</w:t>
      </w:r>
      <w:r>
        <w:rPr>
          <w:lang w:val="fr-FR"/>
        </w:rPr>
        <w:t xml:space="preserve"> de vieillesse</w:t>
      </w:r>
      <w:r w:rsidRPr="0062220A">
        <w:rPr>
          <w:lang w:val="fr-FR"/>
        </w:rPr>
        <w:t xml:space="preserve"> à différents âges</w:t>
      </w:r>
      <w:r w:rsidRPr="00262910">
        <w:rPr>
          <w:lang w:val="fr-FR"/>
        </w:rPr>
        <w:t xml:space="preserve">. Avant 2011, </w:t>
      </w:r>
      <w:r>
        <w:rPr>
          <w:lang w:val="fr-FR"/>
        </w:rPr>
        <w:t xml:space="preserve">percevoir une retraite du Fonds de </w:t>
      </w:r>
      <w:r w:rsidRPr="0044790C">
        <w:rPr>
          <w:lang w:val="fr-FR"/>
        </w:rPr>
        <w:t xml:space="preserve">pension </w:t>
      </w:r>
      <w:r w:rsidRPr="00262910">
        <w:rPr>
          <w:lang w:val="fr-FR"/>
        </w:rPr>
        <w:t>publi</w:t>
      </w:r>
      <w:r>
        <w:rPr>
          <w:lang w:val="fr-FR"/>
        </w:rPr>
        <w:t>c</w:t>
      </w:r>
      <w:r w:rsidRPr="0044790C">
        <w:rPr>
          <w:lang w:val="fr-FR"/>
        </w:rPr>
        <w:t xml:space="preserve"> n</w:t>
      </w:r>
      <w:r>
        <w:rPr>
          <w:lang w:val="fr-FR"/>
        </w:rPr>
        <w:t>’</w:t>
      </w:r>
      <w:r w:rsidRPr="0044790C">
        <w:rPr>
          <w:lang w:val="fr-FR"/>
        </w:rPr>
        <w:t xml:space="preserve">était pas possible </w:t>
      </w:r>
      <w:r w:rsidRPr="00262910">
        <w:rPr>
          <w:lang w:val="fr-FR"/>
        </w:rPr>
        <w:t xml:space="preserve">avant 67 ans. </w:t>
      </w:r>
      <w:r>
        <w:rPr>
          <w:lang w:val="fr-FR"/>
        </w:rPr>
        <w:t xml:space="preserve">Le départ en retraite peut être différé après </w:t>
      </w:r>
      <w:r w:rsidRPr="00262910">
        <w:rPr>
          <w:lang w:val="fr-FR"/>
        </w:rPr>
        <w:t xml:space="preserve">67 ans mais cette option est moins utilisée. </w:t>
      </w:r>
    </w:p>
    <w:p w:rsidR="001771B8" w:rsidRPr="00262910" w:rsidRDefault="001771B8" w:rsidP="00884421">
      <w:pPr>
        <w:pStyle w:val="Titre1"/>
        <w:spacing w:after="120"/>
        <w:ind w:right="1134"/>
        <w:rPr>
          <w:b/>
          <w:lang w:val="fr-FR"/>
        </w:rPr>
      </w:pPr>
      <w:r w:rsidRPr="00262910">
        <w:rPr>
          <w:lang w:val="fr-FR"/>
        </w:rPr>
        <w:t xml:space="preserve">Tableau 3 </w:t>
      </w:r>
      <w:r w:rsidRPr="00262910">
        <w:rPr>
          <w:lang w:val="fr-FR"/>
        </w:rPr>
        <w:br/>
      </w:r>
      <w:r w:rsidRPr="00262910">
        <w:rPr>
          <w:b/>
          <w:lang w:val="fr-FR"/>
        </w:rPr>
        <w:t xml:space="preserve">Pourcentage de femmes </w:t>
      </w:r>
      <w:r>
        <w:rPr>
          <w:b/>
          <w:lang w:val="fr-FR"/>
        </w:rPr>
        <w:t xml:space="preserve">bénéficiaires d’une </w:t>
      </w:r>
      <w:r w:rsidRPr="00262910">
        <w:rPr>
          <w:b/>
          <w:lang w:val="fr-FR"/>
        </w:rPr>
        <w:t xml:space="preserve">pension de vieillesse </w:t>
      </w:r>
      <w:r w:rsidRPr="000F1FA3">
        <w:rPr>
          <w:b/>
          <w:lang w:val="fr-FR"/>
        </w:rPr>
        <w:t>à différents âges</w:t>
      </w:r>
    </w:p>
    <w:tbl>
      <w:tblPr>
        <w:tblStyle w:val="Grilledutableau"/>
        <w:tblW w:w="7370" w:type="dxa"/>
        <w:tblInd w:w="1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2"/>
        <w:gridCol w:w="1474"/>
        <w:gridCol w:w="1474"/>
        <w:gridCol w:w="1474"/>
        <w:gridCol w:w="1446"/>
      </w:tblGrid>
      <w:tr w:rsidR="001771B8" w:rsidRPr="00262910" w:rsidTr="001771B8">
        <w:trPr>
          <w:tblHeader/>
        </w:trPr>
        <w:tc>
          <w:tcPr>
            <w:tcW w:w="1732" w:type="dxa"/>
            <w:tcBorders>
              <w:top w:val="single" w:sz="4" w:space="0" w:color="auto"/>
              <w:bottom w:val="single" w:sz="12" w:space="0" w:color="auto"/>
            </w:tcBorders>
            <w:shd w:val="clear" w:color="auto" w:fill="auto"/>
            <w:vAlign w:val="bottom"/>
          </w:tcPr>
          <w:p w:rsidR="001771B8" w:rsidRPr="00F80BE5" w:rsidRDefault="001771B8" w:rsidP="001771B8">
            <w:pPr>
              <w:pStyle w:val="SingleTxtG"/>
              <w:suppressAutoHyphens w:val="0"/>
              <w:spacing w:before="80" w:after="80" w:line="200" w:lineRule="exact"/>
              <w:ind w:left="0" w:right="0"/>
              <w:jc w:val="left"/>
              <w:rPr>
                <w:iCs/>
                <w:sz w:val="16"/>
                <w:lang w:val="fr-FR"/>
              </w:rPr>
            </w:pPr>
          </w:p>
        </w:tc>
        <w:tc>
          <w:tcPr>
            <w:tcW w:w="1701" w:type="dxa"/>
            <w:tcBorders>
              <w:top w:val="single" w:sz="4" w:space="0" w:color="auto"/>
              <w:bottom w:val="single" w:sz="12" w:space="0" w:color="auto"/>
            </w:tcBorders>
            <w:shd w:val="clear" w:color="auto" w:fill="auto"/>
            <w:vAlign w:val="bottom"/>
          </w:tcPr>
          <w:p w:rsidR="001771B8" w:rsidRPr="00262910" w:rsidRDefault="001771B8" w:rsidP="001771B8">
            <w:pPr>
              <w:pStyle w:val="SingleTxtG"/>
              <w:suppressAutoHyphens w:val="0"/>
              <w:spacing w:before="80" w:after="80" w:line="200" w:lineRule="exact"/>
              <w:ind w:left="0" w:right="0"/>
              <w:jc w:val="right"/>
              <w:rPr>
                <w:i/>
                <w:sz w:val="16"/>
                <w:lang w:val="fr-FR"/>
              </w:rPr>
            </w:pPr>
            <w:r w:rsidRPr="00262910">
              <w:rPr>
                <w:i/>
                <w:sz w:val="16"/>
                <w:lang w:val="fr-FR"/>
              </w:rPr>
              <w:t>62</w:t>
            </w:r>
            <w:r>
              <w:rPr>
                <w:i/>
                <w:sz w:val="16"/>
                <w:lang w:val="fr-FR"/>
              </w:rPr>
              <w:t xml:space="preserve"> ans</w:t>
            </w:r>
          </w:p>
        </w:tc>
        <w:tc>
          <w:tcPr>
            <w:tcW w:w="1701" w:type="dxa"/>
            <w:tcBorders>
              <w:top w:val="single" w:sz="4" w:space="0" w:color="auto"/>
              <w:bottom w:val="single" w:sz="12" w:space="0" w:color="auto"/>
            </w:tcBorders>
            <w:shd w:val="clear" w:color="auto" w:fill="auto"/>
            <w:vAlign w:val="bottom"/>
          </w:tcPr>
          <w:p w:rsidR="001771B8" w:rsidRPr="00262910" w:rsidRDefault="001771B8" w:rsidP="001771B8">
            <w:pPr>
              <w:pStyle w:val="SingleTxtG"/>
              <w:suppressAutoHyphens w:val="0"/>
              <w:spacing w:before="80" w:after="80" w:line="200" w:lineRule="exact"/>
              <w:ind w:left="0" w:right="0"/>
              <w:jc w:val="right"/>
              <w:rPr>
                <w:i/>
                <w:sz w:val="16"/>
                <w:lang w:val="fr-FR"/>
              </w:rPr>
            </w:pPr>
            <w:r w:rsidRPr="00262910">
              <w:rPr>
                <w:i/>
                <w:sz w:val="16"/>
                <w:lang w:val="fr-FR"/>
              </w:rPr>
              <w:t>63</w:t>
            </w:r>
            <w:r w:rsidR="00884421">
              <w:rPr>
                <w:i/>
                <w:sz w:val="16"/>
                <w:lang w:val="fr-FR"/>
              </w:rPr>
              <w:t>-</w:t>
            </w:r>
            <w:r w:rsidRPr="00262910">
              <w:rPr>
                <w:i/>
                <w:sz w:val="16"/>
                <w:lang w:val="fr-FR"/>
              </w:rPr>
              <w:t>66</w:t>
            </w:r>
          </w:p>
        </w:tc>
        <w:tc>
          <w:tcPr>
            <w:tcW w:w="1701" w:type="dxa"/>
            <w:tcBorders>
              <w:top w:val="single" w:sz="4" w:space="0" w:color="auto"/>
              <w:bottom w:val="single" w:sz="12" w:space="0" w:color="auto"/>
            </w:tcBorders>
            <w:shd w:val="clear" w:color="auto" w:fill="auto"/>
            <w:vAlign w:val="bottom"/>
          </w:tcPr>
          <w:p w:rsidR="001771B8" w:rsidRPr="00262910" w:rsidRDefault="001771B8" w:rsidP="001771B8">
            <w:pPr>
              <w:pStyle w:val="SingleTxtG"/>
              <w:suppressAutoHyphens w:val="0"/>
              <w:spacing w:before="80" w:after="80" w:line="200" w:lineRule="exact"/>
              <w:ind w:left="0" w:right="0"/>
              <w:jc w:val="right"/>
              <w:rPr>
                <w:i/>
                <w:sz w:val="16"/>
                <w:lang w:val="fr-FR"/>
              </w:rPr>
            </w:pPr>
            <w:r w:rsidRPr="00262910">
              <w:rPr>
                <w:i/>
                <w:sz w:val="16"/>
                <w:lang w:val="fr-FR"/>
              </w:rPr>
              <w:t>67</w:t>
            </w:r>
          </w:p>
        </w:tc>
        <w:tc>
          <w:tcPr>
            <w:tcW w:w="1668" w:type="dxa"/>
            <w:tcBorders>
              <w:top w:val="single" w:sz="4" w:space="0" w:color="auto"/>
              <w:bottom w:val="single" w:sz="12" w:space="0" w:color="auto"/>
            </w:tcBorders>
            <w:shd w:val="clear" w:color="auto" w:fill="auto"/>
            <w:vAlign w:val="bottom"/>
          </w:tcPr>
          <w:p w:rsidR="001771B8" w:rsidRPr="00262910" w:rsidRDefault="001771B8" w:rsidP="001771B8">
            <w:pPr>
              <w:pStyle w:val="SingleTxtG"/>
              <w:suppressAutoHyphens w:val="0"/>
              <w:spacing w:before="80" w:after="80" w:line="200" w:lineRule="exact"/>
              <w:ind w:left="0" w:right="0"/>
              <w:jc w:val="right"/>
              <w:rPr>
                <w:i/>
                <w:sz w:val="16"/>
                <w:lang w:val="fr-FR"/>
              </w:rPr>
            </w:pPr>
            <w:r w:rsidRPr="00262910">
              <w:rPr>
                <w:i/>
                <w:sz w:val="16"/>
                <w:lang w:val="fr-FR"/>
              </w:rPr>
              <w:t>68</w:t>
            </w:r>
            <w:r w:rsidR="00884421">
              <w:rPr>
                <w:i/>
                <w:sz w:val="16"/>
                <w:lang w:val="fr-FR"/>
              </w:rPr>
              <w:t>-</w:t>
            </w:r>
            <w:r w:rsidRPr="00262910">
              <w:rPr>
                <w:i/>
                <w:sz w:val="16"/>
                <w:lang w:val="fr-FR"/>
              </w:rPr>
              <w:t>75</w:t>
            </w:r>
          </w:p>
        </w:tc>
      </w:tr>
      <w:tr w:rsidR="001771B8" w:rsidRPr="00262910" w:rsidTr="001771B8">
        <w:tc>
          <w:tcPr>
            <w:tcW w:w="1732" w:type="dxa"/>
            <w:tcBorders>
              <w:top w:val="single" w:sz="12" w:space="0" w:color="auto"/>
            </w:tcBorders>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1944</w:t>
            </w:r>
          </w:p>
        </w:tc>
        <w:tc>
          <w:tcPr>
            <w:tcW w:w="1701" w:type="dxa"/>
            <w:tcBorders>
              <w:top w:val="single" w:sz="12" w:space="0" w:color="auto"/>
            </w:tcBorders>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1701" w:type="dxa"/>
            <w:tcBorders>
              <w:top w:val="single" w:sz="12" w:space="0" w:color="auto"/>
            </w:tcBorders>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w:t>
            </w:r>
            <w:r>
              <w:rPr>
                <w:sz w:val="18"/>
                <w:lang w:val="fr-FR"/>
              </w:rPr>
              <w:t>,</w:t>
            </w:r>
            <w:r w:rsidRPr="00262910">
              <w:rPr>
                <w:sz w:val="18"/>
                <w:lang w:val="fr-FR"/>
              </w:rPr>
              <w:t>2</w:t>
            </w:r>
          </w:p>
        </w:tc>
        <w:tc>
          <w:tcPr>
            <w:tcW w:w="1701" w:type="dxa"/>
            <w:tcBorders>
              <w:top w:val="single" w:sz="12" w:space="0" w:color="auto"/>
            </w:tcBorders>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96</w:t>
            </w:r>
            <w:r>
              <w:rPr>
                <w:sz w:val="18"/>
                <w:lang w:val="fr-FR"/>
              </w:rPr>
              <w:t>,</w:t>
            </w:r>
            <w:r w:rsidRPr="00262910">
              <w:rPr>
                <w:sz w:val="18"/>
                <w:lang w:val="fr-FR"/>
              </w:rPr>
              <w:t>2</w:t>
            </w:r>
          </w:p>
        </w:tc>
        <w:tc>
          <w:tcPr>
            <w:tcW w:w="1668" w:type="dxa"/>
            <w:tcBorders>
              <w:top w:val="single" w:sz="12" w:space="0" w:color="auto"/>
            </w:tcBorders>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r>
              <w:rPr>
                <w:sz w:val="18"/>
                <w:lang w:val="fr-FR"/>
              </w:rPr>
              <w:t>,</w:t>
            </w:r>
            <w:r w:rsidRPr="00262910">
              <w:rPr>
                <w:sz w:val="18"/>
                <w:lang w:val="fr-FR"/>
              </w:rPr>
              <w:t>2</w:t>
            </w:r>
          </w:p>
        </w:tc>
      </w:tr>
      <w:tr w:rsidR="001771B8" w:rsidRPr="00262910" w:rsidTr="001771B8">
        <w:tc>
          <w:tcPr>
            <w:tcW w:w="1732" w:type="dxa"/>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1945</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5</w:t>
            </w:r>
            <w:r>
              <w:rPr>
                <w:sz w:val="18"/>
                <w:lang w:val="fr-FR"/>
              </w:rPr>
              <w:t>,</w:t>
            </w:r>
            <w:r w:rsidRPr="00262910">
              <w:rPr>
                <w:sz w:val="18"/>
                <w:lang w:val="fr-FR"/>
              </w:rPr>
              <w:t>8</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92</w:t>
            </w:r>
            <w:r>
              <w:rPr>
                <w:sz w:val="18"/>
                <w:lang w:val="fr-FR"/>
              </w:rPr>
              <w:t>,</w:t>
            </w:r>
            <w:r w:rsidRPr="00262910">
              <w:rPr>
                <w:sz w:val="18"/>
                <w:lang w:val="fr-FR"/>
              </w:rPr>
              <w:t>6</w:t>
            </w:r>
          </w:p>
        </w:tc>
        <w:tc>
          <w:tcPr>
            <w:tcW w:w="1668"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r>
              <w:rPr>
                <w:sz w:val="18"/>
                <w:lang w:val="fr-FR"/>
              </w:rPr>
              <w:t>,</w:t>
            </w:r>
            <w:r w:rsidRPr="00262910">
              <w:rPr>
                <w:sz w:val="18"/>
                <w:lang w:val="fr-FR"/>
              </w:rPr>
              <w:t>3</w:t>
            </w:r>
          </w:p>
        </w:tc>
      </w:tr>
      <w:tr w:rsidR="001771B8" w:rsidRPr="00262910" w:rsidTr="001771B8">
        <w:tc>
          <w:tcPr>
            <w:tcW w:w="1732" w:type="dxa"/>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1946</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8</w:t>
            </w:r>
            <w:r>
              <w:rPr>
                <w:sz w:val="18"/>
                <w:lang w:val="fr-FR"/>
              </w:rPr>
              <w:t>,</w:t>
            </w:r>
            <w:r w:rsidRPr="00262910">
              <w:rPr>
                <w:sz w:val="18"/>
                <w:lang w:val="fr-FR"/>
              </w:rPr>
              <w:t>7</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89</w:t>
            </w:r>
            <w:r>
              <w:rPr>
                <w:sz w:val="18"/>
                <w:lang w:val="fr-FR"/>
              </w:rPr>
              <w:t>,</w:t>
            </w:r>
            <w:r w:rsidRPr="00262910">
              <w:rPr>
                <w:sz w:val="18"/>
                <w:lang w:val="fr-FR"/>
              </w:rPr>
              <w:t>7</w:t>
            </w:r>
          </w:p>
        </w:tc>
        <w:tc>
          <w:tcPr>
            <w:tcW w:w="1668"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r>
              <w:rPr>
                <w:sz w:val="18"/>
                <w:lang w:val="fr-FR"/>
              </w:rPr>
              <w:t>,</w:t>
            </w:r>
            <w:r w:rsidRPr="00262910">
              <w:rPr>
                <w:sz w:val="18"/>
                <w:lang w:val="fr-FR"/>
              </w:rPr>
              <w:t>3</w:t>
            </w:r>
          </w:p>
        </w:tc>
      </w:tr>
      <w:tr w:rsidR="001771B8" w:rsidRPr="00262910" w:rsidTr="001771B8">
        <w:tc>
          <w:tcPr>
            <w:tcW w:w="1732" w:type="dxa"/>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1947</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11</w:t>
            </w:r>
            <w:r>
              <w:rPr>
                <w:sz w:val="18"/>
                <w:lang w:val="fr-FR"/>
              </w:rPr>
              <w:t>,</w:t>
            </w:r>
            <w:r w:rsidRPr="00262910">
              <w:rPr>
                <w:sz w:val="18"/>
                <w:lang w:val="fr-FR"/>
              </w:rPr>
              <w:t>5</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86</w:t>
            </w:r>
            <w:r>
              <w:rPr>
                <w:sz w:val="18"/>
                <w:lang w:val="fr-FR"/>
              </w:rPr>
              <w:t>,</w:t>
            </w:r>
            <w:r w:rsidRPr="00262910">
              <w:rPr>
                <w:sz w:val="18"/>
                <w:lang w:val="fr-FR"/>
              </w:rPr>
              <w:t>9</w:t>
            </w:r>
          </w:p>
        </w:tc>
        <w:tc>
          <w:tcPr>
            <w:tcW w:w="1668"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r>
              <w:rPr>
                <w:sz w:val="18"/>
                <w:lang w:val="fr-FR"/>
              </w:rPr>
              <w:t>,</w:t>
            </w:r>
            <w:r w:rsidRPr="00262910">
              <w:rPr>
                <w:sz w:val="18"/>
                <w:lang w:val="fr-FR"/>
              </w:rPr>
              <w:t>2</w:t>
            </w:r>
          </w:p>
        </w:tc>
      </w:tr>
      <w:tr w:rsidR="001771B8" w:rsidRPr="00262910" w:rsidTr="001771B8">
        <w:tc>
          <w:tcPr>
            <w:tcW w:w="1732" w:type="dxa"/>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1948</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w:t>
            </w:r>
            <w:r>
              <w:rPr>
                <w:sz w:val="18"/>
                <w:lang w:val="fr-FR"/>
              </w:rPr>
              <w:t>,</w:t>
            </w:r>
            <w:r w:rsidRPr="00262910">
              <w:rPr>
                <w:sz w:val="18"/>
                <w:lang w:val="fr-FR"/>
              </w:rPr>
              <w:t>4</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12</w:t>
            </w:r>
            <w:r>
              <w:rPr>
                <w:sz w:val="18"/>
                <w:lang w:val="fr-FR"/>
              </w:rPr>
              <w:t>,</w:t>
            </w:r>
            <w:r w:rsidRPr="00262910">
              <w:rPr>
                <w:sz w:val="18"/>
                <w:lang w:val="fr-FR"/>
              </w:rPr>
              <w:t>8</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83</w:t>
            </w:r>
            <w:r>
              <w:rPr>
                <w:sz w:val="18"/>
                <w:lang w:val="fr-FR"/>
              </w:rPr>
              <w:t>,</w:t>
            </w:r>
            <w:r w:rsidRPr="00262910">
              <w:rPr>
                <w:sz w:val="18"/>
                <w:lang w:val="fr-FR"/>
              </w:rPr>
              <w:t>0</w:t>
            </w:r>
          </w:p>
        </w:tc>
        <w:tc>
          <w:tcPr>
            <w:tcW w:w="1668"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r>
              <w:rPr>
                <w:sz w:val="18"/>
                <w:lang w:val="fr-FR"/>
              </w:rPr>
              <w:t>,</w:t>
            </w:r>
            <w:r w:rsidRPr="00262910">
              <w:rPr>
                <w:sz w:val="18"/>
                <w:lang w:val="fr-FR"/>
              </w:rPr>
              <w:t>2</w:t>
            </w:r>
          </w:p>
        </w:tc>
      </w:tr>
      <w:tr w:rsidR="001771B8" w:rsidRPr="00262910" w:rsidTr="001771B8">
        <w:tc>
          <w:tcPr>
            <w:tcW w:w="1732" w:type="dxa"/>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1949</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9</w:t>
            </w:r>
            <w:r>
              <w:rPr>
                <w:sz w:val="18"/>
                <w:lang w:val="fr-FR"/>
              </w:rPr>
              <w:t>,</w:t>
            </w:r>
            <w:r w:rsidRPr="00262910">
              <w:rPr>
                <w:sz w:val="18"/>
                <w:lang w:val="fr-FR"/>
              </w:rPr>
              <w:t>0</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13</w:t>
            </w:r>
            <w:r>
              <w:rPr>
                <w:sz w:val="18"/>
                <w:lang w:val="fr-FR"/>
              </w:rPr>
              <w:t>,</w:t>
            </w:r>
            <w:r w:rsidRPr="00262910">
              <w:rPr>
                <w:sz w:val="18"/>
                <w:lang w:val="fr-FR"/>
              </w:rPr>
              <w:t>1</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75</w:t>
            </w:r>
            <w:r>
              <w:rPr>
                <w:sz w:val="18"/>
                <w:lang w:val="fr-FR"/>
              </w:rPr>
              <w:t>,</w:t>
            </w:r>
            <w:r w:rsidRPr="00262910">
              <w:rPr>
                <w:sz w:val="18"/>
                <w:lang w:val="fr-FR"/>
              </w:rPr>
              <w:t>9</w:t>
            </w:r>
          </w:p>
        </w:tc>
        <w:tc>
          <w:tcPr>
            <w:tcW w:w="1668"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0</w:t>
            </w:r>
            <w:r>
              <w:rPr>
                <w:sz w:val="18"/>
                <w:lang w:val="fr-FR"/>
              </w:rPr>
              <w:t>,</w:t>
            </w:r>
            <w:r w:rsidRPr="00262910">
              <w:rPr>
                <w:sz w:val="18"/>
                <w:lang w:val="fr-FR"/>
              </w:rPr>
              <w:t>9</w:t>
            </w:r>
          </w:p>
        </w:tc>
      </w:tr>
      <w:tr w:rsidR="001771B8" w:rsidRPr="00262910" w:rsidTr="001771B8">
        <w:tc>
          <w:tcPr>
            <w:tcW w:w="1732" w:type="dxa"/>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1950</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11</w:t>
            </w:r>
            <w:r>
              <w:rPr>
                <w:sz w:val="18"/>
                <w:lang w:val="fr-FR"/>
              </w:rPr>
              <w:t>,</w:t>
            </w:r>
            <w:r w:rsidRPr="00262910">
              <w:rPr>
                <w:sz w:val="18"/>
                <w:lang w:val="fr-FR"/>
              </w:rPr>
              <w:t>3</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12</w:t>
            </w:r>
            <w:r>
              <w:rPr>
                <w:sz w:val="18"/>
                <w:lang w:val="fr-FR"/>
              </w:rPr>
              <w:t>,</w:t>
            </w:r>
            <w:r w:rsidRPr="00262910">
              <w:rPr>
                <w:sz w:val="18"/>
                <w:lang w:val="fr-FR"/>
              </w:rPr>
              <w:t>9</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73</w:t>
            </w:r>
            <w:r>
              <w:rPr>
                <w:sz w:val="18"/>
                <w:lang w:val="fr-FR"/>
              </w:rPr>
              <w:t>,</w:t>
            </w:r>
            <w:r w:rsidRPr="00262910">
              <w:rPr>
                <w:sz w:val="18"/>
                <w:lang w:val="fr-FR"/>
              </w:rPr>
              <w:t>5</w:t>
            </w:r>
          </w:p>
        </w:tc>
        <w:tc>
          <w:tcPr>
            <w:tcW w:w="1668"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0</w:t>
            </w:r>
            <w:r>
              <w:rPr>
                <w:sz w:val="18"/>
                <w:lang w:val="fr-FR"/>
              </w:rPr>
              <w:t>,</w:t>
            </w:r>
            <w:r w:rsidRPr="00262910">
              <w:rPr>
                <w:sz w:val="18"/>
                <w:lang w:val="fr-FR"/>
              </w:rPr>
              <w:t>5</w:t>
            </w:r>
          </w:p>
        </w:tc>
      </w:tr>
      <w:tr w:rsidR="001771B8" w:rsidRPr="00262910" w:rsidTr="001771B8">
        <w:tc>
          <w:tcPr>
            <w:tcW w:w="1732" w:type="dxa"/>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1951</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13</w:t>
            </w:r>
            <w:r>
              <w:rPr>
                <w:sz w:val="18"/>
                <w:lang w:val="fr-FR"/>
              </w:rPr>
              <w:t>,</w:t>
            </w:r>
            <w:r w:rsidRPr="00262910">
              <w:rPr>
                <w:sz w:val="18"/>
                <w:lang w:val="fr-FR"/>
              </w:rPr>
              <w:t>3</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11</w:t>
            </w:r>
            <w:r>
              <w:rPr>
                <w:sz w:val="18"/>
                <w:lang w:val="fr-FR"/>
              </w:rPr>
              <w:t>,</w:t>
            </w:r>
            <w:r w:rsidRPr="00262910">
              <w:rPr>
                <w:sz w:val="18"/>
                <w:lang w:val="fr-FR"/>
              </w:rPr>
              <w:t>7</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65</w:t>
            </w:r>
            <w:r>
              <w:rPr>
                <w:sz w:val="18"/>
                <w:lang w:val="fr-FR"/>
              </w:rPr>
              <w:t>,</w:t>
            </w:r>
            <w:r w:rsidRPr="00262910">
              <w:rPr>
                <w:sz w:val="18"/>
                <w:lang w:val="fr-FR"/>
              </w:rPr>
              <w:t>8</w:t>
            </w:r>
          </w:p>
        </w:tc>
        <w:tc>
          <w:tcPr>
            <w:tcW w:w="1668"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p>
        </w:tc>
      </w:tr>
      <w:tr w:rsidR="001771B8" w:rsidRPr="00262910" w:rsidTr="001771B8">
        <w:tc>
          <w:tcPr>
            <w:tcW w:w="1732" w:type="dxa"/>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1952</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12</w:t>
            </w:r>
            <w:r>
              <w:rPr>
                <w:sz w:val="18"/>
                <w:lang w:val="fr-FR"/>
              </w:rPr>
              <w:t>,</w:t>
            </w:r>
            <w:r w:rsidRPr="00262910">
              <w:rPr>
                <w:sz w:val="18"/>
                <w:lang w:val="fr-FR"/>
              </w:rPr>
              <w:t>3</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9</w:t>
            </w:r>
            <w:r>
              <w:rPr>
                <w:sz w:val="18"/>
                <w:lang w:val="fr-FR"/>
              </w:rPr>
              <w:t>,</w:t>
            </w:r>
            <w:r w:rsidRPr="00262910">
              <w:rPr>
                <w:sz w:val="18"/>
                <w:lang w:val="fr-FR"/>
              </w:rPr>
              <w:t>1</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1668"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p>
        </w:tc>
      </w:tr>
      <w:tr w:rsidR="001771B8" w:rsidRPr="00262910" w:rsidTr="001771B8">
        <w:tc>
          <w:tcPr>
            <w:tcW w:w="1732" w:type="dxa"/>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1953</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13</w:t>
            </w:r>
            <w:r>
              <w:rPr>
                <w:sz w:val="18"/>
                <w:lang w:val="fr-FR"/>
              </w:rPr>
              <w:t>,</w:t>
            </w:r>
            <w:r w:rsidRPr="00262910">
              <w:rPr>
                <w:sz w:val="18"/>
                <w:lang w:val="fr-FR"/>
              </w:rPr>
              <w:t>5</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7</w:t>
            </w:r>
            <w:r>
              <w:rPr>
                <w:sz w:val="18"/>
                <w:lang w:val="fr-FR"/>
              </w:rPr>
              <w:t>,</w:t>
            </w:r>
            <w:r w:rsidRPr="00262910">
              <w:rPr>
                <w:sz w:val="18"/>
                <w:lang w:val="fr-FR"/>
              </w:rPr>
              <w:t>0</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1668"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p>
        </w:tc>
      </w:tr>
      <w:tr w:rsidR="001771B8" w:rsidRPr="00262910" w:rsidTr="001771B8">
        <w:tc>
          <w:tcPr>
            <w:tcW w:w="1732" w:type="dxa"/>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1954</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14</w:t>
            </w:r>
            <w:r>
              <w:rPr>
                <w:sz w:val="18"/>
                <w:lang w:val="fr-FR"/>
              </w:rPr>
              <w:t>,</w:t>
            </w:r>
            <w:r w:rsidRPr="00262910">
              <w:rPr>
                <w:sz w:val="18"/>
                <w:lang w:val="fr-FR"/>
              </w:rPr>
              <w:t>5</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4</w:t>
            </w:r>
            <w:r>
              <w:rPr>
                <w:sz w:val="18"/>
                <w:lang w:val="fr-FR"/>
              </w:rPr>
              <w:t>,</w:t>
            </w:r>
            <w:r w:rsidRPr="00262910">
              <w:rPr>
                <w:sz w:val="18"/>
                <w:lang w:val="fr-FR"/>
              </w:rPr>
              <w:t>2</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1668"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p>
        </w:tc>
      </w:tr>
      <w:tr w:rsidR="001771B8" w:rsidRPr="00262910" w:rsidTr="001771B8">
        <w:tc>
          <w:tcPr>
            <w:tcW w:w="1732" w:type="dxa"/>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1955</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14</w:t>
            </w:r>
            <w:r>
              <w:rPr>
                <w:sz w:val="18"/>
                <w:lang w:val="fr-FR"/>
              </w:rPr>
              <w:t>,</w:t>
            </w:r>
            <w:r w:rsidRPr="00262910">
              <w:rPr>
                <w:sz w:val="18"/>
                <w:lang w:val="fr-FR"/>
              </w:rPr>
              <w:t>3</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r>
              <w:rPr>
                <w:sz w:val="18"/>
                <w:lang w:val="fr-FR"/>
              </w:rPr>
              <w:t>,</w:t>
            </w:r>
            <w:r w:rsidRPr="00262910">
              <w:rPr>
                <w:sz w:val="18"/>
                <w:lang w:val="fr-FR"/>
              </w:rPr>
              <w:t>8</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1668"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p>
        </w:tc>
      </w:tr>
      <w:tr w:rsidR="001771B8" w:rsidRPr="00262910" w:rsidTr="001771B8">
        <w:tc>
          <w:tcPr>
            <w:tcW w:w="1732" w:type="dxa"/>
            <w:tcBorders>
              <w:bottom w:val="single" w:sz="12" w:space="0" w:color="auto"/>
            </w:tcBorders>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1956</w:t>
            </w:r>
          </w:p>
        </w:tc>
        <w:tc>
          <w:tcPr>
            <w:tcW w:w="1701" w:type="dxa"/>
            <w:tcBorders>
              <w:bottom w:val="single" w:sz="12" w:space="0" w:color="auto"/>
            </w:tcBorders>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12</w:t>
            </w:r>
            <w:r>
              <w:rPr>
                <w:sz w:val="18"/>
                <w:lang w:val="fr-FR"/>
              </w:rPr>
              <w:t>,</w:t>
            </w:r>
            <w:r w:rsidRPr="00262910">
              <w:rPr>
                <w:sz w:val="18"/>
                <w:lang w:val="fr-FR"/>
              </w:rPr>
              <w:t>0</w:t>
            </w:r>
          </w:p>
        </w:tc>
        <w:tc>
          <w:tcPr>
            <w:tcW w:w="1701" w:type="dxa"/>
            <w:tcBorders>
              <w:bottom w:val="single" w:sz="12" w:space="0" w:color="auto"/>
            </w:tcBorders>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1701" w:type="dxa"/>
            <w:tcBorders>
              <w:bottom w:val="single" w:sz="12" w:space="0" w:color="auto"/>
            </w:tcBorders>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1668" w:type="dxa"/>
            <w:tcBorders>
              <w:bottom w:val="single" w:sz="12" w:space="0" w:color="auto"/>
            </w:tcBorders>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p>
        </w:tc>
      </w:tr>
    </w:tbl>
    <w:p w:rsidR="001771B8" w:rsidRPr="00262910" w:rsidRDefault="001771B8" w:rsidP="001771B8">
      <w:pPr>
        <w:pStyle w:val="SingleTxtG"/>
        <w:spacing w:before="120" w:after="240" w:line="220" w:lineRule="exact"/>
        <w:ind w:firstLine="170"/>
        <w:jc w:val="left"/>
        <w:rPr>
          <w:i/>
          <w:sz w:val="18"/>
          <w:szCs w:val="18"/>
          <w:lang w:val="fr-FR"/>
        </w:rPr>
      </w:pPr>
      <w:r w:rsidRPr="00262910">
        <w:rPr>
          <w:i/>
          <w:sz w:val="18"/>
          <w:szCs w:val="18"/>
          <w:lang w:val="fr-FR"/>
        </w:rPr>
        <w:t>Source</w:t>
      </w:r>
      <w:r w:rsidR="00884421">
        <w:rPr>
          <w:i/>
          <w:sz w:val="18"/>
          <w:szCs w:val="18"/>
          <w:lang w:val="fr-FR"/>
        </w:rPr>
        <w:t> </w:t>
      </w:r>
      <w:r w:rsidRPr="00262910">
        <w:rPr>
          <w:i/>
          <w:sz w:val="18"/>
          <w:szCs w:val="18"/>
          <w:lang w:val="fr-FR"/>
        </w:rPr>
        <w:t xml:space="preserve">: </w:t>
      </w:r>
      <w:r w:rsidRPr="00262910">
        <w:rPr>
          <w:sz w:val="18"/>
          <w:szCs w:val="18"/>
          <w:lang w:val="fr-FR"/>
        </w:rPr>
        <w:t>Direction du travail et de la protection sociale.</w:t>
      </w:r>
    </w:p>
    <w:p w:rsidR="001771B8" w:rsidRPr="00262910" w:rsidRDefault="00F87571" w:rsidP="00F87571">
      <w:pPr>
        <w:pStyle w:val="Titre1"/>
        <w:spacing w:after="120"/>
        <w:ind w:right="1134"/>
        <w:rPr>
          <w:b/>
          <w:lang w:val="fr-FR"/>
        </w:rPr>
      </w:pPr>
      <w:r>
        <w:rPr>
          <w:lang w:val="fr-FR"/>
        </w:rPr>
        <w:br w:type="page"/>
      </w:r>
      <w:r w:rsidR="001771B8" w:rsidRPr="00262910">
        <w:rPr>
          <w:lang w:val="fr-FR"/>
        </w:rPr>
        <w:t xml:space="preserve">Tableau 4 </w:t>
      </w:r>
      <w:r w:rsidR="001771B8" w:rsidRPr="00262910">
        <w:rPr>
          <w:lang w:val="fr-FR"/>
        </w:rPr>
        <w:br/>
      </w:r>
      <w:r w:rsidR="001771B8" w:rsidRPr="00262910">
        <w:rPr>
          <w:b/>
          <w:lang w:val="fr-FR"/>
        </w:rPr>
        <w:t>Pourcentage d</w:t>
      </w:r>
      <w:r w:rsidR="001771B8">
        <w:rPr>
          <w:b/>
          <w:lang w:val="fr-FR"/>
        </w:rPr>
        <w:t>’</w:t>
      </w:r>
      <w:r w:rsidR="001771B8" w:rsidRPr="00262910">
        <w:rPr>
          <w:b/>
          <w:lang w:val="fr-FR"/>
        </w:rPr>
        <w:t>hommes bénéfici</w:t>
      </w:r>
      <w:r w:rsidR="001771B8">
        <w:rPr>
          <w:b/>
          <w:lang w:val="fr-FR"/>
        </w:rPr>
        <w:t>aires d’</w:t>
      </w:r>
      <w:r w:rsidR="001771B8" w:rsidRPr="00262910">
        <w:rPr>
          <w:b/>
          <w:lang w:val="fr-FR"/>
        </w:rPr>
        <w:t>une pension de vieillesse</w:t>
      </w:r>
      <w:r w:rsidR="001771B8">
        <w:rPr>
          <w:b/>
          <w:lang w:val="fr-FR"/>
        </w:rPr>
        <w:t xml:space="preserve"> à différents âges</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2"/>
        <w:gridCol w:w="1474"/>
        <w:gridCol w:w="1474"/>
        <w:gridCol w:w="1474"/>
        <w:gridCol w:w="1446"/>
      </w:tblGrid>
      <w:tr w:rsidR="001771B8" w:rsidRPr="00262910" w:rsidTr="001771B8">
        <w:trPr>
          <w:tblHeader/>
        </w:trPr>
        <w:tc>
          <w:tcPr>
            <w:tcW w:w="1733" w:type="dxa"/>
            <w:tcBorders>
              <w:top w:val="single" w:sz="4" w:space="0" w:color="auto"/>
              <w:bottom w:val="single" w:sz="12" w:space="0" w:color="auto"/>
            </w:tcBorders>
            <w:shd w:val="clear" w:color="auto" w:fill="auto"/>
            <w:vAlign w:val="bottom"/>
          </w:tcPr>
          <w:p w:rsidR="001771B8" w:rsidRPr="00262910" w:rsidRDefault="001771B8" w:rsidP="001771B8">
            <w:pPr>
              <w:pStyle w:val="SingleTxtG"/>
              <w:suppressAutoHyphens w:val="0"/>
              <w:spacing w:before="80" w:after="80" w:line="200" w:lineRule="exact"/>
              <w:ind w:left="0" w:right="0"/>
              <w:jc w:val="left"/>
              <w:rPr>
                <w:i/>
                <w:sz w:val="16"/>
                <w:lang w:val="fr-FR"/>
              </w:rPr>
            </w:pPr>
          </w:p>
        </w:tc>
        <w:tc>
          <w:tcPr>
            <w:tcW w:w="1701" w:type="dxa"/>
            <w:tcBorders>
              <w:top w:val="single" w:sz="4" w:space="0" w:color="auto"/>
              <w:bottom w:val="single" w:sz="12" w:space="0" w:color="auto"/>
            </w:tcBorders>
            <w:shd w:val="clear" w:color="auto" w:fill="auto"/>
            <w:vAlign w:val="bottom"/>
          </w:tcPr>
          <w:p w:rsidR="001771B8" w:rsidRPr="00262910" w:rsidRDefault="001771B8" w:rsidP="001771B8">
            <w:pPr>
              <w:pStyle w:val="SingleTxtG"/>
              <w:suppressAutoHyphens w:val="0"/>
              <w:spacing w:before="80" w:after="80" w:line="200" w:lineRule="exact"/>
              <w:ind w:left="0" w:right="0"/>
              <w:jc w:val="right"/>
              <w:rPr>
                <w:i/>
                <w:sz w:val="16"/>
                <w:lang w:val="fr-FR"/>
              </w:rPr>
            </w:pPr>
            <w:r w:rsidRPr="00262910">
              <w:rPr>
                <w:i/>
                <w:sz w:val="16"/>
                <w:lang w:val="fr-FR"/>
              </w:rPr>
              <w:t>62</w:t>
            </w:r>
            <w:r>
              <w:rPr>
                <w:i/>
                <w:sz w:val="16"/>
                <w:lang w:val="fr-FR"/>
              </w:rPr>
              <w:t xml:space="preserve"> ans</w:t>
            </w:r>
          </w:p>
        </w:tc>
        <w:tc>
          <w:tcPr>
            <w:tcW w:w="1701" w:type="dxa"/>
            <w:tcBorders>
              <w:top w:val="single" w:sz="4" w:space="0" w:color="auto"/>
              <w:bottom w:val="single" w:sz="12" w:space="0" w:color="auto"/>
            </w:tcBorders>
            <w:shd w:val="clear" w:color="auto" w:fill="auto"/>
            <w:vAlign w:val="bottom"/>
          </w:tcPr>
          <w:p w:rsidR="001771B8" w:rsidRPr="00262910" w:rsidRDefault="001771B8" w:rsidP="001771B8">
            <w:pPr>
              <w:pStyle w:val="SingleTxtG"/>
              <w:suppressAutoHyphens w:val="0"/>
              <w:spacing w:before="80" w:after="80" w:line="200" w:lineRule="exact"/>
              <w:ind w:left="0" w:right="0"/>
              <w:jc w:val="right"/>
              <w:rPr>
                <w:i/>
                <w:sz w:val="16"/>
                <w:lang w:val="fr-FR"/>
              </w:rPr>
            </w:pPr>
            <w:r w:rsidRPr="00262910">
              <w:rPr>
                <w:i/>
                <w:sz w:val="16"/>
                <w:lang w:val="fr-FR"/>
              </w:rPr>
              <w:t>63</w:t>
            </w:r>
            <w:r w:rsidR="00F87571">
              <w:rPr>
                <w:i/>
                <w:sz w:val="16"/>
                <w:lang w:val="fr-FR"/>
              </w:rPr>
              <w:t>-</w:t>
            </w:r>
            <w:r w:rsidRPr="00262910">
              <w:rPr>
                <w:i/>
                <w:sz w:val="16"/>
                <w:lang w:val="fr-FR"/>
              </w:rPr>
              <w:t>66</w:t>
            </w:r>
          </w:p>
        </w:tc>
        <w:tc>
          <w:tcPr>
            <w:tcW w:w="1701" w:type="dxa"/>
            <w:tcBorders>
              <w:top w:val="single" w:sz="4" w:space="0" w:color="auto"/>
              <w:bottom w:val="single" w:sz="12" w:space="0" w:color="auto"/>
            </w:tcBorders>
            <w:shd w:val="clear" w:color="auto" w:fill="auto"/>
            <w:vAlign w:val="bottom"/>
          </w:tcPr>
          <w:p w:rsidR="001771B8" w:rsidRPr="00262910" w:rsidRDefault="001771B8" w:rsidP="001771B8">
            <w:pPr>
              <w:pStyle w:val="SingleTxtG"/>
              <w:suppressAutoHyphens w:val="0"/>
              <w:spacing w:before="80" w:after="80" w:line="200" w:lineRule="exact"/>
              <w:ind w:left="0" w:right="0"/>
              <w:jc w:val="right"/>
              <w:rPr>
                <w:i/>
                <w:sz w:val="16"/>
                <w:lang w:val="fr-FR"/>
              </w:rPr>
            </w:pPr>
            <w:r w:rsidRPr="00262910">
              <w:rPr>
                <w:i/>
                <w:sz w:val="16"/>
                <w:lang w:val="fr-FR"/>
              </w:rPr>
              <w:t>67</w:t>
            </w:r>
          </w:p>
        </w:tc>
        <w:tc>
          <w:tcPr>
            <w:tcW w:w="1668" w:type="dxa"/>
            <w:tcBorders>
              <w:top w:val="single" w:sz="4" w:space="0" w:color="auto"/>
              <w:bottom w:val="single" w:sz="12" w:space="0" w:color="auto"/>
            </w:tcBorders>
            <w:shd w:val="clear" w:color="auto" w:fill="auto"/>
            <w:vAlign w:val="bottom"/>
          </w:tcPr>
          <w:p w:rsidR="001771B8" w:rsidRPr="00262910" w:rsidRDefault="001771B8" w:rsidP="001771B8">
            <w:pPr>
              <w:pStyle w:val="SingleTxtG"/>
              <w:suppressAutoHyphens w:val="0"/>
              <w:spacing w:before="80" w:after="80" w:line="200" w:lineRule="exact"/>
              <w:ind w:left="0" w:right="0"/>
              <w:jc w:val="right"/>
              <w:rPr>
                <w:i/>
                <w:sz w:val="16"/>
                <w:lang w:val="fr-FR"/>
              </w:rPr>
            </w:pPr>
            <w:r w:rsidRPr="00262910">
              <w:rPr>
                <w:i/>
                <w:sz w:val="16"/>
                <w:lang w:val="fr-FR"/>
              </w:rPr>
              <w:t>68</w:t>
            </w:r>
            <w:r w:rsidR="00F87571">
              <w:rPr>
                <w:i/>
                <w:sz w:val="16"/>
                <w:lang w:val="fr-FR"/>
              </w:rPr>
              <w:t>-</w:t>
            </w:r>
            <w:r w:rsidRPr="00262910">
              <w:rPr>
                <w:i/>
                <w:sz w:val="16"/>
                <w:lang w:val="fr-FR"/>
              </w:rPr>
              <w:t>75</w:t>
            </w:r>
          </w:p>
        </w:tc>
      </w:tr>
      <w:tr w:rsidR="001771B8" w:rsidRPr="00262910" w:rsidTr="001771B8">
        <w:tc>
          <w:tcPr>
            <w:tcW w:w="1733" w:type="dxa"/>
            <w:tcBorders>
              <w:top w:val="single" w:sz="12" w:space="0" w:color="auto"/>
            </w:tcBorders>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1944</w:t>
            </w:r>
          </w:p>
        </w:tc>
        <w:tc>
          <w:tcPr>
            <w:tcW w:w="1701" w:type="dxa"/>
            <w:tcBorders>
              <w:top w:val="single" w:sz="12" w:space="0" w:color="auto"/>
            </w:tcBorders>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1701" w:type="dxa"/>
            <w:tcBorders>
              <w:top w:val="single" w:sz="12" w:space="0" w:color="auto"/>
            </w:tcBorders>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8</w:t>
            </w:r>
            <w:r>
              <w:rPr>
                <w:sz w:val="18"/>
                <w:lang w:val="fr-FR"/>
              </w:rPr>
              <w:t>,</w:t>
            </w:r>
            <w:r w:rsidRPr="00262910">
              <w:rPr>
                <w:sz w:val="18"/>
                <w:lang w:val="fr-FR"/>
              </w:rPr>
              <w:t>9</w:t>
            </w:r>
          </w:p>
        </w:tc>
        <w:tc>
          <w:tcPr>
            <w:tcW w:w="1701" w:type="dxa"/>
            <w:tcBorders>
              <w:top w:val="single" w:sz="12" w:space="0" w:color="auto"/>
            </w:tcBorders>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89</w:t>
            </w:r>
            <w:r>
              <w:rPr>
                <w:sz w:val="18"/>
                <w:lang w:val="fr-FR"/>
              </w:rPr>
              <w:t>,</w:t>
            </w:r>
            <w:r w:rsidRPr="00262910">
              <w:rPr>
                <w:sz w:val="18"/>
                <w:lang w:val="fr-FR"/>
              </w:rPr>
              <w:t>2</w:t>
            </w:r>
          </w:p>
        </w:tc>
        <w:tc>
          <w:tcPr>
            <w:tcW w:w="1668" w:type="dxa"/>
            <w:tcBorders>
              <w:top w:val="single" w:sz="12" w:space="0" w:color="auto"/>
            </w:tcBorders>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r>
              <w:rPr>
                <w:sz w:val="18"/>
                <w:lang w:val="fr-FR"/>
              </w:rPr>
              <w:t>,</w:t>
            </w:r>
            <w:r w:rsidRPr="00262910">
              <w:rPr>
                <w:sz w:val="18"/>
                <w:lang w:val="fr-FR"/>
              </w:rPr>
              <w:t>8</w:t>
            </w:r>
          </w:p>
        </w:tc>
      </w:tr>
      <w:tr w:rsidR="001771B8" w:rsidRPr="00262910" w:rsidTr="001771B8">
        <w:tc>
          <w:tcPr>
            <w:tcW w:w="1733" w:type="dxa"/>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1945</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20</w:t>
            </w:r>
            <w:r>
              <w:rPr>
                <w:sz w:val="18"/>
                <w:lang w:val="fr-FR"/>
              </w:rPr>
              <w:t>,</w:t>
            </w:r>
            <w:r w:rsidRPr="00262910">
              <w:rPr>
                <w:sz w:val="18"/>
                <w:lang w:val="fr-FR"/>
              </w:rPr>
              <w:t>0</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77</w:t>
            </w:r>
            <w:r>
              <w:rPr>
                <w:sz w:val="18"/>
                <w:lang w:val="fr-FR"/>
              </w:rPr>
              <w:t>,</w:t>
            </w:r>
            <w:r w:rsidRPr="00262910">
              <w:rPr>
                <w:sz w:val="18"/>
                <w:lang w:val="fr-FR"/>
              </w:rPr>
              <w:t>7</w:t>
            </w:r>
          </w:p>
        </w:tc>
        <w:tc>
          <w:tcPr>
            <w:tcW w:w="1668"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w:t>
            </w:r>
            <w:r>
              <w:rPr>
                <w:sz w:val="18"/>
                <w:lang w:val="fr-FR"/>
              </w:rPr>
              <w:t>,</w:t>
            </w:r>
            <w:r w:rsidRPr="00262910">
              <w:rPr>
                <w:sz w:val="18"/>
                <w:lang w:val="fr-FR"/>
              </w:rPr>
              <w:t>0</w:t>
            </w:r>
          </w:p>
        </w:tc>
      </w:tr>
      <w:tr w:rsidR="001771B8" w:rsidRPr="00262910" w:rsidTr="001771B8">
        <w:tc>
          <w:tcPr>
            <w:tcW w:w="1733" w:type="dxa"/>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1946</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27</w:t>
            </w:r>
            <w:r>
              <w:rPr>
                <w:sz w:val="18"/>
                <w:lang w:val="fr-FR"/>
              </w:rPr>
              <w:t>,</w:t>
            </w:r>
            <w:r w:rsidRPr="00262910">
              <w:rPr>
                <w:sz w:val="18"/>
                <w:lang w:val="fr-FR"/>
              </w:rPr>
              <w:t>6</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70</w:t>
            </w:r>
            <w:r>
              <w:rPr>
                <w:sz w:val="18"/>
                <w:lang w:val="fr-FR"/>
              </w:rPr>
              <w:t>,</w:t>
            </w:r>
            <w:r w:rsidRPr="00262910">
              <w:rPr>
                <w:sz w:val="18"/>
                <w:lang w:val="fr-FR"/>
              </w:rPr>
              <w:t>4</w:t>
            </w:r>
          </w:p>
        </w:tc>
        <w:tc>
          <w:tcPr>
            <w:tcW w:w="1668"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r>
              <w:rPr>
                <w:sz w:val="18"/>
                <w:lang w:val="fr-FR"/>
              </w:rPr>
              <w:t>,</w:t>
            </w:r>
            <w:r w:rsidRPr="00262910">
              <w:rPr>
                <w:sz w:val="18"/>
                <w:lang w:val="fr-FR"/>
              </w:rPr>
              <w:t>9</w:t>
            </w:r>
          </w:p>
        </w:tc>
      </w:tr>
      <w:tr w:rsidR="001771B8" w:rsidRPr="00262910" w:rsidTr="001771B8">
        <w:tc>
          <w:tcPr>
            <w:tcW w:w="1733" w:type="dxa"/>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1947</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33</w:t>
            </w:r>
            <w:r>
              <w:rPr>
                <w:sz w:val="18"/>
                <w:lang w:val="fr-FR"/>
              </w:rPr>
              <w:t>,</w:t>
            </w:r>
            <w:r w:rsidRPr="00262910">
              <w:rPr>
                <w:sz w:val="18"/>
                <w:lang w:val="fr-FR"/>
              </w:rPr>
              <w:t>5</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64</w:t>
            </w:r>
            <w:r>
              <w:rPr>
                <w:sz w:val="18"/>
                <w:lang w:val="fr-FR"/>
              </w:rPr>
              <w:t>,</w:t>
            </w:r>
            <w:r w:rsidRPr="00262910">
              <w:rPr>
                <w:sz w:val="18"/>
                <w:lang w:val="fr-FR"/>
              </w:rPr>
              <w:t>3</w:t>
            </w:r>
          </w:p>
        </w:tc>
        <w:tc>
          <w:tcPr>
            <w:tcW w:w="1668"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r>
              <w:rPr>
                <w:sz w:val="18"/>
                <w:lang w:val="fr-FR"/>
              </w:rPr>
              <w:t>,</w:t>
            </w:r>
            <w:r w:rsidRPr="00262910">
              <w:rPr>
                <w:sz w:val="18"/>
                <w:lang w:val="fr-FR"/>
              </w:rPr>
              <w:t>9</w:t>
            </w:r>
          </w:p>
        </w:tc>
      </w:tr>
      <w:tr w:rsidR="001771B8" w:rsidRPr="00262910" w:rsidTr="001771B8">
        <w:tc>
          <w:tcPr>
            <w:tcW w:w="1733" w:type="dxa"/>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1948</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13</w:t>
            </w:r>
            <w:r>
              <w:rPr>
                <w:sz w:val="18"/>
                <w:lang w:val="fr-FR"/>
              </w:rPr>
              <w:t>,</w:t>
            </w:r>
            <w:r w:rsidRPr="00262910">
              <w:rPr>
                <w:sz w:val="18"/>
                <w:lang w:val="fr-FR"/>
              </w:rPr>
              <w:t>2</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28</w:t>
            </w:r>
            <w:r>
              <w:rPr>
                <w:sz w:val="18"/>
                <w:lang w:val="fr-FR"/>
              </w:rPr>
              <w:t>,</w:t>
            </w:r>
            <w:r w:rsidRPr="00262910">
              <w:rPr>
                <w:sz w:val="18"/>
                <w:lang w:val="fr-FR"/>
              </w:rPr>
              <w:t>4</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56</w:t>
            </w:r>
            <w:r>
              <w:rPr>
                <w:sz w:val="18"/>
                <w:lang w:val="fr-FR"/>
              </w:rPr>
              <w:t>,</w:t>
            </w:r>
            <w:r w:rsidRPr="00262910">
              <w:rPr>
                <w:sz w:val="18"/>
                <w:lang w:val="fr-FR"/>
              </w:rPr>
              <w:t>0</w:t>
            </w:r>
          </w:p>
        </w:tc>
        <w:tc>
          <w:tcPr>
            <w:tcW w:w="1668"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r>
              <w:rPr>
                <w:sz w:val="18"/>
                <w:lang w:val="fr-FR"/>
              </w:rPr>
              <w:t>,</w:t>
            </w:r>
            <w:r w:rsidRPr="00262910">
              <w:rPr>
                <w:sz w:val="18"/>
                <w:lang w:val="fr-FR"/>
              </w:rPr>
              <w:t>7</w:t>
            </w:r>
          </w:p>
        </w:tc>
      </w:tr>
      <w:tr w:rsidR="001771B8" w:rsidRPr="00262910" w:rsidTr="001771B8">
        <w:tc>
          <w:tcPr>
            <w:tcW w:w="1733" w:type="dxa"/>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1949</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35</w:t>
            </w:r>
            <w:r>
              <w:rPr>
                <w:sz w:val="18"/>
                <w:lang w:val="fr-FR"/>
              </w:rPr>
              <w:t>,</w:t>
            </w:r>
            <w:r w:rsidRPr="00262910">
              <w:rPr>
                <w:sz w:val="18"/>
                <w:lang w:val="fr-FR"/>
              </w:rPr>
              <w:t>0</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19</w:t>
            </w:r>
            <w:r>
              <w:rPr>
                <w:sz w:val="18"/>
                <w:lang w:val="fr-FR"/>
              </w:rPr>
              <w:t>,</w:t>
            </w:r>
            <w:r w:rsidRPr="00262910">
              <w:rPr>
                <w:sz w:val="18"/>
                <w:lang w:val="fr-FR"/>
              </w:rPr>
              <w:t>2</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43</w:t>
            </w:r>
            <w:r>
              <w:rPr>
                <w:sz w:val="18"/>
                <w:lang w:val="fr-FR"/>
              </w:rPr>
              <w:t>,</w:t>
            </w:r>
            <w:r w:rsidRPr="00262910">
              <w:rPr>
                <w:sz w:val="18"/>
                <w:lang w:val="fr-FR"/>
              </w:rPr>
              <w:t>2</w:t>
            </w:r>
          </w:p>
        </w:tc>
        <w:tc>
          <w:tcPr>
            <w:tcW w:w="1668"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r>
              <w:rPr>
                <w:sz w:val="18"/>
                <w:lang w:val="fr-FR"/>
              </w:rPr>
              <w:t>,</w:t>
            </w:r>
            <w:r w:rsidRPr="00262910">
              <w:rPr>
                <w:sz w:val="18"/>
                <w:lang w:val="fr-FR"/>
              </w:rPr>
              <w:t>0</w:t>
            </w:r>
          </w:p>
        </w:tc>
      </w:tr>
      <w:tr w:rsidR="001771B8" w:rsidRPr="00262910" w:rsidTr="001771B8">
        <w:tc>
          <w:tcPr>
            <w:tcW w:w="1733" w:type="dxa"/>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1950</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38</w:t>
            </w:r>
            <w:r>
              <w:rPr>
                <w:sz w:val="18"/>
                <w:lang w:val="fr-FR"/>
              </w:rPr>
              <w:t>,</w:t>
            </w:r>
            <w:r w:rsidRPr="00262910">
              <w:rPr>
                <w:sz w:val="18"/>
                <w:lang w:val="fr-FR"/>
              </w:rPr>
              <w:t>8</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16</w:t>
            </w:r>
            <w:r>
              <w:rPr>
                <w:sz w:val="18"/>
                <w:lang w:val="fr-FR"/>
              </w:rPr>
              <w:t>,</w:t>
            </w:r>
            <w:r w:rsidRPr="00262910">
              <w:rPr>
                <w:sz w:val="18"/>
                <w:lang w:val="fr-FR"/>
              </w:rPr>
              <w:t>2</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42</w:t>
            </w:r>
            <w:r>
              <w:rPr>
                <w:sz w:val="18"/>
                <w:lang w:val="fr-FR"/>
              </w:rPr>
              <w:t>,</w:t>
            </w:r>
            <w:r w:rsidRPr="00262910">
              <w:rPr>
                <w:sz w:val="18"/>
                <w:lang w:val="fr-FR"/>
              </w:rPr>
              <w:t>1</w:t>
            </w:r>
          </w:p>
        </w:tc>
        <w:tc>
          <w:tcPr>
            <w:tcW w:w="1668"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0</w:t>
            </w:r>
            <w:r>
              <w:rPr>
                <w:sz w:val="18"/>
                <w:lang w:val="fr-FR"/>
              </w:rPr>
              <w:t>,</w:t>
            </w:r>
            <w:r w:rsidRPr="00262910">
              <w:rPr>
                <w:sz w:val="18"/>
                <w:lang w:val="fr-FR"/>
              </w:rPr>
              <w:t>6</w:t>
            </w:r>
          </w:p>
        </w:tc>
      </w:tr>
      <w:tr w:rsidR="001771B8" w:rsidRPr="00262910" w:rsidTr="001771B8">
        <w:tc>
          <w:tcPr>
            <w:tcW w:w="1733" w:type="dxa"/>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1951</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41</w:t>
            </w:r>
            <w:r>
              <w:rPr>
                <w:sz w:val="18"/>
                <w:lang w:val="fr-FR"/>
              </w:rPr>
              <w:t>,</w:t>
            </w:r>
            <w:r w:rsidRPr="00262910">
              <w:rPr>
                <w:sz w:val="18"/>
                <w:lang w:val="fr-FR"/>
              </w:rPr>
              <w:t>2</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14</w:t>
            </w:r>
            <w:r>
              <w:rPr>
                <w:sz w:val="18"/>
                <w:lang w:val="fr-FR"/>
              </w:rPr>
              <w:t>,</w:t>
            </w:r>
            <w:r w:rsidRPr="00262910">
              <w:rPr>
                <w:sz w:val="18"/>
                <w:lang w:val="fr-FR"/>
              </w:rPr>
              <w:t>1</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36</w:t>
            </w:r>
            <w:r>
              <w:rPr>
                <w:sz w:val="18"/>
                <w:lang w:val="fr-FR"/>
              </w:rPr>
              <w:t>,</w:t>
            </w:r>
            <w:r w:rsidRPr="00262910">
              <w:rPr>
                <w:sz w:val="18"/>
                <w:lang w:val="fr-FR"/>
              </w:rPr>
              <w:t>8</w:t>
            </w:r>
          </w:p>
        </w:tc>
        <w:tc>
          <w:tcPr>
            <w:tcW w:w="1668"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p>
        </w:tc>
      </w:tr>
      <w:tr w:rsidR="001771B8" w:rsidRPr="00262910" w:rsidTr="001771B8">
        <w:tc>
          <w:tcPr>
            <w:tcW w:w="1733" w:type="dxa"/>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1952</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39</w:t>
            </w:r>
            <w:r>
              <w:rPr>
                <w:sz w:val="18"/>
                <w:lang w:val="fr-FR"/>
              </w:rPr>
              <w:t>,</w:t>
            </w:r>
            <w:r w:rsidRPr="00262910">
              <w:rPr>
                <w:sz w:val="18"/>
                <w:lang w:val="fr-FR"/>
              </w:rPr>
              <w:t>2</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11</w:t>
            </w:r>
            <w:r>
              <w:rPr>
                <w:sz w:val="18"/>
                <w:lang w:val="fr-FR"/>
              </w:rPr>
              <w:t>,</w:t>
            </w:r>
            <w:r w:rsidRPr="00262910">
              <w:rPr>
                <w:sz w:val="18"/>
                <w:lang w:val="fr-FR"/>
              </w:rPr>
              <w:t>4</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1668"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p>
        </w:tc>
      </w:tr>
      <w:tr w:rsidR="001771B8" w:rsidRPr="00262910" w:rsidTr="001771B8">
        <w:tc>
          <w:tcPr>
            <w:tcW w:w="1733" w:type="dxa"/>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1953</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39</w:t>
            </w:r>
            <w:r>
              <w:rPr>
                <w:sz w:val="18"/>
                <w:lang w:val="fr-FR"/>
              </w:rPr>
              <w:t>,</w:t>
            </w:r>
            <w:r w:rsidRPr="00262910">
              <w:rPr>
                <w:sz w:val="18"/>
                <w:lang w:val="fr-FR"/>
              </w:rPr>
              <w:t>4</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9</w:t>
            </w:r>
            <w:r>
              <w:rPr>
                <w:sz w:val="18"/>
                <w:lang w:val="fr-FR"/>
              </w:rPr>
              <w:t>,</w:t>
            </w:r>
            <w:r w:rsidRPr="00262910">
              <w:rPr>
                <w:sz w:val="18"/>
                <w:lang w:val="fr-FR"/>
              </w:rPr>
              <w:t>6</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1668"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p>
        </w:tc>
      </w:tr>
      <w:tr w:rsidR="001771B8" w:rsidRPr="00262910" w:rsidTr="001771B8">
        <w:tc>
          <w:tcPr>
            <w:tcW w:w="1733" w:type="dxa"/>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1954</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39</w:t>
            </w:r>
            <w:r>
              <w:rPr>
                <w:sz w:val="18"/>
                <w:lang w:val="fr-FR"/>
              </w:rPr>
              <w:t>,</w:t>
            </w:r>
            <w:r w:rsidRPr="00262910">
              <w:rPr>
                <w:sz w:val="18"/>
                <w:lang w:val="fr-FR"/>
              </w:rPr>
              <w:t>6</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w:t>
            </w:r>
            <w:r>
              <w:rPr>
                <w:sz w:val="18"/>
                <w:lang w:val="fr-FR"/>
              </w:rPr>
              <w:t>,</w:t>
            </w:r>
            <w:r w:rsidRPr="00262910">
              <w:rPr>
                <w:sz w:val="18"/>
                <w:lang w:val="fr-FR"/>
              </w:rPr>
              <w:t>3</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1668"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p>
        </w:tc>
      </w:tr>
      <w:tr w:rsidR="001771B8" w:rsidRPr="00262910" w:rsidTr="001771B8">
        <w:tc>
          <w:tcPr>
            <w:tcW w:w="1733" w:type="dxa"/>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1955</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39</w:t>
            </w:r>
            <w:r>
              <w:rPr>
                <w:sz w:val="18"/>
                <w:lang w:val="fr-FR"/>
              </w:rPr>
              <w:t>,</w:t>
            </w:r>
            <w:r w:rsidRPr="00262910">
              <w:rPr>
                <w:sz w:val="18"/>
                <w:lang w:val="fr-FR"/>
              </w:rPr>
              <w:t>6</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w:t>
            </w:r>
            <w:r>
              <w:rPr>
                <w:sz w:val="18"/>
                <w:lang w:val="fr-FR"/>
              </w:rPr>
              <w:t>,</w:t>
            </w:r>
            <w:r w:rsidRPr="00262910">
              <w:rPr>
                <w:sz w:val="18"/>
                <w:lang w:val="fr-FR"/>
              </w:rPr>
              <w:t>6</w:t>
            </w:r>
          </w:p>
        </w:tc>
        <w:tc>
          <w:tcPr>
            <w:tcW w:w="1701"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1668" w:type="dxa"/>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p>
        </w:tc>
      </w:tr>
      <w:tr w:rsidR="001771B8" w:rsidRPr="00262910" w:rsidTr="001771B8">
        <w:tc>
          <w:tcPr>
            <w:tcW w:w="1733" w:type="dxa"/>
            <w:tcBorders>
              <w:bottom w:val="single" w:sz="12" w:space="0" w:color="auto"/>
            </w:tcBorders>
            <w:shd w:val="clear" w:color="auto" w:fill="auto"/>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1956</w:t>
            </w:r>
          </w:p>
        </w:tc>
        <w:tc>
          <w:tcPr>
            <w:tcW w:w="1701" w:type="dxa"/>
            <w:tcBorders>
              <w:bottom w:val="single" w:sz="12" w:space="0" w:color="auto"/>
            </w:tcBorders>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33</w:t>
            </w:r>
            <w:r>
              <w:rPr>
                <w:sz w:val="18"/>
                <w:lang w:val="fr-FR"/>
              </w:rPr>
              <w:t>,</w:t>
            </w:r>
            <w:r w:rsidRPr="00262910">
              <w:rPr>
                <w:sz w:val="18"/>
                <w:lang w:val="fr-FR"/>
              </w:rPr>
              <w:t>1</w:t>
            </w:r>
          </w:p>
        </w:tc>
        <w:tc>
          <w:tcPr>
            <w:tcW w:w="1701" w:type="dxa"/>
            <w:tcBorders>
              <w:bottom w:val="single" w:sz="12" w:space="0" w:color="auto"/>
            </w:tcBorders>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1701" w:type="dxa"/>
            <w:tcBorders>
              <w:bottom w:val="single" w:sz="12" w:space="0" w:color="auto"/>
            </w:tcBorders>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1668" w:type="dxa"/>
            <w:tcBorders>
              <w:bottom w:val="single" w:sz="12" w:space="0" w:color="auto"/>
            </w:tcBorders>
            <w:shd w:val="clear" w:color="auto" w:fill="auto"/>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p>
        </w:tc>
      </w:tr>
    </w:tbl>
    <w:p w:rsidR="001771B8" w:rsidRPr="00262910" w:rsidRDefault="001771B8" w:rsidP="001771B8">
      <w:pPr>
        <w:pStyle w:val="SingleTxtG"/>
        <w:spacing w:before="120" w:after="240" w:line="220" w:lineRule="exact"/>
        <w:ind w:firstLine="170"/>
        <w:jc w:val="left"/>
        <w:rPr>
          <w:i/>
          <w:sz w:val="18"/>
          <w:szCs w:val="18"/>
          <w:lang w:val="fr-FR"/>
        </w:rPr>
      </w:pPr>
      <w:r w:rsidRPr="00262910">
        <w:rPr>
          <w:i/>
          <w:sz w:val="18"/>
          <w:szCs w:val="18"/>
          <w:lang w:val="fr-FR"/>
        </w:rPr>
        <w:t>Source</w:t>
      </w:r>
      <w:r w:rsidR="00F87571">
        <w:rPr>
          <w:i/>
          <w:sz w:val="18"/>
          <w:szCs w:val="18"/>
          <w:lang w:val="fr-FR"/>
        </w:rPr>
        <w:t> </w:t>
      </w:r>
      <w:r w:rsidRPr="00262910">
        <w:rPr>
          <w:i/>
          <w:sz w:val="18"/>
          <w:szCs w:val="18"/>
          <w:lang w:val="fr-FR"/>
        </w:rPr>
        <w:t xml:space="preserve">: </w:t>
      </w:r>
      <w:r w:rsidRPr="00262910">
        <w:rPr>
          <w:sz w:val="18"/>
          <w:szCs w:val="18"/>
          <w:lang w:val="fr-FR"/>
        </w:rPr>
        <w:t>Direction du travail et de la protection sociale.</w:t>
      </w:r>
    </w:p>
    <w:p w:rsidR="001771B8" w:rsidRPr="00262910" w:rsidRDefault="001771B8" w:rsidP="001771B8">
      <w:pPr>
        <w:pStyle w:val="SingleTxtG"/>
        <w:rPr>
          <w:lang w:val="fr-FR"/>
        </w:rPr>
      </w:pPr>
      <w:r w:rsidRPr="00262910">
        <w:rPr>
          <w:lang w:val="fr-FR"/>
        </w:rPr>
        <w:t>30.</w:t>
      </w:r>
      <w:r w:rsidRPr="00262910">
        <w:rPr>
          <w:lang w:val="fr-FR"/>
        </w:rPr>
        <w:tab/>
      </w:r>
      <w:r w:rsidRPr="0070081E">
        <w:rPr>
          <w:lang w:val="fr-FR"/>
        </w:rPr>
        <w:t>Le moyen le plus</w:t>
      </w:r>
      <w:r w:rsidRPr="0036398C">
        <w:rPr>
          <w:lang w:val="fr-FR"/>
        </w:rPr>
        <w:t xml:space="preserve"> efficace d</w:t>
      </w:r>
      <w:r>
        <w:rPr>
          <w:lang w:val="fr-FR"/>
        </w:rPr>
        <w:t>’</w:t>
      </w:r>
      <w:r w:rsidRPr="0036398C">
        <w:rPr>
          <w:lang w:val="fr-FR"/>
        </w:rPr>
        <w:t xml:space="preserve">améliorer la situation économique des familles à faible revenu </w:t>
      </w:r>
      <w:r>
        <w:rPr>
          <w:lang w:val="fr-FR"/>
        </w:rPr>
        <w:t xml:space="preserve">est de </w:t>
      </w:r>
      <w:r w:rsidRPr="0036398C">
        <w:rPr>
          <w:lang w:val="fr-FR"/>
        </w:rPr>
        <w:t>leur</w:t>
      </w:r>
      <w:r w:rsidRPr="00262910">
        <w:rPr>
          <w:lang w:val="fr-FR"/>
        </w:rPr>
        <w:t xml:space="preserve"> </w:t>
      </w:r>
      <w:r>
        <w:rPr>
          <w:lang w:val="fr-FR"/>
        </w:rPr>
        <w:t xml:space="preserve">assurer </w:t>
      </w:r>
      <w:r w:rsidRPr="00262910">
        <w:rPr>
          <w:lang w:val="fr-FR"/>
        </w:rPr>
        <w:t xml:space="preserve">un meilleur accès au marché du travail. Si le </w:t>
      </w:r>
      <w:r>
        <w:rPr>
          <w:lang w:val="fr-FR"/>
        </w:rPr>
        <w:t>montant d</w:t>
      </w:r>
      <w:r w:rsidRPr="00262910">
        <w:rPr>
          <w:lang w:val="fr-FR"/>
        </w:rPr>
        <w:t xml:space="preserve">es </w:t>
      </w:r>
      <w:r>
        <w:rPr>
          <w:lang w:val="fr-FR"/>
        </w:rPr>
        <w:t xml:space="preserve">aides </w:t>
      </w:r>
      <w:r w:rsidRPr="00262910">
        <w:rPr>
          <w:lang w:val="fr-FR"/>
        </w:rPr>
        <w:t xml:space="preserve">en espèces </w:t>
      </w:r>
      <w:r>
        <w:rPr>
          <w:lang w:val="fr-FR"/>
        </w:rPr>
        <w:t xml:space="preserve">versées </w:t>
      </w:r>
      <w:r w:rsidRPr="00262910">
        <w:rPr>
          <w:lang w:val="fr-FR"/>
        </w:rPr>
        <w:t>aux familles est trop élevé le marché du travail</w:t>
      </w:r>
      <w:r>
        <w:rPr>
          <w:lang w:val="fr-FR"/>
        </w:rPr>
        <w:t xml:space="preserve"> s’en ressent défavorablement</w:t>
      </w:r>
      <w:r w:rsidRPr="00262910">
        <w:rPr>
          <w:lang w:val="fr-FR"/>
        </w:rPr>
        <w:t xml:space="preserve">. </w:t>
      </w:r>
    </w:p>
    <w:p w:rsidR="001771B8" w:rsidRPr="00262910" w:rsidRDefault="001771B8" w:rsidP="001771B8">
      <w:pPr>
        <w:pStyle w:val="SingleTxtG"/>
        <w:rPr>
          <w:lang w:val="fr-FR"/>
        </w:rPr>
      </w:pPr>
      <w:r w:rsidRPr="00262910">
        <w:rPr>
          <w:lang w:val="fr-FR"/>
        </w:rPr>
        <w:t>31.</w:t>
      </w:r>
      <w:r w:rsidRPr="00262910">
        <w:rPr>
          <w:lang w:val="fr-FR"/>
        </w:rPr>
        <w:tab/>
      </w:r>
      <w:r w:rsidRPr="0070081E">
        <w:rPr>
          <w:lang w:val="fr-FR"/>
        </w:rPr>
        <w:t>Le</w:t>
      </w:r>
      <w:r>
        <w:rPr>
          <w:lang w:val="fr-FR"/>
        </w:rPr>
        <w:t xml:space="preserve"> total des d</w:t>
      </w:r>
      <w:r w:rsidRPr="0070081E">
        <w:rPr>
          <w:lang w:val="fr-FR"/>
        </w:rPr>
        <w:t>épenses</w:t>
      </w:r>
      <w:r w:rsidRPr="00262910">
        <w:rPr>
          <w:lang w:val="fr-FR"/>
        </w:rPr>
        <w:t xml:space="preserve"> publiques </w:t>
      </w:r>
      <w:r>
        <w:rPr>
          <w:lang w:val="fr-FR"/>
        </w:rPr>
        <w:t xml:space="preserve">afférentes </w:t>
      </w:r>
      <w:r w:rsidRPr="00262910">
        <w:rPr>
          <w:lang w:val="fr-FR"/>
        </w:rPr>
        <w:t xml:space="preserve">aux prestations </w:t>
      </w:r>
      <w:r>
        <w:rPr>
          <w:lang w:val="fr-FR"/>
        </w:rPr>
        <w:t xml:space="preserve">aux </w:t>
      </w:r>
      <w:r w:rsidRPr="00262910">
        <w:rPr>
          <w:lang w:val="fr-FR"/>
        </w:rPr>
        <w:t xml:space="preserve">familles avec enfants </w:t>
      </w:r>
      <w:r>
        <w:rPr>
          <w:lang w:val="fr-FR"/>
        </w:rPr>
        <w:t xml:space="preserve">a </w:t>
      </w:r>
      <w:r w:rsidRPr="00262910">
        <w:rPr>
          <w:lang w:val="fr-FR"/>
        </w:rPr>
        <w:t>plus que doublé en termes réels</w:t>
      </w:r>
      <w:r w:rsidRPr="00A3520F">
        <w:rPr>
          <w:lang w:val="fr-FR"/>
        </w:rPr>
        <w:t xml:space="preserve"> </w:t>
      </w:r>
      <w:r>
        <w:rPr>
          <w:lang w:val="fr-FR"/>
        </w:rPr>
        <w:t>d</w:t>
      </w:r>
      <w:r w:rsidRPr="00A3520F">
        <w:rPr>
          <w:lang w:val="fr-FR"/>
        </w:rPr>
        <w:t>epuis 1993</w:t>
      </w:r>
      <w:r w:rsidRPr="00262910">
        <w:rPr>
          <w:lang w:val="fr-FR"/>
        </w:rPr>
        <w:t>.</w:t>
      </w:r>
      <w:r w:rsidRPr="00A3520F">
        <w:rPr>
          <w:lang w:val="fr-FR"/>
        </w:rPr>
        <w:t xml:space="preserve"> </w:t>
      </w:r>
      <w:r>
        <w:rPr>
          <w:lang w:val="fr-FR"/>
        </w:rPr>
        <w:t xml:space="preserve">Par exemple, </w:t>
      </w:r>
      <w:r w:rsidRPr="00A3520F">
        <w:rPr>
          <w:lang w:val="fr-FR"/>
        </w:rPr>
        <w:t>l</w:t>
      </w:r>
      <w:r>
        <w:rPr>
          <w:lang w:val="fr-FR"/>
        </w:rPr>
        <w:t>’</w:t>
      </w:r>
      <w:r w:rsidRPr="00A3520F">
        <w:rPr>
          <w:lang w:val="fr-FR"/>
        </w:rPr>
        <w:t>État</w:t>
      </w:r>
      <w:r w:rsidRPr="00262910">
        <w:rPr>
          <w:lang w:val="fr-FR"/>
        </w:rPr>
        <w:t xml:space="preserve"> </w:t>
      </w:r>
      <w:r>
        <w:rPr>
          <w:lang w:val="fr-FR"/>
        </w:rPr>
        <w:t>finance l</w:t>
      </w:r>
      <w:r w:rsidRPr="00262910">
        <w:rPr>
          <w:lang w:val="fr-FR"/>
        </w:rPr>
        <w:t xml:space="preserve">es </w:t>
      </w:r>
      <w:r>
        <w:rPr>
          <w:lang w:val="fr-FR"/>
        </w:rPr>
        <w:t xml:space="preserve">établissements préscolaires et les parents des enfants qu’ils accueillent ne </w:t>
      </w:r>
      <w:r w:rsidRPr="00262910">
        <w:rPr>
          <w:lang w:val="fr-FR"/>
        </w:rPr>
        <w:t xml:space="preserve">paient </w:t>
      </w:r>
      <w:r>
        <w:rPr>
          <w:lang w:val="fr-FR"/>
        </w:rPr>
        <w:t>qu’</w:t>
      </w:r>
      <w:r w:rsidRPr="00262910">
        <w:rPr>
          <w:lang w:val="fr-FR"/>
        </w:rPr>
        <w:t>un</w:t>
      </w:r>
      <w:r>
        <w:rPr>
          <w:lang w:val="fr-FR"/>
        </w:rPr>
        <w:t>e somme modique</w:t>
      </w:r>
      <w:r w:rsidRPr="00262910">
        <w:rPr>
          <w:lang w:val="fr-FR"/>
        </w:rPr>
        <w:t xml:space="preserve">. Des programmes </w:t>
      </w:r>
      <w:r>
        <w:rPr>
          <w:lang w:val="fr-FR"/>
        </w:rPr>
        <w:t xml:space="preserve">complémentaires </w:t>
      </w:r>
      <w:r w:rsidRPr="00262910">
        <w:rPr>
          <w:lang w:val="fr-FR"/>
        </w:rPr>
        <w:t xml:space="preserve">ont été </w:t>
      </w:r>
      <w:r>
        <w:rPr>
          <w:lang w:val="fr-FR"/>
        </w:rPr>
        <w:t xml:space="preserve">institués </w:t>
      </w:r>
      <w:r w:rsidRPr="00262910">
        <w:rPr>
          <w:lang w:val="fr-FR"/>
        </w:rPr>
        <w:t xml:space="preserve">pour aider les familles à faible revenu. </w:t>
      </w:r>
      <w:r>
        <w:rPr>
          <w:lang w:val="fr-FR"/>
        </w:rPr>
        <w:t>L</w:t>
      </w:r>
      <w:r w:rsidRPr="00A3520F">
        <w:rPr>
          <w:lang w:val="fr-FR"/>
        </w:rPr>
        <w:t>es parents</w:t>
      </w:r>
      <w:r>
        <w:rPr>
          <w:lang w:val="fr-FR"/>
        </w:rPr>
        <w:t xml:space="preserve"> des </w:t>
      </w:r>
      <w:r w:rsidRPr="00262910">
        <w:rPr>
          <w:lang w:val="fr-FR"/>
        </w:rPr>
        <w:t>enfants d</w:t>
      </w:r>
      <w:r w:rsidR="00F87571">
        <w:rPr>
          <w:lang w:val="fr-FR"/>
        </w:rPr>
        <w:t>e 1</w:t>
      </w:r>
      <w:r w:rsidRPr="00262910">
        <w:rPr>
          <w:lang w:val="fr-FR"/>
        </w:rPr>
        <w:t xml:space="preserve"> à </w:t>
      </w:r>
      <w:r w:rsidR="00F87571">
        <w:rPr>
          <w:lang w:val="fr-FR"/>
        </w:rPr>
        <w:t>2</w:t>
      </w:r>
      <w:r w:rsidRPr="00262910">
        <w:rPr>
          <w:lang w:val="fr-FR"/>
        </w:rPr>
        <w:t xml:space="preserve"> ans </w:t>
      </w:r>
      <w:r>
        <w:rPr>
          <w:lang w:val="fr-FR"/>
        </w:rPr>
        <w:t xml:space="preserve">non accueillis dans un établissement préscolaire </w:t>
      </w:r>
      <w:r w:rsidRPr="00262910">
        <w:rPr>
          <w:lang w:val="fr-FR"/>
        </w:rPr>
        <w:t>peuvent recevoir une allocation</w:t>
      </w:r>
      <w:r>
        <w:rPr>
          <w:lang w:val="fr-FR"/>
        </w:rPr>
        <w:t xml:space="preserve"> mensuelle pour soins </w:t>
      </w:r>
      <w:r w:rsidRPr="00262910">
        <w:rPr>
          <w:lang w:val="fr-FR"/>
        </w:rPr>
        <w:t>de 7</w:t>
      </w:r>
      <w:r w:rsidR="00F87571">
        <w:rPr>
          <w:lang w:val="fr-FR"/>
        </w:rPr>
        <w:t> </w:t>
      </w:r>
      <w:r w:rsidRPr="00262910">
        <w:rPr>
          <w:lang w:val="fr-FR"/>
        </w:rPr>
        <w:t>500</w:t>
      </w:r>
      <w:r w:rsidR="00F87571">
        <w:rPr>
          <w:lang w:val="fr-FR"/>
        </w:rPr>
        <w:t> </w:t>
      </w:r>
      <w:r w:rsidRPr="00262910">
        <w:rPr>
          <w:lang w:val="fr-FR"/>
        </w:rPr>
        <w:t>couronnes norvégiennes.</w:t>
      </w:r>
    </w:p>
    <w:p w:rsidR="001771B8" w:rsidRPr="00262910" w:rsidRDefault="001771B8" w:rsidP="001771B8">
      <w:pPr>
        <w:pStyle w:val="SingleTxtG"/>
        <w:rPr>
          <w:lang w:val="fr-FR"/>
        </w:rPr>
      </w:pPr>
      <w:r w:rsidRPr="00262910">
        <w:rPr>
          <w:lang w:val="fr-FR"/>
        </w:rPr>
        <w:t>32.</w:t>
      </w:r>
      <w:r w:rsidRPr="00262910">
        <w:rPr>
          <w:lang w:val="fr-FR"/>
        </w:rPr>
        <w:tab/>
      </w:r>
      <w:r w:rsidRPr="00C37473">
        <w:rPr>
          <w:lang w:val="fr-FR"/>
        </w:rPr>
        <w:t xml:space="preserve">Il convient </w:t>
      </w:r>
      <w:r>
        <w:rPr>
          <w:lang w:val="fr-FR"/>
        </w:rPr>
        <w:t xml:space="preserve">de signaler au </w:t>
      </w:r>
      <w:r w:rsidRPr="00262910">
        <w:rPr>
          <w:lang w:val="fr-FR"/>
        </w:rPr>
        <w:t xml:space="preserve">Comité que les allocations </w:t>
      </w:r>
      <w:r>
        <w:rPr>
          <w:lang w:val="fr-FR"/>
        </w:rPr>
        <w:t xml:space="preserve">pour enfant </w:t>
      </w:r>
      <w:r w:rsidRPr="00262910">
        <w:rPr>
          <w:lang w:val="fr-FR"/>
        </w:rPr>
        <w:t xml:space="preserve">ont été augmentées </w:t>
      </w:r>
      <w:r>
        <w:rPr>
          <w:lang w:val="fr-FR"/>
        </w:rPr>
        <w:t xml:space="preserve">avec effet au </w:t>
      </w:r>
      <w:r w:rsidRPr="00262910">
        <w:rPr>
          <w:lang w:val="fr-FR"/>
        </w:rPr>
        <w:t>1</w:t>
      </w:r>
      <w:r w:rsidRPr="00A3520F">
        <w:rPr>
          <w:vertAlign w:val="superscript"/>
          <w:lang w:val="fr-FR"/>
        </w:rPr>
        <w:t>er</w:t>
      </w:r>
      <w:r w:rsidRPr="00262910">
        <w:rPr>
          <w:lang w:val="fr-FR"/>
        </w:rPr>
        <w:t xml:space="preserve"> mars 2019. </w:t>
      </w:r>
      <w:r>
        <w:rPr>
          <w:lang w:val="fr-FR"/>
        </w:rPr>
        <w:t>L</w:t>
      </w:r>
      <w:r w:rsidRPr="00262910">
        <w:rPr>
          <w:lang w:val="fr-FR"/>
        </w:rPr>
        <w:t>es parents re</w:t>
      </w:r>
      <w:r>
        <w:rPr>
          <w:lang w:val="fr-FR"/>
        </w:rPr>
        <w:t xml:space="preserve">çoivent à présent </w:t>
      </w:r>
      <w:r w:rsidRPr="00C37473">
        <w:rPr>
          <w:lang w:val="fr-FR"/>
        </w:rPr>
        <w:t>p</w:t>
      </w:r>
      <w:r>
        <w:rPr>
          <w:lang w:val="fr-FR"/>
        </w:rPr>
        <w:t xml:space="preserve">our un </w:t>
      </w:r>
      <w:r w:rsidRPr="00C37473">
        <w:rPr>
          <w:lang w:val="fr-FR"/>
        </w:rPr>
        <w:t xml:space="preserve">enfant </w:t>
      </w:r>
      <w:r>
        <w:rPr>
          <w:lang w:val="fr-FR"/>
        </w:rPr>
        <w:t xml:space="preserve">une allocation mensuelle de </w:t>
      </w:r>
      <w:r w:rsidRPr="00262910">
        <w:rPr>
          <w:lang w:val="fr-FR"/>
        </w:rPr>
        <w:t>1</w:t>
      </w:r>
      <w:r w:rsidR="00E010CD">
        <w:rPr>
          <w:lang w:val="fr-FR"/>
        </w:rPr>
        <w:t> </w:t>
      </w:r>
      <w:r w:rsidRPr="00262910">
        <w:rPr>
          <w:lang w:val="fr-FR"/>
        </w:rPr>
        <w:t>054</w:t>
      </w:r>
      <w:r w:rsidR="00E010CD">
        <w:rPr>
          <w:lang w:val="fr-FR"/>
        </w:rPr>
        <w:t> </w:t>
      </w:r>
      <w:r w:rsidRPr="00262910">
        <w:rPr>
          <w:lang w:val="fr-FR"/>
        </w:rPr>
        <w:t xml:space="preserve">couronnes norvégiennes. Les parents isolés ont droit à une allocation </w:t>
      </w:r>
      <w:r>
        <w:rPr>
          <w:lang w:val="fr-FR"/>
        </w:rPr>
        <w:t xml:space="preserve">mensuelle </w:t>
      </w:r>
      <w:r w:rsidRPr="00262910">
        <w:rPr>
          <w:lang w:val="fr-FR"/>
        </w:rPr>
        <w:t xml:space="preserve">supplémentaire </w:t>
      </w:r>
      <w:r>
        <w:rPr>
          <w:lang w:val="fr-FR"/>
        </w:rPr>
        <w:t xml:space="preserve">de </w:t>
      </w:r>
      <w:r w:rsidRPr="00262910">
        <w:rPr>
          <w:lang w:val="fr-FR"/>
        </w:rPr>
        <w:t>1</w:t>
      </w:r>
      <w:r w:rsidR="00E010CD">
        <w:rPr>
          <w:lang w:val="fr-FR"/>
        </w:rPr>
        <w:t> </w:t>
      </w:r>
      <w:r w:rsidRPr="00262910">
        <w:rPr>
          <w:lang w:val="fr-FR"/>
        </w:rPr>
        <w:t>054</w:t>
      </w:r>
      <w:r w:rsidR="00E010CD">
        <w:rPr>
          <w:lang w:val="fr-FR"/>
        </w:rPr>
        <w:t> </w:t>
      </w:r>
      <w:r w:rsidRPr="00A3520F">
        <w:rPr>
          <w:lang w:val="fr-FR"/>
        </w:rPr>
        <w:t>couronnes norvégiennes</w:t>
      </w:r>
      <w:r w:rsidRPr="00262910">
        <w:rPr>
          <w:lang w:val="fr-FR"/>
        </w:rPr>
        <w:t xml:space="preserve">. </w:t>
      </w:r>
      <w:r>
        <w:rPr>
          <w:lang w:val="fr-FR"/>
        </w:rPr>
        <w:t>U</w:t>
      </w:r>
      <w:r w:rsidRPr="00C37473">
        <w:rPr>
          <w:lang w:val="fr-FR"/>
        </w:rPr>
        <w:t>ne allocation complémentaire d</w:t>
      </w:r>
      <w:r>
        <w:rPr>
          <w:lang w:val="fr-FR"/>
        </w:rPr>
        <w:t>’</w:t>
      </w:r>
      <w:r w:rsidRPr="00C37473">
        <w:rPr>
          <w:lang w:val="fr-FR"/>
        </w:rPr>
        <w:t>un montant mensuel de 660</w:t>
      </w:r>
      <w:r w:rsidR="00E010CD">
        <w:rPr>
          <w:lang w:val="fr-FR"/>
        </w:rPr>
        <w:t> </w:t>
      </w:r>
      <w:r w:rsidRPr="00C37473">
        <w:rPr>
          <w:lang w:val="fr-FR"/>
        </w:rPr>
        <w:t xml:space="preserve">couronnes norvégiennes </w:t>
      </w:r>
      <w:r>
        <w:rPr>
          <w:lang w:val="fr-FR"/>
        </w:rPr>
        <w:t xml:space="preserve">est versée aux </w:t>
      </w:r>
      <w:r w:rsidRPr="00262910">
        <w:rPr>
          <w:lang w:val="fr-FR"/>
        </w:rPr>
        <w:t xml:space="preserve">parents isolés </w:t>
      </w:r>
      <w:r>
        <w:rPr>
          <w:lang w:val="fr-FR"/>
        </w:rPr>
        <w:t xml:space="preserve">ayant des </w:t>
      </w:r>
      <w:r w:rsidRPr="00262910">
        <w:rPr>
          <w:lang w:val="fr-FR"/>
        </w:rPr>
        <w:t xml:space="preserve">enfants de moins de </w:t>
      </w:r>
      <w:r w:rsidR="00E010CD">
        <w:rPr>
          <w:lang w:val="fr-FR"/>
        </w:rPr>
        <w:t>3</w:t>
      </w:r>
      <w:r w:rsidRPr="00262910">
        <w:rPr>
          <w:lang w:val="fr-FR"/>
        </w:rPr>
        <w:t xml:space="preserve"> ans, qui ont </w:t>
      </w:r>
      <w:r>
        <w:rPr>
          <w:lang w:val="fr-FR"/>
        </w:rPr>
        <w:t xml:space="preserve">aussi </w:t>
      </w:r>
      <w:r w:rsidRPr="00262910">
        <w:rPr>
          <w:lang w:val="fr-FR"/>
        </w:rPr>
        <w:t xml:space="preserve">droit à </w:t>
      </w:r>
      <w:r>
        <w:rPr>
          <w:lang w:val="fr-FR"/>
        </w:rPr>
        <w:t>l’</w:t>
      </w:r>
      <w:r w:rsidRPr="00262910">
        <w:rPr>
          <w:lang w:val="fr-FR"/>
        </w:rPr>
        <w:t>allocation supplémentaire et à une prestation transitoire complète conformément à la loi sur l</w:t>
      </w:r>
      <w:r>
        <w:rPr>
          <w:lang w:val="fr-FR"/>
        </w:rPr>
        <w:t>’</w:t>
      </w:r>
      <w:r w:rsidRPr="00262910">
        <w:rPr>
          <w:lang w:val="fr-FR"/>
        </w:rPr>
        <w:t>assurance nationale.</w:t>
      </w:r>
    </w:p>
    <w:p w:rsidR="001771B8" w:rsidRPr="00262910" w:rsidRDefault="001771B8" w:rsidP="00E010CD">
      <w:pPr>
        <w:pStyle w:val="H1G"/>
        <w:rPr>
          <w:lang w:val="fr-FR"/>
        </w:rPr>
      </w:pPr>
      <w:r w:rsidRPr="00262910">
        <w:rPr>
          <w:lang w:val="fr-FR"/>
        </w:rPr>
        <w:tab/>
      </w:r>
      <w:r w:rsidRPr="00262910">
        <w:rPr>
          <w:lang w:val="fr-FR"/>
        </w:rPr>
        <w:tab/>
      </w:r>
      <w:r w:rsidRPr="00C37473">
        <w:rPr>
          <w:lang w:val="fr-FR"/>
        </w:rPr>
        <w:t>Réponse</w:t>
      </w:r>
      <w:r w:rsidRPr="005E2B6D">
        <w:rPr>
          <w:lang w:val="fr-FR"/>
        </w:rPr>
        <w:t xml:space="preserve"> au paragraphe</w:t>
      </w:r>
      <w:r w:rsidRPr="00262910">
        <w:rPr>
          <w:lang w:val="fr-FR"/>
        </w:rPr>
        <w:t xml:space="preserve"> 5 de la liste de points</w:t>
      </w:r>
    </w:p>
    <w:p w:rsidR="001771B8" w:rsidRPr="00262910" w:rsidRDefault="001771B8" w:rsidP="001771B8">
      <w:pPr>
        <w:pStyle w:val="SingleTxtG"/>
        <w:rPr>
          <w:lang w:val="fr-FR"/>
        </w:rPr>
      </w:pPr>
      <w:r w:rsidRPr="00262910">
        <w:rPr>
          <w:lang w:val="fr-FR"/>
        </w:rPr>
        <w:t>33.</w:t>
      </w:r>
      <w:r w:rsidRPr="00262910">
        <w:rPr>
          <w:lang w:val="fr-FR"/>
        </w:rPr>
        <w:tab/>
        <w:t>L</w:t>
      </w:r>
      <w:r>
        <w:rPr>
          <w:lang w:val="fr-FR"/>
        </w:rPr>
        <w:t>’</w:t>
      </w:r>
      <w:r w:rsidRPr="00262910">
        <w:rPr>
          <w:lang w:val="fr-FR"/>
        </w:rPr>
        <w:t>Institution nationale des droits de l</w:t>
      </w:r>
      <w:r>
        <w:rPr>
          <w:lang w:val="fr-FR"/>
        </w:rPr>
        <w:t>’</w:t>
      </w:r>
      <w:r w:rsidRPr="00262910">
        <w:rPr>
          <w:lang w:val="fr-FR"/>
        </w:rPr>
        <w:t xml:space="preserve">homme </w:t>
      </w:r>
      <w:r>
        <w:rPr>
          <w:lang w:val="fr-FR"/>
        </w:rPr>
        <w:t xml:space="preserve">de la Norvège </w:t>
      </w:r>
      <w:r w:rsidRPr="00262910">
        <w:rPr>
          <w:lang w:val="fr-FR"/>
        </w:rPr>
        <w:t>a obtenu</w:t>
      </w:r>
      <w:r>
        <w:rPr>
          <w:lang w:val="fr-FR"/>
        </w:rPr>
        <w:t>, en juin 2017,</w:t>
      </w:r>
      <w:r w:rsidRPr="00262910">
        <w:rPr>
          <w:lang w:val="fr-FR"/>
        </w:rPr>
        <w:t xml:space="preserve"> le statut d</w:t>
      </w:r>
      <w:r>
        <w:rPr>
          <w:lang w:val="fr-FR"/>
        </w:rPr>
        <w:t>’</w:t>
      </w:r>
      <w:r w:rsidRPr="00262910">
        <w:rPr>
          <w:lang w:val="fr-FR"/>
        </w:rPr>
        <w:t>accréditation « A » auprès de l</w:t>
      </w:r>
      <w:r>
        <w:rPr>
          <w:lang w:val="fr-FR"/>
        </w:rPr>
        <w:t>’</w:t>
      </w:r>
      <w:r w:rsidRPr="00262910">
        <w:rPr>
          <w:lang w:val="fr-FR"/>
        </w:rPr>
        <w:t>Alliance globale des institutions nationales des droits de l</w:t>
      </w:r>
      <w:r>
        <w:rPr>
          <w:lang w:val="fr-FR"/>
        </w:rPr>
        <w:t>’</w:t>
      </w:r>
      <w:r w:rsidRPr="00262910">
        <w:rPr>
          <w:lang w:val="fr-FR"/>
        </w:rPr>
        <w:t xml:space="preserve">homme. </w:t>
      </w:r>
      <w:r>
        <w:rPr>
          <w:lang w:val="fr-FR"/>
        </w:rPr>
        <w:t xml:space="preserve">Elle a </w:t>
      </w:r>
      <w:r w:rsidRPr="00262910">
        <w:rPr>
          <w:lang w:val="fr-FR"/>
        </w:rPr>
        <w:t>pour mandat général de promouvoir et protéger les droits de l</w:t>
      </w:r>
      <w:r>
        <w:rPr>
          <w:lang w:val="fr-FR"/>
        </w:rPr>
        <w:t>’</w:t>
      </w:r>
      <w:r w:rsidRPr="00262910">
        <w:rPr>
          <w:lang w:val="fr-FR"/>
        </w:rPr>
        <w:t xml:space="preserve">homme conformément à la Constitution, à la loi </w:t>
      </w:r>
      <w:r>
        <w:rPr>
          <w:lang w:val="fr-FR"/>
        </w:rPr>
        <w:t xml:space="preserve">sur les </w:t>
      </w:r>
      <w:r w:rsidRPr="00262910">
        <w:rPr>
          <w:lang w:val="fr-FR"/>
        </w:rPr>
        <w:t>droits de l</w:t>
      </w:r>
      <w:r>
        <w:rPr>
          <w:lang w:val="fr-FR"/>
        </w:rPr>
        <w:t>’</w:t>
      </w:r>
      <w:r w:rsidRPr="00262910">
        <w:rPr>
          <w:lang w:val="fr-FR"/>
        </w:rPr>
        <w:t>homme et à d</w:t>
      </w:r>
      <w:r>
        <w:rPr>
          <w:lang w:val="fr-FR"/>
        </w:rPr>
        <w:t>’</w:t>
      </w:r>
      <w:r w:rsidRPr="00262910">
        <w:rPr>
          <w:lang w:val="fr-FR"/>
        </w:rPr>
        <w:t>autres lois, ainsi qu</w:t>
      </w:r>
      <w:r>
        <w:rPr>
          <w:lang w:val="fr-FR"/>
        </w:rPr>
        <w:t>’</w:t>
      </w:r>
      <w:r w:rsidRPr="00262910">
        <w:rPr>
          <w:lang w:val="fr-FR"/>
        </w:rPr>
        <w:t xml:space="preserve">aux </w:t>
      </w:r>
      <w:r>
        <w:rPr>
          <w:lang w:val="fr-FR"/>
        </w:rPr>
        <w:t xml:space="preserve">instruments </w:t>
      </w:r>
      <w:r w:rsidRPr="00262910">
        <w:rPr>
          <w:lang w:val="fr-FR"/>
        </w:rPr>
        <w:t>internationaux</w:t>
      </w:r>
      <w:r>
        <w:rPr>
          <w:lang w:val="fr-FR"/>
        </w:rPr>
        <w:t xml:space="preserve"> et au droit international</w:t>
      </w:r>
      <w:r w:rsidRPr="00262910">
        <w:rPr>
          <w:lang w:val="fr-FR"/>
        </w:rPr>
        <w:t xml:space="preserve">. </w:t>
      </w:r>
      <w:r>
        <w:rPr>
          <w:lang w:val="fr-FR"/>
        </w:rPr>
        <w:t xml:space="preserve">Son mandat couvre </w:t>
      </w:r>
      <w:r w:rsidRPr="00262910">
        <w:rPr>
          <w:lang w:val="fr-FR"/>
        </w:rPr>
        <w:t xml:space="preserve">les droits économiques, sociaux et culturels. </w:t>
      </w:r>
      <w:r>
        <w:rPr>
          <w:lang w:val="fr-FR"/>
        </w:rPr>
        <w:t xml:space="preserve">Elle </w:t>
      </w:r>
      <w:r w:rsidRPr="00262910">
        <w:rPr>
          <w:lang w:val="fr-FR"/>
        </w:rPr>
        <w:t>n</w:t>
      </w:r>
      <w:r>
        <w:rPr>
          <w:lang w:val="fr-FR"/>
        </w:rPr>
        <w:t xml:space="preserve">’a pas mandat de recevoir des </w:t>
      </w:r>
      <w:r w:rsidRPr="00262910">
        <w:rPr>
          <w:lang w:val="fr-FR"/>
        </w:rPr>
        <w:t xml:space="preserve">plaintes individuelles. </w:t>
      </w:r>
    </w:p>
    <w:p w:rsidR="001771B8" w:rsidRPr="00262910" w:rsidRDefault="001771B8" w:rsidP="001771B8">
      <w:pPr>
        <w:pStyle w:val="SingleTxtG"/>
        <w:rPr>
          <w:lang w:val="fr-FR"/>
        </w:rPr>
      </w:pPr>
      <w:r w:rsidRPr="00262910">
        <w:rPr>
          <w:lang w:val="fr-FR"/>
        </w:rPr>
        <w:t>34.</w:t>
      </w:r>
      <w:r w:rsidRPr="00262910">
        <w:rPr>
          <w:lang w:val="fr-FR"/>
        </w:rPr>
        <w:tab/>
      </w:r>
      <w:r w:rsidRPr="002C36C5">
        <w:rPr>
          <w:lang w:val="fr-FR"/>
        </w:rPr>
        <w:t>L</w:t>
      </w:r>
      <w:r>
        <w:rPr>
          <w:lang w:val="fr-FR"/>
        </w:rPr>
        <w:t>’</w:t>
      </w:r>
      <w:r w:rsidRPr="002C36C5">
        <w:rPr>
          <w:lang w:val="fr-FR"/>
        </w:rPr>
        <w:t>Institution est dotée d</w:t>
      </w:r>
      <w:r>
        <w:rPr>
          <w:lang w:val="fr-FR"/>
        </w:rPr>
        <w:t>’</w:t>
      </w:r>
      <w:r w:rsidRPr="002C36C5">
        <w:rPr>
          <w:lang w:val="fr-FR"/>
        </w:rPr>
        <w:t>un</w:t>
      </w:r>
      <w:r w:rsidRPr="00262910">
        <w:rPr>
          <w:lang w:val="fr-FR"/>
        </w:rPr>
        <w:t xml:space="preserve"> cadre juridique robuste. La loi de 2015 </w:t>
      </w:r>
      <w:r>
        <w:rPr>
          <w:lang w:val="fr-FR"/>
        </w:rPr>
        <w:t xml:space="preserve">sur </w:t>
      </w:r>
      <w:r w:rsidRPr="00262910">
        <w:rPr>
          <w:lang w:val="fr-FR"/>
        </w:rPr>
        <w:t>l</w:t>
      </w:r>
      <w:r>
        <w:rPr>
          <w:lang w:val="fr-FR"/>
        </w:rPr>
        <w:t>’</w:t>
      </w:r>
      <w:r w:rsidRPr="00262910">
        <w:rPr>
          <w:lang w:val="fr-FR"/>
        </w:rPr>
        <w:t>Institution nationale norvégienne des droits de l</w:t>
      </w:r>
      <w:r>
        <w:rPr>
          <w:lang w:val="fr-FR"/>
        </w:rPr>
        <w:t>’</w:t>
      </w:r>
      <w:r w:rsidRPr="00262910">
        <w:rPr>
          <w:lang w:val="fr-FR"/>
        </w:rPr>
        <w:t>homme et son règlement d</w:t>
      </w:r>
      <w:r>
        <w:rPr>
          <w:lang w:val="fr-FR"/>
        </w:rPr>
        <w:t>’</w:t>
      </w:r>
      <w:r w:rsidRPr="00262910">
        <w:rPr>
          <w:lang w:val="fr-FR"/>
        </w:rPr>
        <w:t xml:space="preserve">application définissent </w:t>
      </w:r>
      <w:r>
        <w:rPr>
          <w:lang w:val="fr-FR"/>
        </w:rPr>
        <w:t xml:space="preserve">son </w:t>
      </w:r>
      <w:r w:rsidRPr="00262910">
        <w:rPr>
          <w:lang w:val="fr-FR"/>
        </w:rPr>
        <w:t xml:space="preserve">mandat et </w:t>
      </w:r>
      <w:r>
        <w:rPr>
          <w:lang w:val="fr-FR"/>
        </w:rPr>
        <w:t>se</w:t>
      </w:r>
      <w:r w:rsidRPr="00262910">
        <w:rPr>
          <w:lang w:val="fr-FR"/>
        </w:rPr>
        <w:t>s fonctions, les règles de nomination d</w:t>
      </w:r>
      <w:r>
        <w:rPr>
          <w:lang w:val="fr-FR"/>
        </w:rPr>
        <w:t xml:space="preserve">e son </w:t>
      </w:r>
      <w:r w:rsidRPr="00262910">
        <w:rPr>
          <w:lang w:val="fr-FR"/>
        </w:rPr>
        <w:t>directeur et d</w:t>
      </w:r>
      <w:r>
        <w:rPr>
          <w:lang w:val="fr-FR"/>
        </w:rPr>
        <w:t>’</w:t>
      </w:r>
      <w:r w:rsidRPr="00262910">
        <w:rPr>
          <w:lang w:val="fr-FR"/>
        </w:rPr>
        <w:t xml:space="preserve">un conseil </w:t>
      </w:r>
      <w:r>
        <w:rPr>
          <w:lang w:val="fr-FR"/>
        </w:rPr>
        <w:t xml:space="preserve">en charge de sa </w:t>
      </w:r>
      <w:r w:rsidRPr="00262910">
        <w:rPr>
          <w:lang w:val="fr-FR"/>
        </w:rPr>
        <w:t>gestion et les devoirs du directeur et du conseil. L</w:t>
      </w:r>
      <w:r>
        <w:rPr>
          <w:lang w:val="fr-FR"/>
        </w:rPr>
        <w:t>’</w:t>
      </w:r>
      <w:r w:rsidRPr="00262910">
        <w:rPr>
          <w:lang w:val="fr-FR"/>
        </w:rPr>
        <w:t>Institution est organisée sous l</w:t>
      </w:r>
      <w:r>
        <w:rPr>
          <w:lang w:val="fr-FR"/>
        </w:rPr>
        <w:t>’</w:t>
      </w:r>
      <w:r w:rsidRPr="00262910">
        <w:rPr>
          <w:lang w:val="fr-FR"/>
        </w:rPr>
        <w:t xml:space="preserve">égide du Storting mais est totalement indépendante. Les autorités, y compris le Storting, ne peuvent </w:t>
      </w:r>
      <w:r>
        <w:rPr>
          <w:lang w:val="fr-FR"/>
        </w:rPr>
        <w:t xml:space="preserve">adresser à </w:t>
      </w:r>
      <w:r w:rsidRPr="00262910">
        <w:rPr>
          <w:lang w:val="fr-FR"/>
        </w:rPr>
        <w:t>l</w:t>
      </w:r>
      <w:r>
        <w:rPr>
          <w:lang w:val="fr-FR"/>
        </w:rPr>
        <w:t>’I</w:t>
      </w:r>
      <w:r w:rsidRPr="00262910">
        <w:rPr>
          <w:lang w:val="fr-FR"/>
        </w:rPr>
        <w:t>nstitution</w:t>
      </w:r>
      <w:r>
        <w:rPr>
          <w:lang w:val="fr-FR"/>
        </w:rPr>
        <w:t xml:space="preserve"> d’instructions concernant </w:t>
      </w:r>
      <w:r w:rsidRPr="00262910">
        <w:rPr>
          <w:lang w:val="fr-FR"/>
        </w:rPr>
        <w:t xml:space="preserve">des questions opérationnelles ou de fond. </w:t>
      </w:r>
    </w:p>
    <w:p w:rsidR="001771B8" w:rsidRPr="00262910" w:rsidRDefault="001771B8" w:rsidP="001771B8">
      <w:pPr>
        <w:pStyle w:val="SingleTxtG"/>
        <w:rPr>
          <w:lang w:val="fr-FR"/>
        </w:rPr>
      </w:pPr>
      <w:r w:rsidRPr="00262910">
        <w:rPr>
          <w:lang w:val="fr-FR"/>
        </w:rPr>
        <w:t>35.</w:t>
      </w:r>
      <w:r w:rsidRPr="00262910">
        <w:rPr>
          <w:lang w:val="fr-FR"/>
        </w:rPr>
        <w:tab/>
      </w:r>
      <w:r w:rsidRPr="00046908">
        <w:rPr>
          <w:lang w:val="fr-FR"/>
        </w:rPr>
        <w:t>La loi précitée</w:t>
      </w:r>
      <w:r w:rsidRPr="0002751E">
        <w:rPr>
          <w:lang w:val="fr-FR"/>
        </w:rPr>
        <w:t xml:space="preserve"> dispose</w:t>
      </w:r>
      <w:r w:rsidRPr="00262910">
        <w:rPr>
          <w:lang w:val="fr-FR"/>
        </w:rPr>
        <w:t xml:space="preserve"> que l</w:t>
      </w:r>
      <w:r>
        <w:rPr>
          <w:lang w:val="fr-FR"/>
        </w:rPr>
        <w:t>’I</w:t>
      </w:r>
      <w:r w:rsidRPr="00262910">
        <w:rPr>
          <w:lang w:val="fr-FR"/>
        </w:rPr>
        <w:t>nstitution faciliter</w:t>
      </w:r>
      <w:r>
        <w:rPr>
          <w:lang w:val="fr-FR"/>
        </w:rPr>
        <w:t>a</w:t>
      </w:r>
      <w:r w:rsidRPr="00262910">
        <w:rPr>
          <w:lang w:val="fr-FR"/>
        </w:rPr>
        <w:t xml:space="preserve"> la coopération avec les organismes publics compétents s</w:t>
      </w:r>
      <w:r>
        <w:rPr>
          <w:lang w:val="fr-FR"/>
        </w:rPr>
        <w:t>’</w:t>
      </w:r>
      <w:r w:rsidRPr="00262910">
        <w:rPr>
          <w:lang w:val="fr-FR"/>
        </w:rPr>
        <w:t>occup</w:t>
      </w:r>
      <w:r>
        <w:rPr>
          <w:lang w:val="fr-FR"/>
        </w:rPr>
        <w:t>a</w:t>
      </w:r>
      <w:r w:rsidRPr="00262910">
        <w:rPr>
          <w:lang w:val="fr-FR"/>
        </w:rPr>
        <w:t>nt des droits de l</w:t>
      </w:r>
      <w:r>
        <w:rPr>
          <w:lang w:val="fr-FR"/>
        </w:rPr>
        <w:t>’</w:t>
      </w:r>
      <w:r w:rsidRPr="00262910">
        <w:rPr>
          <w:lang w:val="fr-FR"/>
        </w:rPr>
        <w:t xml:space="preserve">homme, y compris les </w:t>
      </w:r>
      <w:r>
        <w:rPr>
          <w:lang w:val="fr-FR"/>
        </w:rPr>
        <w:t>bureaux des différents m</w:t>
      </w:r>
      <w:r w:rsidRPr="00262910">
        <w:rPr>
          <w:lang w:val="fr-FR"/>
        </w:rPr>
        <w:t>édiateur</w:t>
      </w:r>
      <w:r>
        <w:rPr>
          <w:lang w:val="fr-FR"/>
        </w:rPr>
        <w:t>s</w:t>
      </w:r>
      <w:r w:rsidRPr="00262910">
        <w:rPr>
          <w:lang w:val="fr-FR"/>
        </w:rPr>
        <w:t>. La coopération de l</w:t>
      </w:r>
      <w:r>
        <w:rPr>
          <w:lang w:val="fr-FR"/>
        </w:rPr>
        <w:t>’I</w:t>
      </w:r>
      <w:r w:rsidRPr="00262910">
        <w:rPr>
          <w:lang w:val="fr-FR"/>
        </w:rPr>
        <w:t xml:space="preserve">nstitution avec les </w:t>
      </w:r>
      <w:r>
        <w:rPr>
          <w:lang w:val="fr-FR"/>
        </w:rPr>
        <w:t>m</w:t>
      </w:r>
      <w:r w:rsidRPr="00262910">
        <w:rPr>
          <w:lang w:val="fr-FR"/>
        </w:rPr>
        <w:t>édiateur</w:t>
      </w:r>
      <w:r>
        <w:rPr>
          <w:lang w:val="fr-FR"/>
        </w:rPr>
        <w:t>s</w:t>
      </w:r>
      <w:r w:rsidRPr="00262910">
        <w:rPr>
          <w:lang w:val="fr-FR"/>
        </w:rPr>
        <w:t>, ainsi qu</w:t>
      </w:r>
      <w:r>
        <w:rPr>
          <w:lang w:val="fr-FR"/>
        </w:rPr>
        <w:t>’</w:t>
      </w:r>
      <w:r w:rsidRPr="00262910">
        <w:rPr>
          <w:lang w:val="fr-FR"/>
        </w:rPr>
        <w:t xml:space="preserve">avec la société civile et les autorités, contribue à systématiser les efforts nationaux en </w:t>
      </w:r>
      <w:r>
        <w:rPr>
          <w:lang w:val="fr-FR"/>
        </w:rPr>
        <w:t xml:space="preserve">faveur des </w:t>
      </w:r>
      <w:r w:rsidRPr="00262910">
        <w:rPr>
          <w:lang w:val="fr-FR"/>
        </w:rPr>
        <w:t>droits de l</w:t>
      </w:r>
      <w:r>
        <w:rPr>
          <w:lang w:val="fr-FR"/>
        </w:rPr>
        <w:t>’</w:t>
      </w:r>
      <w:r w:rsidRPr="00262910">
        <w:rPr>
          <w:lang w:val="fr-FR"/>
        </w:rPr>
        <w:t xml:space="preserve">homme et à assurer </w:t>
      </w:r>
      <w:r>
        <w:rPr>
          <w:lang w:val="fr-FR"/>
        </w:rPr>
        <w:t xml:space="preserve">ainsi la </w:t>
      </w:r>
      <w:r w:rsidRPr="00262910">
        <w:rPr>
          <w:lang w:val="fr-FR"/>
        </w:rPr>
        <w:t>protection globale de ces droits. Avant l</w:t>
      </w:r>
      <w:r>
        <w:rPr>
          <w:lang w:val="fr-FR"/>
        </w:rPr>
        <w:t>’</w:t>
      </w:r>
      <w:r w:rsidRPr="00262910">
        <w:rPr>
          <w:lang w:val="fr-FR"/>
        </w:rPr>
        <w:t>examen d</w:t>
      </w:r>
      <w:r>
        <w:rPr>
          <w:lang w:val="fr-FR"/>
        </w:rPr>
        <w:t xml:space="preserve">’un rapport de la </w:t>
      </w:r>
      <w:r w:rsidRPr="00262910">
        <w:rPr>
          <w:lang w:val="fr-FR"/>
        </w:rPr>
        <w:t xml:space="preserve">Norvège </w:t>
      </w:r>
      <w:r>
        <w:rPr>
          <w:lang w:val="fr-FR"/>
        </w:rPr>
        <w:t xml:space="preserve">par un </w:t>
      </w:r>
      <w:r w:rsidRPr="00262910">
        <w:rPr>
          <w:lang w:val="fr-FR"/>
        </w:rPr>
        <w:t>organe conventionnel</w:t>
      </w:r>
      <w:r>
        <w:rPr>
          <w:lang w:val="fr-FR"/>
        </w:rPr>
        <w:t xml:space="preserve">, </w:t>
      </w:r>
      <w:r w:rsidRPr="00262910">
        <w:rPr>
          <w:lang w:val="fr-FR"/>
        </w:rPr>
        <w:t>l</w:t>
      </w:r>
      <w:r>
        <w:rPr>
          <w:lang w:val="fr-FR"/>
        </w:rPr>
        <w:t>’I</w:t>
      </w:r>
      <w:r w:rsidRPr="00262910">
        <w:rPr>
          <w:lang w:val="fr-FR"/>
        </w:rPr>
        <w:t xml:space="preserve">nstitution, en collaboration avec le </w:t>
      </w:r>
      <w:r>
        <w:rPr>
          <w:lang w:val="fr-FR"/>
        </w:rPr>
        <w:t>m</w:t>
      </w:r>
      <w:r w:rsidRPr="00262910">
        <w:rPr>
          <w:lang w:val="fr-FR"/>
        </w:rPr>
        <w:t xml:space="preserve">édiateur </w:t>
      </w:r>
      <w:r>
        <w:rPr>
          <w:lang w:val="fr-FR"/>
        </w:rPr>
        <w:t>concerné</w:t>
      </w:r>
      <w:r w:rsidRPr="00262910">
        <w:rPr>
          <w:lang w:val="fr-FR"/>
        </w:rPr>
        <w:t xml:space="preserve">, </w:t>
      </w:r>
      <w:r w:rsidRPr="0002751E">
        <w:rPr>
          <w:lang w:val="fr-FR"/>
        </w:rPr>
        <w:t xml:space="preserve">organise </w:t>
      </w:r>
      <w:r w:rsidRPr="00262910">
        <w:rPr>
          <w:lang w:val="fr-FR"/>
        </w:rPr>
        <w:t xml:space="preserve">des réunions auxquelles les organisations de la société civile sont invitées à </w:t>
      </w:r>
      <w:r>
        <w:rPr>
          <w:lang w:val="fr-FR"/>
        </w:rPr>
        <w:t xml:space="preserve">procéder à un échange de renseignements sur </w:t>
      </w:r>
      <w:r w:rsidRPr="00262910">
        <w:rPr>
          <w:lang w:val="fr-FR"/>
        </w:rPr>
        <w:t>les procédures d</w:t>
      </w:r>
      <w:r>
        <w:rPr>
          <w:lang w:val="fr-FR"/>
        </w:rPr>
        <w:t>’</w:t>
      </w:r>
      <w:r w:rsidRPr="00262910">
        <w:rPr>
          <w:lang w:val="fr-FR"/>
        </w:rPr>
        <w:t xml:space="preserve">établissement </w:t>
      </w:r>
      <w:r>
        <w:rPr>
          <w:lang w:val="fr-FR"/>
        </w:rPr>
        <w:t xml:space="preserve">et d’examen du </w:t>
      </w:r>
      <w:r w:rsidRPr="00262910">
        <w:rPr>
          <w:lang w:val="fr-FR"/>
        </w:rPr>
        <w:t>rapport</w:t>
      </w:r>
      <w:r>
        <w:rPr>
          <w:lang w:val="fr-FR"/>
        </w:rPr>
        <w:t xml:space="preserve"> national</w:t>
      </w:r>
      <w:r w:rsidRPr="00262910">
        <w:rPr>
          <w:lang w:val="fr-FR"/>
        </w:rPr>
        <w:t>. L</w:t>
      </w:r>
      <w:r>
        <w:rPr>
          <w:lang w:val="fr-FR"/>
        </w:rPr>
        <w:t>’I</w:t>
      </w:r>
      <w:r w:rsidRPr="00262910">
        <w:rPr>
          <w:lang w:val="fr-FR"/>
        </w:rPr>
        <w:t xml:space="preserve">nstitution </w:t>
      </w:r>
      <w:r>
        <w:rPr>
          <w:lang w:val="fr-FR"/>
        </w:rPr>
        <w:t>est dotée d’</w:t>
      </w:r>
      <w:r w:rsidRPr="00262910">
        <w:rPr>
          <w:lang w:val="fr-FR"/>
        </w:rPr>
        <w:t xml:space="preserve">un comité consultatif composé de membres </w:t>
      </w:r>
      <w:r>
        <w:rPr>
          <w:lang w:val="fr-FR"/>
        </w:rPr>
        <w:t xml:space="preserve">des bureaux du </w:t>
      </w:r>
      <w:r w:rsidRPr="00262910">
        <w:rPr>
          <w:lang w:val="fr-FR"/>
        </w:rPr>
        <w:t>Médiateur pour l</w:t>
      </w:r>
      <w:r>
        <w:rPr>
          <w:lang w:val="fr-FR"/>
        </w:rPr>
        <w:t>’</w:t>
      </w:r>
      <w:r w:rsidRPr="00262910">
        <w:rPr>
          <w:lang w:val="fr-FR"/>
        </w:rPr>
        <w:t xml:space="preserve">égalité et la lutte contre la discrimination, du Médiateur du </w:t>
      </w:r>
      <w:r w:rsidR="000F080B" w:rsidRPr="00262910">
        <w:rPr>
          <w:lang w:val="fr-FR"/>
        </w:rPr>
        <w:t>P</w:t>
      </w:r>
      <w:r w:rsidRPr="00262910">
        <w:rPr>
          <w:lang w:val="fr-FR"/>
        </w:rPr>
        <w:t>arlement pour l</w:t>
      </w:r>
      <w:r>
        <w:rPr>
          <w:lang w:val="fr-FR"/>
        </w:rPr>
        <w:t>’</w:t>
      </w:r>
      <w:r w:rsidRPr="00262910">
        <w:rPr>
          <w:lang w:val="fr-FR"/>
        </w:rPr>
        <w:t>administration publique</w:t>
      </w:r>
      <w:r>
        <w:rPr>
          <w:lang w:val="fr-FR"/>
        </w:rPr>
        <w:t xml:space="preserve"> et</w:t>
      </w:r>
      <w:r w:rsidRPr="00262910">
        <w:rPr>
          <w:lang w:val="fr-FR"/>
        </w:rPr>
        <w:t xml:space="preserve"> du Médiateur pour les enfants et la société civile.</w:t>
      </w:r>
    </w:p>
    <w:p w:rsidR="001771B8" w:rsidRPr="00262910" w:rsidRDefault="001771B8" w:rsidP="001771B8">
      <w:pPr>
        <w:pStyle w:val="SingleTxtG"/>
        <w:rPr>
          <w:lang w:val="fr-FR"/>
        </w:rPr>
      </w:pPr>
      <w:r w:rsidRPr="00262910">
        <w:rPr>
          <w:lang w:val="fr-FR"/>
        </w:rPr>
        <w:t>36.</w:t>
      </w:r>
      <w:r w:rsidRPr="00262910">
        <w:rPr>
          <w:lang w:val="fr-FR"/>
        </w:rPr>
        <w:tab/>
      </w:r>
      <w:r w:rsidRPr="00FE199A">
        <w:rPr>
          <w:lang w:val="fr-FR"/>
        </w:rPr>
        <w:t>Tout citoyen peut</w:t>
      </w:r>
      <w:r w:rsidRPr="00262910">
        <w:rPr>
          <w:lang w:val="fr-FR"/>
        </w:rPr>
        <w:t xml:space="preserve"> saisir le Médiateur pour le</w:t>
      </w:r>
      <w:r>
        <w:rPr>
          <w:lang w:val="fr-FR"/>
        </w:rPr>
        <w:t>s patients et les usagers des services de</w:t>
      </w:r>
      <w:r w:rsidRPr="00262910">
        <w:rPr>
          <w:lang w:val="fr-FR"/>
        </w:rPr>
        <w:t xml:space="preserve"> santé </w:t>
      </w:r>
      <w:r>
        <w:rPr>
          <w:lang w:val="fr-FR"/>
        </w:rPr>
        <w:t>en vue d’</w:t>
      </w:r>
      <w:r w:rsidRPr="00262910">
        <w:rPr>
          <w:lang w:val="fr-FR"/>
        </w:rPr>
        <w:t xml:space="preserve">obtenir des conseils et </w:t>
      </w:r>
      <w:r>
        <w:rPr>
          <w:lang w:val="fr-FR"/>
        </w:rPr>
        <w:t xml:space="preserve">une assistance </w:t>
      </w:r>
      <w:r w:rsidRPr="00262910">
        <w:rPr>
          <w:lang w:val="fr-FR"/>
        </w:rPr>
        <w:t xml:space="preserve">concernant leurs besoins en </w:t>
      </w:r>
      <w:r>
        <w:rPr>
          <w:lang w:val="fr-FR"/>
        </w:rPr>
        <w:t xml:space="preserve">la </w:t>
      </w:r>
      <w:r w:rsidRPr="00262910">
        <w:rPr>
          <w:lang w:val="fr-FR"/>
        </w:rPr>
        <w:t xml:space="preserve">matière. </w:t>
      </w:r>
      <w:r>
        <w:rPr>
          <w:lang w:val="fr-FR"/>
        </w:rPr>
        <w:t xml:space="preserve">En vertu de </w:t>
      </w:r>
      <w:r w:rsidRPr="00262910">
        <w:rPr>
          <w:lang w:val="fr-FR"/>
        </w:rPr>
        <w:t xml:space="preserve">la loi sur les droits des </w:t>
      </w:r>
      <w:r>
        <w:rPr>
          <w:lang w:val="fr-FR"/>
        </w:rPr>
        <w:t xml:space="preserve">patients </w:t>
      </w:r>
      <w:r w:rsidRPr="00262910">
        <w:rPr>
          <w:lang w:val="fr-FR"/>
        </w:rPr>
        <w:t>et des u</w:t>
      </w:r>
      <w:r>
        <w:rPr>
          <w:lang w:val="fr-FR"/>
        </w:rPr>
        <w:t>sagers des services de santé</w:t>
      </w:r>
      <w:r w:rsidRPr="00262910">
        <w:rPr>
          <w:lang w:val="fr-FR"/>
        </w:rPr>
        <w:t xml:space="preserve">, le </w:t>
      </w:r>
      <w:r>
        <w:rPr>
          <w:lang w:val="fr-FR"/>
        </w:rPr>
        <w:t>M</w:t>
      </w:r>
      <w:r w:rsidRPr="00262910">
        <w:rPr>
          <w:lang w:val="fr-FR"/>
        </w:rPr>
        <w:t xml:space="preserve">édiateur a accès à </w:t>
      </w:r>
      <w:r>
        <w:rPr>
          <w:lang w:val="fr-FR"/>
        </w:rPr>
        <w:t xml:space="preserve">l’ensemble des </w:t>
      </w:r>
      <w:r w:rsidRPr="00262910">
        <w:rPr>
          <w:lang w:val="fr-FR"/>
        </w:rPr>
        <w:t xml:space="preserve">documents et </w:t>
      </w:r>
      <w:r>
        <w:rPr>
          <w:lang w:val="fr-FR"/>
        </w:rPr>
        <w:t xml:space="preserve">des </w:t>
      </w:r>
      <w:r w:rsidRPr="00262910">
        <w:rPr>
          <w:lang w:val="fr-FR"/>
        </w:rPr>
        <w:t xml:space="preserve">installations </w:t>
      </w:r>
      <w:r>
        <w:rPr>
          <w:lang w:val="fr-FR"/>
        </w:rPr>
        <w:t xml:space="preserve">pour </w:t>
      </w:r>
      <w:r w:rsidRPr="00262910">
        <w:rPr>
          <w:lang w:val="fr-FR"/>
        </w:rPr>
        <w:t>l</w:t>
      </w:r>
      <w:r>
        <w:rPr>
          <w:lang w:val="fr-FR"/>
        </w:rPr>
        <w:t>’</w:t>
      </w:r>
      <w:r w:rsidRPr="00262910">
        <w:rPr>
          <w:lang w:val="fr-FR"/>
        </w:rPr>
        <w:t>exercice de ses fonctions.</w:t>
      </w:r>
    </w:p>
    <w:p w:rsidR="001771B8" w:rsidRPr="00262910" w:rsidRDefault="001771B8" w:rsidP="000F080B">
      <w:pPr>
        <w:pStyle w:val="H1G"/>
        <w:rPr>
          <w:lang w:val="fr-FR"/>
        </w:rPr>
      </w:pPr>
      <w:r w:rsidRPr="00262910">
        <w:rPr>
          <w:lang w:val="fr-FR"/>
        </w:rPr>
        <w:tab/>
      </w:r>
      <w:r w:rsidRPr="00262910">
        <w:rPr>
          <w:lang w:val="fr-FR"/>
        </w:rPr>
        <w:tab/>
      </w:r>
      <w:r w:rsidRPr="007D6031">
        <w:rPr>
          <w:lang w:val="fr-FR"/>
        </w:rPr>
        <w:t>Réponse</w:t>
      </w:r>
      <w:r w:rsidRPr="00262910">
        <w:rPr>
          <w:lang w:val="fr-FR"/>
        </w:rPr>
        <w:t xml:space="preserve"> au paragraphe 6 de la liste de points</w:t>
      </w:r>
    </w:p>
    <w:p w:rsidR="001771B8" w:rsidRPr="00262910" w:rsidRDefault="001771B8" w:rsidP="001771B8">
      <w:pPr>
        <w:pStyle w:val="SingleTxtG"/>
        <w:rPr>
          <w:lang w:val="fr-FR"/>
        </w:rPr>
      </w:pPr>
      <w:r w:rsidRPr="00262910">
        <w:rPr>
          <w:lang w:val="fr-FR"/>
        </w:rPr>
        <w:t>37.</w:t>
      </w:r>
      <w:r w:rsidRPr="00262910">
        <w:rPr>
          <w:lang w:val="fr-FR"/>
        </w:rPr>
        <w:tab/>
      </w:r>
      <w:r w:rsidRPr="006D01FA">
        <w:rPr>
          <w:lang w:val="fr-FR"/>
        </w:rPr>
        <w:t>Le système d</w:t>
      </w:r>
      <w:r>
        <w:rPr>
          <w:lang w:val="fr-FR"/>
        </w:rPr>
        <w:t>’</w:t>
      </w:r>
      <w:r w:rsidRPr="006D01FA">
        <w:rPr>
          <w:lang w:val="fr-FR"/>
        </w:rPr>
        <w:t>aide</w:t>
      </w:r>
      <w:r w:rsidRPr="00453A81">
        <w:rPr>
          <w:lang w:val="fr-FR"/>
        </w:rPr>
        <w:t xml:space="preserve"> juridictionnelle</w:t>
      </w:r>
      <w:r w:rsidRPr="00262910">
        <w:rPr>
          <w:lang w:val="fr-FR"/>
        </w:rPr>
        <w:t xml:space="preserve"> </w:t>
      </w:r>
      <w:r>
        <w:rPr>
          <w:lang w:val="fr-FR"/>
        </w:rPr>
        <w:t>de la N</w:t>
      </w:r>
      <w:r w:rsidRPr="00262910">
        <w:rPr>
          <w:lang w:val="fr-FR"/>
        </w:rPr>
        <w:t>orv</w:t>
      </w:r>
      <w:r>
        <w:rPr>
          <w:lang w:val="fr-FR"/>
        </w:rPr>
        <w:t xml:space="preserve">ège a pour ambition </w:t>
      </w:r>
      <w:r w:rsidRPr="00262910">
        <w:rPr>
          <w:lang w:val="fr-FR"/>
        </w:rPr>
        <w:t xml:space="preserve">de garantir </w:t>
      </w:r>
      <w:r>
        <w:rPr>
          <w:lang w:val="fr-FR"/>
        </w:rPr>
        <w:t xml:space="preserve">à toute </w:t>
      </w:r>
      <w:r w:rsidRPr="00262910">
        <w:rPr>
          <w:lang w:val="fr-FR"/>
        </w:rPr>
        <w:t>personne</w:t>
      </w:r>
      <w:r>
        <w:rPr>
          <w:lang w:val="fr-FR"/>
        </w:rPr>
        <w:t xml:space="preserve"> qui n’a pas</w:t>
      </w:r>
      <w:r w:rsidRPr="00262910">
        <w:rPr>
          <w:lang w:val="fr-FR"/>
        </w:rPr>
        <w:t xml:space="preserve"> les moyens financiers</w:t>
      </w:r>
      <w:r w:rsidRPr="00E11D03">
        <w:rPr>
          <w:lang w:val="fr-FR"/>
        </w:rPr>
        <w:t xml:space="preserve"> </w:t>
      </w:r>
      <w:r>
        <w:rPr>
          <w:lang w:val="fr-FR"/>
        </w:rPr>
        <w:t xml:space="preserve">nécessaires pour prendre un avocat les conseils juridiques dont elle a besoin, qui </w:t>
      </w:r>
      <w:r w:rsidRPr="00262910">
        <w:rPr>
          <w:lang w:val="fr-FR"/>
        </w:rPr>
        <w:t>revêt</w:t>
      </w:r>
      <w:r>
        <w:rPr>
          <w:lang w:val="fr-FR"/>
        </w:rPr>
        <w:t>ent</w:t>
      </w:r>
      <w:r w:rsidRPr="00262910">
        <w:rPr>
          <w:lang w:val="fr-FR"/>
        </w:rPr>
        <w:t xml:space="preserve"> une grande importance pour </w:t>
      </w:r>
      <w:r>
        <w:rPr>
          <w:lang w:val="fr-FR"/>
        </w:rPr>
        <w:t>elle e</w:t>
      </w:r>
      <w:r w:rsidRPr="00262910">
        <w:rPr>
          <w:lang w:val="fr-FR"/>
        </w:rPr>
        <w:t xml:space="preserve">t son bien-être. </w:t>
      </w:r>
    </w:p>
    <w:p w:rsidR="001771B8" w:rsidRPr="00262910" w:rsidRDefault="001771B8" w:rsidP="001771B8">
      <w:pPr>
        <w:pStyle w:val="SingleTxtG"/>
        <w:rPr>
          <w:lang w:val="fr-FR"/>
        </w:rPr>
      </w:pPr>
      <w:r w:rsidRPr="00262910">
        <w:rPr>
          <w:lang w:val="fr-FR"/>
        </w:rPr>
        <w:t>38.</w:t>
      </w:r>
      <w:r w:rsidRPr="00262910">
        <w:rPr>
          <w:lang w:val="fr-FR"/>
        </w:rPr>
        <w:tab/>
        <w:t xml:space="preserve">Dans </w:t>
      </w:r>
      <w:r>
        <w:rPr>
          <w:lang w:val="fr-FR"/>
        </w:rPr>
        <w:t xml:space="preserve">ce </w:t>
      </w:r>
      <w:r w:rsidRPr="00262910">
        <w:rPr>
          <w:lang w:val="fr-FR"/>
        </w:rPr>
        <w:t xml:space="preserve">système </w:t>
      </w:r>
      <w:r>
        <w:rPr>
          <w:lang w:val="fr-FR"/>
        </w:rPr>
        <w:t xml:space="preserve">une </w:t>
      </w:r>
      <w:r w:rsidRPr="00262910">
        <w:rPr>
          <w:lang w:val="fr-FR"/>
        </w:rPr>
        <w:t>distinction</w:t>
      </w:r>
      <w:r>
        <w:rPr>
          <w:lang w:val="fr-FR"/>
        </w:rPr>
        <w:t xml:space="preserve"> est </w:t>
      </w:r>
      <w:r w:rsidRPr="00262910">
        <w:rPr>
          <w:lang w:val="fr-FR"/>
        </w:rPr>
        <w:t xml:space="preserve">établie entre les affaires </w:t>
      </w:r>
      <w:r>
        <w:rPr>
          <w:lang w:val="fr-FR"/>
        </w:rPr>
        <w:t xml:space="preserve">non </w:t>
      </w:r>
      <w:bookmarkStart w:id="2" w:name="_Hlk29360956"/>
      <w:r w:rsidRPr="00262910">
        <w:rPr>
          <w:lang w:val="fr-FR"/>
        </w:rPr>
        <w:t>soumises à</w:t>
      </w:r>
      <w:r>
        <w:rPr>
          <w:lang w:val="fr-FR"/>
        </w:rPr>
        <w:t xml:space="preserve"> conditions de </w:t>
      </w:r>
      <w:r w:rsidRPr="00262910">
        <w:rPr>
          <w:lang w:val="fr-FR"/>
        </w:rPr>
        <w:t>ressources</w:t>
      </w:r>
      <w:bookmarkEnd w:id="2"/>
      <w:r w:rsidRPr="00262910">
        <w:rPr>
          <w:lang w:val="fr-FR"/>
        </w:rPr>
        <w:t>, les affaires soumises à</w:t>
      </w:r>
      <w:r>
        <w:rPr>
          <w:lang w:val="fr-FR"/>
        </w:rPr>
        <w:t xml:space="preserve"> conditions </w:t>
      </w:r>
      <w:r w:rsidRPr="00262910">
        <w:rPr>
          <w:lang w:val="fr-FR"/>
        </w:rPr>
        <w:t>de ressources et les affaires non prioritaires. Dans certain</w:t>
      </w:r>
      <w:r>
        <w:rPr>
          <w:lang w:val="fr-FR"/>
        </w:rPr>
        <w:t xml:space="preserve">es affaires </w:t>
      </w:r>
      <w:r w:rsidRPr="00262910">
        <w:rPr>
          <w:lang w:val="fr-FR"/>
        </w:rPr>
        <w:t xml:space="preserve">particulièrement </w:t>
      </w:r>
      <w:r>
        <w:rPr>
          <w:lang w:val="fr-FR"/>
        </w:rPr>
        <w:t xml:space="preserve">délicates, </w:t>
      </w:r>
      <w:r w:rsidRPr="00262910">
        <w:rPr>
          <w:lang w:val="fr-FR"/>
        </w:rPr>
        <w:t xml:space="preserve">par exemple </w:t>
      </w:r>
      <w:r>
        <w:rPr>
          <w:lang w:val="fr-FR"/>
        </w:rPr>
        <w:t xml:space="preserve">en matière de </w:t>
      </w:r>
      <w:r w:rsidRPr="00262910">
        <w:rPr>
          <w:lang w:val="fr-FR"/>
        </w:rPr>
        <w:t>protection de l</w:t>
      </w:r>
      <w:r>
        <w:rPr>
          <w:lang w:val="fr-FR"/>
        </w:rPr>
        <w:t>’</w:t>
      </w:r>
      <w:r w:rsidRPr="00262910">
        <w:rPr>
          <w:lang w:val="fr-FR"/>
        </w:rPr>
        <w:t xml:space="preserve">enfance et de mesures </w:t>
      </w:r>
      <w:r>
        <w:rPr>
          <w:lang w:val="fr-FR"/>
        </w:rPr>
        <w:t xml:space="preserve">de contrainte </w:t>
      </w:r>
      <w:r w:rsidRPr="00262910">
        <w:rPr>
          <w:lang w:val="fr-FR"/>
        </w:rPr>
        <w:t>dans le secteur de la santé, l</w:t>
      </w:r>
      <w:r>
        <w:rPr>
          <w:lang w:val="fr-FR"/>
        </w:rPr>
        <w:t>’</w:t>
      </w:r>
      <w:r w:rsidRPr="00262910">
        <w:rPr>
          <w:lang w:val="fr-FR"/>
        </w:rPr>
        <w:t>aide juridictionnelle est fournie quels que soient les revenus ou les avoirs de la personne</w:t>
      </w:r>
      <w:r>
        <w:rPr>
          <w:lang w:val="fr-FR"/>
        </w:rPr>
        <w:t xml:space="preserve"> concernée</w:t>
      </w:r>
      <w:r w:rsidRPr="00262910">
        <w:rPr>
          <w:lang w:val="fr-FR"/>
        </w:rPr>
        <w:t xml:space="preserve">. </w:t>
      </w:r>
    </w:p>
    <w:p w:rsidR="001771B8" w:rsidRPr="00262910" w:rsidRDefault="001771B8" w:rsidP="001771B8">
      <w:pPr>
        <w:pStyle w:val="SingleTxtG"/>
        <w:rPr>
          <w:lang w:val="fr-FR"/>
        </w:rPr>
      </w:pPr>
      <w:r w:rsidRPr="00262910">
        <w:rPr>
          <w:lang w:val="fr-FR"/>
        </w:rPr>
        <w:t>39.</w:t>
      </w:r>
      <w:r w:rsidRPr="00262910">
        <w:rPr>
          <w:lang w:val="fr-FR"/>
        </w:rPr>
        <w:tab/>
      </w:r>
      <w:r>
        <w:rPr>
          <w:lang w:val="fr-FR"/>
        </w:rPr>
        <w:t>D</w:t>
      </w:r>
      <w:r w:rsidRPr="00262910">
        <w:rPr>
          <w:lang w:val="fr-FR"/>
        </w:rPr>
        <w:t xml:space="preserve">es </w:t>
      </w:r>
      <w:r>
        <w:rPr>
          <w:lang w:val="fr-FR"/>
        </w:rPr>
        <w:t xml:space="preserve">seuils de </w:t>
      </w:r>
      <w:r w:rsidRPr="00262910">
        <w:rPr>
          <w:lang w:val="fr-FR"/>
        </w:rPr>
        <w:t xml:space="preserve">revenu et </w:t>
      </w:r>
      <w:r>
        <w:rPr>
          <w:lang w:val="fr-FR"/>
        </w:rPr>
        <w:t xml:space="preserve">de patrimoine </w:t>
      </w:r>
      <w:r w:rsidRPr="00262910">
        <w:rPr>
          <w:lang w:val="fr-FR"/>
        </w:rPr>
        <w:t xml:space="preserve">sont </w:t>
      </w:r>
      <w:r>
        <w:rPr>
          <w:lang w:val="fr-FR"/>
        </w:rPr>
        <w:t>fixés</w:t>
      </w:r>
      <w:r w:rsidRPr="00622988">
        <w:rPr>
          <w:lang w:val="fr-FR"/>
        </w:rPr>
        <w:t xml:space="preserve"> </w:t>
      </w:r>
      <w:r>
        <w:rPr>
          <w:lang w:val="fr-FR"/>
        </w:rPr>
        <w:t>d</w:t>
      </w:r>
      <w:r w:rsidRPr="00622988">
        <w:rPr>
          <w:lang w:val="fr-FR"/>
        </w:rPr>
        <w:t>ans les affaires soumises à</w:t>
      </w:r>
      <w:r>
        <w:rPr>
          <w:lang w:val="fr-FR"/>
        </w:rPr>
        <w:t xml:space="preserve"> </w:t>
      </w:r>
      <w:r w:rsidRPr="00622988">
        <w:rPr>
          <w:lang w:val="fr-FR"/>
        </w:rPr>
        <w:t>conditions de ressources</w:t>
      </w:r>
      <w:r>
        <w:rPr>
          <w:lang w:val="fr-FR"/>
        </w:rPr>
        <w:t xml:space="preserve">, à savoir : litiges matrimoniaux, successoraux, </w:t>
      </w:r>
      <w:r w:rsidRPr="00262910">
        <w:rPr>
          <w:lang w:val="fr-FR"/>
        </w:rPr>
        <w:t>parentaux</w:t>
      </w:r>
      <w:r>
        <w:rPr>
          <w:lang w:val="fr-FR"/>
        </w:rPr>
        <w:t xml:space="preserve"> ; </w:t>
      </w:r>
      <w:r w:rsidRPr="00262910">
        <w:rPr>
          <w:lang w:val="fr-FR"/>
        </w:rPr>
        <w:t>indemnisation de préjudices corporels</w:t>
      </w:r>
      <w:r>
        <w:rPr>
          <w:lang w:val="fr-FR"/>
        </w:rPr>
        <w:t xml:space="preserve"> ; </w:t>
      </w:r>
      <w:r w:rsidRPr="00262910">
        <w:rPr>
          <w:lang w:val="fr-FR"/>
        </w:rPr>
        <w:t>expulsion</w:t>
      </w:r>
      <w:r>
        <w:rPr>
          <w:lang w:val="fr-FR"/>
        </w:rPr>
        <w:t xml:space="preserve"> ; licenciement ; </w:t>
      </w:r>
      <w:r w:rsidRPr="00262910">
        <w:rPr>
          <w:lang w:val="fr-FR"/>
        </w:rPr>
        <w:t>indemnisation des victimes d</w:t>
      </w:r>
      <w:r>
        <w:rPr>
          <w:lang w:val="fr-FR"/>
        </w:rPr>
        <w:t>’</w:t>
      </w:r>
      <w:r w:rsidRPr="00262910">
        <w:rPr>
          <w:lang w:val="fr-FR"/>
        </w:rPr>
        <w:t>actes criminels</w:t>
      </w:r>
      <w:r>
        <w:rPr>
          <w:lang w:val="fr-FR"/>
        </w:rPr>
        <w:t> ; q</w:t>
      </w:r>
      <w:r w:rsidRPr="00262910">
        <w:rPr>
          <w:lang w:val="fr-FR"/>
        </w:rPr>
        <w:t>uestions d</w:t>
      </w:r>
      <w:r>
        <w:rPr>
          <w:lang w:val="fr-FR"/>
        </w:rPr>
        <w:t>’</w:t>
      </w:r>
      <w:r w:rsidRPr="00262910">
        <w:rPr>
          <w:lang w:val="fr-FR"/>
        </w:rPr>
        <w:t xml:space="preserve">assurance nationale. </w:t>
      </w:r>
    </w:p>
    <w:p w:rsidR="001771B8" w:rsidRPr="00262910" w:rsidRDefault="001771B8" w:rsidP="001771B8">
      <w:pPr>
        <w:pStyle w:val="SingleTxtG"/>
        <w:rPr>
          <w:lang w:val="fr-FR"/>
        </w:rPr>
      </w:pPr>
      <w:r w:rsidRPr="00262910">
        <w:rPr>
          <w:lang w:val="fr-FR"/>
        </w:rPr>
        <w:t>40.</w:t>
      </w:r>
      <w:r w:rsidRPr="00262910">
        <w:rPr>
          <w:lang w:val="fr-FR"/>
        </w:rPr>
        <w:tab/>
        <w:t>Le seuil de revenu détermin</w:t>
      </w:r>
      <w:r>
        <w:rPr>
          <w:lang w:val="fr-FR"/>
        </w:rPr>
        <w:t xml:space="preserve">ant </w:t>
      </w:r>
      <w:r w:rsidRPr="00262910">
        <w:rPr>
          <w:lang w:val="fr-FR"/>
        </w:rPr>
        <w:t xml:space="preserve">si une personne a droit </w:t>
      </w:r>
      <w:r w:rsidRPr="006D01FA">
        <w:rPr>
          <w:lang w:val="fr-FR"/>
        </w:rPr>
        <w:t xml:space="preserve">ou non </w:t>
      </w:r>
      <w:r w:rsidRPr="00262910">
        <w:rPr>
          <w:lang w:val="fr-FR"/>
        </w:rPr>
        <w:t>à l</w:t>
      </w:r>
      <w:r>
        <w:rPr>
          <w:lang w:val="fr-FR"/>
        </w:rPr>
        <w:t>’</w:t>
      </w:r>
      <w:r w:rsidRPr="00262910">
        <w:rPr>
          <w:lang w:val="fr-FR"/>
        </w:rPr>
        <w:t>aide juridictionnelle gratuite est de 246</w:t>
      </w:r>
      <w:r w:rsidR="000F080B">
        <w:rPr>
          <w:lang w:val="fr-FR"/>
        </w:rPr>
        <w:t> </w:t>
      </w:r>
      <w:r w:rsidRPr="00262910">
        <w:rPr>
          <w:lang w:val="fr-FR"/>
        </w:rPr>
        <w:t>000</w:t>
      </w:r>
      <w:r w:rsidR="000F080B">
        <w:rPr>
          <w:lang w:val="fr-FR"/>
        </w:rPr>
        <w:t> </w:t>
      </w:r>
      <w:r w:rsidRPr="00262910">
        <w:rPr>
          <w:lang w:val="fr-FR"/>
        </w:rPr>
        <w:t xml:space="preserve">couronnes norvégiennes pour </w:t>
      </w:r>
      <w:r>
        <w:rPr>
          <w:lang w:val="fr-FR"/>
        </w:rPr>
        <w:t>une personne c</w:t>
      </w:r>
      <w:r w:rsidRPr="00262910">
        <w:rPr>
          <w:lang w:val="fr-FR"/>
        </w:rPr>
        <w:t xml:space="preserve">élibataire et de 369 000 pour </w:t>
      </w:r>
      <w:r>
        <w:rPr>
          <w:lang w:val="fr-FR"/>
        </w:rPr>
        <w:t xml:space="preserve">un </w:t>
      </w:r>
      <w:r w:rsidRPr="00262910">
        <w:rPr>
          <w:lang w:val="fr-FR"/>
        </w:rPr>
        <w:t xml:space="preserve">couple marié </w:t>
      </w:r>
      <w:r>
        <w:rPr>
          <w:lang w:val="fr-FR"/>
        </w:rPr>
        <w:t>ou un couple de personnes q</w:t>
      </w:r>
      <w:r w:rsidRPr="00262910">
        <w:rPr>
          <w:lang w:val="fr-FR"/>
        </w:rPr>
        <w:t xml:space="preserve">ui cohabitent et </w:t>
      </w:r>
      <w:r>
        <w:rPr>
          <w:lang w:val="fr-FR"/>
        </w:rPr>
        <w:t xml:space="preserve">font caisse </w:t>
      </w:r>
      <w:r w:rsidRPr="00262910">
        <w:rPr>
          <w:lang w:val="fr-FR"/>
        </w:rPr>
        <w:t>commune. Le seuil d</w:t>
      </w:r>
      <w:r>
        <w:rPr>
          <w:lang w:val="fr-FR"/>
        </w:rPr>
        <w:t xml:space="preserve">e patrimoine est </w:t>
      </w:r>
      <w:r w:rsidRPr="00262910">
        <w:rPr>
          <w:lang w:val="fr-FR"/>
        </w:rPr>
        <w:t>de 100</w:t>
      </w:r>
      <w:r w:rsidR="000F080B">
        <w:rPr>
          <w:lang w:val="fr-FR"/>
        </w:rPr>
        <w:t> </w:t>
      </w:r>
      <w:r w:rsidRPr="00262910">
        <w:rPr>
          <w:lang w:val="fr-FR"/>
        </w:rPr>
        <w:t>000</w:t>
      </w:r>
      <w:r w:rsidR="000F080B">
        <w:rPr>
          <w:lang w:val="fr-FR"/>
        </w:rPr>
        <w:t> </w:t>
      </w:r>
      <w:r w:rsidRPr="00262910">
        <w:rPr>
          <w:lang w:val="fr-FR"/>
        </w:rPr>
        <w:t xml:space="preserve">couronnes norvégiennes. </w:t>
      </w:r>
      <w:r w:rsidRPr="00196CB7">
        <w:rPr>
          <w:lang w:val="fr-FR"/>
        </w:rPr>
        <w:t>En règle générale,</w:t>
      </w:r>
      <w:r w:rsidRPr="00262910">
        <w:rPr>
          <w:lang w:val="fr-FR"/>
        </w:rPr>
        <w:t xml:space="preserve"> les personnes qui bénéficient de l</w:t>
      </w:r>
      <w:r>
        <w:rPr>
          <w:lang w:val="fr-FR"/>
        </w:rPr>
        <w:t>’</w:t>
      </w:r>
      <w:r w:rsidRPr="00262910">
        <w:rPr>
          <w:lang w:val="fr-FR"/>
        </w:rPr>
        <w:t>aide juridictionnelle gratuite sous condition</w:t>
      </w:r>
      <w:r>
        <w:rPr>
          <w:lang w:val="fr-FR"/>
        </w:rPr>
        <w:t>s</w:t>
      </w:r>
      <w:r w:rsidRPr="00262910">
        <w:rPr>
          <w:lang w:val="fr-FR"/>
        </w:rPr>
        <w:t xml:space="preserve"> de ressources doivent payer une partie des frais. Le seuil de revenu a été ajusté pour la dernière fois en 2009. </w:t>
      </w:r>
    </w:p>
    <w:p w:rsidR="001771B8" w:rsidRPr="00262910" w:rsidRDefault="001771B8" w:rsidP="001771B8">
      <w:pPr>
        <w:pStyle w:val="SingleTxtG"/>
        <w:rPr>
          <w:lang w:val="fr-FR"/>
        </w:rPr>
      </w:pPr>
      <w:r w:rsidRPr="00262910">
        <w:rPr>
          <w:lang w:val="fr-FR"/>
        </w:rPr>
        <w:t>41.</w:t>
      </w:r>
      <w:r w:rsidRPr="00262910">
        <w:rPr>
          <w:lang w:val="fr-FR"/>
        </w:rPr>
        <w:tab/>
      </w:r>
      <w:r w:rsidRPr="00AB264C">
        <w:rPr>
          <w:lang w:val="fr-FR"/>
        </w:rPr>
        <w:t>En vertu des articles</w:t>
      </w:r>
      <w:r w:rsidRPr="00262910">
        <w:rPr>
          <w:lang w:val="fr-FR"/>
        </w:rPr>
        <w:t xml:space="preserve"> 11</w:t>
      </w:r>
      <w:r w:rsidR="00C66184">
        <w:rPr>
          <w:lang w:val="fr-FR"/>
        </w:rPr>
        <w:t> </w:t>
      </w:r>
      <w:r w:rsidRPr="00262910">
        <w:rPr>
          <w:lang w:val="fr-FR"/>
        </w:rPr>
        <w:t>3) et 16</w:t>
      </w:r>
      <w:r w:rsidR="00C66184">
        <w:rPr>
          <w:lang w:val="fr-FR"/>
        </w:rPr>
        <w:t> </w:t>
      </w:r>
      <w:r w:rsidRPr="00262910">
        <w:rPr>
          <w:lang w:val="fr-FR"/>
        </w:rPr>
        <w:t>3) de la loi sur l</w:t>
      </w:r>
      <w:r>
        <w:rPr>
          <w:lang w:val="fr-FR"/>
        </w:rPr>
        <w:t>’</w:t>
      </w:r>
      <w:r w:rsidRPr="00262910">
        <w:rPr>
          <w:lang w:val="fr-FR"/>
        </w:rPr>
        <w:t xml:space="preserve">aide juridictionnelle, </w:t>
      </w:r>
      <w:r>
        <w:rPr>
          <w:lang w:val="fr-FR"/>
        </w:rPr>
        <w:t>cette ai</w:t>
      </w:r>
      <w:r w:rsidRPr="00262910">
        <w:rPr>
          <w:lang w:val="fr-FR"/>
        </w:rPr>
        <w:t xml:space="preserve">de peut </w:t>
      </w:r>
      <w:r>
        <w:rPr>
          <w:lang w:val="fr-FR"/>
        </w:rPr>
        <w:t xml:space="preserve">à titre </w:t>
      </w:r>
      <w:r w:rsidRPr="00262910">
        <w:rPr>
          <w:lang w:val="fr-FR"/>
        </w:rPr>
        <w:t>exceptionnel être accordée dans d</w:t>
      </w:r>
      <w:r>
        <w:rPr>
          <w:lang w:val="fr-FR"/>
        </w:rPr>
        <w:t>’</w:t>
      </w:r>
      <w:r w:rsidRPr="00262910">
        <w:rPr>
          <w:lang w:val="fr-FR"/>
        </w:rPr>
        <w:t>autres cas que ceux énumérés dans la</w:t>
      </w:r>
      <w:r>
        <w:rPr>
          <w:lang w:val="fr-FR"/>
        </w:rPr>
        <w:t>dite</w:t>
      </w:r>
      <w:r w:rsidRPr="00262910">
        <w:rPr>
          <w:lang w:val="fr-FR"/>
        </w:rPr>
        <w:t xml:space="preserve"> loi (cas non prioritaires) si les conditions financières relatives aux seuils de revenu et de </w:t>
      </w:r>
      <w:r>
        <w:rPr>
          <w:lang w:val="fr-FR"/>
        </w:rPr>
        <w:t>patrimoine s</w:t>
      </w:r>
      <w:r w:rsidRPr="00262910">
        <w:rPr>
          <w:lang w:val="fr-FR"/>
        </w:rPr>
        <w:t xml:space="preserve">ont remplies et si </w:t>
      </w:r>
      <w:r>
        <w:rPr>
          <w:lang w:val="fr-FR"/>
        </w:rPr>
        <w:t xml:space="preserve">le </w:t>
      </w:r>
      <w:r w:rsidRPr="00262910">
        <w:rPr>
          <w:lang w:val="fr-FR"/>
        </w:rPr>
        <w:t>cas</w:t>
      </w:r>
      <w:r>
        <w:rPr>
          <w:lang w:val="fr-FR"/>
        </w:rPr>
        <w:t xml:space="preserve"> est,</w:t>
      </w:r>
      <w:r w:rsidRPr="00262910">
        <w:rPr>
          <w:lang w:val="fr-FR"/>
        </w:rPr>
        <w:t xml:space="preserve"> objecti</w:t>
      </w:r>
      <w:r>
        <w:rPr>
          <w:lang w:val="fr-FR"/>
        </w:rPr>
        <w:t xml:space="preserve">vement, </w:t>
      </w:r>
      <w:r w:rsidRPr="00262910">
        <w:rPr>
          <w:lang w:val="fr-FR"/>
        </w:rPr>
        <w:t xml:space="preserve">particulièrement </w:t>
      </w:r>
      <w:r>
        <w:rPr>
          <w:lang w:val="fr-FR"/>
        </w:rPr>
        <w:t xml:space="preserve">pressant </w:t>
      </w:r>
      <w:r w:rsidRPr="00262910">
        <w:rPr>
          <w:lang w:val="fr-FR"/>
        </w:rPr>
        <w:t xml:space="preserve">pour le demandeur. </w:t>
      </w:r>
      <w:r>
        <w:rPr>
          <w:lang w:val="fr-FR"/>
        </w:rPr>
        <w:t xml:space="preserve">Il s’agit alors de déterminer si le cas </w:t>
      </w:r>
      <w:r w:rsidRPr="00262910">
        <w:rPr>
          <w:lang w:val="fr-FR"/>
        </w:rPr>
        <w:t xml:space="preserve">présente des similitudes avec les </w:t>
      </w:r>
      <w:r>
        <w:rPr>
          <w:lang w:val="fr-FR"/>
        </w:rPr>
        <w:t xml:space="preserve">cas expressément </w:t>
      </w:r>
      <w:r w:rsidRPr="00262910">
        <w:rPr>
          <w:lang w:val="fr-FR"/>
        </w:rPr>
        <w:t>mentionnés dans la loi, les conséquences pour le demandeur, l</w:t>
      </w:r>
      <w:r>
        <w:rPr>
          <w:lang w:val="fr-FR"/>
        </w:rPr>
        <w:t>e montant de l’enjeu financier</w:t>
      </w:r>
      <w:r w:rsidRPr="00262910">
        <w:rPr>
          <w:lang w:val="fr-FR"/>
        </w:rPr>
        <w:t xml:space="preserve">, les ressources personnelles du demandeur et ses possibilités de pourvoir à ses propres intérêts. </w:t>
      </w:r>
    </w:p>
    <w:p w:rsidR="001771B8" w:rsidRPr="00262910" w:rsidRDefault="001771B8" w:rsidP="001771B8">
      <w:pPr>
        <w:pStyle w:val="SingleTxtG"/>
        <w:rPr>
          <w:lang w:val="fr-FR"/>
        </w:rPr>
      </w:pPr>
      <w:r w:rsidRPr="00262910">
        <w:rPr>
          <w:lang w:val="fr-FR"/>
        </w:rPr>
        <w:t>42.</w:t>
      </w:r>
      <w:r w:rsidRPr="00262910">
        <w:rPr>
          <w:lang w:val="fr-FR"/>
        </w:rPr>
        <w:tab/>
      </w:r>
      <w:r w:rsidRPr="00B35422">
        <w:rPr>
          <w:lang w:val="fr-FR"/>
        </w:rPr>
        <w:t>En vertu des</w:t>
      </w:r>
      <w:r w:rsidRPr="00262910">
        <w:rPr>
          <w:lang w:val="fr-FR"/>
        </w:rPr>
        <w:t xml:space="preserve"> articles 11</w:t>
      </w:r>
      <w:r w:rsidR="00C66184">
        <w:rPr>
          <w:lang w:val="fr-FR"/>
        </w:rPr>
        <w:t> </w:t>
      </w:r>
      <w:r w:rsidRPr="00262910">
        <w:rPr>
          <w:lang w:val="fr-FR"/>
        </w:rPr>
        <w:t>4) et 16</w:t>
      </w:r>
      <w:r w:rsidR="00C66184">
        <w:rPr>
          <w:lang w:val="fr-FR"/>
        </w:rPr>
        <w:t> </w:t>
      </w:r>
      <w:r w:rsidRPr="00262910">
        <w:rPr>
          <w:lang w:val="fr-FR"/>
        </w:rPr>
        <w:t xml:space="preserve">4) de </w:t>
      </w:r>
      <w:r>
        <w:rPr>
          <w:lang w:val="fr-FR"/>
        </w:rPr>
        <w:t xml:space="preserve">cette </w:t>
      </w:r>
      <w:r w:rsidRPr="00262910">
        <w:rPr>
          <w:lang w:val="fr-FR"/>
        </w:rPr>
        <w:t xml:space="preserve">loi, </w:t>
      </w:r>
      <w:r>
        <w:rPr>
          <w:lang w:val="fr-FR"/>
        </w:rPr>
        <w:t>l’</w:t>
      </w:r>
      <w:r w:rsidRPr="00554FB1">
        <w:rPr>
          <w:lang w:val="fr-FR"/>
        </w:rPr>
        <w:t xml:space="preserve">aide </w:t>
      </w:r>
      <w:r w:rsidRPr="00AB264C">
        <w:rPr>
          <w:lang w:val="fr-FR"/>
        </w:rPr>
        <w:t xml:space="preserve">juridictionnelle </w:t>
      </w:r>
      <w:r w:rsidRPr="00554FB1">
        <w:rPr>
          <w:lang w:val="fr-FR"/>
        </w:rPr>
        <w:t xml:space="preserve">peut aussi être accordée </w:t>
      </w:r>
      <w:r>
        <w:rPr>
          <w:lang w:val="fr-FR"/>
        </w:rPr>
        <w:t xml:space="preserve">à un </w:t>
      </w:r>
      <w:r w:rsidRPr="00262910">
        <w:rPr>
          <w:lang w:val="fr-FR"/>
        </w:rPr>
        <w:t>demandeur ne r</w:t>
      </w:r>
      <w:r>
        <w:rPr>
          <w:lang w:val="fr-FR"/>
        </w:rPr>
        <w:t>épondant pas aux conditions de ressources</w:t>
      </w:r>
      <w:r w:rsidRPr="00262910">
        <w:rPr>
          <w:lang w:val="fr-FR"/>
        </w:rPr>
        <w:t xml:space="preserve"> </w:t>
      </w:r>
      <w:r>
        <w:rPr>
          <w:lang w:val="fr-FR"/>
        </w:rPr>
        <w:t xml:space="preserve">si les </w:t>
      </w:r>
      <w:r w:rsidRPr="00262910">
        <w:rPr>
          <w:lang w:val="fr-FR"/>
        </w:rPr>
        <w:t xml:space="preserve">frais </w:t>
      </w:r>
      <w:r>
        <w:rPr>
          <w:lang w:val="fr-FR"/>
        </w:rPr>
        <w:t>qu’il lui faut assumer pour obtenir des conseils juridiques représentent une charge importante au regard de s</w:t>
      </w:r>
      <w:r w:rsidRPr="00262910">
        <w:rPr>
          <w:lang w:val="fr-FR"/>
        </w:rPr>
        <w:t xml:space="preserve">a situation financière. </w:t>
      </w:r>
      <w:r>
        <w:rPr>
          <w:lang w:val="fr-FR"/>
        </w:rPr>
        <w:t>Les critères d’appréciation sont</w:t>
      </w:r>
      <w:r w:rsidR="00C66184">
        <w:rPr>
          <w:lang w:val="fr-FR"/>
        </w:rPr>
        <w:t xml:space="preserve"> </w:t>
      </w:r>
      <w:r>
        <w:rPr>
          <w:lang w:val="fr-FR"/>
        </w:rPr>
        <w:t>alors</w:t>
      </w:r>
      <w:r w:rsidR="00C66184">
        <w:rPr>
          <w:lang w:val="fr-FR"/>
        </w:rPr>
        <w:t> </w:t>
      </w:r>
      <w:r>
        <w:rPr>
          <w:lang w:val="fr-FR"/>
        </w:rPr>
        <w:t xml:space="preserve">: </w:t>
      </w:r>
      <w:r w:rsidRPr="00262910">
        <w:rPr>
          <w:lang w:val="fr-FR"/>
        </w:rPr>
        <w:t>le revenu et le</w:t>
      </w:r>
      <w:r>
        <w:rPr>
          <w:lang w:val="fr-FR"/>
        </w:rPr>
        <w:t xml:space="preserve"> patrimoine </w:t>
      </w:r>
      <w:r w:rsidRPr="00262910">
        <w:rPr>
          <w:lang w:val="fr-FR"/>
        </w:rPr>
        <w:t xml:space="preserve">du demandeur, </w:t>
      </w:r>
      <w:r>
        <w:rPr>
          <w:lang w:val="fr-FR"/>
        </w:rPr>
        <w:t xml:space="preserve">le nombre éventuel d’enfants à sa charge, </w:t>
      </w:r>
      <w:r w:rsidRPr="00262910">
        <w:rPr>
          <w:lang w:val="fr-FR"/>
        </w:rPr>
        <w:t>l</w:t>
      </w:r>
      <w:r>
        <w:rPr>
          <w:lang w:val="fr-FR"/>
        </w:rPr>
        <w:t>’</w:t>
      </w:r>
      <w:r w:rsidRPr="00262910">
        <w:rPr>
          <w:lang w:val="fr-FR"/>
        </w:rPr>
        <w:t>objet du litige, le</w:t>
      </w:r>
      <w:r>
        <w:rPr>
          <w:lang w:val="fr-FR"/>
        </w:rPr>
        <w:t xml:space="preserve"> degré d’animosité e</w:t>
      </w:r>
      <w:r w:rsidRPr="00262910">
        <w:rPr>
          <w:lang w:val="fr-FR"/>
        </w:rPr>
        <w:t xml:space="preserve">ntre les parties, la quantité de documents, </w:t>
      </w:r>
      <w:r>
        <w:rPr>
          <w:lang w:val="fr-FR"/>
        </w:rPr>
        <w:t xml:space="preserve">l’horizon temporel, la nécessité pour le </w:t>
      </w:r>
      <w:r w:rsidRPr="00262910">
        <w:rPr>
          <w:lang w:val="fr-FR"/>
        </w:rPr>
        <w:t>demandeur d</w:t>
      </w:r>
      <w:r>
        <w:rPr>
          <w:lang w:val="fr-FR"/>
        </w:rPr>
        <w:t>’</w:t>
      </w:r>
      <w:r w:rsidRPr="00262910">
        <w:rPr>
          <w:lang w:val="fr-FR"/>
        </w:rPr>
        <w:t xml:space="preserve">une aide supérieure à la normale et </w:t>
      </w:r>
      <w:r>
        <w:rPr>
          <w:lang w:val="fr-FR"/>
        </w:rPr>
        <w:t xml:space="preserve">l’ampleur escomptée de </w:t>
      </w:r>
      <w:r w:rsidRPr="00262910">
        <w:rPr>
          <w:lang w:val="fr-FR"/>
        </w:rPr>
        <w:t>l</w:t>
      </w:r>
      <w:r>
        <w:rPr>
          <w:lang w:val="fr-FR"/>
        </w:rPr>
        <w:t>’</w:t>
      </w:r>
      <w:r w:rsidRPr="00262910">
        <w:rPr>
          <w:lang w:val="fr-FR"/>
        </w:rPr>
        <w:t xml:space="preserve">affaire. </w:t>
      </w:r>
    </w:p>
    <w:p w:rsidR="001771B8" w:rsidRPr="00262910" w:rsidRDefault="001771B8" w:rsidP="001771B8">
      <w:pPr>
        <w:pStyle w:val="SingleTxtG"/>
        <w:rPr>
          <w:lang w:val="fr-FR"/>
        </w:rPr>
      </w:pPr>
      <w:r w:rsidRPr="00262910">
        <w:rPr>
          <w:lang w:val="fr-FR"/>
        </w:rPr>
        <w:t>43.</w:t>
      </w:r>
      <w:r w:rsidRPr="00262910">
        <w:rPr>
          <w:lang w:val="fr-FR"/>
        </w:rPr>
        <w:tab/>
      </w:r>
      <w:r w:rsidRPr="000B382A">
        <w:rPr>
          <w:lang w:val="fr-FR"/>
        </w:rPr>
        <w:t>L</w:t>
      </w:r>
      <w:r>
        <w:rPr>
          <w:lang w:val="fr-FR"/>
        </w:rPr>
        <w:t>’</w:t>
      </w:r>
      <w:r w:rsidRPr="000B382A">
        <w:rPr>
          <w:lang w:val="fr-FR"/>
        </w:rPr>
        <w:t xml:space="preserve">État apporte </w:t>
      </w:r>
      <w:r w:rsidRPr="00B35422">
        <w:rPr>
          <w:lang w:val="fr-FR"/>
        </w:rPr>
        <w:t xml:space="preserve">un soutien </w:t>
      </w:r>
      <w:r w:rsidRPr="00262910">
        <w:rPr>
          <w:lang w:val="fr-FR"/>
        </w:rPr>
        <w:t>financ</w:t>
      </w:r>
      <w:r>
        <w:rPr>
          <w:lang w:val="fr-FR"/>
        </w:rPr>
        <w:t xml:space="preserve">ier à des </w:t>
      </w:r>
      <w:r w:rsidRPr="00262910">
        <w:rPr>
          <w:lang w:val="fr-FR"/>
        </w:rPr>
        <w:t xml:space="preserve">services </w:t>
      </w:r>
      <w:r>
        <w:rPr>
          <w:lang w:val="fr-FR"/>
        </w:rPr>
        <w:t>d’</w:t>
      </w:r>
      <w:r w:rsidRPr="00262910">
        <w:rPr>
          <w:lang w:val="fr-FR"/>
        </w:rPr>
        <w:t>aide juridictionnelle</w:t>
      </w:r>
      <w:r>
        <w:rPr>
          <w:lang w:val="fr-FR"/>
        </w:rPr>
        <w:t xml:space="preserve"> spéciale, à savoir des </w:t>
      </w:r>
      <w:r w:rsidRPr="00262910">
        <w:rPr>
          <w:lang w:val="fr-FR"/>
        </w:rPr>
        <w:t>organisations spécialisées dans la fourniture d</w:t>
      </w:r>
      <w:r>
        <w:rPr>
          <w:lang w:val="fr-FR"/>
        </w:rPr>
        <w:t xml:space="preserve">e conseils </w:t>
      </w:r>
      <w:r w:rsidRPr="00262910">
        <w:rPr>
          <w:lang w:val="fr-FR"/>
        </w:rPr>
        <w:t>juridique</w:t>
      </w:r>
      <w:r>
        <w:rPr>
          <w:lang w:val="fr-FR"/>
        </w:rPr>
        <w:t>s</w:t>
      </w:r>
      <w:r w:rsidRPr="00262910">
        <w:rPr>
          <w:lang w:val="fr-FR"/>
        </w:rPr>
        <w:t xml:space="preserve"> gratuit</w:t>
      </w:r>
      <w:r>
        <w:rPr>
          <w:lang w:val="fr-FR"/>
        </w:rPr>
        <w:t xml:space="preserve">s à des </w:t>
      </w:r>
      <w:r w:rsidRPr="00262910">
        <w:rPr>
          <w:lang w:val="fr-FR"/>
        </w:rPr>
        <w:t xml:space="preserve">personnes en situation de vulnérabilité. Ces organisations diffusent des informations sur les droits, mènent </w:t>
      </w:r>
      <w:r>
        <w:rPr>
          <w:lang w:val="fr-FR"/>
        </w:rPr>
        <w:t xml:space="preserve">une action </w:t>
      </w:r>
      <w:r w:rsidRPr="00262910">
        <w:rPr>
          <w:lang w:val="fr-FR"/>
        </w:rPr>
        <w:t xml:space="preserve">de sensibilisation et offrent une aide juridictionnelle gratuite. </w:t>
      </w:r>
    </w:p>
    <w:p w:rsidR="001771B8" w:rsidRPr="00262910" w:rsidRDefault="001771B8" w:rsidP="001771B8">
      <w:pPr>
        <w:pStyle w:val="SingleTxtG"/>
        <w:rPr>
          <w:lang w:val="fr-FR"/>
        </w:rPr>
      </w:pPr>
      <w:r w:rsidRPr="00262910">
        <w:rPr>
          <w:lang w:val="fr-FR"/>
        </w:rPr>
        <w:t>44.</w:t>
      </w:r>
      <w:r w:rsidRPr="00262910">
        <w:rPr>
          <w:lang w:val="fr-FR"/>
        </w:rPr>
        <w:tab/>
        <w:t>Le système actuel d</w:t>
      </w:r>
      <w:r>
        <w:rPr>
          <w:lang w:val="fr-FR"/>
        </w:rPr>
        <w:t>’</w:t>
      </w:r>
      <w:r w:rsidRPr="00262910">
        <w:rPr>
          <w:lang w:val="fr-FR"/>
        </w:rPr>
        <w:t>aide juridictionnelle</w:t>
      </w:r>
      <w:r>
        <w:rPr>
          <w:lang w:val="fr-FR"/>
        </w:rPr>
        <w:t xml:space="preserve">, qui remonte à de </w:t>
      </w:r>
      <w:r w:rsidRPr="00262910">
        <w:rPr>
          <w:lang w:val="fr-FR"/>
        </w:rPr>
        <w:t xml:space="preserve">nombreuses années, </w:t>
      </w:r>
      <w:r>
        <w:rPr>
          <w:lang w:val="fr-FR"/>
        </w:rPr>
        <w:t>présente certaines imperfections</w:t>
      </w:r>
      <w:r w:rsidRPr="00262910">
        <w:rPr>
          <w:lang w:val="fr-FR"/>
        </w:rPr>
        <w:t>. En octobre 2018 l</w:t>
      </w:r>
      <w:r>
        <w:rPr>
          <w:lang w:val="fr-FR"/>
        </w:rPr>
        <w:t xml:space="preserve">es autorités ont </w:t>
      </w:r>
      <w:r w:rsidRPr="00262910">
        <w:rPr>
          <w:lang w:val="fr-FR"/>
        </w:rPr>
        <w:t xml:space="preserve">donc </w:t>
      </w:r>
      <w:r>
        <w:rPr>
          <w:lang w:val="fr-FR"/>
        </w:rPr>
        <w:t xml:space="preserve">institué </w:t>
      </w:r>
      <w:r w:rsidRPr="00262910">
        <w:rPr>
          <w:lang w:val="fr-FR"/>
        </w:rPr>
        <w:t>un comité public chargé de revoir</w:t>
      </w:r>
      <w:r>
        <w:rPr>
          <w:lang w:val="fr-FR"/>
        </w:rPr>
        <w:t xml:space="preserve"> ce </w:t>
      </w:r>
      <w:r w:rsidRPr="00262910">
        <w:rPr>
          <w:lang w:val="fr-FR"/>
        </w:rPr>
        <w:t>système</w:t>
      </w:r>
      <w:r>
        <w:rPr>
          <w:lang w:val="fr-FR"/>
        </w:rPr>
        <w:t xml:space="preserve">, qui </w:t>
      </w:r>
      <w:r w:rsidRPr="00262910">
        <w:rPr>
          <w:lang w:val="fr-FR"/>
        </w:rPr>
        <w:t>devra notamment déterminer s</w:t>
      </w:r>
      <w:r>
        <w:rPr>
          <w:lang w:val="fr-FR"/>
        </w:rPr>
        <w:t>’</w:t>
      </w:r>
      <w:r w:rsidRPr="00262910">
        <w:rPr>
          <w:lang w:val="fr-FR"/>
        </w:rPr>
        <w:t>il</w:t>
      </w:r>
      <w:r>
        <w:rPr>
          <w:lang w:val="fr-FR"/>
        </w:rPr>
        <w:t xml:space="preserve"> y a lieu </w:t>
      </w:r>
      <w:r w:rsidRPr="00262910">
        <w:rPr>
          <w:lang w:val="fr-FR"/>
        </w:rPr>
        <w:t>d</w:t>
      </w:r>
      <w:r>
        <w:rPr>
          <w:lang w:val="fr-FR"/>
        </w:rPr>
        <w:t>’</w:t>
      </w:r>
      <w:r w:rsidRPr="00262910">
        <w:rPr>
          <w:lang w:val="fr-FR"/>
        </w:rPr>
        <w:t>étendre le régime à d</w:t>
      </w:r>
      <w:r>
        <w:rPr>
          <w:lang w:val="fr-FR"/>
        </w:rPr>
        <w:t>’</w:t>
      </w:r>
      <w:r w:rsidRPr="00262910">
        <w:rPr>
          <w:lang w:val="fr-FR"/>
        </w:rPr>
        <w:t>autres types d</w:t>
      </w:r>
      <w:r>
        <w:rPr>
          <w:lang w:val="fr-FR"/>
        </w:rPr>
        <w:t>’</w:t>
      </w:r>
      <w:r w:rsidRPr="00262910">
        <w:rPr>
          <w:lang w:val="fr-FR"/>
        </w:rPr>
        <w:t>affaires, si les seuils de revenu doivent être ajustés et s</w:t>
      </w:r>
      <w:r>
        <w:rPr>
          <w:lang w:val="fr-FR"/>
        </w:rPr>
        <w:t>’</w:t>
      </w:r>
      <w:r w:rsidRPr="00262910">
        <w:rPr>
          <w:lang w:val="fr-FR"/>
        </w:rPr>
        <w:t>il convient de prévoir des règles spéciales afin de garantir la possibilité de bénéficier de l</w:t>
      </w:r>
      <w:r>
        <w:rPr>
          <w:lang w:val="fr-FR"/>
        </w:rPr>
        <w:t>’</w:t>
      </w:r>
      <w:r w:rsidRPr="00262910">
        <w:rPr>
          <w:lang w:val="fr-FR"/>
        </w:rPr>
        <w:t xml:space="preserve">aide juridictionnelle gratuite dans les affaires </w:t>
      </w:r>
      <w:r>
        <w:rPr>
          <w:lang w:val="fr-FR"/>
        </w:rPr>
        <w:t xml:space="preserve">concernant </w:t>
      </w:r>
      <w:r w:rsidRPr="00262910">
        <w:rPr>
          <w:lang w:val="fr-FR"/>
        </w:rPr>
        <w:t>l</w:t>
      </w:r>
      <w:r>
        <w:rPr>
          <w:lang w:val="fr-FR"/>
        </w:rPr>
        <w:t>’</w:t>
      </w:r>
      <w:r w:rsidRPr="00262910">
        <w:rPr>
          <w:lang w:val="fr-FR"/>
        </w:rPr>
        <w:t xml:space="preserve">égalité et la discrimination. Le </w:t>
      </w:r>
      <w:r>
        <w:rPr>
          <w:lang w:val="fr-FR"/>
        </w:rPr>
        <w:t>c</w:t>
      </w:r>
      <w:r w:rsidRPr="00262910">
        <w:rPr>
          <w:lang w:val="fr-FR"/>
        </w:rPr>
        <w:t xml:space="preserve">omité </w:t>
      </w:r>
      <w:r>
        <w:rPr>
          <w:lang w:val="fr-FR"/>
        </w:rPr>
        <w:t xml:space="preserve">public </w:t>
      </w:r>
      <w:r w:rsidRPr="00262910">
        <w:rPr>
          <w:lang w:val="fr-FR"/>
        </w:rPr>
        <w:t>achèvera ses travaux en mai 2020.</w:t>
      </w:r>
    </w:p>
    <w:p w:rsidR="001771B8" w:rsidRPr="00262910" w:rsidRDefault="001771B8" w:rsidP="00C66184">
      <w:pPr>
        <w:pStyle w:val="H1G"/>
        <w:rPr>
          <w:lang w:val="fr-FR"/>
        </w:rPr>
      </w:pPr>
      <w:r w:rsidRPr="00262910">
        <w:rPr>
          <w:lang w:val="fr-FR"/>
        </w:rPr>
        <w:tab/>
      </w:r>
      <w:r w:rsidRPr="00262910">
        <w:rPr>
          <w:lang w:val="fr-FR"/>
        </w:rPr>
        <w:tab/>
        <w:t>Réponse au paragraphe 7 de la liste de points</w:t>
      </w:r>
    </w:p>
    <w:p w:rsidR="001771B8" w:rsidRPr="00262910" w:rsidRDefault="001771B8" w:rsidP="001771B8">
      <w:pPr>
        <w:pStyle w:val="SingleTxtG"/>
        <w:rPr>
          <w:lang w:val="fr-FR"/>
        </w:rPr>
      </w:pPr>
      <w:r w:rsidRPr="00262910">
        <w:rPr>
          <w:lang w:val="fr-FR"/>
        </w:rPr>
        <w:t>45.</w:t>
      </w:r>
      <w:r w:rsidRPr="00262910">
        <w:rPr>
          <w:lang w:val="fr-FR"/>
        </w:rPr>
        <w:tab/>
      </w:r>
      <w:r>
        <w:rPr>
          <w:lang w:val="fr-FR"/>
        </w:rPr>
        <w:t>E</w:t>
      </w:r>
      <w:r w:rsidRPr="008D7E97">
        <w:rPr>
          <w:lang w:val="fr-FR"/>
        </w:rPr>
        <w:t>n 2015</w:t>
      </w:r>
      <w:r>
        <w:rPr>
          <w:lang w:val="fr-FR"/>
        </w:rPr>
        <w:t>,</w:t>
      </w:r>
      <w:r w:rsidRPr="008D7E97">
        <w:rPr>
          <w:lang w:val="fr-FR"/>
        </w:rPr>
        <w:t xml:space="preserve"> </w:t>
      </w:r>
      <w:r>
        <w:rPr>
          <w:lang w:val="fr-FR"/>
        </w:rPr>
        <w:t>l</w:t>
      </w:r>
      <w:r w:rsidRPr="000C69D1">
        <w:rPr>
          <w:lang w:val="fr-FR"/>
        </w:rPr>
        <w:t xml:space="preserve">a Norvège a lancé </w:t>
      </w:r>
      <w:r>
        <w:rPr>
          <w:lang w:val="fr-FR"/>
        </w:rPr>
        <w:t xml:space="preserve">son </w:t>
      </w:r>
      <w:r w:rsidRPr="000C69D1">
        <w:rPr>
          <w:lang w:val="fr-FR"/>
        </w:rPr>
        <w:t>Plan</w:t>
      </w:r>
      <w:r w:rsidRPr="00262910">
        <w:rPr>
          <w:lang w:val="fr-FR"/>
        </w:rPr>
        <w:t xml:space="preserve"> d</w:t>
      </w:r>
      <w:r>
        <w:rPr>
          <w:lang w:val="fr-FR"/>
        </w:rPr>
        <w:t>’</w:t>
      </w:r>
      <w:r w:rsidRPr="00262910">
        <w:rPr>
          <w:lang w:val="fr-FR"/>
        </w:rPr>
        <w:t>action national</w:t>
      </w:r>
      <w:r w:rsidRPr="00C66184">
        <w:rPr>
          <w:rStyle w:val="Marquedecommentaire"/>
          <w:rFonts w:eastAsia="Times New Roman"/>
          <w:sz w:val="20"/>
          <w:szCs w:val="20"/>
          <w:lang w:val="fr-FR"/>
        </w:rPr>
        <w:t xml:space="preserve">, qui a fait </w:t>
      </w:r>
      <w:r w:rsidRPr="00C66184">
        <w:rPr>
          <w:lang w:val="fr-FR"/>
        </w:rPr>
        <w:t>d’elle</w:t>
      </w:r>
      <w:r>
        <w:rPr>
          <w:lang w:val="fr-FR"/>
        </w:rPr>
        <w:t xml:space="preserve"> un « </w:t>
      </w:r>
      <w:r w:rsidRPr="00262910">
        <w:rPr>
          <w:lang w:val="fr-FR"/>
        </w:rPr>
        <w:t>adaptateur précoce</w:t>
      </w:r>
      <w:r>
        <w:rPr>
          <w:lang w:val="fr-FR"/>
        </w:rPr>
        <w:t> »</w:t>
      </w:r>
      <w:r w:rsidRPr="00262910">
        <w:rPr>
          <w:lang w:val="fr-FR"/>
        </w:rPr>
        <w:t xml:space="preserve">. </w:t>
      </w:r>
      <w:r>
        <w:rPr>
          <w:lang w:val="fr-FR"/>
        </w:rPr>
        <w:t xml:space="preserve">Le Plan </w:t>
      </w:r>
      <w:r w:rsidRPr="00262910">
        <w:rPr>
          <w:lang w:val="fr-FR"/>
        </w:rPr>
        <w:t xml:space="preserve">vise à apporter </w:t>
      </w:r>
      <w:r>
        <w:rPr>
          <w:lang w:val="fr-FR"/>
        </w:rPr>
        <w:t>davantage de cohérence à l’action menée pour appliquer l</w:t>
      </w:r>
      <w:r w:rsidRPr="00262910">
        <w:rPr>
          <w:lang w:val="fr-FR"/>
        </w:rPr>
        <w:t>es Principes directeurs des Nations Unies relatifs aux entreprises et aux droits de l</w:t>
      </w:r>
      <w:r>
        <w:rPr>
          <w:lang w:val="fr-FR"/>
        </w:rPr>
        <w:t>’</w:t>
      </w:r>
      <w:r w:rsidRPr="00262910">
        <w:rPr>
          <w:lang w:val="fr-FR"/>
        </w:rPr>
        <w:t xml:space="preserve">homme. </w:t>
      </w:r>
      <w:r>
        <w:rPr>
          <w:lang w:val="fr-FR"/>
        </w:rPr>
        <w:t>T</w:t>
      </w:r>
      <w:r w:rsidRPr="00262910">
        <w:rPr>
          <w:lang w:val="fr-FR"/>
        </w:rPr>
        <w:t xml:space="preserve">ous les ministères concernés participent </w:t>
      </w:r>
      <w:r>
        <w:rPr>
          <w:lang w:val="fr-FR"/>
        </w:rPr>
        <w:t xml:space="preserve">à cette fin </w:t>
      </w:r>
      <w:r w:rsidRPr="00262910">
        <w:rPr>
          <w:lang w:val="fr-FR"/>
        </w:rPr>
        <w:t xml:space="preserve">à un groupe de travail interministériel chargé </w:t>
      </w:r>
      <w:r>
        <w:rPr>
          <w:lang w:val="fr-FR"/>
        </w:rPr>
        <w:t xml:space="preserve">de définir </w:t>
      </w:r>
      <w:r w:rsidRPr="00262910">
        <w:rPr>
          <w:lang w:val="fr-FR"/>
        </w:rPr>
        <w:t xml:space="preserve">et de </w:t>
      </w:r>
      <w:r>
        <w:rPr>
          <w:lang w:val="fr-FR"/>
        </w:rPr>
        <w:t xml:space="preserve">diffuser </w:t>
      </w:r>
      <w:r w:rsidRPr="00262910">
        <w:rPr>
          <w:lang w:val="fr-FR"/>
        </w:rPr>
        <w:t>un ensemble d</w:t>
      </w:r>
      <w:r>
        <w:rPr>
          <w:lang w:val="fr-FR"/>
        </w:rPr>
        <w:t>’</w:t>
      </w:r>
      <w:r w:rsidRPr="00262910">
        <w:rPr>
          <w:lang w:val="fr-FR"/>
        </w:rPr>
        <w:t>attentes communes en matière de conduite responsable des entreprises dans tous les secteurs. Les ministères sont encouragés à assurer le suivi dans le</w:t>
      </w:r>
      <w:r>
        <w:rPr>
          <w:lang w:val="fr-FR"/>
        </w:rPr>
        <w:t>ur domaine de compétence</w:t>
      </w:r>
      <w:r w:rsidRPr="00262910">
        <w:rPr>
          <w:lang w:val="fr-FR"/>
        </w:rPr>
        <w:t xml:space="preserve">. Plusieurs initiatives et mesures ont été mises en œuvre et </w:t>
      </w:r>
      <w:r>
        <w:rPr>
          <w:lang w:val="fr-FR"/>
        </w:rPr>
        <w:t xml:space="preserve">il est rendu compte de leurs résultats </w:t>
      </w:r>
      <w:r w:rsidRPr="00262910">
        <w:rPr>
          <w:lang w:val="fr-FR"/>
        </w:rPr>
        <w:t xml:space="preserve">au groupe de travail. </w:t>
      </w:r>
    </w:p>
    <w:p w:rsidR="001771B8" w:rsidRPr="00262910" w:rsidRDefault="001771B8" w:rsidP="001771B8">
      <w:pPr>
        <w:pStyle w:val="SingleTxtG"/>
        <w:rPr>
          <w:lang w:val="fr-FR"/>
        </w:rPr>
      </w:pPr>
      <w:r w:rsidRPr="00262910">
        <w:rPr>
          <w:lang w:val="fr-FR"/>
        </w:rPr>
        <w:t>46.</w:t>
      </w:r>
      <w:r w:rsidRPr="00262910">
        <w:rPr>
          <w:lang w:val="fr-FR"/>
        </w:rPr>
        <w:tab/>
        <w:t>L</w:t>
      </w:r>
      <w:r>
        <w:rPr>
          <w:lang w:val="fr-FR"/>
        </w:rPr>
        <w:t xml:space="preserve">’État </w:t>
      </w:r>
      <w:r w:rsidRPr="00262910">
        <w:rPr>
          <w:lang w:val="fr-FR"/>
        </w:rPr>
        <w:t>attend des entreprises norvégiennes qu</w:t>
      </w:r>
      <w:r>
        <w:rPr>
          <w:lang w:val="fr-FR"/>
        </w:rPr>
        <w:t>’</w:t>
      </w:r>
      <w:r w:rsidRPr="00262910">
        <w:rPr>
          <w:lang w:val="fr-FR"/>
        </w:rPr>
        <w:t xml:space="preserve">elles se conforment aux </w:t>
      </w:r>
      <w:bookmarkStart w:id="3" w:name="_Hlk29366392"/>
      <w:r w:rsidRPr="00262910">
        <w:rPr>
          <w:lang w:val="fr-FR"/>
        </w:rPr>
        <w:t xml:space="preserve">Principes directeurs des Nations Unies </w:t>
      </w:r>
      <w:bookmarkEnd w:id="3"/>
      <w:r w:rsidRPr="00262910">
        <w:rPr>
          <w:lang w:val="fr-FR"/>
        </w:rPr>
        <w:t>et aux Principes directeurs de l</w:t>
      </w:r>
      <w:r>
        <w:rPr>
          <w:lang w:val="fr-FR"/>
        </w:rPr>
        <w:t>’</w:t>
      </w:r>
      <w:r w:rsidRPr="00262910">
        <w:rPr>
          <w:lang w:val="fr-FR"/>
        </w:rPr>
        <w:t>OCDE à l</w:t>
      </w:r>
      <w:r>
        <w:rPr>
          <w:lang w:val="fr-FR"/>
        </w:rPr>
        <w:t>’</w:t>
      </w:r>
      <w:r w:rsidRPr="00262910">
        <w:rPr>
          <w:lang w:val="fr-FR"/>
        </w:rPr>
        <w:t xml:space="preserve">intention des entreprises multinationales. </w:t>
      </w:r>
      <w:r w:rsidRPr="00C16710">
        <w:rPr>
          <w:lang w:val="fr-FR"/>
        </w:rPr>
        <w:t>L</w:t>
      </w:r>
      <w:r>
        <w:rPr>
          <w:lang w:val="fr-FR"/>
        </w:rPr>
        <w:t>’</w:t>
      </w:r>
      <w:r w:rsidRPr="00C16710">
        <w:rPr>
          <w:lang w:val="fr-FR"/>
        </w:rPr>
        <w:t>exercice d</w:t>
      </w:r>
      <w:r>
        <w:rPr>
          <w:lang w:val="fr-FR"/>
        </w:rPr>
        <w:t>’</w:t>
      </w:r>
      <w:r w:rsidRPr="00911D7E">
        <w:rPr>
          <w:lang w:val="fr-FR"/>
        </w:rPr>
        <w:t>une</w:t>
      </w:r>
      <w:r w:rsidRPr="00262910">
        <w:rPr>
          <w:lang w:val="fr-FR"/>
        </w:rPr>
        <w:t xml:space="preserve"> diligence raisonnable fondée sur le risque en vue d</w:t>
      </w:r>
      <w:r>
        <w:rPr>
          <w:lang w:val="fr-FR"/>
        </w:rPr>
        <w:t>’</w:t>
      </w:r>
      <w:r w:rsidRPr="00262910">
        <w:rPr>
          <w:lang w:val="fr-FR"/>
        </w:rPr>
        <w:t xml:space="preserve">une conduite responsable des entreprises est une priorité, en particulier </w:t>
      </w:r>
      <w:r>
        <w:rPr>
          <w:lang w:val="fr-FR"/>
        </w:rPr>
        <w:t xml:space="preserve">sur </w:t>
      </w:r>
      <w:r w:rsidRPr="00262910">
        <w:rPr>
          <w:lang w:val="fr-FR"/>
        </w:rPr>
        <w:t>les marchés difficiles. Le</w:t>
      </w:r>
      <w:r>
        <w:rPr>
          <w:lang w:val="fr-FR"/>
        </w:rPr>
        <w:t xml:space="preserve">s Affaires étrangères </w:t>
      </w:r>
      <w:r w:rsidRPr="00262910">
        <w:rPr>
          <w:lang w:val="fr-FR"/>
        </w:rPr>
        <w:t>s</w:t>
      </w:r>
      <w:r>
        <w:rPr>
          <w:lang w:val="fr-FR"/>
        </w:rPr>
        <w:t>’</w:t>
      </w:r>
      <w:r w:rsidRPr="00262910">
        <w:rPr>
          <w:lang w:val="fr-FR"/>
        </w:rPr>
        <w:t>emploier</w:t>
      </w:r>
      <w:r>
        <w:rPr>
          <w:lang w:val="fr-FR"/>
        </w:rPr>
        <w:t xml:space="preserve">ont </w:t>
      </w:r>
      <w:r w:rsidRPr="00262910">
        <w:rPr>
          <w:lang w:val="fr-FR"/>
        </w:rPr>
        <w:t>activement à promouvoir une conduite responsable des entreprises et les</w:t>
      </w:r>
      <w:r w:rsidRPr="00250ACF">
        <w:rPr>
          <w:lang w:val="fr-FR"/>
        </w:rPr>
        <w:t xml:space="preserve"> Principes directeurs des Nations Unies</w:t>
      </w:r>
      <w:r>
        <w:rPr>
          <w:lang w:val="fr-FR"/>
        </w:rPr>
        <w:t xml:space="preserve">, par lesquels passe </w:t>
      </w:r>
      <w:r w:rsidRPr="00262910">
        <w:rPr>
          <w:lang w:val="fr-FR"/>
        </w:rPr>
        <w:t>une croissance économique durable et inclusive dans le monde</w:t>
      </w:r>
      <w:r>
        <w:rPr>
          <w:lang w:val="fr-FR"/>
        </w:rPr>
        <w:t xml:space="preserve"> entier</w:t>
      </w:r>
      <w:r w:rsidRPr="00262910">
        <w:rPr>
          <w:lang w:val="fr-FR"/>
        </w:rPr>
        <w:t xml:space="preserve">. </w:t>
      </w:r>
    </w:p>
    <w:p w:rsidR="001771B8" w:rsidRPr="00262910" w:rsidRDefault="001771B8" w:rsidP="001771B8">
      <w:pPr>
        <w:pStyle w:val="SingleTxtG"/>
        <w:rPr>
          <w:lang w:val="fr-FR"/>
        </w:rPr>
      </w:pPr>
      <w:r w:rsidRPr="00262910">
        <w:rPr>
          <w:lang w:val="fr-FR"/>
        </w:rPr>
        <w:t>47.</w:t>
      </w:r>
      <w:r w:rsidRPr="00262910">
        <w:rPr>
          <w:lang w:val="fr-FR"/>
        </w:rPr>
        <w:tab/>
      </w:r>
      <w:r>
        <w:rPr>
          <w:lang w:val="fr-FR"/>
        </w:rPr>
        <w:t>U</w:t>
      </w:r>
      <w:r w:rsidRPr="00262910">
        <w:rPr>
          <w:lang w:val="fr-FR"/>
        </w:rPr>
        <w:t>n rapport d</w:t>
      </w:r>
      <w:r>
        <w:rPr>
          <w:lang w:val="fr-FR"/>
        </w:rPr>
        <w:t>’</w:t>
      </w:r>
      <w:r w:rsidRPr="00262910">
        <w:rPr>
          <w:lang w:val="fr-FR"/>
        </w:rPr>
        <w:t xml:space="preserve">évaluation </w:t>
      </w:r>
      <w:r>
        <w:rPr>
          <w:lang w:val="fr-FR"/>
        </w:rPr>
        <w:t xml:space="preserve">récent établi </w:t>
      </w:r>
      <w:r w:rsidRPr="00262910">
        <w:rPr>
          <w:lang w:val="fr-FR"/>
        </w:rPr>
        <w:t>par l</w:t>
      </w:r>
      <w:r>
        <w:rPr>
          <w:lang w:val="fr-FR"/>
        </w:rPr>
        <w:t>’</w:t>
      </w:r>
      <w:r w:rsidRPr="00262910">
        <w:rPr>
          <w:lang w:val="fr-FR"/>
        </w:rPr>
        <w:t>Agence norvégienne de coopération pour le développement</w:t>
      </w:r>
      <w:r>
        <w:rPr>
          <w:lang w:val="fr-FR"/>
        </w:rPr>
        <w:t xml:space="preserve"> a donné une impulsion au s</w:t>
      </w:r>
      <w:r w:rsidRPr="00250ACF">
        <w:rPr>
          <w:lang w:val="fr-FR"/>
        </w:rPr>
        <w:t xml:space="preserve">uivi du </w:t>
      </w:r>
      <w:r w:rsidRPr="00C16710">
        <w:rPr>
          <w:lang w:val="fr-FR"/>
        </w:rPr>
        <w:t>Plan d</w:t>
      </w:r>
      <w:r>
        <w:rPr>
          <w:lang w:val="fr-FR"/>
        </w:rPr>
        <w:t>’</w:t>
      </w:r>
      <w:r w:rsidRPr="00C16710">
        <w:rPr>
          <w:lang w:val="fr-FR"/>
        </w:rPr>
        <w:t>action national</w:t>
      </w:r>
      <w:r w:rsidRPr="00250ACF">
        <w:rPr>
          <w:lang w:val="fr-FR"/>
        </w:rPr>
        <w:t xml:space="preserve"> et des Principes directeurs des Nations Unies</w:t>
      </w:r>
      <w:r w:rsidRPr="00262910">
        <w:rPr>
          <w:lang w:val="fr-FR"/>
        </w:rPr>
        <w:t xml:space="preserve">. </w:t>
      </w:r>
      <w:r>
        <w:rPr>
          <w:lang w:val="fr-FR"/>
        </w:rPr>
        <w:t xml:space="preserve">Dans ce rapport il est </w:t>
      </w:r>
      <w:r w:rsidRPr="00262910">
        <w:rPr>
          <w:lang w:val="fr-FR"/>
        </w:rPr>
        <w:t>constat</w:t>
      </w:r>
      <w:r>
        <w:rPr>
          <w:lang w:val="fr-FR"/>
        </w:rPr>
        <w:t>é</w:t>
      </w:r>
      <w:r w:rsidRPr="00262910">
        <w:rPr>
          <w:lang w:val="fr-FR"/>
        </w:rPr>
        <w:t xml:space="preserve"> qu</w:t>
      </w:r>
      <w:r>
        <w:rPr>
          <w:lang w:val="fr-FR"/>
        </w:rPr>
        <w:t xml:space="preserve">’au plus haut </w:t>
      </w:r>
      <w:r w:rsidRPr="0072228C">
        <w:rPr>
          <w:lang w:val="fr-FR"/>
        </w:rPr>
        <w:t xml:space="preserve">niveau </w:t>
      </w:r>
      <w:r w:rsidRPr="00262910">
        <w:rPr>
          <w:lang w:val="fr-FR"/>
        </w:rPr>
        <w:t>les documents de politique générale de la Norvège f</w:t>
      </w:r>
      <w:r>
        <w:rPr>
          <w:lang w:val="fr-FR"/>
        </w:rPr>
        <w:t>ont vigoureuse</w:t>
      </w:r>
      <w:r w:rsidRPr="00262910">
        <w:rPr>
          <w:lang w:val="fr-FR"/>
        </w:rPr>
        <w:t>ment et clairement référence au</w:t>
      </w:r>
      <w:r>
        <w:rPr>
          <w:lang w:val="fr-FR"/>
        </w:rPr>
        <w:t>x</w:t>
      </w:r>
      <w:r w:rsidRPr="00262910">
        <w:rPr>
          <w:lang w:val="fr-FR"/>
        </w:rPr>
        <w:t xml:space="preserve"> </w:t>
      </w:r>
      <w:r w:rsidRPr="00250ACF">
        <w:rPr>
          <w:lang w:val="fr-FR"/>
        </w:rPr>
        <w:t>Principes directeurs des Nations Unies</w:t>
      </w:r>
      <w:r w:rsidRPr="00262910">
        <w:rPr>
          <w:lang w:val="fr-FR"/>
        </w:rPr>
        <w:t xml:space="preserve">. </w:t>
      </w:r>
      <w:r w:rsidRPr="00D80729">
        <w:rPr>
          <w:lang w:val="fr-FR"/>
        </w:rPr>
        <w:t>L</w:t>
      </w:r>
      <w:r>
        <w:rPr>
          <w:lang w:val="fr-FR"/>
        </w:rPr>
        <w:t>’</w:t>
      </w:r>
      <w:r w:rsidRPr="00D80729">
        <w:rPr>
          <w:lang w:val="fr-FR"/>
        </w:rPr>
        <w:t>attention</w:t>
      </w:r>
      <w:r w:rsidRPr="00262910">
        <w:rPr>
          <w:lang w:val="fr-FR"/>
        </w:rPr>
        <w:t xml:space="preserve"> </w:t>
      </w:r>
      <w:r>
        <w:rPr>
          <w:lang w:val="fr-FR"/>
        </w:rPr>
        <w:t xml:space="preserve">portée </w:t>
      </w:r>
      <w:r w:rsidRPr="00262910">
        <w:rPr>
          <w:lang w:val="fr-FR"/>
        </w:rPr>
        <w:t xml:space="preserve">à la cohérence des orientations et à la mise en pratique de ces principes </w:t>
      </w:r>
      <w:r>
        <w:rPr>
          <w:lang w:val="fr-FR"/>
        </w:rPr>
        <w:t xml:space="preserve">est cependant susceptible d’être </w:t>
      </w:r>
      <w:r w:rsidRPr="0072228C">
        <w:rPr>
          <w:lang w:val="fr-FR"/>
        </w:rPr>
        <w:t xml:space="preserve">encore </w:t>
      </w:r>
      <w:r>
        <w:rPr>
          <w:lang w:val="fr-FR"/>
        </w:rPr>
        <w:t>renforcée</w:t>
      </w:r>
      <w:r w:rsidRPr="00262910">
        <w:rPr>
          <w:lang w:val="fr-FR"/>
        </w:rPr>
        <w:t xml:space="preserve">. </w:t>
      </w:r>
      <w:r>
        <w:rPr>
          <w:lang w:val="fr-FR"/>
        </w:rPr>
        <w:t xml:space="preserve">Le </w:t>
      </w:r>
      <w:r w:rsidRPr="00262910">
        <w:rPr>
          <w:lang w:val="fr-FR"/>
        </w:rPr>
        <w:t>Ministère des affaires étrangères a pris plusieurs mesures concrètes de suivi</w:t>
      </w:r>
      <w:r>
        <w:rPr>
          <w:lang w:val="fr-FR"/>
        </w:rPr>
        <w:t xml:space="preserve"> à cet effet</w:t>
      </w:r>
      <w:r w:rsidRPr="00262910">
        <w:rPr>
          <w:lang w:val="fr-FR"/>
        </w:rPr>
        <w:t xml:space="preserve">. Compte tenu de la complexité </w:t>
      </w:r>
      <w:r>
        <w:rPr>
          <w:lang w:val="fr-FR"/>
        </w:rPr>
        <w:t xml:space="preserve">des </w:t>
      </w:r>
      <w:r w:rsidRPr="0072228C">
        <w:rPr>
          <w:lang w:val="fr-FR"/>
        </w:rPr>
        <w:t xml:space="preserve">Principes directeurs des Nations Unies </w:t>
      </w:r>
      <w:r w:rsidRPr="00262910">
        <w:rPr>
          <w:lang w:val="fr-FR"/>
        </w:rPr>
        <w:t>et des questions relatives aux droits de l</w:t>
      </w:r>
      <w:r>
        <w:rPr>
          <w:lang w:val="fr-FR"/>
        </w:rPr>
        <w:t>’</w:t>
      </w:r>
      <w:r w:rsidRPr="00262910">
        <w:rPr>
          <w:lang w:val="fr-FR"/>
        </w:rPr>
        <w:t xml:space="preserve">homme, les ambassades norvégiennes ont besoin de capacités et de compétences accrues pour assurer le suivi des projets de développement </w:t>
      </w:r>
      <w:r>
        <w:rPr>
          <w:lang w:val="fr-FR"/>
        </w:rPr>
        <w:t xml:space="preserve">auxquels participe </w:t>
      </w:r>
      <w:r w:rsidRPr="00262910">
        <w:rPr>
          <w:lang w:val="fr-FR"/>
        </w:rPr>
        <w:t xml:space="preserve">le secteur privé norvégien, ainsi que pour acquérir les </w:t>
      </w:r>
      <w:r>
        <w:rPr>
          <w:lang w:val="fr-FR"/>
        </w:rPr>
        <w:t xml:space="preserve">aptitudes voulues </w:t>
      </w:r>
      <w:r w:rsidRPr="00262910">
        <w:rPr>
          <w:lang w:val="fr-FR"/>
        </w:rPr>
        <w:t>pour évaluer la nature des risques liés aux droits de l</w:t>
      </w:r>
      <w:r>
        <w:rPr>
          <w:lang w:val="fr-FR"/>
        </w:rPr>
        <w:t>’</w:t>
      </w:r>
      <w:r w:rsidRPr="00262910">
        <w:rPr>
          <w:lang w:val="fr-FR"/>
        </w:rPr>
        <w:t>homme dans leur pays hôte. Une approche plus systématique du renforcement des compétences est en cours d</w:t>
      </w:r>
      <w:r>
        <w:rPr>
          <w:lang w:val="fr-FR"/>
        </w:rPr>
        <w:t>’</w:t>
      </w:r>
      <w:r w:rsidRPr="00262910">
        <w:rPr>
          <w:lang w:val="fr-FR"/>
        </w:rPr>
        <w:t xml:space="preserve">élaboration. </w:t>
      </w:r>
    </w:p>
    <w:p w:rsidR="001771B8" w:rsidRPr="00262910" w:rsidRDefault="001771B8" w:rsidP="001771B8">
      <w:pPr>
        <w:pStyle w:val="SingleTxtG"/>
        <w:rPr>
          <w:lang w:val="fr-FR"/>
        </w:rPr>
      </w:pPr>
      <w:r w:rsidRPr="00262910">
        <w:rPr>
          <w:lang w:val="fr-FR"/>
        </w:rPr>
        <w:t>48.</w:t>
      </w:r>
      <w:r w:rsidRPr="00262910">
        <w:rPr>
          <w:lang w:val="fr-FR"/>
        </w:rPr>
        <w:tab/>
      </w:r>
      <w:r w:rsidRPr="00DB5DD2">
        <w:rPr>
          <w:lang w:val="fr-FR"/>
        </w:rPr>
        <w:t>Le Ministère</w:t>
      </w:r>
      <w:r>
        <w:rPr>
          <w:lang w:val="fr-FR"/>
        </w:rPr>
        <w:t xml:space="preserve"> des affaires étrangères </w:t>
      </w:r>
      <w:r w:rsidRPr="00157724">
        <w:rPr>
          <w:lang w:val="fr-FR"/>
        </w:rPr>
        <w:t>collabore</w:t>
      </w:r>
      <w:r w:rsidRPr="00262910">
        <w:rPr>
          <w:lang w:val="fr-FR"/>
        </w:rPr>
        <w:t xml:space="preserve"> étroitement avec le Point de contact national </w:t>
      </w:r>
      <w:r>
        <w:rPr>
          <w:lang w:val="fr-FR"/>
        </w:rPr>
        <w:t xml:space="preserve">de la Norvège </w:t>
      </w:r>
      <w:r w:rsidRPr="00262910">
        <w:rPr>
          <w:lang w:val="fr-FR"/>
        </w:rPr>
        <w:t>pour les Principes directeurs de l</w:t>
      </w:r>
      <w:r>
        <w:rPr>
          <w:lang w:val="fr-FR"/>
        </w:rPr>
        <w:t>’</w:t>
      </w:r>
      <w:r w:rsidRPr="00262910">
        <w:rPr>
          <w:lang w:val="fr-FR"/>
        </w:rPr>
        <w:t>OCDE à l</w:t>
      </w:r>
      <w:r>
        <w:rPr>
          <w:lang w:val="fr-FR"/>
        </w:rPr>
        <w:t>’</w:t>
      </w:r>
      <w:r w:rsidRPr="00262910">
        <w:rPr>
          <w:lang w:val="fr-FR"/>
        </w:rPr>
        <w:t xml:space="preserve">intention des entreprises multinationales, qui fournit des conseils et une formation sur </w:t>
      </w:r>
      <w:r>
        <w:rPr>
          <w:lang w:val="fr-FR"/>
        </w:rPr>
        <w:t xml:space="preserve">la conduite responsable des entreprises </w:t>
      </w:r>
      <w:r w:rsidRPr="00262910">
        <w:rPr>
          <w:lang w:val="fr-FR"/>
        </w:rPr>
        <w:t>aux entreprises norvégiennes ainsi qu</w:t>
      </w:r>
      <w:r>
        <w:rPr>
          <w:lang w:val="fr-FR"/>
        </w:rPr>
        <w:t>’</w:t>
      </w:r>
      <w:r w:rsidRPr="00262910">
        <w:rPr>
          <w:lang w:val="fr-FR"/>
        </w:rPr>
        <w:t>aux ambassades norvégiennes. Le P</w:t>
      </w:r>
      <w:r>
        <w:rPr>
          <w:lang w:val="fr-FR"/>
        </w:rPr>
        <w:t xml:space="preserve">oint de contact a concouru à familiariser </w:t>
      </w:r>
      <w:r w:rsidRPr="00262910">
        <w:rPr>
          <w:lang w:val="fr-FR"/>
        </w:rPr>
        <w:t xml:space="preserve">certaines entreprises </w:t>
      </w:r>
      <w:r>
        <w:rPr>
          <w:lang w:val="fr-FR"/>
        </w:rPr>
        <w:t xml:space="preserve">publiques </w:t>
      </w:r>
      <w:r w:rsidRPr="00262910">
        <w:rPr>
          <w:lang w:val="fr-FR"/>
        </w:rPr>
        <w:t xml:space="preserve">à la méthode de la diligence voulue </w:t>
      </w:r>
      <w:r>
        <w:rPr>
          <w:lang w:val="fr-FR"/>
        </w:rPr>
        <w:t>à exercer aux fins d’une conduite responsable de leur part</w:t>
      </w:r>
      <w:r w:rsidRPr="00262910">
        <w:rPr>
          <w:lang w:val="fr-FR"/>
        </w:rPr>
        <w:t>. Le P</w:t>
      </w:r>
      <w:r>
        <w:rPr>
          <w:lang w:val="fr-FR"/>
        </w:rPr>
        <w:t>oint de contact t</w:t>
      </w:r>
      <w:r w:rsidRPr="00262910">
        <w:rPr>
          <w:lang w:val="fr-FR"/>
        </w:rPr>
        <w:t>raite les plaintes pour non-respect présumé des Principes directeurs de l</w:t>
      </w:r>
      <w:r>
        <w:rPr>
          <w:lang w:val="fr-FR"/>
        </w:rPr>
        <w:t>’</w:t>
      </w:r>
      <w:r w:rsidRPr="00262910">
        <w:rPr>
          <w:lang w:val="fr-FR"/>
        </w:rPr>
        <w:t xml:space="preserve">OCDE et donne des conseils sur la manière dont les entreprises peuvent </w:t>
      </w:r>
      <w:r>
        <w:rPr>
          <w:lang w:val="fr-FR"/>
        </w:rPr>
        <w:t xml:space="preserve">avoir un </w:t>
      </w:r>
      <w:r w:rsidRPr="00262910">
        <w:rPr>
          <w:lang w:val="fr-FR"/>
        </w:rPr>
        <w:t xml:space="preserve">comportement </w:t>
      </w:r>
      <w:r>
        <w:rPr>
          <w:lang w:val="fr-FR"/>
        </w:rPr>
        <w:t xml:space="preserve">plus </w:t>
      </w:r>
      <w:r w:rsidRPr="00262910">
        <w:rPr>
          <w:lang w:val="fr-FR"/>
        </w:rPr>
        <w:t xml:space="preserve">responsable. </w:t>
      </w:r>
    </w:p>
    <w:p w:rsidR="001771B8" w:rsidRPr="00262910" w:rsidRDefault="001771B8" w:rsidP="001771B8">
      <w:pPr>
        <w:pStyle w:val="SingleTxtG"/>
        <w:rPr>
          <w:lang w:val="fr-FR"/>
        </w:rPr>
      </w:pPr>
      <w:r w:rsidRPr="00262910">
        <w:rPr>
          <w:lang w:val="fr-FR"/>
        </w:rPr>
        <w:t>49.</w:t>
      </w:r>
      <w:r w:rsidRPr="00262910">
        <w:rPr>
          <w:lang w:val="fr-FR"/>
        </w:rPr>
        <w:tab/>
        <w:t>Le</w:t>
      </w:r>
      <w:r>
        <w:rPr>
          <w:lang w:val="fr-FR"/>
        </w:rPr>
        <w:t xml:space="preserve">s autorités gouvernementales </w:t>
      </w:r>
      <w:r w:rsidRPr="00262910">
        <w:rPr>
          <w:lang w:val="fr-FR"/>
        </w:rPr>
        <w:t>poursuivr</w:t>
      </w:r>
      <w:r>
        <w:rPr>
          <w:lang w:val="fr-FR"/>
        </w:rPr>
        <w:t xml:space="preserve">ont leurs </w:t>
      </w:r>
      <w:r w:rsidRPr="00262910">
        <w:rPr>
          <w:lang w:val="fr-FR"/>
        </w:rPr>
        <w:t xml:space="preserve">efforts </w:t>
      </w:r>
      <w:r>
        <w:rPr>
          <w:lang w:val="fr-FR"/>
        </w:rPr>
        <w:t xml:space="preserve">en faveur de la prise en considération des </w:t>
      </w:r>
      <w:r w:rsidRPr="00262910">
        <w:rPr>
          <w:lang w:val="fr-FR"/>
        </w:rPr>
        <w:t>questions relatives aux droits de l</w:t>
      </w:r>
      <w:r>
        <w:rPr>
          <w:lang w:val="fr-FR"/>
        </w:rPr>
        <w:t>’</w:t>
      </w:r>
      <w:r w:rsidRPr="00262910">
        <w:rPr>
          <w:lang w:val="fr-FR"/>
        </w:rPr>
        <w:t>homme dans l</w:t>
      </w:r>
      <w:r>
        <w:rPr>
          <w:lang w:val="fr-FR"/>
        </w:rPr>
        <w:t>a passation d</w:t>
      </w:r>
      <w:r w:rsidRPr="00262910">
        <w:rPr>
          <w:lang w:val="fr-FR"/>
        </w:rPr>
        <w:t xml:space="preserve">es marchés publics. </w:t>
      </w:r>
      <w:r>
        <w:rPr>
          <w:lang w:val="fr-FR"/>
        </w:rPr>
        <w:t>T</w:t>
      </w:r>
      <w:r w:rsidRPr="00056B68">
        <w:rPr>
          <w:lang w:val="fr-FR"/>
        </w:rPr>
        <w:t xml:space="preserve">outes les demandes </w:t>
      </w:r>
      <w:r>
        <w:rPr>
          <w:lang w:val="fr-FR"/>
        </w:rPr>
        <w:t xml:space="preserve">soumises à </w:t>
      </w:r>
      <w:r w:rsidRPr="00262910">
        <w:rPr>
          <w:lang w:val="fr-FR"/>
        </w:rPr>
        <w:t>l</w:t>
      </w:r>
      <w:r>
        <w:rPr>
          <w:lang w:val="fr-FR"/>
        </w:rPr>
        <w:t>’</w:t>
      </w:r>
      <w:r w:rsidRPr="00262910">
        <w:rPr>
          <w:lang w:val="fr-FR"/>
        </w:rPr>
        <w:t>Agence norvégienne de garantie de crédit à l</w:t>
      </w:r>
      <w:r>
        <w:rPr>
          <w:lang w:val="fr-FR"/>
        </w:rPr>
        <w:t>’</w:t>
      </w:r>
      <w:r w:rsidRPr="00262910">
        <w:rPr>
          <w:lang w:val="fr-FR"/>
        </w:rPr>
        <w:t xml:space="preserve">exportation et </w:t>
      </w:r>
      <w:r>
        <w:rPr>
          <w:lang w:val="fr-FR"/>
        </w:rPr>
        <w:t xml:space="preserve">à </w:t>
      </w:r>
      <w:r w:rsidRPr="00262910">
        <w:rPr>
          <w:lang w:val="fr-FR"/>
        </w:rPr>
        <w:t>l</w:t>
      </w:r>
      <w:r>
        <w:rPr>
          <w:lang w:val="fr-FR"/>
        </w:rPr>
        <w:t>’O</w:t>
      </w:r>
      <w:r w:rsidRPr="00262910">
        <w:rPr>
          <w:lang w:val="fr-FR"/>
        </w:rPr>
        <w:t>rganisme norvégien de crédit à l</w:t>
      </w:r>
      <w:r>
        <w:rPr>
          <w:lang w:val="fr-FR"/>
        </w:rPr>
        <w:t>’</w:t>
      </w:r>
      <w:r w:rsidRPr="00262910">
        <w:rPr>
          <w:lang w:val="fr-FR"/>
        </w:rPr>
        <w:t xml:space="preserve">exportation sont évaluées au regard des risques, des incidences et des conséquences </w:t>
      </w:r>
      <w:r>
        <w:rPr>
          <w:lang w:val="fr-FR"/>
        </w:rPr>
        <w:t xml:space="preserve">en lien avec les </w:t>
      </w:r>
      <w:r w:rsidRPr="00262910">
        <w:rPr>
          <w:lang w:val="fr-FR"/>
        </w:rPr>
        <w:t>droits de l</w:t>
      </w:r>
      <w:r>
        <w:rPr>
          <w:lang w:val="fr-FR"/>
        </w:rPr>
        <w:t>’</w:t>
      </w:r>
      <w:r w:rsidRPr="00262910">
        <w:rPr>
          <w:lang w:val="fr-FR"/>
        </w:rPr>
        <w:t xml:space="preserve">homme. </w:t>
      </w:r>
      <w:r>
        <w:rPr>
          <w:lang w:val="fr-FR"/>
        </w:rPr>
        <w:t>Il est attendu des d</w:t>
      </w:r>
      <w:r w:rsidRPr="00262910">
        <w:rPr>
          <w:lang w:val="fr-FR"/>
        </w:rPr>
        <w:t xml:space="preserve">emandeurs </w:t>
      </w:r>
      <w:r>
        <w:rPr>
          <w:lang w:val="fr-FR"/>
        </w:rPr>
        <w:t xml:space="preserve">qu’ils évaluent </w:t>
      </w:r>
      <w:r w:rsidRPr="00262910">
        <w:rPr>
          <w:lang w:val="fr-FR"/>
        </w:rPr>
        <w:t>les risques et les répercussions potentiels d</w:t>
      </w:r>
      <w:r>
        <w:rPr>
          <w:lang w:val="fr-FR"/>
        </w:rPr>
        <w:t xml:space="preserve">e leur </w:t>
      </w:r>
      <w:r w:rsidRPr="00262910">
        <w:rPr>
          <w:lang w:val="fr-FR"/>
        </w:rPr>
        <w:t>projet sur les droits de l</w:t>
      </w:r>
      <w:r>
        <w:rPr>
          <w:lang w:val="fr-FR"/>
        </w:rPr>
        <w:t xml:space="preserve">’homme </w:t>
      </w:r>
      <w:r w:rsidRPr="00262910">
        <w:rPr>
          <w:lang w:val="fr-FR"/>
        </w:rPr>
        <w:t xml:space="preserve">et </w:t>
      </w:r>
      <w:r>
        <w:rPr>
          <w:lang w:val="fr-FR"/>
        </w:rPr>
        <w:t xml:space="preserve">se dotent </w:t>
      </w:r>
      <w:r w:rsidRPr="00262910">
        <w:rPr>
          <w:lang w:val="fr-FR"/>
        </w:rPr>
        <w:t>d</w:t>
      </w:r>
      <w:r>
        <w:rPr>
          <w:lang w:val="fr-FR"/>
        </w:rPr>
        <w:t xml:space="preserve">e règles d’action </w:t>
      </w:r>
      <w:r w:rsidRPr="00262910">
        <w:rPr>
          <w:lang w:val="fr-FR"/>
        </w:rPr>
        <w:t xml:space="preserve">et de systèmes adéquats pour les éviter ou les atténuer </w:t>
      </w:r>
      <w:r>
        <w:rPr>
          <w:lang w:val="fr-FR"/>
        </w:rPr>
        <w:t xml:space="preserve">autant que </w:t>
      </w:r>
      <w:r w:rsidRPr="00262910">
        <w:rPr>
          <w:lang w:val="fr-FR"/>
        </w:rPr>
        <w:t>possible.</w:t>
      </w:r>
    </w:p>
    <w:p w:rsidR="001771B8" w:rsidRPr="00262910" w:rsidRDefault="001771B8" w:rsidP="001771B8">
      <w:pPr>
        <w:pStyle w:val="SingleTxtG"/>
        <w:rPr>
          <w:lang w:val="fr-FR"/>
        </w:rPr>
      </w:pPr>
      <w:r w:rsidRPr="00262910">
        <w:rPr>
          <w:lang w:val="fr-FR"/>
        </w:rPr>
        <w:t>50.</w:t>
      </w:r>
      <w:r w:rsidRPr="00262910">
        <w:rPr>
          <w:lang w:val="fr-FR"/>
        </w:rPr>
        <w:tab/>
      </w:r>
      <w:r w:rsidRPr="00071323">
        <w:rPr>
          <w:lang w:val="fr-FR"/>
        </w:rPr>
        <w:t>Les activités des</w:t>
      </w:r>
      <w:r w:rsidRPr="001E14B7">
        <w:rPr>
          <w:lang w:val="fr-FR"/>
        </w:rPr>
        <w:t xml:space="preserve"> entreprises peuvent</w:t>
      </w:r>
      <w:r w:rsidRPr="00262910">
        <w:rPr>
          <w:lang w:val="fr-FR"/>
        </w:rPr>
        <w:t xml:space="preserve"> avoir un impact sur la société et </w:t>
      </w:r>
      <w:r>
        <w:rPr>
          <w:lang w:val="fr-FR"/>
        </w:rPr>
        <w:t xml:space="preserve">sur </w:t>
      </w:r>
      <w:r w:rsidRPr="00262910">
        <w:rPr>
          <w:lang w:val="fr-FR"/>
        </w:rPr>
        <w:t xml:space="preserve">la durabilité en général </w:t>
      </w:r>
      <w:r>
        <w:rPr>
          <w:lang w:val="fr-FR"/>
        </w:rPr>
        <w:t xml:space="preserve">et cet impact est susceptible d’amoindrir </w:t>
      </w:r>
      <w:r w:rsidRPr="00262910">
        <w:rPr>
          <w:lang w:val="fr-FR"/>
        </w:rPr>
        <w:t xml:space="preserve">leur rentabilité et, en fin de compte, </w:t>
      </w:r>
      <w:r>
        <w:rPr>
          <w:lang w:val="fr-FR"/>
        </w:rPr>
        <w:t xml:space="preserve">le </w:t>
      </w:r>
      <w:r w:rsidRPr="00262910">
        <w:rPr>
          <w:lang w:val="fr-FR"/>
        </w:rPr>
        <w:t>re</w:t>
      </w:r>
      <w:r>
        <w:rPr>
          <w:lang w:val="fr-FR"/>
        </w:rPr>
        <w:t>tour sur investissement de leurs i</w:t>
      </w:r>
      <w:r w:rsidRPr="00262910">
        <w:rPr>
          <w:lang w:val="fr-FR"/>
        </w:rPr>
        <w:t>nvestisseurs. En tant qu</w:t>
      </w:r>
      <w:r>
        <w:rPr>
          <w:lang w:val="fr-FR"/>
        </w:rPr>
        <w:t>’</w:t>
      </w:r>
      <w:r w:rsidRPr="00262910">
        <w:rPr>
          <w:lang w:val="fr-FR"/>
        </w:rPr>
        <w:t xml:space="preserve">investisseur financier à long terme dans plus de 9 000 entreprises de 70 pays, le </w:t>
      </w:r>
      <w:r w:rsidRPr="00262910">
        <w:rPr>
          <w:szCs w:val="24"/>
          <w:lang w:val="fr-FR"/>
        </w:rPr>
        <w:t xml:space="preserve">Fonds de pension </w:t>
      </w:r>
      <w:r>
        <w:rPr>
          <w:szCs w:val="24"/>
          <w:lang w:val="fr-FR"/>
        </w:rPr>
        <w:t>public mondial de la Norvège</w:t>
      </w:r>
      <w:r w:rsidRPr="00262910">
        <w:rPr>
          <w:szCs w:val="24"/>
          <w:lang w:val="fr-FR"/>
        </w:rPr>
        <w:t xml:space="preserve"> </w:t>
      </w:r>
      <w:r>
        <w:rPr>
          <w:szCs w:val="24"/>
          <w:lang w:val="fr-FR"/>
        </w:rPr>
        <w:t xml:space="preserve">se soucie de </w:t>
      </w:r>
      <w:r w:rsidRPr="00262910">
        <w:rPr>
          <w:lang w:val="fr-FR"/>
        </w:rPr>
        <w:t xml:space="preserve">la durabilité des entreprises. Le gestionnaire du </w:t>
      </w:r>
      <w:r>
        <w:rPr>
          <w:lang w:val="fr-FR"/>
        </w:rPr>
        <w:t>F</w:t>
      </w:r>
      <w:r w:rsidRPr="00262910">
        <w:rPr>
          <w:lang w:val="fr-FR"/>
        </w:rPr>
        <w:t xml:space="preserve">onds, </w:t>
      </w:r>
      <w:r>
        <w:rPr>
          <w:lang w:val="fr-FR"/>
        </w:rPr>
        <w:t xml:space="preserve">à savoir </w:t>
      </w:r>
      <w:r w:rsidRPr="00262910">
        <w:rPr>
          <w:lang w:val="fr-FR"/>
        </w:rPr>
        <w:t xml:space="preserve">la Banque </w:t>
      </w:r>
      <w:r>
        <w:rPr>
          <w:lang w:val="fr-FR"/>
        </w:rPr>
        <w:t>centrale norvégienne</w:t>
      </w:r>
      <w:r w:rsidRPr="00262910">
        <w:rPr>
          <w:lang w:val="fr-FR"/>
        </w:rPr>
        <w:t xml:space="preserve">, attend donc </w:t>
      </w:r>
      <w:r>
        <w:rPr>
          <w:lang w:val="fr-FR"/>
        </w:rPr>
        <w:t>d</w:t>
      </w:r>
      <w:r w:rsidRPr="00262910">
        <w:rPr>
          <w:lang w:val="fr-FR"/>
        </w:rPr>
        <w:t xml:space="preserve">es entreprises </w:t>
      </w:r>
      <w:r>
        <w:rPr>
          <w:lang w:val="fr-FR"/>
        </w:rPr>
        <w:t xml:space="preserve">qu’elles </w:t>
      </w:r>
      <w:r w:rsidRPr="00262910">
        <w:rPr>
          <w:lang w:val="fr-FR"/>
        </w:rPr>
        <w:t>respectent les droits de l</w:t>
      </w:r>
      <w:r>
        <w:rPr>
          <w:lang w:val="fr-FR"/>
        </w:rPr>
        <w:t xml:space="preserve">’homme </w:t>
      </w:r>
      <w:r w:rsidRPr="00262910">
        <w:rPr>
          <w:lang w:val="fr-FR"/>
        </w:rPr>
        <w:t>et</w:t>
      </w:r>
      <w:r>
        <w:rPr>
          <w:lang w:val="fr-FR"/>
        </w:rPr>
        <w:t xml:space="preserve"> tiennent compte d</w:t>
      </w:r>
      <w:r w:rsidRPr="00262910">
        <w:rPr>
          <w:lang w:val="fr-FR"/>
        </w:rPr>
        <w:t xml:space="preserve">es questions </w:t>
      </w:r>
      <w:r>
        <w:rPr>
          <w:lang w:val="fr-FR"/>
        </w:rPr>
        <w:t xml:space="preserve">liées à ces </w:t>
      </w:r>
      <w:r w:rsidRPr="00262910">
        <w:rPr>
          <w:lang w:val="fr-FR"/>
        </w:rPr>
        <w:t xml:space="preserve">droits dans leurs pratiques commerciales. Le </w:t>
      </w:r>
      <w:r w:rsidRPr="00262910">
        <w:rPr>
          <w:szCs w:val="24"/>
          <w:lang w:val="fr-FR"/>
        </w:rPr>
        <w:t>Fonds</w:t>
      </w:r>
      <w:r w:rsidRPr="00262910">
        <w:rPr>
          <w:lang w:val="fr-FR"/>
        </w:rPr>
        <w:t xml:space="preserve"> a </w:t>
      </w:r>
      <w:r>
        <w:rPr>
          <w:lang w:val="fr-FR"/>
        </w:rPr>
        <w:t xml:space="preserve">défini </w:t>
      </w:r>
      <w:r w:rsidRPr="00262910">
        <w:rPr>
          <w:lang w:val="fr-FR"/>
        </w:rPr>
        <w:t>un ensemble d</w:t>
      </w:r>
      <w:r>
        <w:rPr>
          <w:lang w:val="fr-FR"/>
        </w:rPr>
        <w:t>’</w:t>
      </w:r>
      <w:r w:rsidRPr="00262910">
        <w:rPr>
          <w:lang w:val="fr-FR"/>
        </w:rPr>
        <w:t>attentes à l</w:t>
      </w:r>
      <w:r>
        <w:rPr>
          <w:lang w:val="fr-FR"/>
        </w:rPr>
        <w:t>’</w:t>
      </w:r>
      <w:r w:rsidRPr="00262910">
        <w:rPr>
          <w:lang w:val="fr-FR"/>
        </w:rPr>
        <w:t>égard des entreprises en matière de droits de l</w:t>
      </w:r>
      <w:r>
        <w:rPr>
          <w:lang w:val="fr-FR"/>
        </w:rPr>
        <w:t>’</w:t>
      </w:r>
      <w:r w:rsidRPr="00262910">
        <w:rPr>
          <w:lang w:val="fr-FR"/>
        </w:rPr>
        <w:t>homme</w:t>
      </w:r>
      <w:r w:rsidRPr="008648B2">
        <w:rPr>
          <w:rStyle w:val="Appelnotedebasdep"/>
        </w:rPr>
        <w:footnoteReference w:id="3"/>
      </w:r>
      <w:r w:rsidRPr="00262910">
        <w:rPr>
          <w:lang w:val="fr-FR"/>
        </w:rPr>
        <w:t xml:space="preserve"> et de droits de l</w:t>
      </w:r>
      <w:r>
        <w:rPr>
          <w:lang w:val="fr-FR"/>
        </w:rPr>
        <w:t>’</w:t>
      </w:r>
      <w:r w:rsidRPr="00262910">
        <w:rPr>
          <w:lang w:val="fr-FR"/>
        </w:rPr>
        <w:t>enfant</w:t>
      </w:r>
      <w:r w:rsidRPr="008648B2">
        <w:rPr>
          <w:rStyle w:val="Appelnotedebasdep"/>
        </w:rPr>
        <w:footnoteReference w:id="4"/>
      </w:r>
      <w:r>
        <w:rPr>
          <w:lang w:val="fr-FR"/>
        </w:rPr>
        <w:t>.</w:t>
      </w:r>
      <w:r w:rsidRPr="00262910">
        <w:rPr>
          <w:lang w:val="fr-FR"/>
        </w:rPr>
        <w:t xml:space="preserve"> </w:t>
      </w:r>
      <w:r>
        <w:rPr>
          <w:lang w:val="fr-FR"/>
        </w:rPr>
        <w:t>L</w:t>
      </w:r>
      <w:r w:rsidRPr="00034A70">
        <w:rPr>
          <w:lang w:val="fr-FR"/>
        </w:rPr>
        <w:t xml:space="preserve">a Banque centrale norvégienne </w:t>
      </w:r>
      <w:r>
        <w:rPr>
          <w:lang w:val="fr-FR"/>
        </w:rPr>
        <w:t xml:space="preserve">prend en considération les </w:t>
      </w:r>
      <w:r w:rsidRPr="00013263">
        <w:rPr>
          <w:lang w:val="fr-FR"/>
        </w:rPr>
        <w:t>droits de l</w:t>
      </w:r>
      <w:r>
        <w:rPr>
          <w:lang w:val="fr-FR"/>
        </w:rPr>
        <w:t>’</w:t>
      </w:r>
      <w:r w:rsidRPr="00013263">
        <w:rPr>
          <w:lang w:val="fr-FR"/>
        </w:rPr>
        <w:t>homme</w:t>
      </w:r>
      <w:r w:rsidRPr="00262910">
        <w:rPr>
          <w:lang w:val="fr-FR"/>
        </w:rPr>
        <w:t xml:space="preserve"> dans les efforts </w:t>
      </w:r>
      <w:r>
        <w:rPr>
          <w:lang w:val="fr-FR"/>
        </w:rPr>
        <w:t xml:space="preserve">qu’elle déploie en vue </w:t>
      </w:r>
      <w:r w:rsidRPr="00262910">
        <w:rPr>
          <w:lang w:val="fr-FR"/>
        </w:rPr>
        <w:t xml:space="preserve">de </w:t>
      </w:r>
      <w:r>
        <w:rPr>
          <w:lang w:val="fr-FR"/>
        </w:rPr>
        <w:t>définir des</w:t>
      </w:r>
      <w:r w:rsidRPr="00262910">
        <w:rPr>
          <w:lang w:val="fr-FR"/>
        </w:rPr>
        <w:t xml:space="preserve"> normes, </w:t>
      </w:r>
      <w:r>
        <w:rPr>
          <w:lang w:val="fr-FR"/>
        </w:rPr>
        <w:t>d’</w:t>
      </w:r>
      <w:r w:rsidRPr="00262910">
        <w:rPr>
          <w:lang w:val="fr-FR"/>
        </w:rPr>
        <w:t xml:space="preserve">exercer </w:t>
      </w:r>
      <w:r>
        <w:rPr>
          <w:lang w:val="fr-FR"/>
        </w:rPr>
        <w:t xml:space="preserve">ses droits de </w:t>
      </w:r>
      <w:r w:rsidRPr="00262910">
        <w:rPr>
          <w:lang w:val="fr-FR"/>
        </w:rPr>
        <w:t xml:space="preserve">propriété et </w:t>
      </w:r>
      <w:r>
        <w:rPr>
          <w:lang w:val="fr-FR"/>
        </w:rPr>
        <w:t xml:space="preserve">de </w:t>
      </w:r>
      <w:r w:rsidRPr="00262910">
        <w:rPr>
          <w:lang w:val="fr-FR"/>
        </w:rPr>
        <w:t xml:space="preserve">gérer les risques et les opportunités. </w:t>
      </w:r>
    </w:p>
    <w:p w:rsidR="001771B8" w:rsidRPr="00262910" w:rsidRDefault="001771B8" w:rsidP="001771B8">
      <w:pPr>
        <w:pStyle w:val="SingleTxtG"/>
        <w:rPr>
          <w:lang w:val="fr-FR"/>
        </w:rPr>
      </w:pPr>
      <w:r w:rsidRPr="00262910">
        <w:rPr>
          <w:lang w:val="fr-FR"/>
        </w:rPr>
        <w:t>51.</w:t>
      </w:r>
      <w:r w:rsidRPr="00262910">
        <w:rPr>
          <w:lang w:val="fr-FR"/>
        </w:rPr>
        <w:tab/>
      </w:r>
      <w:r w:rsidRPr="0000498F">
        <w:rPr>
          <w:lang w:val="fr-FR"/>
        </w:rPr>
        <w:t>Le Ministère des finances</w:t>
      </w:r>
      <w:r w:rsidRPr="00262910">
        <w:rPr>
          <w:lang w:val="fr-FR"/>
        </w:rPr>
        <w:t xml:space="preserve"> a é</w:t>
      </w:r>
      <w:r>
        <w:rPr>
          <w:lang w:val="fr-FR"/>
        </w:rPr>
        <w:t xml:space="preserve">dicté </w:t>
      </w:r>
      <w:r w:rsidRPr="00262910">
        <w:rPr>
          <w:lang w:val="fr-FR"/>
        </w:rPr>
        <w:t xml:space="preserve">des </w:t>
      </w:r>
      <w:r>
        <w:rPr>
          <w:lang w:val="fr-FR"/>
        </w:rPr>
        <w:t xml:space="preserve">directives </w:t>
      </w:r>
      <w:r w:rsidRPr="00262910">
        <w:rPr>
          <w:lang w:val="fr-FR"/>
        </w:rPr>
        <w:t>éthique</w:t>
      </w:r>
      <w:r>
        <w:rPr>
          <w:lang w:val="fr-FR"/>
        </w:rPr>
        <w:t>s</w:t>
      </w:r>
      <w:r w:rsidRPr="00262910">
        <w:rPr>
          <w:lang w:val="fr-FR"/>
        </w:rPr>
        <w:t xml:space="preserve"> </w:t>
      </w:r>
      <w:r>
        <w:rPr>
          <w:lang w:val="fr-FR"/>
        </w:rPr>
        <w:t xml:space="preserve">sur le suivi </w:t>
      </w:r>
      <w:r w:rsidRPr="00262910">
        <w:rPr>
          <w:lang w:val="fr-FR"/>
        </w:rPr>
        <w:t>et l</w:t>
      </w:r>
      <w:r>
        <w:rPr>
          <w:lang w:val="fr-FR"/>
        </w:rPr>
        <w:t>’</w:t>
      </w:r>
      <w:r w:rsidRPr="00262910">
        <w:rPr>
          <w:lang w:val="fr-FR"/>
        </w:rPr>
        <w:t xml:space="preserve">exclusion des entreprises </w:t>
      </w:r>
      <w:r>
        <w:rPr>
          <w:lang w:val="fr-FR"/>
        </w:rPr>
        <w:t xml:space="preserve">dans lesquelles le </w:t>
      </w:r>
      <w:r w:rsidRPr="00262910">
        <w:rPr>
          <w:szCs w:val="24"/>
          <w:lang w:val="fr-FR"/>
        </w:rPr>
        <w:t xml:space="preserve">Fonds de pension </w:t>
      </w:r>
      <w:r>
        <w:rPr>
          <w:szCs w:val="24"/>
          <w:lang w:val="fr-FR"/>
        </w:rPr>
        <w:t>public mondial</w:t>
      </w:r>
      <w:r w:rsidRPr="007227B7">
        <w:rPr>
          <w:lang w:val="fr-FR"/>
        </w:rPr>
        <w:t xml:space="preserve"> </w:t>
      </w:r>
      <w:r w:rsidRPr="007227B7">
        <w:rPr>
          <w:szCs w:val="24"/>
          <w:lang w:val="fr-FR"/>
        </w:rPr>
        <w:t>a investi</w:t>
      </w:r>
      <w:r w:rsidRPr="008648B2">
        <w:rPr>
          <w:rStyle w:val="Appelnotedebasdep"/>
        </w:rPr>
        <w:footnoteReference w:id="5"/>
      </w:r>
      <w:r w:rsidRPr="00262910">
        <w:rPr>
          <w:lang w:val="fr-FR"/>
        </w:rPr>
        <w:t xml:space="preserve">. </w:t>
      </w:r>
      <w:r>
        <w:rPr>
          <w:lang w:val="fr-FR"/>
        </w:rPr>
        <w:t xml:space="preserve">Conformément à ces </w:t>
      </w:r>
      <w:r w:rsidRPr="007227B7">
        <w:rPr>
          <w:lang w:val="fr-FR"/>
        </w:rPr>
        <w:t xml:space="preserve">directives </w:t>
      </w:r>
      <w:r>
        <w:rPr>
          <w:lang w:val="fr-FR"/>
        </w:rPr>
        <w:t>d</w:t>
      </w:r>
      <w:r w:rsidRPr="00262910">
        <w:rPr>
          <w:lang w:val="fr-FR"/>
        </w:rPr>
        <w:t xml:space="preserve">es entreprises peuvent être exclues du </w:t>
      </w:r>
      <w:r w:rsidRPr="00262910">
        <w:rPr>
          <w:szCs w:val="24"/>
          <w:lang w:val="fr-FR"/>
        </w:rPr>
        <w:t xml:space="preserve">Fonds </w:t>
      </w:r>
      <w:r w:rsidRPr="00262910">
        <w:rPr>
          <w:lang w:val="fr-FR"/>
        </w:rPr>
        <w:t>si elles con</w:t>
      </w:r>
      <w:r>
        <w:rPr>
          <w:lang w:val="fr-FR"/>
        </w:rPr>
        <w:t xml:space="preserve">courent à des </w:t>
      </w:r>
      <w:r w:rsidRPr="00262910">
        <w:rPr>
          <w:lang w:val="fr-FR"/>
        </w:rPr>
        <w:t>violations graves ou systématiques des droits de l</w:t>
      </w:r>
      <w:r>
        <w:rPr>
          <w:lang w:val="fr-FR"/>
        </w:rPr>
        <w:t>’</w:t>
      </w:r>
      <w:r w:rsidRPr="00262910">
        <w:rPr>
          <w:lang w:val="fr-FR"/>
        </w:rPr>
        <w:t>homme</w:t>
      </w:r>
      <w:r w:rsidRPr="00034A70">
        <w:rPr>
          <w:lang w:val="fr-FR"/>
        </w:rPr>
        <w:t xml:space="preserve"> ou </w:t>
      </w:r>
      <w:r>
        <w:rPr>
          <w:lang w:val="fr-FR"/>
        </w:rPr>
        <w:t>s’en rendent coupables</w:t>
      </w:r>
      <w:r w:rsidRPr="00262910">
        <w:rPr>
          <w:lang w:val="fr-FR"/>
        </w:rPr>
        <w:t xml:space="preserve">. </w:t>
      </w:r>
    </w:p>
    <w:p w:rsidR="001771B8" w:rsidRPr="00262910" w:rsidRDefault="001771B8" w:rsidP="001771B8">
      <w:pPr>
        <w:pStyle w:val="SingleTxtG"/>
        <w:rPr>
          <w:lang w:val="fr-FR"/>
        </w:rPr>
      </w:pPr>
      <w:r w:rsidRPr="00262910">
        <w:rPr>
          <w:lang w:val="fr-FR"/>
        </w:rPr>
        <w:t>52.</w:t>
      </w:r>
      <w:r w:rsidRPr="00262910">
        <w:rPr>
          <w:lang w:val="fr-FR"/>
        </w:rPr>
        <w:tab/>
        <w:t xml:space="preserve">Le </w:t>
      </w:r>
      <w:r>
        <w:rPr>
          <w:lang w:val="fr-FR"/>
        </w:rPr>
        <w:t>C</w:t>
      </w:r>
      <w:r w:rsidRPr="00262910">
        <w:rPr>
          <w:lang w:val="fr-FR"/>
        </w:rPr>
        <w:t xml:space="preserve">omité exécutif de la Banque </w:t>
      </w:r>
      <w:r>
        <w:rPr>
          <w:lang w:val="fr-FR"/>
        </w:rPr>
        <w:t xml:space="preserve">centrale norvégienne décide en dernier ressort de </w:t>
      </w:r>
      <w:r w:rsidRPr="00262910">
        <w:rPr>
          <w:lang w:val="fr-FR"/>
        </w:rPr>
        <w:t>l</w:t>
      </w:r>
      <w:r>
        <w:rPr>
          <w:lang w:val="fr-FR"/>
        </w:rPr>
        <w:t>’</w:t>
      </w:r>
      <w:r w:rsidRPr="00262910">
        <w:rPr>
          <w:lang w:val="fr-FR"/>
        </w:rPr>
        <w:t>exclusion d</w:t>
      </w:r>
      <w:r>
        <w:rPr>
          <w:lang w:val="fr-FR"/>
        </w:rPr>
        <w:t xml:space="preserve">’une </w:t>
      </w:r>
      <w:r w:rsidRPr="00262910">
        <w:rPr>
          <w:lang w:val="fr-FR"/>
        </w:rPr>
        <w:t xml:space="preserve">entreprise </w:t>
      </w:r>
      <w:r>
        <w:rPr>
          <w:lang w:val="fr-FR"/>
        </w:rPr>
        <w:t xml:space="preserve">sur la base des </w:t>
      </w:r>
      <w:r w:rsidRPr="00262910">
        <w:rPr>
          <w:lang w:val="fr-FR"/>
        </w:rPr>
        <w:t>recommandations du Conseil d</w:t>
      </w:r>
      <w:r>
        <w:rPr>
          <w:lang w:val="fr-FR"/>
        </w:rPr>
        <w:t>’</w:t>
      </w:r>
      <w:r w:rsidRPr="00262910">
        <w:rPr>
          <w:lang w:val="fr-FR"/>
        </w:rPr>
        <w:t>éthique</w:t>
      </w:r>
      <w:r w:rsidRPr="008648B2">
        <w:rPr>
          <w:rStyle w:val="Appelnotedebasdep"/>
        </w:rPr>
        <w:footnoteReference w:id="6"/>
      </w:r>
      <w:r w:rsidRPr="00262910">
        <w:rPr>
          <w:lang w:val="fr-FR"/>
        </w:rPr>
        <w:t>.</w:t>
      </w:r>
    </w:p>
    <w:p w:rsidR="001771B8" w:rsidRPr="00262910" w:rsidRDefault="001771B8" w:rsidP="001771B8">
      <w:pPr>
        <w:pStyle w:val="SingleTxtG"/>
        <w:rPr>
          <w:lang w:val="fr-FR"/>
        </w:rPr>
      </w:pPr>
      <w:r w:rsidRPr="00262910">
        <w:rPr>
          <w:lang w:val="fr-FR"/>
        </w:rPr>
        <w:t>53.</w:t>
      </w:r>
      <w:r w:rsidRPr="00262910">
        <w:rPr>
          <w:lang w:val="fr-FR"/>
        </w:rPr>
        <w:tab/>
      </w:r>
      <w:r w:rsidRPr="00E43242">
        <w:rPr>
          <w:lang w:val="fr-FR"/>
        </w:rPr>
        <w:t>Enfin, l</w:t>
      </w:r>
      <w:r>
        <w:rPr>
          <w:lang w:val="fr-FR"/>
        </w:rPr>
        <w:t>’</w:t>
      </w:r>
      <w:r w:rsidRPr="00E43242">
        <w:rPr>
          <w:lang w:val="fr-FR"/>
        </w:rPr>
        <w:t xml:space="preserve">État </w:t>
      </w:r>
      <w:r w:rsidRPr="00262910">
        <w:rPr>
          <w:lang w:val="fr-FR"/>
        </w:rPr>
        <w:t>redouble d</w:t>
      </w:r>
      <w:r>
        <w:rPr>
          <w:lang w:val="fr-FR"/>
        </w:rPr>
        <w:t>’</w:t>
      </w:r>
      <w:r w:rsidRPr="00262910">
        <w:rPr>
          <w:lang w:val="fr-FR"/>
        </w:rPr>
        <w:t xml:space="preserve">efforts pour </w:t>
      </w:r>
      <w:r>
        <w:rPr>
          <w:lang w:val="fr-FR"/>
        </w:rPr>
        <w:t xml:space="preserve">combattre </w:t>
      </w:r>
      <w:r w:rsidRPr="00262910">
        <w:rPr>
          <w:lang w:val="fr-FR"/>
        </w:rPr>
        <w:t>l</w:t>
      </w:r>
      <w:r>
        <w:rPr>
          <w:lang w:val="fr-FR"/>
        </w:rPr>
        <w:t>’</w:t>
      </w:r>
      <w:r w:rsidRPr="00262910">
        <w:rPr>
          <w:lang w:val="fr-FR"/>
        </w:rPr>
        <w:t xml:space="preserve">esclavage moderne. </w:t>
      </w:r>
      <w:r>
        <w:rPr>
          <w:lang w:val="fr-FR"/>
        </w:rPr>
        <w:t>L’</w:t>
      </w:r>
      <w:r w:rsidRPr="00262910">
        <w:rPr>
          <w:lang w:val="fr-FR"/>
        </w:rPr>
        <w:t xml:space="preserve">accent est mis sur une conduite responsable des entreprises et sur des mesures </w:t>
      </w:r>
      <w:r>
        <w:rPr>
          <w:lang w:val="fr-FR"/>
        </w:rPr>
        <w:t xml:space="preserve">destinées à sensibiliser au problème de </w:t>
      </w:r>
      <w:r w:rsidRPr="00262910">
        <w:rPr>
          <w:lang w:val="fr-FR"/>
        </w:rPr>
        <w:t>l</w:t>
      </w:r>
      <w:r>
        <w:rPr>
          <w:lang w:val="fr-FR"/>
        </w:rPr>
        <w:t>’</w:t>
      </w:r>
      <w:r w:rsidRPr="00262910">
        <w:rPr>
          <w:lang w:val="fr-FR"/>
        </w:rPr>
        <w:t>esclavage moderne. Un membre du Storting</w:t>
      </w:r>
      <w:r>
        <w:rPr>
          <w:lang w:val="fr-FR"/>
        </w:rPr>
        <w:t xml:space="preserve">, suivi par </w:t>
      </w:r>
      <w:r w:rsidRPr="00262910">
        <w:rPr>
          <w:lang w:val="fr-FR"/>
        </w:rPr>
        <w:t>le Gouvernement</w:t>
      </w:r>
      <w:r>
        <w:rPr>
          <w:lang w:val="fr-FR"/>
        </w:rPr>
        <w:t xml:space="preserve">, a </w:t>
      </w:r>
      <w:r w:rsidRPr="00262910">
        <w:rPr>
          <w:lang w:val="fr-FR"/>
        </w:rPr>
        <w:t>proposé d</w:t>
      </w:r>
      <w:r>
        <w:rPr>
          <w:lang w:val="fr-FR"/>
        </w:rPr>
        <w:t xml:space="preserve">’engager une réflexion sur l’intérêt </w:t>
      </w:r>
      <w:r w:rsidRPr="00262910">
        <w:rPr>
          <w:lang w:val="fr-FR"/>
        </w:rPr>
        <w:t>d</w:t>
      </w:r>
      <w:r>
        <w:rPr>
          <w:lang w:val="fr-FR"/>
        </w:rPr>
        <w:t>’</w:t>
      </w:r>
      <w:r w:rsidRPr="00262910">
        <w:rPr>
          <w:lang w:val="fr-FR"/>
        </w:rPr>
        <w:t xml:space="preserve">une loi </w:t>
      </w:r>
      <w:r>
        <w:rPr>
          <w:lang w:val="fr-FR"/>
        </w:rPr>
        <w:t xml:space="preserve">contre </w:t>
      </w:r>
      <w:r w:rsidRPr="00262910">
        <w:rPr>
          <w:lang w:val="fr-FR"/>
        </w:rPr>
        <w:t>l</w:t>
      </w:r>
      <w:r>
        <w:rPr>
          <w:lang w:val="fr-FR"/>
        </w:rPr>
        <w:t>’</w:t>
      </w:r>
      <w:r w:rsidRPr="00262910">
        <w:rPr>
          <w:lang w:val="fr-FR"/>
        </w:rPr>
        <w:t>esclavage moderne</w:t>
      </w:r>
      <w:r>
        <w:rPr>
          <w:lang w:val="fr-FR"/>
        </w:rPr>
        <w:t xml:space="preserve">, en s’inspirant de </w:t>
      </w:r>
      <w:r w:rsidRPr="00262910">
        <w:rPr>
          <w:lang w:val="fr-FR"/>
        </w:rPr>
        <w:t xml:space="preserve">la loi </w:t>
      </w:r>
      <w:r>
        <w:rPr>
          <w:lang w:val="fr-FR"/>
        </w:rPr>
        <w:t xml:space="preserve">du Royaume-Uni sur </w:t>
      </w:r>
      <w:r w:rsidRPr="00262910">
        <w:rPr>
          <w:lang w:val="fr-FR"/>
        </w:rPr>
        <w:t>l</w:t>
      </w:r>
      <w:r>
        <w:rPr>
          <w:lang w:val="fr-FR"/>
        </w:rPr>
        <w:t>’</w:t>
      </w:r>
      <w:r w:rsidRPr="00262910">
        <w:rPr>
          <w:lang w:val="fr-FR"/>
        </w:rPr>
        <w:t>esclavage moderne.</w:t>
      </w:r>
    </w:p>
    <w:p w:rsidR="001771B8" w:rsidRPr="00262910" w:rsidRDefault="001771B8" w:rsidP="00026FC7">
      <w:pPr>
        <w:pStyle w:val="H1G"/>
        <w:rPr>
          <w:lang w:val="fr-FR"/>
        </w:rPr>
      </w:pPr>
      <w:r w:rsidRPr="00262910">
        <w:rPr>
          <w:lang w:val="fr-FR"/>
        </w:rPr>
        <w:tab/>
      </w:r>
      <w:r w:rsidRPr="00262910">
        <w:rPr>
          <w:lang w:val="fr-FR"/>
        </w:rPr>
        <w:tab/>
        <w:t>Réponse au paragraphe 8 de la liste de points</w:t>
      </w:r>
    </w:p>
    <w:p w:rsidR="001771B8" w:rsidRPr="00262910" w:rsidRDefault="001771B8" w:rsidP="001771B8">
      <w:pPr>
        <w:pStyle w:val="SingleTxtG"/>
        <w:rPr>
          <w:lang w:val="fr-FR"/>
        </w:rPr>
      </w:pPr>
      <w:r w:rsidRPr="00262910">
        <w:rPr>
          <w:lang w:val="fr-FR"/>
        </w:rPr>
        <w:t>54.</w:t>
      </w:r>
      <w:r w:rsidRPr="00262910">
        <w:rPr>
          <w:lang w:val="fr-FR"/>
        </w:rPr>
        <w:tab/>
      </w:r>
      <w:r w:rsidRPr="00D26B94">
        <w:rPr>
          <w:lang w:val="fr-FR"/>
        </w:rPr>
        <w:t>La Norvège entend</w:t>
      </w:r>
      <w:r w:rsidRPr="00210F6D">
        <w:rPr>
          <w:lang w:val="fr-FR"/>
        </w:rPr>
        <w:t xml:space="preserve"> atteindre</w:t>
      </w:r>
      <w:r w:rsidRPr="00262910">
        <w:rPr>
          <w:lang w:val="fr-FR"/>
        </w:rPr>
        <w:t xml:space="preserve"> son objectif de réduction des émissions d</w:t>
      </w:r>
      <w:r>
        <w:rPr>
          <w:lang w:val="fr-FR"/>
        </w:rPr>
        <w:t>’</w:t>
      </w:r>
      <w:r w:rsidRPr="00262910">
        <w:rPr>
          <w:lang w:val="fr-FR"/>
        </w:rPr>
        <w:t>ici à 2030</w:t>
      </w:r>
      <w:r>
        <w:rPr>
          <w:lang w:val="fr-FR"/>
        </w:rPr>
        <w:t>,</w:t>
      </w:r>
      <w:r w:rsidRPr="00262910">
        <w:rPr>
          <w:lang w:val="fr-FR"/>
        </w:rPr>
        <w:t xml:space="preserve"> </w:t>
      </w:r>
      <w:r>
        <w:rPr>
          <w:lang w:val="fr-FR"/>
        </w:rPr>
        <w:t xml:space="preserve">de concert </w:t>
      </w:r>
      <w:r w:rsidRPr="00262910">
        <w:rPr>
          <w:lang w:val="fr-FR"/>
        </w:rPr>
        <w:t>avec l</w:t>
      </w:r>
      <w:r>
        <w:rPr>
          <w:lang w:val="fr-FR"/>
        </w:rPr>
        <w:t>’</w:t>
      </w:r>
      <w:r w:rsidRPr="00262910">
        <w:rPr>
          <w:lang w:val="fr-FR"/>
        </w:rPr>
        <w:t>UE. La Norvège fait partie du système d</w:t>
      </w:r>
      <w:r>
        <w:rPr>
          <w:lang w:val="fr-FR"/>
        </w:rPr>
        <w:t>’</w:t>
      </w:r>
      <w:r w:rsidRPr="00262910">
        <w:rPr>
          <w:lang w:val="fr-FR"/>
        </w:rPr>
        <w:t>échange de quotas d</w:t>
      </w:r>
      <w:r>
        <w:rPr>
          <w:lang w:val="fr-FR"/>
        </w:rPr>
        <w:t>’</w:t>
      </w:r>
      <w:r w:rsidRPr="00262910">
        <w:rPr>
          <w:lang w:val="fr-FR"/>
        </w:rPr>
        <w:t xml:space="preserve">émission et, </w:t>
      </w:r>
      <w:r>
        <w:rPr>
          <w:lang w:val="fr-FR"/>
        </w:rPr>
        <w:t>à ce titre</w:t>
      </w:r>
      <w:r w:rsidRPr="00262910">
        <w:rPr>
          <w:lang w:val="fr-FR"/>
        </w:rPr>
        <w:t xml:space="preserve">, appliquera </w:t>
      </w:r>
      <w:r>
        <w:rPr>
          <w:lang w:val="fr-FR"/>
        </w:rPr>
        <w:t xml:space="preserve">aussi </w:t>
      </w:r>
      <w:r w:rsidRPr="00262910">
        <w:rPr>
          <w:lang w:val="fr-FR"/>
        </w:rPr>
        <w:t>la législation communautaire pertinente réglement</w:t>
      </w:r>
      <w:r>
        <w:rPr>
          <w:lang w:val="fr-FR"/>
        </w:rPr>
        <w:t>ant</w:t>
      </w:r>
      <w:r w:rsidRPr="00262910">
        <w:rPr>
          <w:lang w:val="fr-FR"/>
        </w:rPr>
        <w:t xml:space="preserve"> les émissions non couvertes par </w:t>
      </w:r>
      <w:r>
        <w:rPr>
          <w:lang w:val="fr-FR"/>
        </w:rPr>
        <w:t>ce</w:t>
      </w:r>
      <w:r w:rsidRPr="00262910">
        <w:rPr>
          <w:lang w:val="fr-FR"/>
        </w:rPr>
        <w:t xml:space="preserve"> système </w:t>
      </w:r>
      <w:r>
        <w:rPr>
          <w:lang w:val="fr-FR"/>
        </w:rPr>
        <w:t xml:space="preserve">sur </w:t>
      </w:r>
      <w:r w:rsidRPr="00262910">
        <w:rPr>
          <w:lang w:val="fr-FR"/>
        </w:rPr>
        <w:t>la période 2021-2030. La Norvège sera tenue de s</w:t>
      </w:r>
      <w:r>
        <w:rPr>
          <w:lang w:val="fr-FR"/>
        </w:rPr>
        <w:t>’</w:t>
      </w:r>
      <w:r w:rsidRPr="00262910">
        <w:rPr>
          <w:lang w:val="fr-FR"/>
        </w:rPr>
        <w:t>engager à réduire de 40 % les émissions non couvertes par le système d</w:t>
      </w:r>
      <w:r>
        <w:rPr>
          <w:lang w:val="fr-FR"/>
        </w:rPr>
        <w:t>’</w:t>
      </w:r>
      <w:r w:rsidRPr="00262910">
        <w:rPr>
          <w:lang w:val="fr-FR"/>
        </w:rPr>
        <w:t>échange de quotas d</w:t>
      </w:r>
      <w:r>
        <w:rPr>
          <w:lang w:val="fr-FR"/>
        </w:rPr>
        <w:t>’</w:t>
      </w:r>
      <w:r w:rsidRPr="00262910">
        <w:rPr>
          <w:lang w:val="fr-FR"/>
        </w:rPr>
        <w:t xml:space="preserve">émission. </w:t>
      </w:r>
    </w:p>
    <w:p w:rsidR="001771B8" w:rsidRPr="00262910" w:rsidRDefault="001771B8" w:rsidP="001771B8">
      <w:pPr>
        <w:pStyle w:val="SingleTxtG"/>
        <w:rPr>
          <w:lang w:val="fr-FR"/>
        </w:rPr>
      </w:pPr>
      <w:r w:rsidRPr="00262910">
        <w:rPr>
          <w:lang w:val="fr-FR"/>
        </w:rPr>
        <w:t>55.</w:t>
      </w:r>
      <w:r w:rsidRPr="00262910">
        <w:rPr>
          <w:lang w:val="fr-FR"/>
        </w:rPr>
        <w:tab/>
        <w:t>Le Gouvernement proposera un plan sur l</w:t>
      </w:r>
      <w:r>
        <w:rPr>
          <w:lang w:val="fr-FR"/>
        </w:rPr>
        <w:t xml:space="preserve">’action à mener pour réduire </w:t>
      </w:r>
      <w:r w:rsidRPr="00210F6D">
        <w:rPr>
          <w:lang w:val="fr-FR"/>
        </w:rPr>
        <w:t>de 45</w:t>
      </w:r>
      <w:r w:rsidR="00026FC7">
        <w:rPr>
          <w:lang w:val="fr-FR"/>
        </w:rPr>
        <w:t> </w:t>
      </w:r>
      <w:r w:rsidRPr="00210F6D">
        <w:rPr>
          <w:lang w:val="fr-FR"/>
        </w:rPr>
        <w:t xml:space="preserve">% </w:t>
      </w:r>
      <w:r>
        <w:rPr>
          <w:lang w:val="fr-FR"/>
        </w:rPr>
        <w:t>l</w:t>
      </w:r>
      <w:r w:rsidRPr="00262910">
        <w:rPr>
          <w:lang w:val="fr-FR"/>
        </w:rPr>
        <w:t xml:space="preserve">es émissions dans les secteurs domestiques non couverts par le </w:t>
      </w:r>
      <w:r w:rsidRPr="00210F6D">
        <w:rPr>
          <w:lang w:val="fr-FR"/>
        </w:rPr>
        <w:t>système d</w:t>
      </w:r>
      <w:r>
        <w:rPr>
          <w:lang w:val="fr-FR"/>
        </w:rPr>
        <w:t>’</w:t>
      </w:r>
      <w:r w:rsidRPr="00210F6D">
        <w:rPr>
          <w:lang w:val="fr-FR"/>
        </w:rPr>
        <w:t>échange de quotas d</w:t>
      </w:r>
      <w:r>
        <w:rPr>
          <w:lang w:val="fr-FR"/>
        </w:rPr>
        <w:t>’</w:t>
      </w:r>
      <w:r w:rsidRPr="00210F6D">
        <w:rPr>
          <w:lang w:val="fr-FR"/>
        </w:rPr>
        <w:t>émission</w:t>
      </w:r>
      <w:r w:rsidRPr="00262910">
        <w:rPr>
          <w:lang w:val="fr-FR"/>
        </w:rPr>
        <w:t xml:space="preserve"> après la finalisation de l</w:t>
      </w:r>
      <w:r>
        <w:rPr>
          <w:lang w:val="fr-FR"/>
        </w:rPr>
        <w:t>’</w:t>
      </w:r>
      <w:r w:rsidRPr="00262910">
        <w:rPr>
          <w:lang w:val="fr-FR"/>
        </w:rPr>
        <w:t>accord avec l</w:t>
      </w:r>
      <w:r>
        <w:rPr>
          <w:lang w:val="fr-FR"/>
        </w:rPr>
        <w:t>’</w:t>
      </w:r>
      <w:r w:rsidRPr="00262910">
        <w:rPr>
          <w:lang w:val="fr-FR"/>
        </w:rPr>
        <w:t xml:space="preserve">UE. </w:t>
      </w:r>
      <w:r>
        <w:rPr>
          <w:lang w:val="fr-FR"/>
        </w:rPr>
        <w:t xml:space="preserve">Conformément au </w:t>
      </w:r>
      <w:r w:rsidRPr="00262910">
        <w:rPr>
          <w:lang w:val="fr-FR"/>
        </w:rPr>
        <w:t xml:space="preserve">programme politique, la Norvège ne peut </w:t>
      </w:r>
      <w:r w:rsidRPr="00D26B94">
        <w:rPr>
          <w:lang w:val="fr-FR"/>
        </w:rPr>
        <w:t>qu</w:t>
      </w:r>
      <w:r>
        <w:rPr>
          <w:lang w:val="fr-FR"/>
        </w:rPr>
        <w:t>’</w:t>
      </w:r>
      <w:r w:rsidRPr="00D26B94">
        <w:rPr>
          <w:lang w:val="fr-FR"/>
        </w:rPr>
        <w:t xml:space="preserve">en cas de stricte nécessité </w:t>
      </w:r>
      <w:r w:rsidRPr="00262910">
        <w:rPr>
          <w:lang w:val="fr-FR"/>
        </w:rPr>
        <w:t xml:space="preserve">acheter </w:t>
      </w:r>
      <w:r w:rsidRPr="00071323">
        <w:rPr>
          <w:lang w:val="fr-FR"/>
        </w:rPr>
        <w:t>des quotas d</w:t>
      </w:r>
      <w:r>
        <w:rPr>
          <w:lang w:val="fr-FR"/>
        </w:rPr>
        <w:t>’</w:t>
      </w:r>
      <w:r w:rsidRPr="00071323">
        <w:rPr>
          <w:lang w:val="fr-FR"/>
        </w:rPr>
        <w:t>émissions</w:t>
      </w:r>
      <w:r w:rsidRPr="00262910">
        <w:rPr>
          <w:lang w:val="fr-FR"/>
        </w:rPr>
        <w:t xml:space="preserve"> à d</w:t>
      </w:r>
      <w:r>
        <w:rPr>
          <w:lang w:val="fr-FR"/>
        </w:rPr>
        <w:t>’</w:t>
      </w:r>
      <w:r w:rsidRPr="00262910">
        <w:rPr>
          <w:lang w:val="fr-FR"/>
        </w:rPr>
        <w:t>autres pays européens.</w:t>
      </w:r>
    </w:p>
    <w:p w:rsidR="001771B8" w:rsidRPr="00262910" w:rsidRDefault="001771B8" w:rsidP="001771B8">
      <w:pPr>
        <w:pStyle w:val="SingleTxtG"/>
        <w:rPr>
          <w:lang w:val="fr-FR"/>
        </w:rPr>
      </w:pPr>
      <w:r w:rsidRPr="00262910">
        <w:rPr>
          <w:lang w:val="fr-FR"/>
        </w:rPr>
        <w:t>56.</w:t>
      </w:r>
      <w:r w:rsidRPr="00262910">
        <w:rPr>
          <w:lang w:val="fr-FR"/>
        </w:rPr>
        <w:tab/>
        <w:t xml:space="preserve">Depuis 2008, la plupart des émissions du secteur pétrolier norvégien sont soumises au </w:t>
      </w:r>
      <w:r w:rsidRPr="00210F6D">
        <w:rPr>
          <w:lang w:val="fr-FR"/>
        </w:rPr>
        <w:t>système d</w:t>
      </w:r>
      <w:r>
        <w:rPr>
          <w:lang w:val="fr-FR"/>
        </w:rPr>
        <w:t>’</w:t>
      </w:r>
      <w:r w:rsidRPr="00210F6D">
        <w:rPr>
          <w:lang w:val="fr-FR"/>
        </w:rPr>
        <w:t>échange de quotas d</w:t>
      </w:r>
      <w:r>
        <w:rPr>
          <w:lang w:val="fr-FR"/>
        </w:rPr>
        <w:t>’</w:t>
      </w:r>
      <w:r w:rsidRPr="00210F6D">
        <w:rPr>
          <w:lang w:val="fr-FR"/>
        </w:rPr>
        <w:t>émission</w:t>
      </w:r>
      <w:r w:rsidRPr="00262910">
        <w:rPr>
          <w:lang w:val="fr-FR"/>
        </w:rPr>
        <w:t xml:space="preserve">. Les émissions au titre du </w:t>
      </w:r>
      <w:r>
        <w:rPr>
          <w:lang w:val="fr-FR"/>
        </w:rPr>
        <w:t xml:space="preserve">système </w:t>
      </w:r>
      <w:r w:rsidRPr="00262910">
        <w:rPr>
          <w:lang w:val="fr-FR"/>
        </w:rPr>
        <w:t>seront réduites de 43 % d</w:t>
      </w:r>
      <w:r>
        <w:rPr>
          <w:lang w:val="fr-FR"/>
        </w:rPr>
        <w:t>’</w:t>
      </w:r>
      <w:r w:rsidRPr="00262910">
        <w:rPr>
          <w:lang w:val="fr-FR"/>
        </w:rPr>
        <w:t xml:space="preserve">ici à 2030 par rapport </w:t>
      </w:r>
      <w:r>
        <w:rPr>
          <w:lang w:val="fr-FR"/>
        </w:rPr>
        <w:t xml:space="preserve">à </w:t>
      </w:r>
      <w:r w:rsidRPr="00262910">
        <w:rPr>
          <w:lang w:val="fr-FR"/>
        </w:rPr>
        <w:t>2005. Le secteur pétrolier est également soumis à la taxe sur le CO</w:t>
      </w:r>
      <w:r w:rsidRPr="00A83C08">
        <w:rPr>
          <w:vertAlign w:val="subscript"/>
          <w:lang w:val="fr-FR"/>
        </w:rPr>
        <w:t>2</w:t>
      </w:r>
      <w:r w:rsidRPr="00262910">
        <w:rPr>
          <w:lang w:val="fr-FR"/>
        </w:rPr>
        <w:t xml:space="preserve"> et à d</w:t>
      </w:r>
      <w:r>
        <w:rPr>
          <w:lang w:val="fr-FR"/>
        </w:rPr>
        <w:t>’</w:t>
      </w:r>
      <w:r w:rsidRPr="00262910">
        <w:rPr>
          <w:lang w:val="fr-FR"/>
        </w:rPr>
        <w:t xml:space="preserve">autres exigences environnementales. </w:t>
      </w:r>
    </w:p>
    <w:p w:rsidR="001771B8" w:rsidRPr="00262910" w:rsidRDefault="001771B8" w:rsidP="001771B8">
      <w:pPr>
        <w:pStyle w:val="SingleTxtG"/>
        <w:rPr>
          <w:lang w:val="fr-FR"/>
        </w:rPr>
      </w:pPr>
      <w:r w:rsidRPr="00262910">
        <w:rPr>
          <w:lang w:val="fr-FR"/>
        </w:rPr>
        <w:t>57.</w:t>
      </w:r>
      <w:r w:rsidRPr="00262910">
        <w:rPr>
          <w:lang w:val="fr-FR"/>
        </w:rPr>
        <w:tab/>
        <w:t xml:space="preserve">La Norvège a alloué 1,68 milliard de couronnes norvégiennes au Fonds vert pour le climat pour la période 2015-2018 et </w:t>
      </w:r>
      <w:r>
        <w:rPr>
          <w:lang w:val="fr-FR"/>
        </w:rPr>
        <w:t xml:space="preserve">lui en apportera </w:t>
      </w:r>
      <w:r w:rsidRPr="00262910">
        <w:rPr>
          <w:lang w:val="fr-FR"/>
        </w:rPr>
        <w:t>400 millions</w:t>
      </w:r>
      <w:r>
        <w:rPr>
          <w:lang w:val="fr-FR"/>
        </w:rPr>
        <w:t xml:space="preserve"> </w:t>
      </w:r>
      <w:r w:rsidRPr="00262910">
        <w:rPr>
          <w:lang w:val="fr-FR"/>
        </w:rPr>
        <w:t xml:space="preserve">en 2019. </w:t>
      </w:r>
    </w:p>
    <w:p w:rsidR="001771B8" w:rsidRPr="00262910" w:rsidRDefault="001771B8" w:rsidP="00A83C08">
      <w:pPr>
        <w:pStyle w:val="H1G"/>
        <w:rPr>
          <w:lang w:val="fr-FR"/>
        </w:rPr>
      </w:pPr>
      <w:r w:rsidRPr="00262910">
        <w:rPr>
          <w:lang w:val="fr-FR"/>
        </w:rPr>
        <w:tab/>
      </w:r>
      <w:r w:rsidRPr="00262910">
        <w:rPr>
          <w:lang w:val="fr-FR"/>
        </w:rPr>
        <w:tab/>
      </w:r>
      <w:r w:rsidRPr="00EF7646">
        <w:rPr>
          <w:lang w:val="fr-FR"/>
        </w:rPr>
        <w:t>Réponse au</w:t>
      </w:r>
      <w:r w:rsidRPr="00262910">
        <w:rPr>
          <w:lang w:val="fr-FR"/>
        </w:rPr>
        <w:t xml:space="preserve"> paragraphe 9 de la liste de points</w:t>
      </w:r>
    </w:p>
    <w:p w:rsidR="001771B8" w:rsidRPr="00262910" w:rsidRDefault="001771B8" w:rsidP="001771B8">
      <w:pPr>
        <w:pStyle w:val="SingleTxtG"/>
        <w:rPr>
          <w:lang w:val="fr-FR"/>
        </w:rPr>
      </w:pPr>
      <w:r w:rsidRPr="00262910">
        <w:rPr>
          <w:lang w:val="fr-FR"/>
        </w:rPr>
        <w:t>58.</w:t>
      </w:r>
      <w:r w:rsidRPr="00262910">
        <w:rPr>
          <w:lang w:val="fr-FR"/>
        </w:rPr>
        <w:tab/>
      </w:r>
      <w:r>
        <w:rPr>
          <w:lang w:val="fr-FR"/>
        </w:rPr>
        <w:t>E</w:t>
      </w:r>
      <w:r w:rsidRPr="00A42CCA">
        <w:rPr>
          <w:lang w:val="fr-FR"/>
        </w:rPr>
        <w:t>n décembre 2007</w:t>
      </w:r>
      <w:r>
        <w:rPr>
          <w:lang w:val="fr-FR"/>
        </w:rPr>
        <w:t>, l</w:t>
      </w:r>
      <w:r w:rsidRPr="00262910">
        <w:rPr>
          <w:lang w:val="fr-FR"/>
        </w:rPr>
        <w:t xml:space="preserve">e Comité des droits </w:t>
      </w:r>
      <w:r w:rsidRPr="00D26B94">
        <w:rPr>
          <w:lang w:val="fr-FR"/>
        </w:rPr>
        <w:t>des Sâmes</w:t>
      </w:r>
      <w:r w:rsidRPr="00262910">
        <w:rPr>
          <w:lang w:val="fr-FR"/>
        </w:rPr>
        <w:t xml:space="preserve"> a </w:t>
      </w:r>
      <w:r>
        <w:rPr>
          <w:lang w:val="fr-FR"/>
        </w:rPr>
        <w:t xml:space="preserve">rendu </w:t>
      </w:r>
      <w:r w:rsidRPr="00262910">
        <w:rPr>
          <w:lang w:val="fr-FR"/>
        </w:rPr>
        <w:t xml:space="preserve">un rapport officiel sur les droits des </w:t>
      </w:r>
      <w:r>
        <w:rPr>
          <w:lang w:val="fr-FR"/>
        </w:rPr>
        <w:t>Sâme</w:t>
      </w:r>
      <w:r w:rsidRPr="00262910">
        <w:rPr>
          <w:lang w:val="fr-FR"/>
        </w:rPr>
        <w:t>s</w:t>
      </w:r>
      <w:r>
        <w:rPr>
          <w:lang w:val="fr-FR"/>
        </w:rPr>
        <w:t xml:space="preserve">. Le Comité propose, entre autres, une nouvelle </w:t>
      </w:r>
      <w:r w:rsidRPr="00262910">
        <w:rPr>
          <w:lang w:val="fr-FR"/>
        </w:rPr>
        <w:t xml:space="preserve">loi </w:t>
      </w:r>
      <w:r>
        <w:rPr>
          <w:lang w:val="fr-FR"/>
        </w:rPr>
        <w:t xml:space="preserve">sur les </w:t>
      </w:r>
      <w:r w:rsidRPr="00262910">
        <w:rPr>
          <w:lang w:val="fr-FR"/>
        </w:rPr>
        <w:t xml:space="preserve">consultations entre les </w:t>
      </w:r>
      <w:r>
        <w:rPr>
          <w:lang w:val="fr-FR"/>
        </w:rPr>
        <w:t>administrations publiques de tous les échelons e</w:t>
      </w:r>
      <w:r w:rsidRPr="00262910">
        <w:rPr>
          <w:lang w:val="fr-FR"/>
        </w:rPr>
        <w:t xml:space="preserve">t les représentants des intérêts </w:t>
      </w:r>
      <w:r>
        <w:rPr>
          <w:lang w:val="fr-FR"/>
        </w:rPr>
        <w:t>des Sâme</w:t>
      </w:r>
      <w:r w:rsidRPr="00262910">
        <w:rPr>
          <w:lang w:val="fr-FR"/>
        </w:rPr>
        <w:t xml:space="preserve">s. </w:t>
      </w:r>
    </w:p>
    <w:p w:rsidR="001771B8" w:rsidRPr="00262910" w:rsidRDefault="001771B8" w:rsidP="001771B8">
      <w:pPr>
        <w:pStyle w:val="SingleTxtG"/>
        <w:rPr>
          <w:lang w:val="fr-FR"/>
        </w:rPr>
      </w:pPr>
      <w:r w:rsidRPr="00262910">
        <w:rPr>
          <w:lang w:val="fr-FR"/>
        </w:rPr>
        <w:t>59.</w:t>
      </w:r>
      <w:r w:rsidRPr="00262910">
        <w:rPr>
          <w:lang w:val="fr-FR"/>
        </w:rPr>
        <w:tab/>
      </w:r>
      <w:r w:rsidRPr="00515203">
        <w:rPr>
          <w:lang w:val="fr-FR"/>
        </w:rPr>
        <w:t>En septembre 2018</w:t>
      </w:r>
      <w:r w:rsidRPr="00262910">
        <w:rPr>
          <w:lang w:val="fr-FR"/>
        </w:rPr>
        <w:t xml:space="preserve">, </w:t>
      </w:r>
      <w:r>
        <w:rPr>
          <w:lang w:val="fr-FR"/>
        </w:rPr>
        <w:t xml:space="preserve">comme suite au </w:t>
      </w:r>
      <w:r w:rsidRPr="00004367">
        <w:rPr>
          <w:lang w:val="fr-FR"/>
        </w:rPr>
        <w:t xml:space="preserve">rapport </w:t>
      </w:r>
      <w:r>
        <w:rPr>
          <w:lang w:val="fr-FR"/>
        </w:rPr>
        <w:t xml:space="preserve">précité </w:t>
      </w:r>
      <w:r w:rsidRPr="00004367">
        <w:rPr>
          <w:lang w:val="fr-FR"/>
        </w:rPr>
        <w:t xml:space="preserve">du Comité des droits des </w:t>
      </w:r>
      <w:r>
        <w:rPr>
          <w:lang w:val="fr-FR"/>
        </w:rPr>
        <w:t>Sâme</w:t>
      </w:r>
      <w:r w:rsidRPr="00004367">
        <w:rPr>
          <w:lang w:val="fr-FR"/>
        </w:rPr>
        <w:t>s</w:t>
      </w:r>
      <w:r>
        <w:rPr>
          <w:lang w:val="fr-FR"/>
        </w:rPr>
        <w:t>,</w:t>
      </w:r>
      <w:r w:rsidRPr="00004367">
        <w:rPr>
          <w:lang w:val="fr-FR"/>
        </w:rPr>
        <w:t xml:space="preserve"> </w:t>
      </w:r>
      <w:r w:rsidRPr="00262910">
        <w:rPr>
          <w:lang w:val="fr-FR"/>
        </w:rPr>
        <w:t xml:space="preserve">le Gouvernement a présenté au Storting </w:t>
      </w:r>
      <w:r>
        <w:rPr>
          <w:lang w:val="fr-FR"/>
        </w:rPr>
        <w:t xml:space="preserve">un </w:t>
      </w:r>
      <w:r w:rsidRPr="00262910">
        <w:rPr>
          <w:lang w:val="fr-FR"/>
        </w:rPr>
        <w:t>projet de loi</w:t>
      </w:r>
      <w:r>
        <w:rPr>
          <w:lang w:val="fr-FR"/>
        </w:rPr>
        <w:t xml:space="preserve"> portant </w:t>
      </w:r>
      <w:r w:rsidRPr="00262910">
        <w:rPr>
          <w:lang w:val="fr-FR"/>
        </w:rPr>
        <w:t>modification de</w:t>
      </w:r>
      <w:r>
        <w:rPr>
          <w:lang w:val="fr-FR"/>
        </w:rPr>
        <w:t xml:space="preserve">s dispositions de </w:t>
      </w:r>
      <w:r w:rsidRPr="00262910">
        <w:rPr>
          <w:lang w:val="fr-FR"/>
        </w:rPr>
        <w:t xml:space="preserve">la loi sur les </w:t>
      </w:r>
      <w:r>
        <w:rPr>
          <w:lang w:val="fr-FR"/>
        </w:rPr>
        <w:t>Sâme</w:t>
      </w:r>
      <w:r w:rsidRPr="00262910">
        <w:rPr>
          <w:lang w:val="fr-FR"/>
        </w:rPr>
        <w:t xml:space="preserve">s </w:t>
      </w:r>
      <w:r>
        <w:rPr>
          <w:lang w:val="fr-FR"/>
        </w:rPr>
        <w:t xml:space="preserve">relatives aux </w:t>
      </w:r>
      <w:r w:rsidRPr="00262910">
        <w:rPr>
          <w:lang w:val="fr-FR"/>
        </w:rPr>
        <w:t>procédures de consultation (Prop.</w:t>
      </w:r>
      <w:r w:rsidR="002D3956">
        <w:rPr>
          <w:lang w:val="fr-FR"/>
        </w:rPr>
        <w:t> </w:t>
      </w:r>
      <w:r w:rsidRPr="00262910">
        <w:rPr>
          <w:lang w:val="fr-FR"/>
        </w:rPr>
        <w:t xml:space="preserve">116 L (2017-2018)). </w:t>
      </w:r>
      <w:r>
        <w:rPr>
          <w:lang w:val="fr-FR"/>
        </w:rPr>
        <w:t>L</w:t>
      </w:r>
      <w:r w:rsidRPr="00004367">
        <w:rPr>
          <w:lang w:val="fr-FR"/>
        </w:rPr>
        <w:t>e 9 mai 2019</w:t>
      </w:r>
      <w:r>
        <w:rPr>
          <w:lang w:val="fr-FR"/>
        </w:rPr>
        <w:t xml:space="preserve">, l’assemblée </w:t>
      </w:r>
      <w:r w:rsidRPr="00262910">
        <w:rPr>
          <w:lang w:val="fr-FR"/>
        </w:rPr>
        <w:t>plénière du Storting a décidé de renvoyer l</w:t>
      </w:r>
      <w:r>
        <w:rPr>
          <w:lang w:val="fr-FR"/>
        </w:rPr>
        <w:t xml:space="preserve">e projet au </w:t>
      </w:r>
      <w:r w:rsidRPr="00262910">
        <w:rPr>
          <w:lang w:val="fr-FR"/>
        </w:rPr>
        <w:t xml:space="preserve">Gouvernement </w:t>
      </w:r>
      <w:r>
        <w:rPr>
          <w:lang w:val="fr-FR"/>
        </w:rPr>
        <w:t xml:space="preserve">en vue de la tenue </w:t>
      </w:r>
      <w:r w:rsidRPr="00071323">
        <w:rPr>
          <w:lang w:val="fr-FR"/>
        </w:rPr>
        <w:t>d</w:t>
      </w:r>
      <w:r>
        <w:rPr>
          <w:lang w:val="fr-FR"/>
        </w:rPr>
        <w:t>’</w:t>
      </w:r>
      <w:r w:rsidRPr="00071323">
        <w:rPr>
          <w:lang w:val="fr-FR"/>
        </w:rPr>
        <w:t>une nouvelle consultation publique</w:t>
      </w:r>
      <w:r>
        <w:rPr>
          <w:lang w:val="fr-FR"/>
        </w:rPr>
        <w:t xml:space="preserve"> car </w:t>
      </w:r>
      <w:r w:rsidRPr="00262910">
        <w:rPr>
          <w:lang w:val="fr-FR"/>
        </w:rPr>
        <w:t>la dernière remont</w:t>
      </w:r>
      <w:r>
        <w:rPr>
          <w:lang w:val="fr-FR"/>
        </w:rPr>
        <w:t xml:space="preserve">ait </w:t>
      </w:r>
      <w:r w:rsidRPr="00262910">
        <w:rPr>
          <w:lang w:val="fr-FR"/>
        </w:rPr>
        <w:t xml:space="preserve">à </w:t>
      </w:r>
      <w:r w:rsidR="002D3956">
        <w:rPr>
          <w:lang w:val="fr-FR"/>
        </w:rPr>
        <w:t>dix</w:t>
      </w:r>
      <w:r w:rsidRPr="00262910">
        <w:rPr>
          <w:lang w:val="fr-FR"/>
        </w:rPr>
        <w:t xml:space="preserve"> ans. </w:t>
      </w:r>
    </w:p>
    <w:p w:rsidR="001771B8" w:rsidRPr="00262910" w:rsidRDefault="001771B8" w:rsidP="001771B8">
      <w:pPr>
        <w:pStyle w:val="SingleTxtG"/>
        <w:rPr>
          <w:lang w:val="fr-FR"/>
        </w:rPr>
      </w:pPr>
      <w:r w:rsidRPr="00262910">
        <w:rPr>
          <w:lang w:val="fr-FR"/>
        </w:rPr>
        <w:t>60.</w:t>
      </w:r>
      <w:r w:rsidRPr="00262910">
        <w:rPr>
          <w:lang w:val="fr-FR"/>
        </w:rPr>
        <w:tab/>
      </w:r>
      <w:r w:rsidRPr="00D26B94">
        <w:rPr>
          <w:lang w:val="fr-FR"/>
        </w:rPr>
        <w:t>Une fois adopté</w:t>
      </w:r>
      <w:r>
        <w:rPr>
          <w:lang w:val="fr-FR"/>
        </w:rPr>
        <w:t>e</w:t>
      </w:r>
      <w:r w:rsidRPr="00D26B94">
        <w:rPr>
          <w:lang w:val="fr-FR"/>
        </w:rPr>
        <w:t xml:space="preserve">, </w:t>
      </w:r>
      <w:r>
        <w:rPr>
          <w:lang w:val="fr-FR"/>
        </w:rPr>
        <w:t xml:space="preserve">cette </w:t>
      </w:r>
      <w:r w:rsidRPr="00D26B94">
        <w:rPr>
          <w:lang w:val="fr-FR"/>
        </w:rPr>
        <w:t>loi renforcera</w:t>
      </w:r>
      <w:r w:rsidRPr="00262910">
        <w:rPr>
          <w:lang w:val="fr-FR"/>
        </w:rPr>
        <w:t xml:space="preserve"> et </w:t>
      </w:r>
      <w:r>
        <w:rPr>
          <w:lang w:val="fr-FR"/>
        </w:rPr>
        <w:t xml:space="preserve">précisera </w:t>
      </w:r>
      <w:r w:rsidRPr="00262910">
        <w:rPr>
          <w:lang w:val="fr-FR"/>
        </w:rPr>
        <w:t xml:space="preserve">le droit du peuple </w:t>
      </w:r>
      <w:r>
        <w:rPr>
          <w:lang w:val="fr-FR"/>
        </w:rPr>
        <w:t>sâme</w:t>
      </w:r>
      <w:r w:rsidRPr="00262910">
        <w:rPr>
          <w:lang w:val="fr-FR"/>
        </w:rPr>
        <w:t xml:space="preserve"> d</w:t>
      </w:r>
      <w:r>
        <w:rPr>
          <w:lang w:val="fr-FR"/>
        </w:rPr>
        <w:t>’</w:t>
      </w:r>
      <w:r w:rsidRPr="00262910">
        <w:rPr>
          <w:lang w:val="fr-FR"/>
        </w:rPr>
        <w:t xml:space="preserve">être consulté sur les questions </w:t>
      </w:r>
      <w:r>
        <w:rPr>
          <w:lang w:val="fr-FR"/>
        </w:rPr>
        <w:t xml:space="preserve">pouvant </w:t>
      </w:r>
      <w:r w:rsidRPr="00262910">
        <w:rPr>
          <w:lang w:val="fr-FR"/>
        </w:rPr>
        <w:t xml:space="preserve">le concerner directement. Les consultations doivent </w:t>
      </w:r>
      <w:r>
        <w:rPr>
          <w:lang w:val="fr-FR"/>
        </w:rPr>
        <w:t xml:space="preserve">avoir de la substance </w:t>
      </w:r>
      <w:r w:rsidRPr="00262910">
        <w:rPr>
          <w:lang w:val="fr-FR"/>
        </w:rPr>
        <w:t xml:space="preserve">et </w:t>
      </w:r>
      <w:r>
        <w:rPr>
          <w:lang w:val="fr-FR"/>
        </w:rPr>
        <w:t>viser à u</w:t>
      </w:r>
      <w:r w:rsidRPr="00262910">
        <w:rPr>
          <w:lang w:val="fr-FR"/>
        </w:rPr>
        <w:t xml:space="preserve">n accord </w:t>
      </w:r>
      <w:r w:rsidR="00517FC4">
        <w:rPr>
          <w:lang w:val="fr-FR"/>
        </w:rPr>
        <w:t>−</w:t>
      </w:r>
      <w:r w:rsidRPr="00262910">
        <w:rPr>
          <w:lang w:val="fr-FR"/>
        </w:rPr>
        <w:t xml:space="preserve"> ou </w:t>
      </w:r>
      <w:r>
        <w:rPr>
          <w:lang w:val="fr-FR"/>
        </w:rPr>
        <w:t>au co</w:t>
      </w:r>
      <w:r w:rsidRPr="00262910">
        <w:rPr>
          <w:lang w:val="fr-FR"/>
        </w:rPr>
        <w:t xml:space="preserve">nsentement </w:t>
      </w:r>
      <w:r w:rsidR="00517FC4">
        <w:rPr>
          <w:lang w:val="fr-FR"/>
        </w:rPr>
        <w:t>−</w:t>
      </w:r>
      <w:r>
        <w:rPr>
          <w:lang w:val="fr-FR"/>
        </w:rPr>
        <w:t xml:space="preserve"> quant aux </w:t>
      </w:r>
      <w:r w:rsidRPr="00262910">
        <w:rPr>
          <w:lang w:val="fr-FR"/>
        </w:rPr>
        <w:t>mesures proposées.</w:t>
      </w:r>
    </w:p>
    <w:p w:rsidR="001771B8" w:rsidRPr="00262910" w:rsidRDefault="001771B8" w:rsidP="001771B8">
      <w:pPr>
        <w:pStyle w:val="SingleTxtG"/>
        <w:rPr>
          <w:lang w:val="fr-FR"/>
        </w:rPr>
      </w:pPr>
      <w:r w:rsidRPr="00262910">
        <w:rPr>
          <w:lang w:val="fr-FR"/>
        </w:rPr>
        <w:t>61.</w:t>
      </w:r>
      <w:r w:rsidRPr="00262910">
        <w:rPr>
          <w:lang w:val="fr-FR"/>
        </w:rPr>
        <w:tab/>
        <w:t xml:space="preserve">En 2007, </w:t>
      </w:r>
      <w:r w:rsidRPr="00071323">
        <w:rPr>
          <w:lang w:val="fr-FR"/>
        </w:rPr>
        <w:t>le Ministère de l</w:t>
      </w:r>
      <w:r>
        <w:rPr>
          <w:lang w:val="fr-FR"/>
        </w:rPr>
        <w:t>’</w:t>
      </w:r>
      <w:r w:rsidRPr="00071323">
        <w:rPr>
          <w:lang w:val="fr-FR"/>
        </w:rPr>
        <w:t>administration locale et de la modernisation</w:t>
      </w:r>
      <w:r w:rsidRPr="00262910">
        <w:rPr>
          <w:lang w:val="fr-FR"/>
        </w:rPr>
        <w:t xml:space="preserve"> a réalisé une enquête </w:t>
      </w:r>
      <w:r w:rsidRPr="00BA6254">
        <w:rPr>
          <w:lang w:val="fr-FR"/>
        </w:rPr>
        <w:t>auprès des ministères</w:t>
      </w:r>
      <w:r w:rsidRPr="00262910">
        <w:rPr>
          <w:lang w:val="fr-FR"/>
        </w:rPr>
        <w:t xml:space="preserve">, des organismes gouvernementaux et du Sámediggi (Parlement </w:t>
      </w:r>
      <w:r>
        <w:rPr>
          <w:lang w:val="fr-FR"/>
        </w:rPr>
        <w:t>sâme</w:t>
      </w:r>
      <w:r w:rsidRPr="00262910">
        <w:rPr>
          <w:lang w:val="fr-FR"/>
        </w:rPr>
        <w:t xml:space="preserve">) </w:t>
      </w:r>
      <w:r>
        <w:rPr>
          <w:lang w:val="fr-FR"/>
        </w:rPr>
        <w:t>en vue d’</w:t>
      </w:r>
      <w:r w:rsidRPr="00262910">
        <w:rPr>
          <w:lang w:val="fr-FR"/>
        </w:rPr>
        <w:t xml:space="preserve">évaluer leur expérience en matière de procédures de consultation. </w:t>
      </w:r>
      <w:r>
        <w:rPr>
          <w:lang w:val="fr-FR"/>
        </w:rPr>
        <w:t>S</w:t>
      </w:r>
      <w:r w:rsidRPr="00262910">
        <w:rPr>
          <w:lang w:val="fr-FR"/>
        </w:rPr>
        <w:t xml:space="preserve">es résultats </w:t>
      </w:r>
      <w:r>
        <w:rPr>
          <w:lang w:val="fr-FR"/>
        </w:rPr>
        <w:t xml:space="preserve">ont montré </w:t>
      </w:r>
      <w:r w:rsidRPr="00262910">
        <w:rPr>
          <w:lang w:val="fr-FR"/>
        </w:rPr>
        <w:t xml:space="preserve">que </w:t>
      </w:r>
      <w:r>
        <w:rPr>
          <w:lang w:val="fr-FR"/>
        </w:rPr>
        <w:t>c</w:t>
      </w:r>
      <w:r w:rsidRPr="00262910">
        <w:rPr>
          <w:lang w:val="fr-FR"/>
        </w:rPr>
        <w:t xml:space="preserve">es procédures </w:t>
      </w:r>
      <w:r>
        <w:rPr>
          <w:lang w:val="fr-FR"/>
        </w:rPr>
        <w:t xml:space="preserve">avaient </w:t>
      </w:r>
      <w:r w:rsidRPr="00262910">
        <w:rPr>
          <w:lang w:val="fr-FR"/>
        </w:rPr>
        <w:t>permis au</w:t>
      </w:r>
      <w:r>
        <w:rPr>
          <w:lang w:val="fr-FR"/>
        </w:rPr>
        <w:t xml:space="preserve">x pouvoirs publics de prendre contact </w:t>
      </w:r>
      <w:r w:rsidRPr="00262910">
        <w:rPr>
          <w:lang w:val="fr-FR"/>
        </w:rPr>
        <w:t xml:space="preserve">plus facilement </w:t>
      </w:r>
      <w:r>
        <w:rPr>
          <w:lang w:val="fr-FR"/>
        </w:rPr>
        <w:t xml:space="preserve">avec </w:t>
      </w:r>
      <w:r w:rsidRPr="00262910">
        <w:rPr>
          <w:lang w:val="fr-FR"/>
        </w:rPr>
        <w:t xml:space="preserve">le Sámediggi à un stade précoce. </w:t>
      </w:r>
      <w:r>
        <w:rPr>
          <w:lang w:val="fr-FR"/>
        </w:rPr>
        <w:t xml:space="preserve">Cette prise de contact avait </w:t>
      </w:r>
      <w:r w:rsidRPr="00262910">
        <w:rPr>
          <w:lang w:val="fr-FR"/>
        </w:rPr>
        <w:t>permis au</w:t>
      </w:r>
      <w:r>
        <w:rPr>
          <w:lang w:val="fr-FR"/>
        </w:rPr>
        <w:t xml:space="preserve">x pouvoirs publics d’approfondir leur connaissance de </w:t>
      </w:r>
      <w:r w:rsidRPr="00262910">
        <w:rPr>
          <w:lang w:val="fr-FR"/>
        </w:rPr>
        <w:t xml:space="preserve">la société </w:t>
      </w:r>
      <w:r>
        <w:rPr>
          <w:lang w:val="fr-FR"/>
        </w:rPr>
        <w:t>sâme</w:t>
      </w:r>
      <w:r w:rsidRPr="00262910">
        <w:rPr>
          <w:lang w:val="fr-FR"/>
        </w:rPr>
        <w:t xml:space="preserve"> et </w:t>
      </w:r>
      <w:r>
        <w:rPr>
          <w:lang w:val="fr-FR"/>
        </w:rPr>
        <w:t xml:space="preserve">de ses </w:t>
      </w:r>
      <w:r w:rsidRPr="00262910">
        <w:rPr>
          <w:lang w:val="fr-FR"/>
        </w:rPr>
        <w:t>perspectives.</w:t>
      </w:r>
    </w:p>
    <w:p w:rsidR="001771B8" w:rsidRPr="00262910" w:rsidRDefault="001771B8" w:rsidP="001771B8">
      <w:pPr>
        <w:pStyle w:val="SingleTxtG"/>
        <w:rPr>
          <w:lang w:val="fr-FR"/>
        </w:rPr>
      </w:pPr>
      <w:r w:rsidRPr="00262910">
        <w:rPr>
          <w:lang w:val="fr-FR"/>
        </w:rPr>
        <w:t>62.</w:t>
      </w:r>
      <w:r w:rsidRPr="00262910">
        <w:rPr>
          <w:lang w:val="fr-FR"/>
        </w:rPr>
        <w:tab/>
      </w:r>
      <w:r>
        <w:rPr>
          <w:lang w:val="fr-FR"/>
        </w:rPr>
        <w:t>L</w:t>
      </w:r>
      <w:r w:rsidRPr="00262910">
        <w:rPr>
          <w:lang w:val="fr-FR"/>
        </w:rPr>
        <w:t xml:space="preserve">a proposition du Comité des droits des </w:t>
      </w:r>
      <w:r>
        <w:rPr>
          <w:lang w:val="fr-FR"/>
        </w:rPr>
        <w:t>Sâme</w:t>
      </w:r>
      <w:r w:rsidRPr="00262910">
        <w:rPr>
          <w:lang w:val="fr-FR"/>
        </w:rPr>
        <w:t xml:space="preserve">s </w:t>
      </w:r>
      <w:r>
        <w:rPr>
          <w:lang w:val="fr-FR"/>
        </w:rPr>
        <w:t xml:space="preserve">de réaliser une enquête sur ces </w:t>
      </w:r>
      <w:r w:rsidRPr="00262910">
        <w:rPr>
          <w:lang w:val="fr-FR"/>
        </w:rPr>
        <w:t xml:space="preserve">droits </w:t>
      </w:r>
      <w:r>
        <w:rPr>
          <w:lang w:val="fr-FR"/>
        </w:rPr>
        <w:t xml:space="preserve">dans le sud de la province du </w:t>
      </w:r>
      <w:r w:rsidRPr="00262910">
        <w:rPr>
          <w:lang w:val="fr-FR"/>
        </w:rPr>
        <w:t>Finnmark</w:t>
      </w:r>
      <w:r>
        <w:rPr>
          <w:lang w:val="fr-FR"/>
        </w:rPr>
        <w:t xml:space="preserve"> est en cours d’évaluation par le </w:t>
      </w:r>
      <w:r w:rsidRPr="00FD62A8">
        <w:rPr>
          <w:lang w:val="fr-FR"/>
        </w:rPr>
        <w:t>Ministère de la justice et de la sécurité publique</w:t>
      </w:r>
      <w:r>
        <w:rPr>
          <w:lang w:val="fr-FR"/>
        </w:rPr>
        <w:t>.</w:t>
      </w:r>
    </w:p>
    <w:p w:rsidR="001771B8" w:rsidRPr="00262910" w:rsidRDefault="001771B8" w:rsidP="001771B8">
      <w:pPr>
        <w:pStyle w:val="SingleTxtG"/>
        <w:rPr>
          <w:lang w:val="fr-FR"/>
        </w:rPr>
      </w:pPr>
      <w:r w:rsidRPr="00262910">
        <w:rPr>
          <w:lang w:val="fr-FR"/>
        </w:rPr>
        <w:t>63.</w:t>
      </w:r>
      <w:r w:rsidRPr="00262910">
        <w:rPr>
          <w:lang w:val="fr-FR"/>
        </w:rPr>
        <w:tab/>
      </w:r>
      <w:r>
        <w:rPr>
          <w:lang w:val="fr-FR"/>
        </w:rPr>
        <w:t>L</w:t>
      </w:r>
      <w:r w:rsidRPr="00BA6254">
        <w:rPr>
          <w:lang w:val="fr-FR"/>
        </w:rPr>
        <w:t>e 18 février 2008</w:t>
      </w:r>
      <w:r>
        <w:rPr>
          <w:lang w:val="fr-FR"/>
        </w:rPr>
        <w:t>, l</w:t>
      </w:r>
      <w:r w:rsidRPr="00262910">
        <w:rPr>
          <w:lang w:val="fr-FR"/>
        </w:rPr>
        <w:t xml:space="preserve">e Comité des pêches côtières au large du Finnmark a </w:t>
      </w:r>
      <w:r>
        <w:rPr>
          <w:lang w:val="fr-FR"/>
        </w:rPr>
        <w:t xml:space="preserve">présenté un </w:t>
      </w:r>
      <w:r w:rsidRPr="00262910">
        <w:rPr>
          <w:lang w:val="fr-FR"/>
        </w:rPr>
        <w:t>rapport</w:t>
      </w:r>
      <w:r>
        <w:rPr>
          <w:lang w:val="fr-FR"/>
        </w:rPr>
        <w:t xml:space="preserve"> et e</w:t>
      </w:r>
      <w:r w:rsidRPr="00BA6254">
        <w:rPr>
          <w:lang w:val="fr-FR"/>
        </w:rPr>
        <w:t>n mai 2011</w:t>
      </w:r>
      <w:r>
        <w:rPr>
          <w:lang w:val="fr-FR"/>
        </w:rPr>
        <w:t xml:space="preserve"> l</w:t>
      </w:r>
      <w:r w:rsidRPr="00262910">
        <w:rPr>
          <w:lang w:val="fr-FR"/>
        </w:rPr>
        <w:t>e Sámediggi et le</w:t>
      </w:r>
      <w:r>
        <w:rPr>
          <w:lang w:val="fr-FR"/>
        </w:rPr>
        <w:t>s</w:t>
      </w:r>
      <w:r w:rsidRPr="00262910">
        <w:rPr>
          <w:lang w:val="fr-FR"/>
        </w:rPr>
        <w:t xml:space="preserve"> </w:t>
      </w:r>
      <w:r>
        <w:rPr>
          <w:lang w:val="fr-FR"/>
        </w:rPr>
        <w:t>autorités g</w:t>
      </w:r>
      <w:r w:rsidRPr="00262910">
        <w:rPr>
          <w:lang w:val="fr-FR"/>
        </w:rPr>
        <w:t>ouvernement</w:t>
      </w:r>
      <w:r>
        <w:rPr>
          <w:lang w:val="fr-FR"/>
        </w:rPr>
        <w:t>ales</w:t>
      </w:r>
      <w:r w:rsidRPr="00262910">
        <w:rPr>
          <w:lang w:val="fr-FR"/>
        </w:rPr>
        <w:t xml:space="preserve"> ont achevé</w:t>
      </w:r>
      <w:r w:rsidRPr="00AB6DC5">
        <w:rPr>
          <w:lang w:val="fr-FR"/>
        </w:rPr>
        <w:t xml:space="preserve"> </w:t>
      </w:r>
      <w:r w:rsidRPr="00262910">
        <w:rPr>
          <w:lang w:val="fr-FR"/>
        </w:rPr>
        <w:t xml:space="preserve">les consultations </w:t>
      </w:r>
      <w:r>
        <w:rPr>
          <w:lang w:val="fr-FR"/>
        </w:rPr>
        <w:t xml:space="preserve">tenues sur la base de ce </w:t>
      </w:r>
      <w:r w:rsidRPr="00262910">
        <w:rPr>
          <w:lang w:val="fr-FR"/>
        </w:rPr>
        <w:t xml:space="preserve">rapport. Les parties </w:t>
      </w:r>
      <w:r>
        <w:rPr>
          <w:lang w:val="fr-FR"/>
        </w:rPr>
        <w:t xml:space="preserve">aux </w:t>
      </w:r>
      <w:r w:rsidRPr="00262910">
        <w:rPr>
          <w:lang w:val="fr-FR"/>
        </w:rPr>
        <w:t>consultation</w:t>
      </w:r>
      <w:r>
        <w:rPr>
          <w:lang w:val="fr-FR"/>
        </w:rPr>
        <w:t>s</w:t>
      </w:r>
      <w:r w:rsidRPr="00262910">
        <w:rPr>
          <w:lang w:val="fr-FR"/>
        </w:rPr>
        <w:t xml:space="preserve"> ont </w:t>
      </w:r>
      <w:r>
        <w:rPr>
          <w:lang w:val="fr-FR"/>
        </w:rPr>
        <w:t xml:space="preserve">exprimé des opinions divergentes sur </w:t>
      </w:r>
      <w:r w:rsidRPr="00262910">
        <w:rPr>
          <w:lang w:val="fr-FR"/>
        </w:rPr>
        <w:t xml:space="preserve">certains aspects du droit international public, mais sont parvenues à un accord sur plusieurs mesures </w:t>
      </w:r>
      <w:r>
        <w:rPr>
          <w:lang w:val="fr-FR"/>
        </w:rPr>
        <w:t xml:space="preserve">destinées </w:t>
      </w:r>
      <w:r w:rsidRPr="00262910">
        <w:rPr>
          <w:lang w:val="fr-FR"/>
        </w:rPr>
        <w:t>à garantir l</w:t>
      </w:r>
      <w:r>
        <w:rPr>
          <w:lang w:val="fr-FR"/>
        </w:rPr>
        <w:t>’</w:t>
      </w:r>
      <w:r w:rsidRPr="00262910">
        <w:rPr>
          <w:lang w:val="fr-FR"/>
        </w:rPr>
        <w:t xml:space="preserve">accès aux ressources naturelles, </w:t>
      </w:r>
      <w:r>
        <w:rPr>
          <w:lang w:val="fr-FR"/>
        </w:rPr>
        <w:t xml:space="preserve">qui </w:t>
      </w:r>
      <w:r w:rsidRPr="00262910">
        <w:rPr>
          <w:lang w:val="fr-FR"/>
        </w:rPr>
        <w:t>constituent l</w:t>
      </w:r>
      <w:r>
        <w:rPr>
          <w:lang w:val="fr-FR"/>
        </w:rPr>
        <w:t xml:space="preserve">e socle </w:t>
      </w:r>
      <w:r w:rsidRPr="00262910">
        <w:rPr>
          <w:lang w:val="fr-FR"/>
        </w:rPr>
        <w:t>de la culture sâme côtière.</w:t>
      </w:r>
    </w:p>
    <w:p w:rsidR="001771B8" w:rsidRPr="00262910" w:rsidRDefault="001771B8" w:rsidP="001771B8">
      <w:pPr>
        <w:pStyle w:val="SingleTxtG"/>
        <w:rPr>
          <w:lang w:val="fr-FR"/>
        </w:rPr>
      </w:pPr>
      <w:r w:rsidRPr="00262910">
        <w:rPr>
          <w:lang w:val="fr-FR"/>
        </w:rPr>
        <w:t>64.</w:t>
      </w:r>
      <w:r w:rsidRPr="00262910">
        <w:rPr>
          <w:lang w:val="fr-FR"/>
        </w:rPr>
        <w:tab/>
      </w:r>
      <w:r>
        <w:rPr>
          <w:lang w:val="fr-FR"/>
        </w:rPr>
        <w:t>Parmi l</w:t>
      </w:r>
      <w:r w:rsidRPr="00262910">
        <w:rPr>
          <w:lang w:val="fr-FR"/>
        </w:rPr>
        <w:t xml:space="preserve">es mesures </w:t>
      </w:r>
      <w:r>
        <w:rPr>
          <w:lang w:val="fr-FR"/>
        </w:rPr>
        <w:t xml:space="preserve">qu’institue la </w:t>
      </w:r>
      <w:r w:rsidRPr="00262910">
        <w:rPr>
          <w:lang w:val="fr-FR"/>
        </w:rPr>
        <w:t>loi</w:t>
      </w:r>
      <w:r>
        <w:rPr>
          <w:lang w:val="fr-FR"/>
        </w:rPr>
        <w:t xml:space="preserve"> </w:t>
      </w:r>
      <w:r w:rsidRPr="00262910">
        <w:rPr>
          <w:lang w:val="fr-FR"/>
        </w:rPr>
        <w:t>figure</w:t>
      </w:r>
      <w:r w:rsidRPr="00A35FBD">
        <w:rPr>
          <w:lang w:val="fr-FR"/>
        </w:rPr>
        <w:t xml:space="preserve">, sous certaines conditions, </w:t>
      </w:r>
      <w:r w:rsidRPr="00262910">
        <w:rPr>
          <w:lang w:val="fr-FR"/>
        </w:rPr>
        <w:t>le droit de pêche</w:t>
      </w:r>
      <w:r>
        <w:rPr>
          <w:lang w:val="fr-FR"/>
        </w:rPr>
        <w:t>r</w:t>
      </w:r>
      <w:r w:rsidRPr="00262910">
        <w:rPr>
          <w:lang w:val="fr-FR"/>
        </w:rPr>
        <w:t xml:space="preserve"> pour tous les habitants</w:t>
      </w:r>
      <w:r>
        <w:rPr>
          <w:lang w:val="fr-FR"/>
        </w:rPr>
        <w:t xml:space="preserve"> de la province du </w:t>
      </w:r>
      <w:r w:rsidRPr="00262910">
        <w:rPr>
          <w:lang w:val="fr-FR"/>
        </w:rPr>
        <w:t>Finnmark et d</w:t>
      </w:r>
      <w:r>
        <w:rPr>
          <w:lang w:val="fr-FR"/>
        </w:rPr>
        <w:t xml:space="preserve">u nord de la province de </w:t>
      </w:r>
      <w:r w:rsidRPr="00262910">
        <w:rPr>
          <w:lang w:val="fr-FR"/>
        </w:rPr>
        <w:t xml:space="preserve">Troms, ainsi que </w:t>
      </w:r>
      <w:r>
        <w:rPr>
          <w:lang w:val="fr-FR"/>
        </w:rPr>
        <w:t xml:space="preserve">des </w:t>
      </w:r>
      <w:r w:rsidRPr="00262910">
        <w:rPr>
          <w:lang w:val="fr-FR"/>
        </w:rPr>
        <w:t>municipalités du reste du nord d</w:t>
      </w:r>
      <w:r>
        <w:rPr>
          <w:lang w:val="fr-FR"/>
        </w:rPr>
        <w:t xml:space="preserve">u pays ayant </w:t>
      </w:r>
      <w:r w:rsidRPr="00262910">
        <w:rPr>
          <w:lang w:val="fr-FR"/>
        </w:rPr>
        <w:t xml:space="preserve">des zones côtières </w:t>
      </w:r>
      <w:r>
        <w:rPr>
          <w:lang w:val="fr-FR"/>
        </w:rPr>
        <w:t>à peuplement sâme</w:t>
      </w:r>
      <w:r w:rsidRPr="00262910">
        <w:rPr>
          <w:lang w:val="fr-FR"/>
        </w:rPr>
        <w:t xml:space="preserve">. </w:t>
      </w:r>
    </w:p>
    <w:p w:rsidR="001771B8" w:rsidRPr="00262910" w:rsidRDefault="001771B8" w:rsidP="001771B8">
      <w:pPr>
        <w:pStyle w:val="SingleTxtG"/>
        <w:rPr>
          <w:lang w:val="fr-FR"/>
        </w:rPr>
      </w:pPr>
      <w:r w:rsidRPr="00262910">
        <w:rPr>
          <w:lang w:val="fr-FR"/>
        </w:rPr>
        <w:t>65.</w:t>
      </w:r>
      <w:r w:rsidRPr="00262910">
        <w:rPr>
          <w:lang w:val="fr-FR"/>
        </w:rPr>
        <w:tab/>
        <w:t xml:space="preserve">La loi sur les ressources marines a été modifiée </w:t>
      </w:r>
      <w:r>
        <w:rPr>
          <w:lang w:val="fr-FR"/>
        </w:rPr>
        <w:t xml:space="preserve">en y ajoutant une </w:t>
      </w:r>
      <w:r w:rsidRPr="00262910">
        <w:rPr>
          <w:lang w:val="fr-FR"/>
        </w:rPr>
        <w:t xml:space="preserve">disposition </w:t>
      </w:r>
      <w:r>
        <w:rPr>
          <w:lang w:val="fr-FR"/>
        </w:rPr>
        <w:t xml:space="preserve">qui insiste sur l’importance que revêt une prise en considération accrue de </w:t>
      </w:r>
      <w:r w:rsidRPr="00262910">
        <w:rPr>
          <w:lang w:val="fr-FR"/>
        </w:rPr>
        <w:t xml:space="preserve">la culture </w:t>
      </w:r>
      <w:r>
        <w:rPr>
          <w:lang w:val="fr-FR"/>
        </w:rPr>
        <w:t>sâme</w:t>
      </w:r>
      <w:r w:rsidRPr="00262910">
        <w:rPr>
          <w:lang w:val="fr-FR"/>
        </w:rPr>
        <w:t xml:space="preserve"> dans toute </w:t>
      </w:r>
      <w:r>
        <w:rPr>
          <w:lang w:val="fr-FR"/>
        </w:rPr>
        <w:t xml:space="preserve">la </w:t>
      </w:r>
      <w:r w:rsidRPr="00262910">
        <w:rPr>
          <w:lang w:val="fr-FR"/>
        </w:rPr>
        <w:t xml:space="preserve">réglementation </w:t>
      </w:r>
      <w:r>
        <w:rPr>
          <w:lang w:val="fr-FR"/>
        </w:rPr>
        <w:t xml:space="preserve">relative à la </w:t>
      </w:r>
      <w:r w:rsidRPr="00262910">
        <w:rPr>
          <w:lang w:val="fr-FR"/>
        </w:rPr>
        <w:t>pêche</w:t>
      </w:r>
      <w:r>
        <w:rPr>
          <w:lang w:val="fr-FR"/>
        </w:rPr>
        <w:t xml:space="preserve"> et à sa gestion</w:t>
      </w:r>
      <w:r w:rsidRPr="00262910">
        <w:rPr>
          <w:lang w:val="fr-FR"/>
        </w:rPr>
        <w:t xml:space="preserve">. </w:t>
      </w:r>
    </w:p>
    <w:p w:rsidR="001771B8" w:rsidRPr="00262910" w:rsidRDefault="001771B8" w:rsidP="001771B8">
      <w:pPr>
        <w:pStyle w:val="SingleTxtG"/>
        <w:rPr>
          <w:lang w:val="fr-FR"/>
        </w:rPr>
      </w:pPr>
      <w:r w:rsidRPr="00262910">
        <w:rPr>
          <w:lang w:val="fr-FR"/>
        </w:rPr>
        <w:t>66.</w:t>
      </w:r>
      <w:r w:rsidRPr="00262910">
        <w:rPr>
          <w:lang w:val="fr-FR"/>
        </w:rPr>
        <w:tab/>
        <w:t xml:space="preserve">La loi sur la participation a été modifiée </w:t>
      </w:r>
      <w:r>
        <w:rPr>
          <w:lang w:val="fr-FR"/>
        </w:rPr>
        <w:t xml:space="preserve">en y ajoutant </w:t>
      </w:r>
      <w:r w:rsidRPr="00262910">
        <w:rPr>
          <w:lang w:val="fr-FR"/>
        </w:rPr>
        <w:t xml:space="preserve">une disposition </w:t>
      </w:r>
      <w:r>
        <w:rPr>
          <w:lang w:val="fr-FR"/>
        </w:rPr>
        <w:t xml:space="preserve">qui indique que cette </w:t>
      </w:r>
      <w:r w:rsidRPr="00262910">
        <w:rPr>
          <w:lang w:val="fr-FR"/>
        </w:rPr>
        <w:t xml:space="preserve">loi doit être appliquée </w:t>
      </w:r>
      <w:r>
        <w:rPr>
          <w:lang w:val="fr-FR"/>
        </w:rPr>
        <w:t xml:space="preserve">dans le respect des dispositions du </w:t>
      </w:r>
      <w:r w:rsidRPr="00262910">
        <w:rPr>
          <w:lang w:val="fr-FR"/>
        </w:rPr>
        <w:t xml:space="preserve">droit international public </w:t>
      </w:r>
      <w:r>
        <w:rPr>
          <w:lang w:val="fr-FR"/>
        </w:rPr>
        <w:t xml:space="preserve">relatives aux </w:t>
      </w:r>
      <w:r w:rsidRPr="00262910">
        <w:rPr>
          <w:lang w:val="fr-FR"/>
        </w:rPr>
        <w:t xml:space="preserve">peuples autochtones et </w:t>
      </w:r>
      <w:r>
        <w:rPr>
          <w:lang w:val="fr-FR"/>
        </w:rPr>
        <w:t xml:space="preserve">aux </w:t>
      </w:r>
      <w:r w:rsidRPr="00262910">
        <w:rPr>
          <w:lang w:val="fr-FR"/>
        </w:rPr>
        <w:t xml:space="preserve">minorités. </w:t>
      </w:r>
    </w:p>
    <w:p w:rsidR="001771B8" w:rsidRPr="00262910" w:rsidRDefault="001771B8" w:rsidP="001771B8">
      <w:pPr>
        <w:pStyle w:val="SingleTxtG"/>
        <w:rPr>
          <w:lang w:val="fr-FR"/>
        </w:rPr>
      </w:pPr>
      <w:r w:rsidRPr="00262910">
        <w:rPr>
          <w:lang w:val="fr-FR"/>
        </w:rPr>
        <w:t>67.</w:t>
      </w:r>
      <w:r w:rsidRPr="00262910">
        <w:rPr>
          <w:lang w:val="fr-FR"/>
        </w:rPr>
        <w:tab/>
        <w:t xml:space="preserve">La loi sur le Finnmark a été modifiée </w:t>
      </w:r>
      <w:r>
        <w:rPr>
          <w:lang w:val="fr-FR"/>
        </w:rPr>
        <w:t xml:space="preserve">en y ajoutant </w:t>
      </w:r>
      <w:r w:rsidRPr="00262910">
        <w:rPr>
          <w:lang w:val="fr-FR"/>
        </w:rPr>
        <w:t xml:space="preserve">une disposition </w:t>
      </w:r>
      <w:r>
        <w:rPr>
          <w:lang w:val="fr-FR"/>
        </w:rPr>
        <w:t xml:space="preserve">selon laquelle </w:t>
      </w:r>
      <w:r w:rsidRPr="00262910">
        <w:rPr>
          <w:lang w:val="fr-FR"/>
        </w:rPr>
        <w:t>une demande de reconnaissance d</w:t>
      </w:r>
      <w:r>
        <w:rPr>
          <w:lang w:val="fr-FR"/>
        </w:rPr>
        <w:t xml:space="preserve">’un droit à des pêcheries </w:t>
      </w:r>
      <w:r w:rsidRPr="00262910">
        <w:rPr>
          <w:lang w:val="fr-FR"/>
        </w:rPr>
        <w:t>peut être présentée à la Commission du Finnmark.</w:t>
      </w:r>
    </w:p>
    <w:p w:rsidR="001771B8" w:rsidRPr="00262910" w:rsidRDefault="001771B8" w:rsidP="001771B8">
      <w:pPr>
        <w:pStyle w:val="SingleTxtG"/>
        <w:rPr>
          <w:lang w:val="fr-FR"/>
        </w:rPr>
      </w:pPr>
      <w:r w:rsidRPr="00262910">
        <w:rPr>
          <w:lang w:val="fr-FR"/>
        </w:rPr>
        <w:t>68.</w:t>
      </w:r>
      <w:r w:rsidRPr="00262910">
        <w:rPr>
          <w:lang w:val="fr-FR"/>
        </w:rPr>
        <w:tab/>
      </w:r>
      <w:r>
        <w:rPr>
          <w:lang w:val="fr-FR"/>
        </w:rPr>
        <w:t>C</w:t>
      </w:r>
      <w:r w:rsidRPr="00262910">
        <w:rPr>
          <w:lang w:val="fr-FR"/>
        </w:rPr>
        <w:t xml:space="preserve">es </w:t>
      </w:r>
      <w:r>
        <w:rPr>
          <w:lang w:val="fr-FR"/>
        </w:rPr>
        <w:t xml:space="preserve">différentes </w:t>
      </w:r>
      <w:r w:rsidRPr="00262910">
        <w:rPr>
          <w:lang w:val="fr-FR"/>
        </w:rPr>
        <w:t xml:space="preserve">modifications </w:t>
      </w:r>
      <w:r>
        <w:rPr>
          <w:lang w:val="fr-FR"/>
        </w:rPr>
        <w:t xml:space="preserve">sont entrées en vigueur </w:t>
      </w:r>
      <w:r w:rsidRPr="00262910">
        <w:rPr>
          <w:lang w:val="fr-FR"/>
        </w:rPr>
        <w:t>le 1</w:t>
      </w:r>
      <w:r w:rsidRPr="00EA4C51">
        <w:rPr>
          <w:vertAlign w:val="superscript"/>
          <w:lang w:val="fr-FR"/>
        </w:rPr>
        <w:t>er</w:t>
      </w:r>
      <w:r w:rsidRPr="00262910">
        <w:rPr>
          <w:lang w:val="fr-FR"/>
        </w:rPr>
        <w:t xml:space="preserve"> janvier 2012. </w:t>
      </w:r>
    </w:p>
    <w:p w:rsidR="001771B8" w:rsidRPr="00262910" w:rsidRDefault="001771B8" w:rsidP="00DC1EFE">
      <w:pPr>
        <w:pStyle w:val="H1G"/>
        <w:rPr>
          <w:lang w:val="fr-FR"/>
        </w:rPr>
      </w:pPr>
      <w:r w:rsidRPr="00262910">
        <w:rPr>
          <w:lang w:val="fr-FR"/>
        </w:rPr>
        <w:tab/>
      </w:r>
      <w:r w:rsidRPr="00262910">
        <w:rPr>
          <w:lang w:val="fr-FR"/>
        </w:rPr>
        <w:tab/>
        <w:t>Réponse au paragraphe 10 a) de la liste de points</w:t>
      </w:r>
    </w:p>
    <w:p w:rsidR="001771B8" w:rsidRPr="00262910" w:rsidRDefault="001771B8" w:rsidP="001771B8">
      <w:pPr>
        <w:pStyle w:val="SingleTxtG"/>
        <w:rPr>
          <w:lang w:val="fr-FR"/>
        </w:rPr>
      </w:pPr>
      <w:r w:rsidRPr="00262910">
        <w:rPr>
          <w:lang w:val="fr-FR"/>
        </w:rPr>
        <w:t>69.</w:t>
      </w:r>
      <w:r w:rsidRPr="00262910">
        <w:rPr>
          <w:lang w:val="fr-FR"/>
        </w:rPr>
        <w:tab/>
      </w:r>
      <w:r w:rsidRPr="0090628B">
        <w:rPr>
          <w:lang w:val="fr-FR"/>
        </w:rPr>
        <w:t>La Norvège n</w:t>
      </w:r>
      <w:r>
        <w:rPr>
          <w:lang w:val="fr-FR"/>
        </w:rPr>
        <w:t>’</w:t>
      </w:r>
      <w:r w:rsidRPr="0090628B">
        <w:rPr>
          <w:lang w:val="fr-FR"/>
        </w:rPr>
        <w:t>a pas fixé</w:t>
      </w:r>
      <w:r>
        <w:rPr>
          <w:lang w:val="fr-FR"/>
        </w:rPr>
        <w:t xml:space="preserve"> de </w:t>
      </w:r>
      <w:r w:rsidRPr="00262910">
        <w:rPr>
          <w:lang w:val="fr-FR"/>
        </w:rPr>
        <w:t xml:space="preserve">seuil </w:t>
      </w:r>
      <w:r w:rsidRPr="003E23EE">
        <w:rPr>
          <w:lang w:val="fr-FR"/>
        </w:rPr>
        <w:t xml:space="preserve">officiel </w:t>
      </w:r>
      <w:r w:rsidRPr="00262910">
        <w:rPr>
          <w:lang w:val="fr-FR"/>
        </w:rPr>
        <w:t>de pauvreté</w:t>
      </w:r>
      <w:r>
        <w:rPr>
          <w:lang w:val="fr-FR"/>
        </w:rPr>
        <w:t>,</w:t>
      </w:r>
      <w:r w:rsidRPr="00262910">
        <w:rPr>
          <w:lang w:val="fr-FR"/>
        </w:rPr>
        <w:t xml:space="preserve"> mais </w:t>
      </w:r>
      <w:r w:rsidRPr="00BE76E3">
        <w:rPr>
          <w:lang w:val="fr-FR"/>
        </w:rPr>
        <w:t xml:space="preserve">pour déterminer la proportion de la population à faible revenu </w:t>
      </w:r>
      <w:r>
        <w:rPr>
          <w:lang w:val="fr-FR"/>
        </w:rPr>
        <w:t xml:space="preserve">on recourt en général au concept de </w:t>
      </w:r>
      <w:r w:rsidRPr="00262910">
        <w:rPr>
          <w:lang w:val="fr-FR"/>
        </w:rPr>
        <w:t xml:space="preserve">pauvreté </w:t>
      </w:r>
      <w:r>
        <w:rPr>
          <w:lang w:val="fr-FR"/>
        </w:rPr>
        <w:t xml:space="preserve">adopté par l’Union </w:t>
      </w:r>
      <w:r w:rsidRPr="003E23EE">
        <w:rPr>
          <w:lang w:val="fr-FR"/>
        </w:rPr>
        <w:t>européenne</w:t>
      </w:r>
      <w:r w:rsidRPr="00262910">
        <w:rPr>
          <w:lang w:val="fr-FR"/>
        </w:rPr>
        <w:t>. Selon l</w:t>
      </w:r>
      <w:r>
        <w:rPr>
          <w:lang w:val="fr-FR"/>
        </w:rPr>
        <w:t>’</w:t>
      </w:r>
      <w:r w:rsidRPr="00262910">
        <w:rPr>
          <w:lang w:val="fr-FR"/>
        </w:rPr>
        <w:t>indicateur de risque de pauvreté de l</w:t>
      </w:r>
      <w:r>
        <w:rPr>
          <w:lang w:val="fr-FR"/>
        </w:rPr>
        <w:t>’</w:t>
      </w:r>
      <w:r w:rsidRPr="00262910">
        <w:rPr>
          <w:lang w:val="fr-FR"/>
        </w:rPr>
        <w:t xml:space="preserve">UE </w:t>
      </w:r>
      <w:r>
        <w:rPr>
          <w:lang w:val="fr-FR"/>
        </w:rPr>
        <w:t>(</w:t>
      </w:r>
      <w:r w:rsidRPr="00262910">
        <w:rPr>
          <w:lang w:val="fr-FR"/>
        </w:rPr>
        <w:t>au seuil de 50</w:t>
      </w:r>
      <w:r w:rsidR="008F7448">
        <w:rPr>
          <w:lang w:val="fr-FR"/>
        </w:rPr>
        <w:t> </w:t>
      </w:r>
      <w:r>
        <w:rPr>
          <w:lang w:val="fr-FR"/>
        </w:rPr>
        <w:t>%)</w:t>
      </w:r>
      <w:r w:rsidRPr="00262910">
        <w:rPr>
          <w:lang w:val="fr-FR"/>
        </w:rPr>
        <w:t xml:space="preserve">, </w:t>
      </w:r>
      <w:r>
        <w:rPr>
          <w:lang w:val="fr-FR"/>
        </w:rPr>
        <w:t xml:space="preserve">une personne disposant d’un revenu inférieur à </w:t>
      </w:r>
      <w:r w:rsidRPr="00262910">
        <w:rPr>
          <w:lang w:val="fr-FR"/>
        </w:rPr>
        <w:t>50</w:t>
      </w:r>
      <w:r w:rsidR="008F7448">
        <w:rPr>
          <w:lang w:val="fr-FR"/>
        </w:rPr>
        <w:t> </w:t>
      </w:r>
      <w:r>
        <w:rPr>
          <w:lang w:val="fr-FR"/>
        </w:rPr>
        <w:t>%</w:t>
      </w:r>
      <w:r w:rsidRPr="00262910">
        <w:rPr>
          <w:lang w:val="fr-FR"/>
        </w:rPr>
        <w:t xml:space="preserve"> </w:t>
      </w:r>
      <w:r>
        <w:rPr>
          <w:lang w:val="fr-FR"/>
        </w:rPr>
        <w:t xml:space="preserve">du </w:t>
      </w:r>
      <w:r w:rsidRPr="00262910">
        <w:rPr>
          <w:lang w:val="fr-FR"/>
        </w:rPr>
        <w:t xml:space="preserve">revenu médian </w:t>
      </w:r>
      <w:r>
        <w:rPr>
          <w:lang w:val="fr-FR"/>
        </w:rPr>
        <w:t xml:space="preserve">est </w:t>
      </w:r>
      <w:r w:rsidRPr="00262910">
        <w:rPr>
          <w:lang w:val="fr-FR"/>
        </w:rPr>
        <w:t>considéré</w:t>
      </w:r>
      <w:r>
        <w:rPr>
          <w:lang w:val="fr-FR"/>
        </w:rPr>
        <w:t>e comme vivant sous le seuil de faible revenu</w:t>
      </w:r>
      <w:r w:rsidRPr="00262910">
        <w:rPr>
          <w:lang w:val="fr-FR"/>
        </w:rPr>
        <w:t xml:space="preserve">. De même, </w:t>
      </w:r>
      <w:r>
        <w:rPr>
          <w:lang w:val="fr-FR"/>
        </w:rPr>
        <w:t xml:space="preserve">au </w:t>
      </w:r>
      <w:r w:rsidRPr="00262910">
        <w:rPr>
          <w:lang w:val="fr-FR"/>
        </w:rPr>
        <w:t>seuil de 60 %</w:t>
      </w:r>
      <w:r>
        <w:rPr>
          <w:lang w:val="fr-FR"/>
        </w:rPr>
        <w:t>,</w:t>
      </w:r>
      <w:r w:rsidRPr="00262910">
        <w:rPr>
          <w:lang w:val="fr-FR"/>
        </w:rPr>
        <w:t xml:space="preserve"> </w:t>
      </w:r>
      <w:r>
        <w:rPr>
          <w:lang w:val="fr-FR"/>
        </w:rPr>
        <w:t xml:space="preserve">une personne disposant d’un revenu inférieur à </w:t>
      </w:r>
      <w:r w:rsidRPr="00262910">
        <w:rPr>
          <w:lang w:val="fr-FR"/>
        </w:rPr>
        <w:t xml:space="preserve">60 % </w:t>
      </w:r>
      <w:r>
        <w:rPr>
          <w:lang w:val="fr-FR"/>
        </w:rPr>
        <w:t>d</w:t>
      </w:r>
      <w:r w:rsidRPr="00262910">
        <w:rPr>
          <w:lang w:val="fr-FR"/>
        </w:rPr>
        <w:t xml:space="preserve">u revenu médian </w:t>
      </w:r>
      <w:r>
        <w:rPr>
          <w:lang w:val="fr-FR"/>
        </w:rPr>
        <w:t>est considérée comme vivant sous ce seuil de faible revenu</w:t>
      </w:r>
      <w:r w:rsidRPr="00262910">
        <w:rPr>
          <w:lang w:val="fr-FR"/>
        </w:rPr>
        <w:t xml:space="preserve">. </w:t>
      </w:r>
    </w:p>
    <w:p w:rsidR="001771B8" w:rsidRPr="00262910" w:rsidRDefault="001771B8" w:rsidP="001771B8">
      <w:pPr>
        <w:pStyle w:val="SingleTxtG"/>
        <w:rPr>
          <w:lang w:val="fr-FR"/>
        </w:rPr>
      </w:pPr>
      <w:r w:rsidRPr="00262910">
        <w:rPr>
          <w:lang w:val="fr-FR"/>
        </w:rPr>
        <w:t>70.</w:t>
      </w:r>
      <w:r w:rsidRPr="00262910">
        <w:rPr>
          <w:lang w:val="fr-FR"/>
        </w:rPr>
        <w:tab/>
      </w:r>
      <w:r>
        <w:rPr>
          <w:lang w:val="fr-FR"/>
        </w:rPr>
        <w:t xml:space="preserve">Le pourcentage </w:t>
      </w:r>
      <w:r w:rsidRPr="00262910">
        <w:rPr>
          <w:lang w:val="fr-FR"/>
        </w:rPr>
        <w:t xml:space="preserve">de la population </w:t>
      </w:r>
      <w:r>
        <w:rPr>
          <w:lang w:val="fr-FR"/>
        </w:rPr>
        <w:t xml:space="preserve">qui vit dans un ménage </w:t>
      </w:r>
      <w:r w:rsidRPr="00262910">
        <w:rPr>
          <w:lang w:val="fr-FR"/>
        </w:rPr>
        <w:t xml:space="preserve">dont le revenu annuel est inférieur au seuil de faible revenu </w:t>
      </w:r>
      <w:r>
        <w:rPr>
          <w:lang w:val="fr-FR"/>
        </w:rPr>
        <w:t>est en augmentation d</w:t>
      </w:r>
      <w:r w:rsidRPr="00262910">
        <w:rPr>
          <w:lang w:val="fr-FR"/>
        </w:rPr>
        <w:t xml:space="preserve">epuis quelques années, </w:t>
      </w:r>
      <w:r>
        <w:rPr>
          <w:lang w:val="fr-FR"/>
        </w:rPr>
        <w:t xml:space="preserve">mais </w:t>
      </w:r>
      <w:r w:rsidRPr="00262910">
        <w:rPr>
          <w:lang w:val="fr-FR"/>
        </w:rPr>
        <w:t>l</w:t>
      </w:r>
      <w:r>
        <w:rPr>
          <w:lang w:val="fr-FR"/>
        </w:rPr>
        <w:t>’</w:t>
      </w:r>
      <w:r w:rsidRPr="00262910">
        <w:rPr>
          <w:lang w:val="fr-FR"/>
        </w:rPr>
        <w:t xml:space="preserve">écart entre riches et pauvres </w:t>
      </w:r>
      <w:r>
        <w:rPr>
          <w:lang w:val="fr-FR"/>
        </w:rPr>
        <w:t xml:space="preserve">demeure moins marqué qu’ailleurs </w:t>
      </w:r>
      <w:r w:rsidRPr="00C16DE3">
        <w:rPr>
          <w:lang w:val="fr-FR"/>
        </w:rPr>
        <w:t>e</w:t>
      </w:r>
      <w:r>
        <w:rPr>
          <w:lang w:val="fr-FR"/>
        </w:rPr>
        <w:t xml:space="preserve">n </w:t>
      </w:r>
      <w:r w:rsidRPr="00C16DE3">
        <w:rPr>
          <w:lang w:val="fr-FR"/>
        </w:rPr>
        <w:t>Norvège</w:t>
      </w:r>
      <w:r>
        <w:rPr>
          <w:lang w:val="fr-FR"/>
        </w:rPr>
        <w:t>.</w:t>
      </w:r>
      <w:r w:rsidRPr="00262910">
        <w:rPr>
          <w:lang w:val="fr-FR"/>
        </w:rPr>
        <w:t xml:space="preserve"> Les services sociaux, </w:t>
      </w:r>
      <w:r>
        <w:rPr>
          <w:lang w:val="fr-FR"/>
        </w:rPr>
        <w:t>comme l’éducation préscolaire</w:t>
      </w:r>
      <w:r w:rsidRPr="00262910">
        <w:rPr>
          <w:lang w:val="fr-FR"/>
        </w:rPr>
        <w:t>, l</w:t>
      </w:r>
      <w:r>
        <w:rPr>
          <w:lang w:val="fr-FR"/>
        </w:rPr>
        <w:t xml:space="preserve">’enseignement et la </w:t>
      </w:r>
      <w:r w:rsidRPr="00262910">
        <w:rPr>
          <w:lang w:val="fr-FR"/>
        </w:rPr>
        <w:t>santé sont gratuits ou subventionnés par l</w:t>
      </w:r>
      <w:r>
        <w:rPr>
          <w:lang w:val="fr-FR"/>
        </w:rPr>
        <w:t>’</w:t>
      </w:r>
      <w:r w:rsidRPr="00262910">
        <w:rPr>
          <w:lang w:val="fr-FR"/>
        </w:rPr>
        <w:t>État, ce qui réduit les conséquences d</w:t>
      </w:r>
      <w:r>
        <w:rPr>
          <w:lang w:val="fr-FR"/>
        </w:rPr>
        <w:t xml:space="preserve">’un </w:t>
      </w:r>
      <w:r w:rsidRPr="00262910">
        <w:rPr>
          <w:lang w:val="fr-FR"/>
        </w:rPr>
        <w:t>faible revenu.</w:t>
      </w:r>
    </w:p>
    <w:p w:rsidR="001771B8" w:rsidRPr="00262910" w:rsidRDefault="008F7448" w:rsidP="008F7448">
      <w:pPr>
        <w:pStyle w:val="H23G"/>
        <w:rPr>
          <w:lang w:val="fr-FR"/>
        </w:rPr>
      </w:pPr>
      <w:r>
        <w:rPr>
          <w:lang w:val="fr-FR"/>
        </w:rPr>
        <w:tab/>
      </w:r>
      <w:r>
        <w:rPr>
          <w:lang w:val="fr-FR"/>
        </w:rPr>
        <w:tab/>
      </w:r>
      <w:r w:rsidR="001771B8" w:rsidRPr="00262910">
        <w:rPr>
          <w:lang w:val="fr-FR"/>
        </w:rPr>
        <w:t>P</w:t>
      </w:r>
      <w:r w:rsidR="001771B8">
        <w:rPr>
          <w:lang w:val="fr-FR"/>
        </w:rPr>
        <w:t xml:space="preserve">ourcentage </w:t>
      </w:r>
      <w:r w:rsidR="001771B8" w:rsidRPr="00262910">
        <w:rPr>
          <w:lang w:val="fr-FR"/>
        </w:rPr>
        <w:t xml:space="preserve">de personnes </w:t>
      </w:r>
      <w:r w:rsidR="001771B8">
        <w:rPr>
          <w:lang w:val="fr-FR"/>
        </w:rPr>
        <w:t xml:space="preserve">qui vivent dans un </w:t>
      </w:r>
      <w:r w:rsidR="001771B8" w:rsidRPr="00262910">
        <w:rPr>
          <w:lang w:val="fr-FR"/>
        </w:rPr>
        <w:t xml:space="preserve">ménage </w:t>
      </w:r>
      <w:r w:rsidR="001771B8">
        <w:rPr>
          <w:lang w:val="fr-FR"/>
        </w:rPr>
        <w:t>disposant d’</w:t>
      </w:r>
      <w:r w:rsidR="001771B8" w:rsidRPr="00262910">
        <w:rPr>
          <w:lang w:val="fr-FR"/>
        </w:rPr>
        <w:t>un revenu annuel après impôts par unité de consommation inférieur à 50</w:t>
      </w:r>
      <w:r>
        <w:rPr>
          <w:lang w:val="fr-FR"/>
        </w:rPr>
        <w:t> </w:t>
      </w:r>
      <w:r w:rsidR="001771B8">
        <w:rPr>
          <w:lang w:val="fr-FR"/>
        </w:rPr>
        <w:t>%</w:t>
      </w:r>
      <w:r w:rsidR="001771B8" w:rsidRPr="00262910">
        <w:rPr>
          <w:lang w:val="fr-FR"/>
        </w:rPr>
        <w:t xml:space="preserve"> et 60 </w:t>
      </w:r>
      <w:r w:rsidR="001771B8">
        <w:rPr>
          <w:lang w:val="fr-FR"/>
        </w:rPr>
        <w:t>%</w:t>
      </w:r>
      <w:r w:rsidR="001771B8" w:rsidRPr="00262910">
        <w:rPr>
          <w:lang w:val="fr-FR"/>
        </w:rPr>
        <w:t xml:space="preserve"> du revenu médian </w:t>
      </w:r>
      <w:r w:rsidR="001771B8">
        <w:rPr>
          <w:lang w:val="fr-FR"/>
        </w:rPr>
        <w:t>(</w:t>
      </w:r>
      <w:r w:rsidR="001771B8" w:rsidRPr="00262910">
        <w:rPr>
          <w:lang w:val="fr-FR"/>
        </w:rPr>
        <w:t>2007-2017</w:t>
      </w:r>
      <w:r w:rsidR="001771B8" w:rsidRPr="00262910">
        <w:rPr>
          <w:vertAlign w:val="superscript"/>
          <w:lang w:val="fr-FR"/>
        </w:rPr>
        <w:t xml:space="preserve"> </w:t>
      </w:r>
      <w:r w:rsidR="001771B8">
        <w:rPr>
          <w:lang w:val="fr-FR"/>
        </w:rPr>
        <w:t>)</w:t>
      </w:r>
      <w:r w:rsidR="001771B8" w:rsidRPr="008F7448">
        <w:rPr>
          <w:rStyle w:val="Appelnotedebasdep"/>
          <w:b w:val="0"/>
          <w:bCs/>
        </w:rPr>
        <w:footnoteReference w:id="7"/>
      </w:r>
    </w:p>
    <w:tbl>
      <w:tblPr>
        <w:tblW w:w="7371" w:type="dxa"/>
        <w:tblInd w:w="1134" w:type="dxa"/>
        <w:tblLayout w:type="fixed"/>
        <w:tblCellMar>
          <w:left w:w="0" w:type="dxa"/>
          <w:right w:w="0" w:type="dxa"/>
        </w:tblCellMar>
        <w:tblLook w:val="04A0" w:firstRow="1" w:lastRow="0" w:firstColumn="1" w:lastColumn="0" w:noHBand="0" w:noVBand="1"/>
      </w:tblPr>
      <w:tblGrid>
        <w:gridCol w:w="1477"/>
        <w:gridCol w:w="536"/>
        <w:gridCol w:w="535"/>
        <w:gridCol w:w="537"/>
        <w:gridCol w:w="535"/>
        <w:gridCol w:w="535"/>
        <w:gridCol w:w="537"/>
        <w:gridCol w:w="535"/>
        <w:gridCol w:w="535"/>
        <w:gridCol w:w="537"/>
        <w:gridCol w:w="535"/>
        <w:gridCol w:w="537"/>
      </w:tblGrid>
      <w:tr w:rsidR="001771B8" w:rsidRPr="00262910" w:rsidTr="00137050">
        <w:trPr>
          <w:tblHeader/>
        </w:trPr>
        <w:tc>
          <w:tcPr>
            <w:tcW w:w="1001" w:type="pct"/>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left"/>
              <w:rPr>
                <w:i/>
                <w:sz w:val="16"/>
                <w:lang w:val="fr-FR"/>
              </w:rPr>
            </w:pPr>
          </w:p>
        </w:tc>
        <w:tc>
          <w:tcPr>
            <w:tcW w:w="363" w:type="pct"/>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2007</w:t>
            </w:r>
          </w:p>
        </w:tc>
        <w:tc>
          <w:tcPr>
            <w:tcW w:w="363" w:type="pct"/>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2008</w:t>
            </w:r>
          </w:p>
        </w:tc>
        <w:tc>
          <w:tcPr>
            <w:tcW w:w="364" w:type="pct"/>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2009</w:t>
            </w:r>
          </w:p>
        </w:tc>
        <w:tc>
          <w:tcPr>
            <w:tcW w:w="363" w:type="pct"/>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2010</w:t>
            </w:r>
          </w:p>
        </w:tc>
        <w:tc>
          <w:tcPr>
            <w:tcW w:w="363" w:type="pct"/>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2011</w:t>
            </w:r>
          </w:p>
        </w:tc>
        <w:tc>
          <w:tcPr>
            <w:tcW w:w="364" w:type="pct"/>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2012</w:t>
            </w:r>
          </w:p>
        </w:tc>
        <w:tc>
          <w:tcPr>
            <w:tcW w:w="363" w:type="pct"/>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2013</w:t>
            </w:r>
          </w:p>
        </w:tc>
        <w:tc>
          <w:tcPr>
            <w:tcW w:w="363" w:type="pct"/>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2014</w:t>
            </w:r>
          </w:p>
        </w:tc>
        <w:tc>
          <w:tcPr>
            <w:tcW w:w="364" w:type="pct"/>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2015</w:t>
            </w:r>
          </w:p>
        </w:tc>
        <w:tc>
          <w:tcPr>
            <w:tcW w:w="363" w:type="pct"/>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2016</w:t>
            </w:r>
          </w:p>
        </w:tc>
        <w:tc>
          <w:tcPr>
            <w:tcW w:w="364" w:type="pct"/>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2017</w:t>
            </w:r>
          </w:p>
        </w:tc>
      </w:tr>
      <w:tr w:rsidR="001771B8" w:rsidRPr="00262910" w:rsidTr="00137050">
        <w:tc>
          <w:tcPr>
            <w:tcW w:w="1001" w:type="pct"/>
            <w:tcBorders>
              <w:top w:val="single" w:sz="12" w:space="0" w:color="auto"/>
            </w:tcBorders>
            <w:shd w:val="clear" w:color="auto" w:fill="auto"/>
            <w:noWrap/>
            <w:hideMark/>
          </w:tcPr>
          <w:p w:rsidR="001771B8" w:rsidRPr="00262910" w:rsidRDefault="001771B8" w:rsidP="001771B8">
            <w:pPr>
              <w:pStyle w:val="SingleTxtG"/>
              <w:suppressAutoHyphens w:val="0"/>
              <w:spacing w:before="40" w:after="40" w:line="220" w:lineRule="exact"/>
              <w:ind w:left="0" w:right="0"/>
              <w:jc w:val="left"/>
              <w:rPr>
                <w:sz w:val="18"/>
                <w:lang w:val="fr-FR"/>
              </w:rPr>
            </w:pPr>
            <w:r>
              <w:rPr>
                <w:sz w:val="18"/>
                <w:lang w:val="fr-FR"/>
              </w:rPr>
              <w:t>Seuil UE de 50</w:t>
            </w:r>
            <w:r w:rsidR="00137050">
              <w:rPr>
                <w:sz w:val="18"/>
                <w:lang w:val="fr-FR"/>
              </w:rPr>
              <w:t> </w:t>
            </w:r>
            <w:r>
              <w:rPr>
                <w:sz w:val="18"/>
                <w:lang w:val="fr-FR"/>
              </w:rPr>
              <w:t>%</w:t>
            </w:r>
            <w:r w:rsidRPr="00262910">
              <w:rPr>
                <w:sz w:val="18"/>
                <w:lang w:val="fr-FR"/>
              </w:rPr>
              <w:t xml:space="preserve"> </w:t>
            </w:r>
          </w:p>
        </w:tc>
        <w:tc>
          <w:tcPr>
            <w:tcW w:w="363" w:type="pct"/>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5</w:t>
            </w:r>
            <w:r>
              <w:rPr>
                <w:sz w:val="18"/>
                <w:lang w:val="fr-FR"/>
              </w:rPr>
              <w:t>,</w:t>
            </w:r>
            <w:r w:rsidRPr="00262910">
              <w:rPr>
                <w:sz w:val="18"/>
                <w:lang w:val="fr-FR"/>
              </w:rPr>
              <w:t>1</w:t>
            </w:r>
          </w:p>
        </w:tc>
        <w:tc>
          <w:tcPr>
            <w:tcW w:w="363" w:type="pct"/>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5</w:t>
            </w:r>
            <w:r>
              <w:rPr>
                <w:sz w:val="18"/>
                <w:lang w:val="fr-FR"/>
              </w:rPr>
              <w:t>,</w:t>
            </w:r>
            <w:r w:rsidRPr="00262910">
              <w:rPr>
                <w:sz w:val="18"/>
                <w:lang w:val="fr-FR"/>
              </w:rPr>
              <w:t>2</w:t>
            </w:r>
          </w:p>
        </w:tc>
        <w:tc>
          <w:tcPr>
            <w:tcW w:w="364" w:type="pct"/>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4</w:t>
            </w:r>
            <w:r>
              <w:rPr>
                <w:sz w:val="18"/>
                <w:lang w:val="fr-FR"/>
              </w:rPr>
              <w:t>,</w:t>
            </w:r>
            <w:r w:rsidRPr="00262910">
              <w:rPr>
                <w:sz w:val="18"/>
                <w:lang w:val="fr-FR"/>
              </w:rPr>
              <w:t>7</w:t>
            </w:r>
          </w:p>
        </w:tc>
        <w:tc>
          <w:tcPr>
            <w:tcW w:w="363" w:type="pct"/>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4</w:t>
            </w:r>
            <w:r>
              <w:rPr>
                <w:sz w:val="18"/>
                <w:lang w:val="fr-FR"/>
              </w:rPr>
              <w:t>,</w:t>
            </w:r>
            <w:r w:rsidRPr="00262910">
              <w:rPr>
                <w:sz w:val="18"/>
                <w:lang w:val="fr-FR"/>
              </w:rPr>
              <w:t>6</w:t>
            </w:r>
          </w:p>
        </w:tc>
        <w:tc>
          <w:tcPr>
            <w:tcW w:w="363" w:type="pct"/>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4</w:t>
            </w:r>
            <w:r>
              <w:rPr>
                <w:sz w:val="18"/>
                <w:lang w:val="fr-FR"/>
              </w:rPr>
              <w:t>,</w:t>
            </w:r>
            <w:r w:rsidRPr="00262910">
              <w:rPr>
                <w:sz w:val="18"/>
                <w:lang w:val="fr-FR"/>
              </w:rPr>
              <w:t>7</w:t>
            </w:r>
          </w:p>
        </w:tc>
        <w:tc>
          <w:tcPr>
            <w:tcW w:w="364" w:type="pct"/>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4</w:t>
            </w:r>
            <w:r>
              <w:rPr>
                <w:sz w:val="18"/>
                <w:lang w:val="fr-FR"/>
              </w:rPr>
              <w:t>,</w:t>
            </w:r>
            <w:r w:rsidRPr="00262910">
              <w:rPr>
                <w:sz w:val="18"/>
                <w:lang w:val="fr-FR"/>
              </w:rPr>
              <w:t>9</w:t>
            </w:r>
          </w:p>
        </w:tc>
        <w:tc>
          <w:tcPr>
            <w:tcW w:w="363" w:type="pct"/>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5</w:t>
            </w:r>
            <w:r>
              <w:rPr>
                <w:sz w:val="18"/>
                <w:lang w:val="fr-FR"/>
              </w:rPr>
              <w:t>,</w:t>
            </w:r>
            <w:r w:rsidRPr="00262910">
              <w:rPr>
                <w:sz w:val="18"/>
                <w:lang w:val="fr-FR"/>
              </w:rPr>
              <w:t>2</w:t>
            </w:r>
          </w:p>
        </w:tc>
        <w:tc>
          <w:tcPr>
            <w:tcW w:w="363" w:type="pct"/>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5</w:t>
            </w:r>
            <w:r>
              <w:rPr>
                <w:sz w:val="18"/>
                <w:lang w:val="fr-FR"/>
              </w:rPr>
              <w:t>,</w:t>
            </w:r>
            <w:r w:rsidRPr="00262910">
              <w:rPr>
                <w:sz w:val="18"/>
                <w:lang w:val="fr-FR"/>
              </w:rPr>
              <w:t>4</w:t>
            </w:r>
          </w:p>
        </w:tc>
        <w:tc>
          <w:tcPr>
            <w:tcW w:w="364" w:type="pct"/>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5</w:t>
            </w:r>
            <w:r>
              <w:rPr>
                <w:sz w:val="18"/>
                <w:lang w:val="fr-FR"/>
              </w:rPr>
              <w:t>,</w:t>
            </w:r>
            <w:r w:rsidRPr="00262910">
              <w:rPr>
                <w:sz w:val="18"/>
                <w:lang w:val="fr-FR"/>
              </w:rPr>
              <w:t>5</w:t>
            </w:r>
          </w:p>
        </w:tc>
        <w:tc>
          <w:tcPr>
            <w:tcW w:w="363" w:type="pct"/>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5</w:t>
            </w:r>
            <w:r>
              <w:rPr>
                <w:sz w:val="18"/>
                <w:lang w:val="fr-FR"/>
              </w:rPr>
              <w:t>,</w:t>
            </w:r>
            <w:r w:rsidRPr="00262910">
              <w:rPr>
                <w:sz w:val="18"/>
                <w:lang w:val="fr-FR"/>
              </w:rPr>
              <w:t>5</w:t>
            </w:r>
          </w:p>
        </w:tc>
        <w:tc>
          <w:tcPr>
            <w:tcW w:w="364" w:type="pct"/>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5</w:t>
            </w:r>
            <w:r>
              <w:rPr>
                <w:sz w:val="18"/>
                <w:lang w:val="fr-FR"/>
              </w:rPr>
              <w:t>,</w:t>
            </w:r>
            <w:r w:rsidRPr="00262910">
              <w:rPr>
                <w:sz w:val="18"/>
                <w:lang w:val="fr-FR"/>
              </w:rPr>
              <w:t>6</w:t>
            </w:r>
          </w:p>
        </w:tc>
      </w:tr>
      <w:tr w:rsidR="001771B8" w:rsidRPr="00262910" w:rsidTr="00137050">
        <w:tc>
          <w:tcPr>
            <w:tcW w:w="1001" w:type="pct"/>
            <w:tcBorders>
              <w:bottom w:val="single" w:sz="12" w:space="0" w:color="auto"/>
            </w:tcBorders>
            <w:shd w:val="clear" w:color="auto" w:fill="auto"/>
            <w:noWrap/>
            <w:hideMark/>
          </w:tcPr>
          <w:p w:rsidR="001771B8" w:rsidRPr="00262910" w:rsidRDefault="001771B8" w:rsidP="001771B8">
            <w:pPr>
              <w:pStyle w:val="SingleTxtG"/>
              <w:suppressAutoHyphens w:val="0"/>
              <w:spacing w:before="40" w:after="40" w:line="220" w:lineRule="exact"/>
              <w:ind w:left="0" w:right="0"/>
              <w:jc w:val="left"/>
              <w:rPr>
                <w:sz w:val="18"/>
                <w:lang w:val="fr-FR"/>
              </w:rPr>
            </w:pPr>
            <w:r>
              <w:rPr>
                <w:sz w:val="18"/>
                <w:lang w:val="fr-FR"/>
              </w:rPr>
              <w:t>Seuil UE de 60</w:t>
            </w:r>
            <w:r w:rsidR="00137050">
              <w:rPr>
                <w:sz w:val="18"/>
                <w:lang w:val="fr-FR"/>
              </w:rPr>
              <w:t> </w:t>
            </w:r>
            <w:r>
              <w:rPr>
                <w:sz w:val="18"/>
                <w:lang w:val="fr-FR"/>
              </w:rPr>
              <w:t>%</w:t>
            </w:r>
          </w:p>
        </w:tc>
        <w:tc>
          <w:tcPr>
            <w:tcW w:w="363" w:type="pct"/>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10</w:t>
            </w:r>
          </w:p>
        </w:tc>
        <w:tc>
          <w:tcPr>
            <w:tcW w:w="363" w:type="pct"/>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10</w:t>
            </w:r>
            <w:r>
              <w:rPr>
                <w:sz w:val="18"/>
                <w:lang w:val="fr-FR"/>
              </w:rPr>
              <w:t>,</w:t>
            </w:r>
            <w:r w:rsidRPr="00262910">
              <w:rPr>
                <w:sz w:val="18"/>
                <w:lang w:val="fr-FR"/>
              </w:rPr>
              <w:t>2</w:t>
            </w:r>
          </w:p>
        </w:tc>
        <w:tc>
          <w:tcPr>
            <w:tcW w:w="364" w:type="pct"/>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9</w:t>
            </w:r>
            <w:r>
              <w:rPr>
                <w:sz w:val="18"/>
                <w:lang w:val="fr-FR"/>
              </w:rPr>
              <w:t>,</w:t>
            </w:r>
            <w:r w:rsidRPr="00262910">
              <w:rPr>
                <w:sz w:val="18"/>
                <w:lang w:val="fr-FR"/>
              </w:rPr>
              <w:t>5</w:t>
            </w:r>
          </w:p>
        </w:tc>
        <w:tc>
          <w:tcPr>
            <w:tcW w:w="363" w:type="pct"/>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9</w:t>
            </w:r>
            <w:r>
              <w:rPr>
                <w:sz w:val="18"/>
                <w:lang w:val="fr-FR"/>
              </w:rPr>
              <w:t>,</w:t>
            </w:r>
            <w:r w:rsidRPr="00262910">
              <w:rPr>
                <w:sz w:val="18"/>
                <w:lang w:val="fr-FR"/>
              </w:rPr>
              <w:t>4</w:t>
            </w:r>
          </w:p>
        </w:tc>
        <w:tc>
          <w:tcPr>
            <w:tcW w:w="363" w:type="pct"/>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9</w:t>
            </w:r>
            <w:r>
              <w:rPr>
                <w:sz w:val="18"/>
                <w:lang w:val="fr-FR"/>
              </w:rPr>
              <w:t>,</w:t>
            </w:r>
            <w:r w:rsidRPr="00262910">
              <w:rPr>
                <w:sz w:val="18"/>
                <w:lang w:val="fr-FR"/>
              </w:rPr>
              <w:t>6</w:t>
            </w:r>
          </w:p>
        </w:tc>
        <w:tc>
          <w:tcPr>
            <w:tcW w:w="364" w:type="pct"/>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10</w:t>
            </w:r>
            <w:r>
              <w:rPr>
                <w:sz w:val="18"/>
                <w:lang w:val="fr-FR"/>
              </w:rPr>
              <w:t>,</w:t>
            </w:r>
            <w:r w:rsidRPr="00262910">
              <w:rPr>
                <w:sz w:val="18"/>
                <w:lang w:val="fr-FR"/>
              </w:rPr>
              <w:t>1</w:t>
            </w:r>
          </w:p>
        </w:tc>
        <w:tc>
          <w:tcPr>
            <w:tcW w:w="363" w:type="pct"/>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10</w:t>
            </w:r>
            <w:r>
              <w:rPr>
                <w:sz w:val="18"/>
                <w:lang w:val="fr-FR"/>
              </w:rPr>
              <w:t>,</w:t>
            </w:r>
            <w:r w:rsidRPr="00262910">
              <w:rPr>
                <w:sz w:val="18"/>
                <w:lang w:val="fr-FR"/>
              </w:rPr>
              <w:t>5</w:t>
            </w:r>
          </w:p>
        </w:tc>
        <w:tc>
          <w:tcPr>
            <w:tcW w:w="363" w:type="pct"/>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10</w:t>
            </w:r>
            <w:r>
              <w:rPr>
                <w:sz w:val="18"/>
                <w:lang w:val="fr-FR"/>
              </w:rPr>
              <w:t>,</w:t>
            </w:r>
            <w:r w:rsidRPr="00262910">
              <w:rPr>
                <w:sz w:val="18"/>
                <w:lang w:val="fr-FR"/>
              </w:rPr>
              <w:t>8</w:t>
            </w:r>
          </w:p>
        </w:tc>
        <w:tc>
          <w:tcPr>
            <w:tcW w:w="364" w:type="pct"/>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10</w:t>
            </w:r>
            <w:r>
              <w:rPr>
                <w:sz w:val="18"/>
                <w:lang w:val="fr-FR"/>
              </w:rPr>
              <w:t>,</w:t>
            </w:r>
            <w:r w:rsidRPr="00262910">
              <w:rPr>
                <w:sz w:val="18"/>
                <w:lang w:val="fr-FR"/>
              </w:rPr>
              <w:t>9</w:t>
            </w:r>
          </w:p>
        </w:tc>
        <w:tc>
          <w:tcPr>
            <w:tcW w:w="363" w:type="pct"/>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11</w:t>
            </w:r>
            <w:r>
              <w:rPr>
                <w:sz w:val="18"/>
                <w:lang w:val="fr-FR"/>
              </w:rPr>
              <w:t>,</w:t>
            </w:r>
            <w:r w:rsidRPr="00262910">
              <w:rPr>
                <w:sz w:val="18"/>
                <w:lang w:val="fr-FR"/>
              </w:rPr>
              <w:t>0</w:t>
            </w:r>
          </w:p>
        </w:tc>
        <w:tc>
          <w:tcPr>
            <w:tcW w:w="364" w:type="pct"/>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11</w:t>
            </w:r>
            <w:r>
              <w:rPr>
                <w:sz w:val="18"/>
                <w:lang w:val="fr-FR"/>
              </w:rPr>
              <w:t>,</w:t>
            </w:r>
            <w:r w:rsidRPr="00262910">
              <w:rPr>
                <w:sz w:val="18"/>
                <w:lang w:val="fr-FR"/>
              </w:rPr>
              <w:t>2</w:t>
            </w:r>
          </w:p>
        </w:tc>
      </w:tr>
    </w:tbl>
    <w:p w:rsidR="001771B8" w:rsidRPr="00262910" w:rsidRDefault="001771B8" w:rsidP="001771B8">
      <w:pPr>
        <w:pStyle w:val="SingleTxtG"/>
        <w:spacing w:before="120" w:after="240" w:line="220" w:lineRule="exact"/>
        <w:ind w:firstLine="170"/>
        <w:jc w:val="left"/>
        <w:rPr>
          <w:sz w:val="18"/>
          <w:szCs w:val="18"/>
          <w:lang w:val="fr-FR"/>
        </w:rPr>
      </w:pPr>
      <w:r w:rsidRPr="00262910">
        <w:rPr>
          <w:i/>
          <w:sz w:val="18"/>
          <w:szCs w:val="18"/>
          <w:lang w:val="fr-FR"/>
        </w:rPr>
        <w:t>Source</w:t>
      </w:r>
      <w:r w:rsidR="00137050">
        <w:rPr>
          <w:i/>
          <w:sz w:val="18"/>
          <w:szCs w:val="18"/>
          <w:lang w:val="fr-FR"/>
        </w:rPr>
        <w:t> </w:t>
      </w:r>
      <w:r w:rsidRPr="00262910">
        <w:rPr>
          <w:sz w:val="18"/>
          <w:szCs w:val="18"/>
          <w:lang w:val="fr-FR"/>
        </w:rPr>
        <w:t>: Bureau norvégien de statistique.</w:t>
      </w:r>
    </w:p>
    <w:p w:rsidR="001771B8" w:rsidRPr="00262910" w:rsidRDefault="001771B8" w:rsidP="001771B8">
      <w:pPr>
        <w:pStyle w:val="SingleTxtG"/>
        <w:rPr>
          <w:lang w:val="fr-FR"/>
        </w:rPr>
      </w:pPr>
      <w:r w:rsidRPr="00262910">
        <w:rPr>
          <w:lang w:val="fr-FR"/>
        </w:rPr>
        <w:t>71.</w:t>
      </w:r>
      <w:r w:rsidRPr="00262910">
        <w:rPr>
          <w:lang w:val="fr-FR"/>
        </w:rPr>
        <w:tab/>
      </w:r>
      <w:r w:rsidRPr="0090628B">
        <w:rPr>
          <w:lang w:val="fr-FR"/>
        </w:rPr>
        <w:t>Le tableau</w:t>
      </w:r>
      <w:r w:rsidRPr="00262910">
        <w:rPr>
          <w:lang w:val="fr-FR"/>
        </w:rPr>
        <w:t xml:space="preserve"> ci-</w:t>
      </w:r>
      <w:r>
        <w:rPr>
          <w:lang w:val="fr-FR"/>
        </w:rPr>
        <w:t xml:space="preserve">après indique </w:t>
      </w:r>
      <w:r w:rsidRPr="00262910">
        <w:rPr>
          <w:lang w:val="fr-FR"/>
        </w:rPr>
        <w:t>le revenu total (somme du revenu du travail, du revenu du capital, des transferts imposables et des transferts en franchise d</w:t>
      </w:r>
      <w:r>
        <w:rPr>
          <w:lang w:val="fr-FR"/>
        </w:rPr>
        <w:t>’</w:t>
      </w:r>
      <w:r w:rsidRPr="00262910">
        <w:rPr>
          <w:lang w:val="fr-FR"/>
        </w:rPr>
        <w:t>impôt au cours d</w:t>
      </w:r>
      <w:r>
        <w:rPr>
          <w:lang w:val="fr-FR"/>
        </w:rPr>
        <w:t>’</w:t>
      </w:r>
      <w:r w:rsidRPr="00262910">
        <w:rPr>
          <w:lang w:val="fr-FR"/>
        </w:rPr>
        <w:t xml:space="preserve">une année) </w:t>
      </w:r>
      <w:r>
        <w:rPr>
          <w:lang w:val="fr-FR"/>
        </w:rPr>
        <w:t>cumulé des 10</w:t>
      </w:r>
      <w:r w:rsidR="00137050">
        <w:rPr>
          <w:lang w:val="fr-FR"/>
        </w:rPr>
        <w:t> </w:t>
      </w:r>
      <w:r>
        <w:rPr>
          <w:lang w:val="fr-FR"/>
        </w:rPr>
        <w:t>% les plus riches et des 4</w:t>
      </w:r>
      <w:r w:rsidRPr="00262910">
        <w:rPr>
          <w:lang w:val="fr-FR"/>
        </w:rPr>
        <w:t>0 % les plus pauvres de la population.</w:t>
      </w:r>
    </w:p>
    <w:p w:rsidR="001771B8" w:rsidRPr="00137050" w:rsidRDefault="00137050" w:rsidP="00137050">
      <w:pPr>
        <w:pStyle w:val="H23G"/>
        <w:rPr>
          <w:lang w:val="fr-FR"/>
        </w:rPr>
      </w:pPr>
      <w:r>
        <w:rPr>
          <w:b w:val="0"/>
          <w:bCs/>
          <w:lang w:val="fr-FR"/>
        </w:rPr>
        <w:tab/>
      </w:r>
      <w:r>
        <w:rPr>
          <w:b w:val="0"/>
          <w:bCs/>
          <w:lang w:val="fr-FR"/>
        </w:rPr>
        <w:tab/>
      </w:r>
      <w:r w:rsidR="001771B8" w:rsidRPr="00137050">
        <w:rPr>
          <w:lang w:val="fr-FR"/>
        </w:rPr>
        <w:t xml:space="preserve">Pourcentage du revenu total cumulé par les déciles de revenu 1 à 4 et le décile </w:t>
      </w:r>
      <w:r>
        <w:rPr>
          <w:lang w:val="fr-FR"/>
        </w:rPr>
        <w:br/>
      </w:r>
      <w:r w:rsidR="001771B8" w:rsidRPr="00137050">
        <w:rPr>
          <w:lang w:val="fr-FR"/>
        </w:rPr>
        <w:t>de revenu 10, résidents âgés de 17 ans et plus (2007-2017)</w:t>
      </w:r>
    </w:p>
    <w:tbl>
      <w:tblPr>
        <w:tblW w:w="7370" w:type="dxa"/>
        <w:tblInd w:w="1134" w:type="dxa"/>
        <w:tblLayout w:type="fixed"/>
        <w:tblCellMar>
          <w:left w:w="0" w:type="dxa"/>
          <w:right w:w="0" w:type="dxa"/>
        </w:tblCellMar>
        <w:tblLook w:val="04A0" w:firstRow="1" w:lastRow="0" w:firstColumn="1" w:lastColumn="0" w:noHBand="0" w:noVBand="1"/>
      </w:tblPr>
      <w:tblGrid>
        <w:gridCol w:w="876"/>
        <w:gridCol w:w="589"/>
        <w:gridCol w:w="590"/>
        <w:gridCol w:w="591"/>
        <w:gridCol w:w="590"/>
        <w:gridCol w:w="591"/>
        <w:gridCol w:w="590"/>
        <w:gridCol w:w="591"/>
        <w:gridCol w:w="590"/>
        <w:gridCol w:w="591"/>
        <w:gridCol w:w="590"/>
        <w:gridCol w:w="591"/>
      </w:tblGrid>
      <w:tr w:rsidR="001771B8" w:rsidRPr="00262910" w:rsidTr="001771B8">
        <w:trPr>
          <w:tblHeader/>
        </w:trPr>
        <w:tc>
          <w:tcPr>
            <w:tcW w:w="900" w:type="dxa"/>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left"/>
              <w:rPr>
                <w:i/>
                <w:sz w:val="16"/>
                <w:lang w:val="fr-FR"/>
              </w:rPr>
            </w:pPr>
          </w:p>
        </w:tc>
        <w:tc>
          <w:tcPr>
            <w:tcW w:w="605" w:type="dxa"/>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i/>
                <w:sz w:val="16"/>
                <w:lang w:val="fr-FR"/>
              </w:rPr>
            </w:pPr>
            <w:r w:rsidRPr="00262910">
              <w:rPr>
                <w:i/>
                <w:sz w:val="16"/>
                <w:lang w:val="fr-FR"/>
              </w:rPr>
              <w:t>2007</w:t>
            </w:r>
          </w:p>
        </w:tc>
        <w:tc>
          <w:tcPr>
            <w:tcW w:w="605" w:type="dxa"/>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i/>
                <w:sz w:val="16"/>
                <w:lang w:val="fr-FR"/>
              </w:rPr>
            </w:pPr>
            <w:r w:rsidRPr="00262910">
              <w:rPr>
                <w:i/>
                <w:sz w:val="16"/>
                <w:lang w:val="fr-FR"/>
              </w:rPr>
              <w:t>2008</w:t>
            </w:r>
          </w:p>
        </w:tc>
        <w:tc>
          <w:tcPr>
            <w:tcW w:w="606" w:type="dxa"/>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i/>
                <w:sz w:val="16"/>
                <w:lang w:val="fr-FR"/>
              </w:rPr>
            </w:pPr>
            <w:r w:rsidRPr="00262910">
              <w:rPr>
                <w:i/>
                <w:sz w:val="16"/>
                <w:lang w:val="fr-FR"/>
              </w:rPr>
              <w:t>2009</w:t>
            </w:r>
          </w:p>
        </w:tc>
        <w:tc>
          <w:tcPr>
            <w:tcW w:w="605" w:type="dxa"/>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i/>
                <w:sz w:val="16"/>
                <w:lang w:val="fr-FR"/>
              </w:rPr>
            </w:pPr>
            <w:r w:rsidRPr="00262910">
              <w:rPr>
                <w:i/>
                <w:sz w:val="16"/>
                <w:lang w:val="fr-FR"/>
              </w:rPr>
              <w:t>2010</w:t>
            </w:r>
          </w:p>
        </w:tc>
        <w:tc>
          <w:tcPr>
            <w:tcW w:w="606" w:type="dxa"/>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i/>
                <w:sz w:val="16"/>
                <w:lang w:val="fr-FR"/>
              </w:rPr>
            </w:pPr>
            <w:r w:rsidRPr="00262910">
              <w:rPr>
                <w:i/>
                <w:sz w:val="16"/>
                <w:lang w:val="fr-FR"/>
              </w:rPr>
              <w:t>2011</w:t>
            </w:r>
          </w:p>
        </w:tc>
        <w:tc>
          <w:tcPr>
            <w:tcW w:w="605" w:type="dxa"/>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i/>
                <w:sz w:val="16"/>
                <w:lang w:val="fr-FR"/>
              </w:rPr>
            </w:pPr>
            <w:r w:rsidRPr="00262910">
              <w:rPr>
                <w:i/>
                <w:sz w:val="16"/>
                <w:lang w:val="fr-FR"/>
              </w:rPr>
              <w:t>2012</w:t>
            </w:r>
          </w:p>
        </w:tc>
        <w:tc>
          <w:tcPr>
            <w:tcW w:w="606" w:type="dxa"/>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i/>
                <w:sz w:val="16"/>
                <w:lang w:val="fr-FR"/>
              </w:rPr>
            </w:pPr>
            <w:r w:rsidRPr="00262910">
              <w:rPr>
                <w:i/>
                <w:sz w:val="16"/>
                <w:lang w:val="fr-FR"/>
              </w:rPr>
              <w:t>2013</w:t>
            </w:r>
          </w:p>
        </w:tc>
        <w:tc>
          <w:tcPr>
            <w:tcW w:w="605" w:type="dxa"/>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i/>
                <w:sz w:val="16"/>
                <w:lang w:val="fr-FR"/>
              </w:rPr>
            </w:pPr>
            <w:r w:rsidRPr="00262910">
              <w:rPr>
                <w:i/>
                <w:sz w:val="16"/>
                <w:lang w:val="fr-FR"/>
              </w:rPr>
              <w:t>2014</w:t>
            </w:r>
          </w:p>
        </w:tc>
        <w:tc>
          <w:tcPr>
            <w:tcW w:w="606" w:type="dxa"/>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i/>
                <w:sz w:val="16"/>
                <w:lang w:val="fr-FR"/>
              </w:rPr>
            </w:pPr>
            <w:r w:rsidRPr="00262910">
              <w:rPr>
                <w:i/>
                <w:sz w:val="16"/>
                <w:lang w:val="fr-FR"/>
              </w:rPr>
              <w:t>2015</w:t>
            </w:r>
          </w:p>
        </w:tc>
        <w:tc>
          <w:tcPr>
            <w:tcW w:w="605" w:type="dxa"/>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i/>
                <w:sz w:val="16"/>
                <w:lang w:val="fr-FR"/>
              </w:rPr>
            </w:pPr>
            <w:r w:rsidRPr="00262910">
              <w:rPr>
                <w:i/>
                <w:sz w:val="16"/>
                <w:lang w:val="fr-FR"/>
              </w:rPr>
              <w:t>2016</w:t>
            </w:r>
          </w:p>
        </w:tc>
        <w:tc>
          <w:tcPr>
            <w:tcW w:w="606" w:type="dxa"/>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i/>
                <w:sz w:val="16"/>
                <w:lang w:val="fr-FR"/>
              </w:rPr>
            </w:pPr>
            <w:r w:rsidRPr="00262910">
              <w:rPr>
                <w:i/>
                <w:sz w:val="16"/>
                <w:lang w:val="fr-FR"/>
              </w:rPr>
              <w:t>2017</w:t>
            </w:r>
          </w:p>
        </w:tc>
      </w:tr>
      <w:tr w:rsidR="001771B8" w:rsidRPr="00262910" w:rsidTr="001771B8">
        <w:tc>
          <w:tcPr>
            <w:tcW w:w="900" w:type="dxa"/>
            <w:tcBorders>
              <w:top w:val="single" w:sz="12" w:space="0" w:color="auto"/>
            </w:tcBorders>
            <w:shd w:val="clear" w:color="auto" w:fill="auto"/>
            <w:noWrap/>
            <w:hideMark/>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Décile 1-4</w:t>
            </w:r>
          </w:p>
        </w:tc>
        <w:tc>
          <w:tcPr>
            <w:tcW w:w="605" w:type="dxa"/>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16</w:t>
            </w:r>
            <w:r>
              <w:rPr>
                <w:sz w:val="18"/>
                <w:lang w:val="fr-FR"/>
              </w:rPr>
              <w:t>,</w:t>
            </w:r>
            <w:r w:rsidRPr="00262910">
              <w:rPr>
                <w:sz w:val="18"/>
                <w:lang w:val="fr-FR"/>
              </w:rPr>
              <w:t xml:space="preserve">45 </w:t>
            </w:r>
          </w:p>
        </w:tc>
        <w:tc>
          <w:tcPr>
            <w:tcW w:w="605" w:type="dxa"/>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16</w:t>
            </w:r>
            <w:r>
              <w:rPr>
                <w:sz w:val="18"/>
                <w:lang w:val="fr-FR"/>
              </w:rPr>
              <w:t>,</w:t>
            </w:r>
            <w:r w:rsidRPr="00262910">
              <w:rPr>
                <w:sz w:val="18"/>
                <w:lang w:val="fr-FR"/>
              </w:rPr>
              <w:t xml:space="preserve">40 </w:t>
            </w:r>
          </w:p>
        </w:tc>
        <w:tc>
          <w:tcPr>
            <w:tcW w:w="606" w:type="dxa"/>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16</w:t>
            </w:r>
            <w:r>
              <w:rPr>
                <w:sz w:val="18"/>
                <w:lang w:val="fr-FR"/>
              </w:rPr>
              <w:t>,</w:t>
            </w:r>
            <w:r w:rsidRPr="00262910">
              <w:rPr>
                <w:sz w:val="18"/>
                <w:lang w:val="fr-FR"/>
              </w:rPr>
              <w:t xml:space="preserve">71 </w:t>
            </w:r>
          </w:p>
        </w:tc>
        <w:tc>
          <w:tcPr>
            <w:tcW w:w="605" w:type="dxa"/>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16</w:t>
            </w:r>
            <w:r>
              <w:rPr>
                <w:sz w:val="18"/>
                <w:lang w:val="fr-FR"/>
              </w:rPr>
              <w:t>,</w:t>
            </w:r>
            <w:r w:rsidRPr="00262910">
              <w:rPr>
                <w:sz w:val="18"/>
                <w:lang w:val="fr-FR"/>
              </w:rPr>
              <w:t xml:space="preserve">55 </w:t>
            </w:r>
          </w:p>
        </w:tc>
        <w:tc>
          <w:tcPr>
            <w:tcW w:w="606" w:type="dxa"/>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16</w:t>
            </w:r>
            <w:r>
              <w:rPr>
                <w:sz w:val="18"/>
                <w:lang w:val="fr-FR"/>
              </w:rPr>
              <w:t>,</w:t>
            </w:r>
            <w:r w:rsidRPr="00262910">
              <w:rPr>
                <w:sz w:val="18"/>
                <w:lang w:val="fr-FR"/>
              </w:rPr>
              <w:t xml:space="preserve">46 </w:t>
            </w:r>
          </w:p>
        </w:tc>
        <w:tc>
          <w:tcPr>
            <w:tcW w:w="605" w:type="dxa"/>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16</w:t>
            </w:r>
            <w:r>
              <w:rPr>
                <w:sz w:val="18"/>
                <w:lang w:val="fr-FR"/>
              </w:rPr>
              <w:t>,</w:t>
            </w:r>
            <w:r w:rsidRPr="00262910">
              <w:rPr>
                <w:sz w:val="18"/>
                <w:lang w:val="fr-FR"/>
              </w:rPr>
              <w:t xml:space="preserve">35 </w:t>
            </w:r>
          </w:p>
        </w:tc>
        <w:tc>
          <w:tcPr>
            <w:tcW w:w="606" w:type="dxa"/>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16</w:t>
            </w:r>
            <w:r>
              <w:rPr>
                <w:sz w:val="18"/>
                <w:lang w:val="fr-FR"/>
              </w:rPr>
              <w:t>,</w:t>
            </w:r>
            <w:r w:rsidRPr="00262910">
              <w:rPr>
                <w:sz w:val="18"/>
                <w:lang w:val="fr-FR"/>
              </w:rPr>
              <w:t xml:space="preserve">19 </w:t>
            </w:r>
          </w:p>
        </w:tc>
        <w:tc>
          <w:tcPr>
            <w:tcW w:w="605" w:type="dxa"/>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16</w:t>
            </w:r>
            <w:r>
              <w:rPr>
                <w:sz w:val="18"/>
                <w:lang w:val="fr-FR"/>
              </w:rPr>
              <w:t>,</w:t>
            </w:r>
            <w:r w:rsidRPr="00262910">
              <w:rPr>
                <w:sz w:val="18"/>
                <w:lang w:val="fr-FR"/>
              </w:rPr>
              <w:t xml:space="preserve">02 </w:t>
            </w:r>
          </w:p>
        </w:tc>
        <w:tc>
          <w:tcPr>
            <w:tcW w:w="606" w:type="dxa"/>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15</w:t>
            </w:r>
            <w:r>
              <w:rPr>
                <w:sz w:val="18"/>
                <w:lang w:val="fr-FR"/>
              </w:rPr>
              <w:t>,</w:t>
            </w:r>
            <w:r w:rsidRPr="00262910">
              <w:rPr>
                <w:sz w:val="18"/>
                <w:lang w:val="fr-FR"/>
              </w:rPr>
              <w:t xml:space="preserve">87 </w:t>
            </w:r>
          </w:p>
        </w:tc>
        <w:tc>
          <w:tcPr>
            <w:tcW w:w="605" w:type="dxa"/>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16</w:t>
            </w:r>
            <w:r>
              <w:rPr>
                <w:sz w:val="18"/>
                <w:lang w:val="fr-FR"/>
              </w:rPr>
              <w:t>,</w:t>
            </w:r>
            <w:r w:rsidRPr="00262910">
              <w:rPr>
                <w:sz w:val="18"/>
                <w:lang w:val="fr-FR"/>
              </w:rPr>
              <w:t xml:space="preserve">14 </w:t>
            </w:r>
          </w:p>
        </w:tc>
        <w:tc>
          <w:tcPr>
            <w:tcW w:w="606" w:type="dxa"/>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16</w:t>
            </w:r>
            <w:r>
              <w:rPr>
                <w:sz w:val="18"/>
                <w:lang w:val="fr-FR"/>
              </w:rPr>
              <w:t>,</w:t>
            </w:r>
            <w:r w:rsidRPr="00262910">
              <w:rPr>
                <w:sz w:val="18"/>
                <w:lang w:val="fr-FR"/>
              </w:rPr>
              <w:t xml:space="preserve">22 </w:t>
            </w:r>
          </w:p>
        </w:tc>
      </w:tr>
      <w:tr w:rsidR="001771B8" w:rsidRPr="00262910" w:rsidTr="001771B8">
        <w:tc>
          <w:tcPr>
            <w:tcW w:w="900" w:type="dxa"/>
            <w:tcBorders>
              <w:bottom w:val="single" w:sz="12" w:space="0" w:color="auto"/>
            </w:tcBorders>
            <w:shd w:val="clear" w:color="auto" w:fill="auto"/>
            <w:noWrap/>
            <w:hideMark/>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Décile 10</w:t>
            </w:r>
          </w:p>
        </w:tc>
        <w:tc>
          <w:tcPr>
            <w:tcW w:w="605" w:type="dxa"/>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28</w:t>
            </w:r>
            <w:r>
              <w:rPr>
                <w:sz w:val="18"/>
                <w:lang w:val="fr-FR"/>
              </w:rPr>
              <w:t>,</w:t>
            </w:r>
            <w:r w:rsidRPr="00262910">
              <w:rPr>
                <w:sz w:val="18"/>
                <w:lang w:val="fr-FR"/>
              </w:rPr>
              <w:t xml:space="preserve">27 </w:t>
            </w:r>
          </w:p>
        </w:tc>
        <w:tc>
          <w:tcPr>
            <w:tcW w:w="605" w:type="dxa"/>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27</w:t>
            </w:r>
            <w:r>
              <w:rPr>
                <w:sz w:val="18"/>
                <w:lang w:val="fr-FR"/>
              </w:rPr>
              <w:t>,</w:t>
            </w:r>
            <w:r w:rsidRPr="00262910">
              <w:rPr>
                <w:sz w:val="18"/>
                <w:lang w:val="fr-FR"/>
              </w:rPr>
              <w:t xml:space="preserve">80 </w:t>
            </w:r>
          </w:p>
        </w:tc>
        <w:tc>
          <w:tcPr>
            <w:tcW w:w="606" w:type="dxa"/>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27</w:t>
            </w:r>
            <w:r>
              <w:rPr>
                <w:sz w:val="18"/>
                <w:lang w:val="fr-FR"/>
              </w:rPr>
              <w:t>,</w:t>
            </w:r>
            <w:r w:rsidRPr="00262910">
              <w:rPr>
                <w:sz w:val="18"/>
                <w:lang w:val="fr-FR"/>
              </w:rPr>
              <w:t xml:space="preserve">09 </w:t>
            </w:r>
          </w:p>
        </w:tc>
        <w:tc>
          <w:tcPr>
            <w:tcW w:w="605" w:type="dxa"/>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27</w:t>
            </w:r>
            <w:r>
              <w:rPr>
                <w:sz w:val="18"/>
                <w:lang w:val="fr-FR"/>
              </w:rPr>
              <w:t>,</w:t>
            </w:r>
            <w:r w:rsidRPr="00262910">
              <w:rPr>
                <w:sz w:val="18"/>
                <w:lang w:val="fr-FR"/>
              </w:rPr>
              <w:t xml:space="preserve">60 </w:t>
            </w:r>
          </w:p>
        </w:tc>
        <w:tc>
          <w:tcPr>
            <w:tcW w:w="606" w:type="dxa"/>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27</w:t>
            </w:r>
            <w:r>
              <w:rPr>
                <w:sz w:val="18"/>
                <w:lang w:val="fr-FR"/>
              </w:rPr>
              <w:t>,</w:t>
            </w:r>
            <w:r w:rsidRPr="00262910">
              <w:rPr>
                <w:sz w:val="18"/>
                <w:lang w:val="fr-FR"/>
              </w:rPr>
              <w:t xml:space="preserve">72 </w:t>
            </w:r>
          </w:p>
        </w:tc>
        <w:tc>
          <w:tcPr>
            <w:tcW w:w="605" w:type="dxa"/>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27</w:t>
            </w:r>
            <w:r>
              <w:rPr>
                <w:sz w:val="18"/>
                <w:lang w:val="fr-FR"/>
              </w:rPr>
              <w:t>,</w:t>
            </w:r>
            <w:r w:rsidRPr="00262910">
              <w:rPr>
                <w:sz w:val="18"/>
                <w:lang w:val="fr-FR"/>
              </w:rPr>
              <w:t xml:space="preserve">74 </w:t>
            </w:r>
          </w:p>
        </w:tc>
        <w:tc>
          <w:tcPr>
            <w:tcW w:w="606" w:type="dxa"/>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27</w:t>
            </w:r>
            <w:r>
              <w:rPr>
                <w:sz w:val="18"/>
                <w:lang w:val="fr-FR"/>
              </w:rPr>
              <w:t>,</w:t>
            </w:r>
            <w:r w:rsidRPr="00262910">
              <w:rPr>
                <w:sz w:val="18"/>
                <w:lang w:val="fr-FR"/>
              </w:rPr>
              <w:t xml:space="preserve">89 </w:t>
            </w:r>
          </w:p>
        </w:tc>
        <w:tc>
          <w:tcPr>
            <w:tcW w:w="605" w:type="dxa"/>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28</w:t>
            </w:r>
            <w:r>
              <w:rPr>
                <w:sz w:val="18"/>
                <w:lang w:val="fr-FR"/>
              </w:rPr>
              <w:t>,</w:t>
            </w:r>
            <w:r w:rsidRPr="00262910">
              <w:rPr>
                <w:sz w:val="18"/>
                <w:lang w:val="fr-FR"/>
              </w:rPr>
              <w:t xml:space="preserve">24 </w:t>
            </w:r>
          </w:p>
        </w:tc>
        <w:tc>
          <w:tcPr>
            <w:tcW w:w="606" w:type="dxa"/>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29</w:t>
            </w:r>
            <w:r>
              <w:rPr>
                <w:sz w:val="18"/>
                <w:lang w:val="fr-FR"/>
              </w:rPr>
              <w:t>,</w:t>
            </w:r>
            <w:r w:rsidRPr="00262910">
              <w:rPr>
                <w:sz w:val="18"/>
                <w:lang w:val="fr-FR"/>
              </w:rPr>
              <w:t xml:space="preserve">65 </w:t>
            </w:r>
          </w:p>
        </w:tc>
        <w:tc>
          <w:tcPr>
            <w:tcW w:w="605" w:type="dxa"/>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28</w:t>
            </w:r>
            <w:r>
              <w:rPr>
                <w:sz w:val="18"/>
                <w:lang w:val="fr-FR"/>
              </w:rPr>
              <w:t>,</w:t>
            </w:r>
            <w:r w:rsidRPr="00262910">
              <w:rPr>
                <w:sz w:val="18"/>
                <w:lang w:val="fr-FR"/>
              </w:rPr>
              <w:t xml:space="preserve">48 </w:t>
            </w:r>
          </w:p>
        </w:tc>
        <w:tc>
          <w:tcPr>
            <w:tcW w:w="606" w:type="dxa"/>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28</w:t>
            </w:r>
            <w:r>
              <w:rPr>
                <w:sz w:val="18"/>
                <w:lang w:val="fr-FR"/>
              </w:rPr>
              <w:t>,</w:t>
            </w:r>
            <w:r w:rsidRPr="00262910">
              <w:rPr>
                <w:sz w:val="18"/>
                <w:lang w:val="fr-FR"/>
              </w:rPr>
              <w:t xml:space="preserve">47 </w:t>
            </w:r>
          </w:p>
        </w:tc>
      </w:tr>
    </w:tbl>
    <w:p w:rsidR="001771B8" w:rsidRPr="00262910" w:rsidRDefault="001771B8" w:rsidP="001771B8">
      <w:pPr>
        <w:pStyle w:val="SingleTxtG"/>
        <w:spacing w:before="120" w:after="240" w:line="220" w:lineRule="exact"/>
        <w:ind w:firstLine="170"/>
        <w:jc w:val="left"/>
        <w:rPr>
          <w:sz w:val="18"/>
          <w:szCs w:val="18"/>
          <w:lang w:val="fr-FR"/>
        </w:rPr>
      </w:pPr>
      <w:r w:rsidRPr="00262910">
        <w:rPr>
          <w:i/>
          <w:sz w:val="18"/>
          <w:szCs w:val="18"/>
          <w:lang w:val="fr-FR"/>
        </w:rPr>
        <w:t>Source</w:t>
      </w:r>
      <w:r w:rsidR="00CC69B2">
        <w:rPr>
          <w:i/>
          <w:sz w:val="18"/>
          <w:szCs w:val="18"/>
          <w:lang w:val="fr-FR"/>
        </w:rPr>
        <w:t> </w:t>
      </w:r>
      <w:r w:rsidRPr="00262910">
        <w:rPr>
          <w:sz w:val="18"/>
          <w:szCs w:val="18"/>
          <w:lang w:val="fr-FR"/>
        </w:rPr>
        <w:t>: Bureau norvégien de statistique.</w:t>
      </w:r>
    </w:p>
    <w:p w:rsidR="001771B8" w:rsidRPr="00262910" w:rsidRDefault="001771B8" w:rsidP="001771B8">
      <w:pPr>
        <w:pStyle w:val="SingleTxtG"/>
        <w:rPr>
          <w:lang w:val="fr-FR"/>
        </w:rPr>
      </w:pPr>
      <w:r w:rsidRPr="00262910">
        <w:rPr>
          <w:lang w:val="fr-FR"/>
        </w:rPr>
        <w:t>72.</w:t>
      </w:r>
      <w:r w:rsidRPr="00262910">
        <w:rPr>
          <w:lang w:val="fr-FR"/>
        </w:rPr>
        <w:tab/>
      </w:r>
      <w:r w:rsidRPr="005961CC">
        <w:rPr>
          <w:spacing w:val="-2"/>
          <w:lang w:val="fr-FR"/>
        </w:rPr>
        <w:t>Le pourcentage de la population (étudiants exclus) qui vit dans un ménage à faible revenu persistant, à savoir un revenu moyen inférieur trois années de suite à 60</w:t>
      </w:r>
      <w:r w:rsidR="00CC69B2" w:rsidRPr="005961CC">
        <w:rPr>
          <w:spacing w:val="-2"/>
          <w:lang w:val="fr-FR"/>
        </w:rPr>
        <w:t> </w:t>
      </w:r>
      <w:r w:rsidRPr="005961CC">
        <w:rPr>
          <w:spacing w:val="-2"/>
          <w:lang w:val="fr-FR"/>
        </w:rPr>
        <w:t>% du revenu médian selon le seuil équivalent de l’UE, a légèrement augmenté ces dix dernières années.</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9"/>
        <w:gridCol w:w="4021"/>
      </w:tblGrid>
      <w:tr w:rsidR="001771B8" w:rsidRPr="00262910" w:rsidTr="001771B8">
        <w:trPr>
          <w:tblHeader/>
        </w:trPr>
        <w:tc>
          <w:tcPr>
            <w:tcW w:w="3349" w:type="dxa"/>
            <w:tcBorders>
              <w:top w:val="single" w:sz="4" w:space="0" w:color="auto"/>
              <w:bottom w:val="single" w:sz="12" w:space="0" w:color="auto"/>
            </w:tcBorders>
            <w:shd w:val="clear" w:color="auto" w:fill="auto"/>
            <w:vAlign w:val="bottom"/>
          </w:tcPr>
          <w:p w:rsidR="001771B8" w:rsidRPr="00262910" w:rsidRDefault="001771B8" w:rsidP="001771B8">
            <w:pPr>
              <w:pStyle w:val="SingleTxtG"/>
              <w:suppressAutoHyphens w:val="0"/>
              <w:spacing w:before="80" w:after="80" w:line="200" w:lineRule="exact"/>
              <w:ind w:left="0" w:right="0"/>
              <w:jc w:val="left"/>
              <w:rPr>
                <w:i/>
                <w:sz w:val="16"/>
                <w:lang w:val="fr-FR"/>
              </w:rPr>
            </w:pPr>
            <w:r w:rsidRPr="00262910">
              <w:rPr>
                <w:i/>
                <w:sz w:val="16"/>
                <w:lang w:val="fr-FR"/>
              </w:rPr>
              <w:t>Période</w:t>
            </w:r>
          </w:p>
        </w:tc>
        <w:tc>
          <w:tcPr>
            <w:tcW w:w="4021" w:type="dxa"/>
            <w:tcBorders>
              <w:top w:val="single" w:sz="4" w:space="0" w:color="auto"/>
              <w:bottom w:val="single" w:sz="12" w:space="0" w:color="auto"/>
            </w:tcBorders>
            <w:shd w:val="clear" w:color="auto" w:fill="auto"/>
            <w:vAlign w:val="bottom"/>
          </w:tcPr>
          <w:p w:rsidR="001771B8" w:rsidRPr="00262910" w:rsidRDefault="001771B8" w:rsidP="001771B8">
            <w:pPr>
              <w:pStyle w:val="SingleTxtG"/>
              <w:suppressAutoHyphens w:val="0"/>
              <w:spacing w:before="80" w:after="80" w:line="200" w:lineRule="exact"/>
              <w:ind w:left="0" w:right="0"/>
              <w:jc w:val="right"/>
              <w:rPr>
                <w:i/>
                <w:sz w:val="16"/>
                <w:lang w:val="fr-FR"/>
              </w:rPr>
            </w:pPr>
            <w:r w:rsidRPr="00262910">
              <w:rPr>
                <w:i/>
                <w:sz w:val="16"/>
                <w:lang w:val="fr-FR"/>
              </w:rPr>
              <w:t>P</w:t>
            </w:r>
            <w:r>
              <w:rPr>
                <w:i/>
                <w:sz w:val="16"/>
                <w:lang w:val="fr-FR"/>
              </w:rPr>
              <w:t xml:space="preserve">ourcentage </w:t>
            </w:r>
            <w:r w:rsidRPr="00262910">
              <w:rPr>
                <w:i/>
                <w:sz w:val="16"/>
                <w:lang w:val="fr-FR"/>
              </w:rPr>
              <w:t xml:space="preserve">de la population </w:t>
            </w:r>
          </w:p>
        </w:tc>
      </w:tr>
      <w:tr w:rsidR="001771B8" w:rsidRPr="00262910" w:rsidTr="001771B8">
        <w:tc>
          <w:tcPr>
            <w:tcW w:w="3349" w:type="dxa"/>
            <w:tcBorders>
              <w:top w:val="single" w:sz="12" w:space="0" w:color="auto"/>
            </w:tcBorders>
            <w:shd w:val="clear" w:color="auto" w:fill="auto"/>
          </w:tcPr>
          <w:p w:rsidR="001771B8" w:rsidRPr="00262910" w:rsidRDefault="001771B8" w:rsidP="005961CC">
            <w:pPr>
              <w:pStyle w:val="SingleTxtG"/>
              <w:suppressAutoHyphens w:val="0"/>
              <w:spacing w:before="30" w:after="30" w:line="220" w:lineRule="exact"/>
              <w:ind w:left="0" w:right="0"/>
              <w:jc w:val="left"/>
              <w:rPr>
                <w:sz w:val="18"/>
                <w:lang w:val="fr-FR"/>
              </w:rPr>
            </w:pPr>
            <w:r w:rsidRPr="00262910">
              <w:rPr>
                <w:sz w:val="18"/>
                <w:lang w:val="fr-FR"/>
              </w:rPr>
              <w:t>2015-2017</w:t>
            </w:r>
          </w:p>
        </w:tc>
        <w:tc>
          <w:tcPr>
            <w:tcW w:w="4021" w:type="dxa"/>
            <w:tcBorders>
              <w:top w:val="single" w:sz="12" w:space="0" w:color="auto"/>
            </w:tcBorders>
            <w:shd w:val="clear" w:color="auto" w:fill="auto"/>
            <w:vAlign w:val="bottom"/>
          </w:tcPr>
          <w:p w:rsidR="001771B8" w:rsidRPr="00262910" w:rsidRDefault="001771B8" w:rsidP="005961CC">
            <w:pPr>
              <w:pStyle w:val="SingleTxtG"/>
              <w:suppressAutoHyphens w:val="0"/>
              <w:spacing w:before="30" w:after="30" w:line="220" w:lineRule="exact"/>
              <w:ind w:left="0" w:right="0"/>
              <w:jc w:val="right"/>
              <w:rPr>
                <w:sz w:val="18"/>
                <w:lang w:val="fr-FR"/>
              </w:rPr>
            </w:pPr>
            <w:r w:rsidRPr="00262910">
              <w:rPr>
                <w:sz w:val="18"/>
                <w:lang w:val="fr-FR"/>
              </w:rPr>
              <w:t>9</w:t>
            </w:r>
            <w:r>
              <w:rPr>
                <w:sz w:val="18"/>
                <w:lang w:val="fr-FR"/>
              </w:rPr>
              <w:t>,</w:t>
            </w:r>
            <w:r w:rsidRPr="00262910">
              <w:rPr>
                <w:sz w:val="18"/>
                <w:lang w:val="fr-FR"/>
              </w:rPr>
              <w:t>6</w:t>
            </w:r>
          </w:p>
        </w:tc>
      </w:tr>
      <w:tr w:rsidR="001771B8" w:rsidRPr="00262910" w:rsidTr="001771B8">
        <w:tc>
          <w:tcPr>
            <w:tcW w:w="3349" w:type="dxa"/>
            <w:shd w:val="clear" w:color="auto" w:fill="auto"/>
          </w:tcPr>
          <w:p w:rsidR="001771B8" w:rsidRPr="00262910" w:rsidRDefault="001771B8" w:rsidP="005961CC">
            <w:pPr>
              <w:pStyle w:val="SingleTxtG"/>
              <w:suppressAutoHyphens w:val="0"/>
              <w:spacing w:before="30" w:after="30" w:line="220" w:lineRule="exact"/>
              <w:ind w:left="0" w:right="0"/>
              <w:jc w:val="left"/>
              <w:rPr>
                <w:sz w:val="18"/>
                <w:lang w:val="fr-FR"/>
              </w:rPr>
            </w:pPr>
            <w:r w:rsidRPr="00262910">
              <w:rPr>
                <w:sz w:val="18"/>
                <w:lang w:val="fr-FR"/>
              </w:rPr>
              <w:t>2014-2016</w:t>
            </w:r>
          </w:p>
        </w:tc>
        <w:tc>
          <w:tcPr>
            <w:tcW w:w="4021" w:type="dxa"/>
            <w:shd w:val="clear" w:color="auto" w:fill="auto"/>
            <w:vAlign w:val="bottom"/>
          </w:tcPr>
          <w:p w:rsidR="001771B8" w:rsidRPr="00262910" w:rsidRDefault="001771B8" w:rsidP="005961CC">
            <w:pPr>
              <w:pStyle w:val="SingleTxtG"/>
              <w:suppressAutoHyphens w:val="0"/>
              <w:spacing w:before="30" w:after="30" w:line="220" w:lineRule="exact"/>
              <w:ind w:left="0" w:right="0"/>
              <w:jc w:val="right"/>
              <w:rPr>
                <w:sz w:val="18"/>
                <w:lang w:val="fr-FR"/>
              </w:rPr>
            </w:pPr>
            <w:r w:rsidRPr="00262910">
              <w:rPr>
                <w:sz w:val="18"/>
                <w:lang w:val="fr-FR"/>
              </w:rPr>
              <w:t>9</w:t>
            </w:r>
            <w:r>
              <w:rPr>
                <w:sz w:val="18"/>
                <w:lang w:val="fr-FR"/>
              </w:rPr>
              <w:t>,</w:t>
            </w:r>
            <w:r w:rsidRPr="00262910">
              <w:rPr>
                <w:sz w:val="18"/>
                <w:lang w:val="fr-FR"/>
              </w:rPr>
              <w:t>4</w:t>
            </w:r>
          </w:p>
        </w:tc>
      </w:tr>
      <w:tr w:rsidR="001771B8" w:rsidRPr="00262910" w:rsidTr="001771B8">
        <w:tc>
          <w:tcPr>
            <w:tcW w:w="3349" w:type="dxa"/>
            <w:shd w:val="clear" w:color="auto" w:fill="auto"/>
          </w:tcPr>
          <w:p w:rsidR="001771B8" w:rsidRPr="00262910" w:rsidRDefault="001771B8" w:rsidP="005961CC">
            <w:pPr>
              <w:pStyle w:val="SingleTxtG"/>
              <w:suppressAutoHyphens w:val="0"/>
              <w:spacing w:before="30" w:after="30" w:line="220" w:lineRule="exact"/>
              <w:ind w:left="0" w:right="0"/>
              <w:jc w:val="left"/>
              <w:rPr>
                <w:sz w:val="18"/>
                <w:lang w:val="fr-FR"/>
              </w:rPr>
            </w:pPr>
            <w:r w:rsidRPr="00262910">
              <w:rPr>
                <w:sz w:val="18"/>
                <w:lang w:val="fr-FR"/>
              </w:rPr>
              <w:t>2013-2015</w:t>
            </w:r>
          </w:p>
        </w:tc>
        <w:tc>
          <w:tcPr>
            <w:tcW w:w="4021" w:type="dxa"/>
            <w:shd w:val="clear" w:color="auto" w:fill="auto"/>
            <w:vAlign w:val="bottom"/>
          </w:tcPr>
          <w:p w:rsidR="001771B8" w:rsidRPr="00262910" w:rsidRDefault="001771B8" w:rsidP="005961CC">
            <w:pPr>
              <w:pStyle w:val="SingleTxtG"/>
              <w:suppressAutoHyphens w:val="0"/>
              <w:spacing w:before="30" w:after="30" w:line="220" w:lineRule="exact"/>
              <w:ind w:left="0" w:right="0"/>
              <w:jc w:val="right"/>
              <w:rPr>
                <w:sz w:val="18"/>
                <w:lang w:val="fr-FR"/>
              </w:rPr>
            </w:pPr>
            <w:r w:rsidRPr="00262910">
              <w:rPr>
                <w:sz w:val="18"/>
                <w:lang w:val="fr-FR"/>
              </w:rPr>
              <w:t>9</w:t>
            </w:r>
            <w:r>
              <w:rPr>
                <w:sz w:val="18"/>
                <w:lang w:val="fr-FR"/>
              </w:rPr>
              <w:t>,</w:t>
            </w:r>
            <w:r w:rsidRPr="00262910">
              <w:rPr>
                <w:sz w:val="18"/>
                <w:lang w:val="fr-FR"/>
              </w:rPr>
              <w:t>3</w:t>
            </w:r>
          </w:p>
        </w:tc>
      </w:tr>
      <w:tr w:rsidR="001771B8" w:rsidRPr="00262910" w:rsidTr="001771B8">
        <w:tc>
          <w:tcPr>
            <w:tcW w:w="3349" w:type="dxa"/>
            <w:shd w:val="clear" w:color="auto" w:fill="auto"/>
          </w:tcPr>
          <w:p w:rsidR="001771B8" w:rsidRPr="00262910" w:rsidRDefault="001771B8" w:rsidP="005961CC">
            <w:pPr>
              <w:pStyle w:val="SingleTxtG"/>
              <w:suppressAutoHyphens w:val="0"/>
              <w:spacing w:before="30" w:after="30" w:line="220" w:lineRule="exact"/>
              <w:ind w:left="0" w:right="0"/>
              <w:jc w:val="left"/>
              <w:rPr>
                <w:sz w:val="18"/>
                <w:lang w:val="fr-FR"/>
              </w:rPr>
            </w:pPr>
            <w:r w:rsidRPr="00262910">
              <w:rPr>
                <w:sz w:val="18"/>
                <w:lang w:val="fr-FR"/>
              </w:rPr>
              <w:t>2012-2014</w:t>
            </w:r>
          </w:p>
        </w:tc>
        <w:tc>
          <w:tcPr>
            <w:tcW w:w="4021" w:type="dxa"/>
            <w:shd w:val="clear" w:color="auto" w:fill="auto"/>
            <w:vAlign w:val="bottom"/>
          </w:tcPr>
          <w:p w:rsidR="001771B8" w:rsidRPr="00262910" w:rsidRDefault="001771B8" w:rsidP="005961CC">
            <w:pPr>
              <w:pStyle w:val="SingleTxtG"/>
              <w:suppressAutoHyphens w:val="0"/>
              <w:spacing w:before="30" w:after="30" w:line="220" w:lineRule="exact"/>
              <w:ind w:left="0" w:right="0"/>
              <w:jc w:val="right"/>
              <w:rPr>
                <w:sz w:val="18"/>
                <w:lang w:val="fr-FR"/>
              </w:rPr>
            </w:pPr>
            <w:r w:rsidRPr="00262910">
              <w:rPr>
                <w:sz w:val="18"/>
                <w:lang w:val="fr-FR"/>
              </w:rPr>
              <w:t>9</w:t>
            </w:r>
            <w:r>
              <w:rPr>
                <w:sz w:val="18"/>
                <w:lang w:val="fr-FR"/>
              </w:rPr>
              <w:t>,</w:t>
            </w:r>
            <w:r w:rsidRPr="00262910">
              <w:rPr>
                <w:sz w:val="18"/>
                <w:lang w:val="fr-FR"/>
              </w:rPr>
              <w:t>0</w:t>
            </w:r>
          </w:p>
        </w:tc>
      </w:tr>
      <w:tr w:rsidR="001771B8" w:rsidRPr="00262910" w:rsidTr="001771B8">
        <w:tc>
          <w:tcPr>
            <w:tcW w:w="3349" w:type="dxa"/>
            <w:shd w:val="clear" w:color="auto" w:fill="auto"/>
          </w:tcPr>
          <w:p w:rsidR="001771B8" w:rsidRPr="00262910" w:rsidRDefault="001771B8" w:rsidP="005961CC">
            <w:pPr>
              <w:pStyle w:val="SingleTxtG"/>
              <w:suppressAutoHyphens w:val="0"/>
              <w:spacing w:before="30" w:after="30" w:line="220" w:lineRule="exact"/>
              <w:ind w:left="0" w:right="0"/>
              <w:jc w:val="left"/>
              <w:rPr>
                <w:sz w:val="18"/>
                <w:lang w:val="fr-FR"/>
              </w:rPr>
            </w:pPr>
            <w:r w:rsidRPr="00262910">
              <w:rPr>
                <w:sz w:val="18"/>
                <w:lang w:val="fr-FR"/>
              </w:rPr>
              <w:t>2011-2013</w:t>
            </w:r>
          </w:p>
        </w:tc>
        <w:tc>
          <w:tcPr>
            <w:tcW w:w="4021" w:type="dxa"/>
            <w:shd w:val="clear" w:color="auto" w:fill="auto"/>
            <w:vAlign w:val="bottom"/>
          </w:tcPr>
          <w:p w:rsidR="001771B8" w:rsidRPr="00262910" w:rsidRDefault="001771B8" w:rsidP="005961CC">
            <w:pPr>
              <w:pStyle w:val="SingleTxtG"/>
              <w:suppressAutoHyphens w:val="0"/>
              <w:spacing w:before="30" w:after="30" w:line="220" w:lineRule="exact"/>
              <w:ind w:left="0" w:right="0"/>
              <w:jc w:val="right"/>
              <w:rPr>
                <w:sz w:val="18"/>
                <w:lang w:val="fr-FR"/>
              </w:rPr>
            </w:pPr>
            <w:r w:rsidRPr="00262910">
              <w:rPr>
                <w:sz w:val="18"/>
                <w:lang w:val="fr-FR"/>
              </w:rPr>
              <w:t>8</w:t>
            </w:r>
            <w:r>
              <w:rPr>
                <w:sz w:val="18"/>
                <w:lang w:val="fr-FR"/>
              </w:rPr>
              <w:t>,</w:t>
            </w:r>
            <w:r w:rsidRPr="00262910">
              <w:rPr>
                <w:sz w:val="18"/>
                <w:lang w:val="fr-FR"/>
              </w:rPr>
              <w:t>6</w:t>
            </w:r>
          </w:p>
        </w:tc>
      </w:tr>
      <w:tr w:rsidR="001771B8" w:rsidRPr="00262910" w:rsidTr="001771B8">
        <w:tc>
          <w:tcPr>
            <w:tcW w:w="3349" w:type="dxa"/>
            <w:shd w:val="clear" w:color="auto" w:fill="auto"/>
          </w:tcPr>
          <w:p w:rsidR="001771B8" w:rsidRPr="00262910" w:rsidRDefault="001771B8" w:rsidP="005961CC">
            <w:pPr>
              <w:pStyle w:val="SingleTxtG"/>
              <w:suppressAutoHyphens w:val="0"/>
              <w:spacing w:before="30" w:after="30" w:line="220" w:lineRule="exact"/>
              <w:ind w:left="0" w:right="0"/>
              <w:jc w:val="left"/>
              <w:rPr>
                <w:sz w:val="18"/>
                <w:lang w:val="fr-FR"/>
              </w:rPr>
            </w:pPr>
            <w:r w:rsidRPr="00262910">
              <w:rPr>
                <w:sz w:val="18"/>
                <w:lang w:val="fr-FR"/>
              </w:rPr>
              <w:t>2010-2012</w:t>
            </w:r>
          </w:p>
        </w:tc>
        <w:tc>
          <w:tcPr>
            <w:tcW w:w="4021" w:type="dxa"/>
            <w:shd w:val="clear" w:color="auto" w:fill="auto"/>
            <w:vAlign w:val="bottom"/>
          </w:tcPr>
          <w:p w:rsidR="001771B8" w:rsidRPr="00262910" w:rsidRDefault="001771B8" w:rsidP="005961CC">
            <w:pPr>
              <w:pStyle w:val="SingleTxtG"/>
              <w:suppressAutoHyphens w:val="0"/>
              <w:spacing w:before="30" w:after="30" w:line="220" w:lineRule="exact"/>
              <w:ind w:left="0" w:right="0"/>
              <w:jc w:val="right"/>
              <w:rPr>
                <w:sz w:val="18"/>
                <w:lang w:val="fr-FR"/>
              </w:rPr>
            </w:pPr>
            <w:r w:rsidRPr="00262910">
              <w:rPr>
                <w:sz w:val="18"/>
                <w:lang w:val="fr-FR"/>
              </w:rPr>
              <w:t>7</w:t>
            </w:r>
            <w:r>
              <w:rPr>
                <w:sz w:val="18"/>
                <w:lang w:val="fr-FR"/>
              </w:rPr>
              <w:t>,</w:t>
            </w:r>
            <w:r w:rsidRPr="00262910">
              <w:rPr>
                <w:sz w:val="18"/>
                <w:lang w:val="fr-FR"/>
              </w:rPr>
              <w:t>9</w:t>
            </w:r>
          </w:p>
        </w:tc>
      </w:tr>
      <w:tr w:rsidR="001771B8" w:rsidRPr="00262910" w:rsidTr="001771B8">
        <w:tc>
          <w:tcPr>
            <w:tcW w:w="3349" w:type="dxa"/>
            <w:shd w:val="clear" w:color="auto" w:fill="auto"/>
          </w:tcPr>
          <w:p w:rsidR="001771B8" w:rsidRPr="00262910" w:rsidRDefault="001771B8" w:rsidP="005961CC">
            <w:pPr>
              <w:pStyle w:val="SingleTxtG"/>
              <w:suppressAutoHyphens w:val="0"/>
              <w:spacing w:before="30" w:after="30" w:line="220" w:lineRule="exact"/>
              <w:ind w:left="0" w:right="0"/>
              <w:jc w:val="left"/>
              <w:rPr>
                <w:sz w:val="18"/>
                <w:lang w:val="fr-FR"/>
              </w:rPr>
            </w:pPr>
            <w:r w:rsidRPr="00262910">
              <w:rPr>
                <w:sz w:val="18"/>
                <w:lang w:val="fr-FR"/>
              </w:rPr>
              <w:t>2009-2011</w:t>
            </w:r>
          </w:p>
        </w:tc>
        <w:tc>
          <w:tcPr>
            <w:tcW w:w="4021" w:type="dxa"/>
            <w:shd w:val="clear" w:color="auto" w:fill="auto"/>
            <w:vAlign w:val="bottom"/>
          </w:tcPr>
          <w:p w:rsidR="001771B8" w:rsidRPr="00262910" w:rsidRDefault="001771B8" w:rsidP="005961CC">
            <w:pPr>
              <w:pStyle w:val="SingleTxtG"/>
              <w:suppressAutoHyphens w:val="0"/>
              <w:spacing w:before="30" w:after="30" w:line="220" w:lineRule="exact"/>
              <w:ind w:left="0" w:right="0"/>
              <w:jc w:val="right"/>
              <w:rPr>
                <w:sz w:val="18"/>
                <w:lang w:val="fr-FR"/>
              </w:rPr>
            </w:pPr>
            <w:r w:rsidRPr="00262910">
              <w:rPr>
                <w:sz w:val="18"/>
                <w:lang w:val="fr-FR"/>
              </w:rPr>
              <w:t>7</w:t>
            </w:r>
            <w:r>
              <w:rPr>
                <w:sz w:val="18"/>
                <w:lang w:val="fr-FR"/>
              </w:rPr>
              <w:t>,</w:t>
            </w:r>
            <w:r w:rsidRPr="00262910">
              <w:rPr>
                <w:sz w:val="18"/>
                <w:lang w:val="fr-FR"/>
              </w:rPr>
              <w:t>7</w:t>
            </w:r>
          </w:p>
        </w:tc>
      </w:tr>
      <w:tr w:rsidR="001771B8" w:rsidRPr="00262910" w:rsidTr="001771B8">
        <w:tc>
          <w:tcPr>
            <w:tcW w:w="3349" w:type="dxa"/>
            <w:shd w:val="clear" w:color="auto" w:fill="auto"/>
          </w:tcPr>
          <w:p w:rsidR="001771B8" w:rsidRPr="00262910" w:rsidRDefault="001771B8" w:rsidP="005961CC">
            <w:pPr>
              <w:pStyle w:val="SingleTxtG"/>
              <w:suppressAutoHyphens w:val="0"/>
              <w:spacing w:before="30" w:after="30" w:line="220" w:lineRule="exact"/>
              <w:ind w:left="0" w:right="0"/>
              <w:jc w:val="left"/>
              <w:rPr>
                <w:sz w:val="18"/>
                <w:lang w:val="fr-FR"/>
              </w:rPr>
            </w:pPr>
            <w:r w:rsidRPr="00262910">
              <w:rPr>
                <w:sz w:val="18"/>
                <w:lang w:val="fr-FR"/>
              </w:rPr>
              <w:t>2008-2010</w:t>
            </w:r>
          </w:p>
        </w:tc>
        <w:tc>
          <w:tcPr>
            <w:tcW w:w="4021" w:type="dxa"/>
            <w:shd w:val="clear" w:color="auto" w:fill="auto"/>
            <w:vAlign w:val="bottom"/>
          </w:tcPr>
          <w:p w:rsidR="001771B8" w:rsidRPr="00262910" w:rsidRDefault="001771B8" w:rsidP="005961CC">
            <w:pPr>
              <w:pStyle w:val="SingleTxtG"/>
              <w:suppressAutoHyphens w:val="0"/>
              <w:spacing w:before="30" w:after="30" w:line="220" w:lineRule="exact"/>
              <w:ind w:left="0" w:right="0"/>
              <w:jc w:val="right"/>
              <w:rPr>
                <w:sz w:val="18"/>
                <w:lang w:val="fr-FR"/>
              </w:rPr>
            </w:pPr>
            <w:r w:rsidRPr="00262910">
              <w:rPr>
                <w:sz w:val="18"/>
                <w:lang w:val="fr-FR"/>
              </w:rPr>
              <w:t>7</w:t>
            </w:r>
            <w:r>
              <w:rPr>
                <w:sz w:val="18"/>
                <w:lang w:val="fr-FR"/>
              </w:rPr>
              <w:t>,</w:t>
            </w:r>
            <w:r w:rsidRPr="00262910">
              <w:rPr>
                <w:sz w:val="18"/>
                <w:lang w:val="fr-FR"/>
              </w:rPr>
              <w:t>9</w:t>
            </w:r>
          </w:p>
        </w:tc>
      </w:tr>
      <w:tr w:rsidR="001771B8" w:rsidRPr="00262910" w:rsidTr="001771B8">
        <w:tc>
          <w:tcPr>
            <w:tcW w:w="3349" w:type="dxa"/>
            <w:shd w:val="clear" w:color="auto" w:fill="auto"/>
          </w:tcPr>
          <w:p w:rsidR="001771B8" w:rsidRPr="00262910" w:rsidRDefault="001771B8" w:rsidP="005961CC">
            <w:pPr>
              <w:pStyle w:val="SingleTxtG"/>
              <w:suppressAutoHyphens w:val="0"/>
              <w:spacing w:before="30" w:after="30" w:line="220" w:lineRule="exact"/>
              <w:ind w:left="0" w:right="0"/>
              <w:jc w:val="left"/>
              <w:rPr>
                <w:sz w:val="18"/>
                <w:lang w:val="fr-FR"/>
              </w:rPr>
            </w:pPr>
            <w:r w:rsidRPr="00262910">
              <w:rPr>
                <w:sz w:val="18"/>
                <w:lang w:val="fr-FR"/>
              </w:rPr>
              <w:t>2007-2009</w:t>
            </w:r>
          </w:p>
        </w:tc>
        <w:tc>
          <w:tcPr>
            <w:tcW w:w="4021" w:type="dxa"/>
            <w:shd w:val="clear" w:color="auto" w:fill="auto"/>
            <w:vAlign w:val="bottom"/>
          </w:tcPr>
          <w:p w:rsidR="001771B8" w:rsidRPr="00262910" w:rsidRDefault="001771B8" w:rsidP="005961CC">
            <w:pPr>
              <w:pStyle w:val="SingleTxtG"/>
              <w:suppressAutoHyphens w:val="0"/>
              <w:spacing w:before="30" w:after="30" w:line="220" w:lineRule="exact"/>
              <w:ind w:left="0" w:right="0"/>
              <w:jc w:val="right"/>
              <w:rPr>
                <w:sz w:val="18"/>
                <w:lang w:val="fr-FR"/>
              </w:rPr>
            </w:pPr>
            <w:r w:rsidRPr="00262910">
              <w:rPr>
                <w:sz w:val="18"/>
                <w:lang w:val="fr-FR"/>
              </w:rPr>
              <w:t>8</w:t>
            </w:r>
            <w:r>
              <w:rPr>
                <w:sz w:val="18"/>
                <w:lang w:val="fr-FR"/>
              </w:rPr>
              <w:t>,</w:t>
            </w:r>
            <w:r w:rsidRPr="00262910">
              <w:rPr>
                <w:sz w:val="18"/>
                <w:lang w:val="fr-FR"/>
              </w:rPr>
              <w:t>1</w:t>
            </w:r>
          </w:p>
        </w:tc>
      </w:tr>
      <w:tr w:rsidR="001771B8" w:rsidRPr="00262910" w:rsidTr="001771B8">
        <w:tc>
          <w:tcPr>
            <w:tcW w:w="3349" w:type="dxa"/>
            <w:shd w:val="clear" w:color="auto" w:fill="auto"/>
          </w:tcPr>
          <w:p w:rsidR="001771B8" w:rsidRPr="00262910" w:rsidRDefault="001771B8" w:rsidP="005961CC">
            <w:pPr>
              <w:pStyle w:val="SingleTxtG"/>
              <w:suppressAutoHyphens w:val="0"/>
              <w:spacing w:before="30" w:after="30" w:line="220" w:lineRule="exact"/>
              <w:ind w:left="0" w:right="0"/>
              <w:jc w:val="left"/>
              <w:rPr>
                <w:sz w:val="18"/>
                <w:lang w:val="fr-FR"/>
              </w:rPr>
            </w:pPr>
            <w:r w:rsidRPr="00262910">
              <w:rPr>
                <w:sz w:val="18"/>
                <w:lang w:val="fr-FR"/>
              </w:rPr>
              <w:t>2006-2008</w:t>
            </w:r>
          </w:p>
        </w:tc>
        <w:tc>
          <w:tcPr>
            <w:tcW w:w="4021" w:type="dxa"/>
            <w:shd w:val="clear" w:color="auto" w:fill="auto"/>
            <w:vAlign w:val="bottom"/>
          </w:tcPr>
          <w:p w:rsidR="001771B8" w:rsidRPr="00262910" w:rsidRDefault="001771B8" w:rsidP="005961CC">
            <w:pPr>
              <w:pStyle w:val="SingleTxtG"/>
              <w:suppressAutoHyphens w:val="0"/>
              <w:spacing w:before="30" w:after="30" w:line="220" w:lineRule="exact"/>
              <w:ind w:left="0" w:right="0"/>
              <w:jc w:val="right"/>
              <w:rPr>
                <w:sz w:val="18"/>
                <w:lang w:val="fr-FR"/>
              </w:rPr>
            </w:pPr>
            <w:r w:rsidRPr="00262910">
              <w:rPr>
                <w:sz w:val="18"/>
                <w:lang w:val="fr-FR"/>
              </w:rPr>
              <w:t>8</w:t>
            </w:r>
            <w:r>
              <w:rPr>
                <w:sz w:val="18"/>
                <w:lang w:val="fr-FR"/>
              </w:rPr>
              <w:t>,</w:t>
            </w:r>
            <w:r w:rsidRPr="00262910">
              <w:rPr>
                <w:sz w:val="18"/>
                <w:lang w:val="fr-FR"/>
              </w:rPr>
              <w:t>2</w:t>
            </w:r>
          </w:p>
        </w:tc>
      </w:tr>
      <w:tr w:rsidR="001771B8" w:rsidRPr="00262910" w:rsidTr="001771B8">
        <w:tc>
          <w:tcPr>
            <w:tcW w:w="3349" w:type="dxa"/>
            <w:tcBorders>
              <w:bottom w:val="single" w:sz="12" w:space="0" w:color="auto"/>
            </w:tcBorders>
            <w:shd w:val="clear" w:color="auto" w:fill="auto"/>
          </w:tcPr>
          <w:p w:rsidR="001771B8" w:rsidRPr="00262910" w:rsidRDefault="001771B8" w:rsidP="005961CC">
            <w:pPr>
              <w:pStyle w:val="SingleTxtG"/>
              <w:suppressAutoHyphens w:val="0"/>
              <w:spacing w:before="30" w:after="30" w:line="220" w:lineRule="exact"/>
              <w:ind w:left="0" w:right="0"/>
              <w:jc w:val="left"/>
              <w:rPr>
                <w:sz w:val="18"/>
                <w:lang w:val="fr-FR"/>
              </w:rPr>
            </w:pPr>
            <w:r w:rsidRPr="00262910">
              <w:rPr>
                <w:sz w:val="18"/>
                <w:lang w:val="fr-FR"/>
              </w:rPr>
              <w:t>2005-2007</w:t>
            </w:r>
          </w:p>
        </w:tc>
        <w:tc>
          <w:tcPr>
            <w:tcW w:w="4021" w:type="dxa"/>
            <w:tcBorders>
              <w:bottom w:val="single" w:sz="12" w:space="0" w:color="auto"/>
            </w:tcBorders>
            <w:shd w:val="clear" w:color="auto" w:fill="auto"/>
            <w:vAlign w:val="bottom"/>
          </w:tcPr>
          <w:p w:rsidR="001771B8" w:rsidRPr="00262910" w:rsidRDefault="001771B8" w:rsidP="005961CC">
            <w:pPr>
              <w:pStyle w:val="SingleTxtG"/>
              <w:suppressAutoHyphens w:val="0"/>
              <w:spacing w:before="30" w:after="30" w:line="220" w:lineRule="exact"/>
              <w:ind w:left="0" w:right="0"/>
              <w:jc w:val="right"/>
              <w:rPr>
                <w:sz w:val="18"/>
                <w:lang w:val="fr-FR"/>
              </w:rPr>
            </w:pPr>
            <w:r w:rsidRPr="00262910">
              <w:rPr>
                <w:sz w:val="18"/>
                <w:lang w:val="fr-FR"/>
              </w:rPr>
              <w:t>8</w:t>
            </w:r>
            <w:r>
              <w:rPr>
                <w:sz w:val="18"/>
                <w:lang w:val="fr-FR"/>
              </w:rPr>
              <w:t>,</w:t>
            </w:r>
            <w:r w:rsidRPr="00262910">
              <w:rPr>
                <w:sz w:val="18"/>
                <w:lang w:val="fr-FR"/>
              </w:rPr>
              <w:t>1</w:t>
            </w:r>
          </w:p>
        </w:tc>
      </w:tr>
    </w:tbl>
    <w:p w:rsidR="001771B8" w:rsidRPr="00262910" w:rsidRDefault="001771B8" w:rsidP="00CC69B2">
      <w:pPr>
        <w:pStyle w:val="H1G"/>
        <w:rPr>
          <w:lang w:val="fr-FR"/>
        </w:rPr>
      </w:pPr>
      <w:r w:rsidRPr="00262910">
        <w:rPr>
          <w:lang w:val="fr-FR"/>
        </w:rPr>
        <w:tab/>
      </w:r>
      <w:r w:rsidRPr="00262910">
        <w:rPr>
          <w:lang w:val="fr-FR"/>
        </w:rPr>
        <w:tab/>
      </w:r>
      <w:r w:rsidRPr="00C03D20">
        <w:rPr>
          <w:lang w:val="fr-FR"/>
        </w:rPr>
        <w:t>Réponse au paragraphe</w:t>
      </w:r>
      <w:r w:rsidRPr="00262910">
        <w:rPr>
          <w:lang w:val="fr-FR"/>
        </w:rPr>
        <w:t xml:space="preserve"> 10 b) de la liste de points</w:t>
      </w:r>
    </w:p>
    <w:p w:rsidR="001771B8" w:rsidRPr="00262910" w:rsidRDefault="001771B8" w:rsidP="001771B8">
      <w:pPr>
        <w:pStyle w:val="SingleTxtG"/>
        <w:rPr>
          <w:lang w:val="fr-FR"/>
        </w:rPr>
      </w:pPr>
      <w:r w:rsidRPr="00262910">
        <w:rPr>
          <w:lang w:val="fr-FR"/>
        </w:rPr>
        <w:t>73.</w:t>
      </w:r>
      <w:r w:rsidRPr="00262910">
        <w:rPr>
          <w:lang w:val="fr-FR"/>
        </w:rPr>
        <w:tab/>
        <w:t>Part des recettes publiques financée par l</w:t>
      </w:r>
      <w:r>
        <w:rPr>
          <w:lang w:val="fr-FR"/>
        </w:rPr>
        <w:t>’</w:t>
      </w:r>
      <w:r w:rsidRPr="00262910">
        <w:rPr>
          <w:lang w:val="fr-FR"/>
        </w:rPr>
        <w:t>impôt</w:t>
      </w:r>
      <w:r w:rsidR="00CC69B2">
        <w:rPr>
          <w:lang w:val="fr-FR"/>
        </w:rPr>
        <w:t> </w:t>
      </w:r>
      <w:r w:rsidRPr="00262910">
        <w:rPr>
          <w:lang w:val="fr-FR"/>
        </w:rPr>
        <w:t xml:space="preserve">: </w:t>
      </w:r>
    </w:p>
    <w:tbl>
      <w:tblPr>
        <w:tblW w:w="9639" w:type="dxa"/>
        <w:tblLayout w:type="fixed"/>
        <w:tblCellMar>
          <w:left w:w="0" w:type="dxa"/>
          <w:right w:w="0" w:type="dxa"/>
        </w:tblCellMar>
        <w:tblLook w:val="04A0" w:firstRow="1" w:lastRow="0" w:firstColumn="1" w:lastColumn="0" w:noHBand="0" w:noVBand="1"/>
      </w:tblPr>
      <w:tblGrid>
        <w:gridCol w:w="2123"/>
        <w:gridCol w:w="622"/>
        <w:gridCol w:w="622"/>
        <w:gridCol w:w="622"/>
        <w:gridCol w:w="622"/>
        <w:gridCol w:w="622"/>
        <w:gridCol w:w="622"/>
        <w:gridCol w:w="622"/>
        <w:gridCol w:w="622"/>
        <w:gridCol w:w="622"/>
        <w:gridCol w:w="622"/>
        <w:gridCol w:w="622"/>
        <w:gridCol w:w="674"/>
      </w:tblGrid>
      <w:tr w:rsidR="00FB1FD8" w:rsidRPr="00262910" w:rsidTr="007D0900">
        <w:trPr>
          <w:tblHeader/>
        </w:trPr>
        <w:tc>
          <w:tcPr>
            <w:tcW w:w="2325" w:type="dxa"/>
            <w:tcBorders>
              <w:top w:val="single" w:sz="4" w:space="0" w:color="auto"/>
              <w:bottom w:val="single" w:sz="12" w:space="0" w:color="auto"/>
            </w:tcBorders>
            <w:shd w:val="clear" w:color="auto" w:fill="auto"/>
            <w:noWrap/>
            <w:vAlign w:val="bottom"/>
            <w:hideMark/>
          </w:tcPr>
          <w:p w:rsidR="001771B8" w:rsidRPr="00262910" w:rsidRDefault="001771B8" w:rsidP="003D5858">
            <w:pPr>
              <w:pStyle w:val="SingleTxtG"/>
              <w:suppressAutoHyphens w:val="0"/>
              <w:spacing w:before="80" w:after="80" w:line="200" w:lineRule="exact"/>
              <w:ind w:left="0" w:right="0"/>
              <w:jc w:val="left"/>
              <w:rPr>
                <w:i/>
                <w:iCs/>
                <w:sz w:val="16"/>
                <w:lang w:val="fr-FR"/>
              </w:rPr>
            </w:pPr>
            <w:r>
              <w:rPr>
                <w:i/>
                <w:iCs/>
                <w:sz w:val="16"/>
                <w:lang w:val="fr-FR"/>
              </w:rPr>
              <w:t xml:space="preserve">Montant nominal en milliards </w:t>
            </w:r>
            <w:r w:rsidR="00FB53CF">
              <w:rPr>
                <w:i/>
                <w:iCs/>
                <w:sz w:val="16"/>
                <w:lang w:val="fr-FR"/>
              </w:rPr>
              <w:br/>
            </w:r>
            <w:r w:rsidRPr="003D5858">
              <w:rPr>
                <w:i/>
                <w:iCs/>
                <w:sz w:val="16"/>
                <w:lang w:val="fr-FR"/>
              </w:rPr>
              <w:t xml:space="preserve">de </w:t>
            </w:r>
            <w:bookmarkStart w:id="4" w:name="_Hlk31701458"/>
            <w:r w:rsidR="004F38E7" w:rsidRPr="003D5858">
              <w:rPr>
                <w:i/>
                <w:iCs/>
                <w:sz w:val="16"/>
                <w:lang w:val="fr-FR"/>
              </w:rPr>
              <w:t>NKr</w:t>
            </w:r>
            <w:bookmarkEnd w:id="4"/>
          </w:p>
        </w:tc>
        <w:tc>
          <w:tcPr>
            <w:tcW w:w="680" w:type="dxa"/>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2008</w:t>
            </w:r>
          </w:p>
        </w:tc>
        <w:tc>
          <w:tcPr>
            <w:tcW w:w="680" w:type="dxa"/>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2009</w:t>
            </w:r>
          </w:p>
        </w:tc>
        <w:tc>
          <w:tcPr>
            <w:tcW w:w="680" w:type="dxa"/>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2010</w:t>
            </w:r>
          </w:p>
        </w:tc>
        <w:tc>
          <w:tcPr>
            <w:tcW w:w="680" w:type="dxa"/>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2011</w:t>
            </w:r>
          </w:p>
        </w:tc>
        <w:tc>
          <w:tcPr>
            <w:tcW w:w="680" w:type="dxa"/>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2012</w:t>
            </w:r>
          </w:p>
        </w:tc>
        <w:tc>
          <w:tcPr>
            <w:tcW w:w="680" w:type="dxa"/>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2013</w:t>
            </w:r>
          </w:p>
        </w:tc>
        <w:tc>
          <w:tcPr>
            <w:tcW w:w="680" w:type="dxa"/>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2014</w:t>
            </w:r>
          </w:p>
        </w:tc>
        <w:tc>
          <w:tcPr>
            <w:tcW w:w="680" w:type="dxa"/>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2015</w:t>
            </w:r>
          </w:p>
        </w:tc>
        <w:tc>
          <w:tcPr>
            <w:tcW w:w="680" w:type="dxa"/>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2016</w:t>
            </w:r>
          </w:p>
        </w:tc>
        <w:tc>
          <w:tcPr>
            <w:tcW w:w="680" w:type="dxa"/>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2017</w:t>
            </w:r>
          </w:p>
        </w:tc>
        <w:tc>
          <w:tcPr>
            <w:tcW w:w="680" w:type="dxa"/>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2018</w:t>
            </w:r>
          </w:p>
        </w:tc>
        <w:tc>
          <w:tcPr>
            <w:tcW w:w="737" w:type="dxa"/>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Moyenne</w:t>
            </w:r>
          </w:p>
        </w:tc>
      </w:tr>
      <w:tr w:rsidR="00FB1FD8" w:rsidRPr="00262910" w:rsidTr="007D0900">
        <w:tc>
          <w:tcPr>
            <w:tcW w:w="2325" w:type="dxa"/>
            <w:tcBorders>
              <w:top w:val="single" w:sz="12" w:space="0" w:color="auto"/>
            </w:tcBorders>
            <w:shd w:val="clear" w:color="auto" w:fill="auto"/>
            <w:noWrap/>
            <w:hideMark/>
          </w:tcPr>
          <w:p w:rsidR="001771B8" w:rsidRPr="00262910" w:rsidRDefault="001771B8" w:rsidP="001771B8">
            <w:pPr>
              <w:pStyle w:val="SingleTxtG"/>
              <w:suppressAutoHyphens w:val="0"/>
              <w:spacing w:before="40" w:after="40" w:line="220" w:lineRule="exact"/>
              <w:ind w:left="0" w:right="0"/>
              <w:jc w:val="left"/>
              <w:rPr>
                <w:sz w:val="18"/>
                <w:lang w:val="fr-FR"/>
              </w:rPr>
            </w:pPr>
            <w:r w:rsidRPr="007229E6">
              <w:rPr>
                <w:sz w:val="18"/>
                <w:lang w:val="fr-FR"/>
              </w:rPr>
              <w:t>Recettes hors pétrole</w:t>
            </w:r>
          </w:p>
        </w:tc>
        <w:tc>
          <w:tcPr>
            <w:tcW w:w="680" w:type="dxa"/>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744</w:t>
            </w:r>
            <w:r>
              <w:rPr>
                <w:sz w:val="18"/>
                <w:lang w:val="fr-FR"/>
              </w:rPr>
              <w:t>,</w:t>
            </w:r>
            <w:r w:rsidRPr="00262910">
              <w:rPr>
                <w:sz w:val="18"/>
                <w:lang w:val="fr-FR"/>
              </w:rPr>
              <w:t>9</w:t>
            </w:r>
          </w:p>
        </w:tc>
        <w:tc>
          <w:tcPr>
            <w:tcW w:w="680" w:type="dxa"/>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747</w:t>
            </w:r>
            <w:r>
              <w:rPr>
                <w:sz w:val="18"/>
                <w:lang w:val="fr-FR"/>
              </w:rPr>
              <w:t>,</w:t>
            </w:r>
            <w:r w:rsidRPr="00262910">
              <w:rPr>
                <w:sz w:val="18"/>
                <w:lang w:val="fr-FR"/>
              </w:rPr>
              <w:t>4</w:t>
            </w:r>
          </w:p>
        </w:tc>
        <w:tc>
          <w:tcPr>
            <w:tcW w:w="680" w:type="dxa"/>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768</w:t>
            </w:r>
            <w:r>
              <w:rPr>
                <w:sz w:val="18"/>
                <w:lang w:val="fr-FR"/>
              </w:rPr>
              <w:t>,</w:t>
            </w:r>
            <w:r w:rsidRPr="00262910">
              <w:rPr>
                <w:sz w:val="18"/>
                <w:lang w:val="fr-FR"/>
              </w:rPr>
              <w:t>7</w:t>
            </w:r>
          </w:p>
        </w:tc>
        <w:tc>
          <w:tcPr>
            <w:tcW w:w="680" w:type="dxa"/>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851</w:t>
            </w:r>
            <w:r>
              <w:rPr>
                <w:sz w:val="18"/>
                <w:lang w:val="fr-FR"/>
              </w:rPr>
              <w:t>,</w:t>
            </w:r>
            <w:r w:rsidRPr="00262910">
              <w:rPr>
                <w:sz w:val="18"/>
                <w:lang w:val="fr-FR"/>
              </w:rPr>
              <w:t>3</w:t>
            </w:r>
          </w:p>
        </w:tc>
        <w:tc>
          <w:tcPr>
            <w:tcW w:w="680" w:type="dxa"/>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869</w:t>
            </w:r>
            <w:r>
              <w:rPr>
                <w:sz w:val="18"/>
                <w:lang w:val="fr-FR"/>
              </w:rPr>
              <w:t>,</w:t>
            </w:r>
            <w:r w:rsidRPr="00262910">
              <w:rPr>
                <w:sz w:val="18"/>
                <w:lang w:val="fr-FR"/>
              </w:rPr>
              <w:t>6</w:t>
            </w:r>
          </w:p>
        </w:tc>
        <w:tc>
          <w:tcPr>
            <w:tcW w:w="680" w:type="dxa"/>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913</w:t>
            </w:r>
            <w:r>
              <w:rPr>
                <w:sz w:val="18"/>
                <w:lang w:val="fr-FR"/>
              </w:rPr>
              <w:t>,</w:t>
            </w:r>
            <w:r w:rsidRPr="00262910">
              <w:rPr>
                <w:sz w:val="18"/>
                <w:lang w:val="fr-FR"/>
              </w:rPr>
              <w:t>1</w:t>
            </w:r>
          </w:p>
        </w:tc>
        <w:tc>
          <w:tcPr>
            <w:tcW w:w="680" w:type="dxa"/>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931</w:t>
            </w:r>
            <w:r>
              <w:rPr>
                <w:sz w:val="18"/>
                <w:lang w:val="fr-FR"/>
              </w:rPr>
              <w:t>,</w:t>
            </w:r>
            <w:r w:rsidRPr="00262910">
              <w:rPr>
                <w:sz w:val="18"/>
                <w:lang w:val="fr-FR"/>
              </w:rPr>
              <w:t>7</w:t>
            </w:r>
          </w:p>
        </w:tc>
        <w:tc>
          <w:tcPr>
            <w:tcW w:w="680" w:type="dxa"/>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980</w:t>
            </w:r>
            <w:r>
              <w:rPr>
                <w:sz w:val="18"/>
                <w:lang w:val="fr-FR"/>
              </w:rPr>
              <w:t>,</w:t>
            </w:r>
            <w:r w:rsidRPr="00262910">
              <w:rPr>
                <w:sz w:val="18"/>
                <w:lang w:val="fr-FR"/>
              </w:rPr>
              <w:t>2</w:t>
            </w:r>
          </w:p>
        </w:tc>
        <w:tc>
          <w:tcPr>
            <w:tcW w:w="680" w:type="dxa"/>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r w:rsidR="007D0900">
              <w:rPr>
                <w:sz w:val="18"/>
                <w:lang w:val="fr-FR"/>
              </w:rPr>
              <w:t> </w:t>
            </w:r>
            <w:r w:rsidRPr="00262910">
              <w:rPr>
                <w:sz w:val="18"/>
                <w:lang w:val="fr-FR"/>
              </w:rPr>
              <w:t>009</w:t>
            </w:r>
            <w:r>
              <w:rPr>
                <w:sz w:val="18"/>
                <w:lang w:val="fr-FR"/>
              </w:rPr>
              <w:t>,</w:t>
            </w:r>
            <w:r w:rsidRPr="00262910">
              <w:rPr>
                <w:sz w:val="18"/>
                <w:lang w:val="fr-FR"/>
              </w:rPr>
              <w:t>9</w:t>
            </w:r>
          </w:p>
        </w:tc>
        <w:tc>
          <w:tcPr>
            <w:tcW w:w="680" w:type="dxa"/>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r w:rsidR="007D0900">
              <w:rPr>
                <w:sz w:val="18"/>
                <w:lang w:val="fr-FR"/>
              </w:rPr>
              <w:t> </w:t>
            </w:r>
            <w:r w:rsidRPr="00262910">
              <w:rPr>
                <w:sz w:val="18"/>
                <w:lang w:val="fr-FR"/>
              </w:rPr>
              <w:t>031</w:t>
            </w:r>
            <w:r>
              <w:rPr>
                <w:sz w:val="18"/>
                <w:lang w:val="fr-FR"/>
              </w:rPr>
              <w:t>,</w:t>
            </w:r>
            <w:r w:rsidRPr="00262910">
              <w:rPr>
                <w:sz w:val="18"/>
                <w:lang w:val="fr-FR"/>
              </w:rPr>
              <w:t>5</w:t>
            </w:r>
          </w:p>
        </w:tc>
        <w:tc>
          <w:tcPr>
            <w:tcW w:w="680" w:type="dxa"/>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r w:rsidR="00FB1FD8">
              <w:rPr>
                <w:sz w:val="18"/>
                <w:lang w:val="fr-FR"/>
              </w:rPr>
              <w:t xml:space="preserve"> </w:t>
            </w:r>
            <w:r w:rsidRPr="00262910">
              <w:rPr>
                <w:sz w:val="18"/>
                <w:lang w:val="fr-FR"/>
              </w:rPr>
              <w:t>077</w:t>
            </w:r>
            <w:r>
              <w:rPr>
                <w:sz w:val="18"/>
                <w:lang w:val="fr-FR"/>
              </w:rPr>
              <w:t>,</w:t>
            </w:r>
            <w:r w:rsidRPr="00262910">
              <w:rPr>
                <w:sz w:val="18"/>
                <w:lang w:val="fr-FR"/>
              </w:rPr>
              <w:t>1</w:t>
            </w:r>
          </w:p>
        </w:tc>
        <w:tc>
          <w:tcPr>
            <w:tcW w:w="737" w:type="dxa"/>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r>
      <w:tr w:rsidR="00FB1FD8" w:rsidRPr="00262910" w:rsidTr="007D0900">
        <w:tc>
          <w:tcPr>
            <w:tcW w:w="2325" w:type="dxa"/>
            <w:shd w:val="clear" w:color="auto" w:fill="auto"/>
            <w:noWrap/>
            <w:hideMark/>
          </w:tcPr>
          <w:p w:rsidR="001771B8" w:rsidRPr="00262910" w:rsidRDefault="001771B8" w:rsidP="001771B8">
            <w:pPr>
              <w:pStyle w:val="SingleTxtG"/>
              <w:suppressAutoHyphens w:val="0"/>
              <w:spacing w:before="40" w:after="40" w:line="220" w:lineRule="exact"/>
              <w:ind w:left="0" w:right="0"/>
              <w:jc w:val="left"/>
              <w:rPr>
                <w:sz w:val="18"/>
                <w:lang w:val="fr-FR"/>
              </w:rPr>
            </w:pPr>
            <w:r w:rsidRPr="00291ED1">
              <w:rPr>
                <w:sz w:val="18"/>
                <w:lang w:val="fr-FR"/>
              </w:rPr>
              <w:t xml:space="preserve">Recettes fiscales </w:t>
            </w:r>
            <w:r>
              <w:rPr>
                <w:sz w:val="18"/>
                <w:lang w:val="fr-FR"/>
              </w:rPr>
              <w:t>hors pétrole</w:t>
            </w:r>
          </w:p>
        </w:tc>
        <w:tc>
          <w:tcPr>
            <w:tcW w:w="680"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680</w:t>
            </w:r>
            <w:r>
              <w:rPr>
                <w:sz w:val="18"/>
                <w:lang w:val="fr-FR"/>
              </w:rPr>
              <w:t>,</w:t>
            </w:r>
            <w:r w:rsidRPr="00262910">
              <w:rPr>
                <w:sz w:val="18"/>
                <w:lang w:val="fr-FR"/>
              </w:rPr>
              <w:t>4</w:t>
            </w:r>
          </w:p>
        </w:tc>
        <w:tc>
          <w:tcPr>
            <w:tcW w:w="680"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684</w:t>
            </w:r>
            <w:r>
              <w:rPr>
                <w:sz w:val="18"/>
                <w:lang w:val="fr-FR"/>
              </w:rPr>
              <w:t>,</w:t>
            </w:r>
            <w:r w:rsidRPr="00262910">
              <w:rPr>
                <w:sz w:val="18"/>
                <w:lang w:val="fr-FR"/>
              </w:rPr>
              <w:t>7</w:t>
            </w:r>
          </w:p>
        </w:tc>
        <w:tc>
          <w:tcPr>
            <w:tcW w:w="680"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713</w:t>
            </w:r>
            <w:r>
              <w:rPr>
                <w:sz w:val="18"/>
                <w:lang w:val="fr-FR"/>
              </w:rPr>
              <w:t>,</w:t>
            </w:r>
            <w:r w:rsidRPr="00262910">
              <w:rPr>
                <w:sz w:val="18"/>
                <w:lang w:val="fr-FR"/>
              </w:rPr>
              <w:t>5</w:t>
            </w:r>
          </w:p>
        </w:tc>
        <w:tc>
          <w:tcPr>
            <w:tcW w:w="680"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777</w:t>
            </w:r>
            <w:r>
              <w:rPr>
                <w:sz w:val="18"/>
                <w:lang w:val="fr-FR"/>
              </w:rPr>
              <w:t>,</w:t>
            </w:r>
            <w:r w:rsidRPr="00262910">
              <w:rPr>
                <w:sz w:val="18"/>
                <w:lang w:val="fr-FR"/>
              </w:rPr>
              <w:t>5</w:t>
            </w:r>
          </w:p>
        </w:tc>
        <w:tc>
          <w:tcPr>
            <w:tcW w:w="680"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807</w:t>
            </w:r>
            <w:r>
              <w:rPr>
                <w:sz w:val="18"/>
                <w:lang w:val="fr-FR"/>
              </w:rPr>
              <w:t>,</w:t>
            </w:r>
            <w:r w:rsidRPr="00262910">
              <w:rPr>
                <w:sz w:val="18"/>
                <w:lang w:val="fr-FR"/>
              </w:rPr>
              <w:t>4</w:t>
            </w:r>
          </w:p>
        </w:tc>
        <w:tc>
          <w:tcPr>
            <w:tcW w:w="680"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849</w:t>
            </w:r>
          </w:p>
        </w:tc>
        <w:tc>
          <w:tcPr>
            <w:tcW w:w="680"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868</w:t>
            </w:r>
            <w:r>
              <w:rPr>
                <w:sz w:val="18"/>
                <w:lang w:val="fr-FR"/>
              </w:rPr>
              <w:t>,</w:t>
            </w:r>
            <w:r w:rsidRPr="00262910">
              <w:rPr>
                <w:sz w:val="18"/>
                <w:lang w:val="fr-FR"/>
              </w:rPr>
              <w:t>2</w:t>
            </w:r>
          </w:p>
        </w:tc>
        <w:tc>
          <w:tcPr>
            <w:tcW w:w="680"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892</w:t>
            </w:r>
            <w:r>
              <w:rPr>
                <w:sz w:val="18"/>
                <w:lang w:val="fr-FR"/>
              </w:rPr>
              <w:t>,</w:t>
            </w:r>
            <w:r w:rsidRPr="00262910">
              <w:rPr>
                <w:sz w:val="18"/>
                <w:lang w:val="fr-FR"/>
              </w:rPr>
              <w:t>6</w:t>
            </w:r>
          </w:p>
        </w:tc>
        <w:tc>
          <w:tcPr>
            <w:tcW w:w="680"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916</w:t>
            </w:r>
            <w:r>
              <w:rPr>
                <w:sz w:val="18"/>
                <w:lang w:val="fr-FR"/>
              </w:rPr>
              <w:t>,</w:t>
            </w:r>
            <w:r w:rsidRPr="00262910">
              <w:rPr>
                <w:sz w:val="18"/>
                <w:lang w:val="fr-FR"/>
              </w:rPr>
              <w:t>8</w:t>
            </w:r>
          </w:p>
        </w:tc>
        <w:tc>
          <w:tcPr>
            <w:tcW w:w="680"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943</w:t>
            </w:r>
            <w:r>
              <w:rPr>
                <w:sz w:val="18"/>
                <w:lang w:val="fr-FR"/>
              </w:rPr>
              <w:t>,</w:t>
            </w:r>
            <w:r w:rsidRPr="00262910">
              <w:rPr>
                <w:sz w:val="18"/>
                <w:lang w:val="fr-FR"/>
              </w:rPr>
              <w:t>6</w:t>
            </w:r>
          </w:p>
        </w:tc>
        <w:tc>
          <w:tcPr>
            <w:tcW w:w="680"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986</w:t>
            </w:r>
            <w:r>
              <w:rPr>
                <w:sz w:val="18"/>
                <w:lang w:val="fr-FR"/>
              </w:rPr>
              <w:t>,</w:t>
            </w:r>
            <w:r w:rsidRPr="00262910">
              <w:rPr>
                <w:sz w:val="18"/>
                <w:lang w:val="fr-FR"/>
              </w:rPr>
              <w:t>4</w:t>
            </w:r>
          </w:p>
        </w:tc>
        <w:tc>
          <w:tcPr>
            <w:tcW w:w="737"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 xml:space="preserve"> </w:t>
            </w:r>
          </w:p>
        </w:tc>
      </w:tr>
      <w:tr w:rsidR="00FB1FD8" w:rsidRPr="00262910" w:rsidTr="007D0900">
        <w:tc>
          <w:tcPr>
            <w:tcW w:w="2325" w:type="dxa"/>
            <w:tcBorders>
              <w:bottom w:val="single" w:sz="12" w:space="0" w:color="auto"/>
            </w:tcBorders>
            <w:shd w:val="clear" w:color="auto" w:fill="auto"/>
            <w:noWrap/>
            <w:hideMark/>
          </w:tcPr>
          <w:p w:rsidR="001771B8" w:rsidRPr="00262910" w:rsidRDefault="001771B8" w:rsidP="001771B8">
            <w:pPr>
              <w:pStyle w:val="SingleTxtG"/>
              <w:suppressAutoHyphens w:val="0"/>
              <w:spacing w:before="40" w:after="40" w:line="220" w:lineRule="exact"/>
              <w:ind w:left="0" w:right="0"/>
              <w:jc w:val="left"/>
              <w:rPr>
                <w:bCs/>
                <w:sz w:val="18"/>
                <w:lang w:val="fr-FR"/>
              </w:rPr>
            </w:pPr>
            <w:r>
              <w:rPr>
                <w:bCs/>
                <w:sz w:val="18"/>
                <w:lang w:val="fr-FR"/>
              </w:rPr>
              <w:t>Recettes fiscales hors pétrole e</w:t>
            </w:r>
            <w:r w:rsidRPr="00262910">
              <w:rPr>
                <w:bCs/>
                <w:sz w:val="18"/>
                <w:lang w:val="fr-FR"/>
              </w:rPr>
              <w:t>n pourcentage d</w:t>
            </w:r>
            <w:r>
              <w:rPr>
                <w:bCs/>
                <w:sz w:val="18"/>
                <w:lang w:val="fr-FR"/>
              </w:rPr>
              <w:t xml:space="preserve">es </w:t>
            </w:r>
            <w:r w:rsidRPr="00262910">
              <w:rPr>
                <w:bCs/>
                <w:sz w:val="18"/>
                <w:lang w:val="fr-FR"/>
              </w:rPr>
              <w:t>re</w:t>
            </w:r>
            <w:r>
              <w:rPr>
                <w:bCs/>
                <w:sz w:val="18"/>
                <w:lang w:val="fr-FR"/>
              </w:rPr>
              <w:t xml:space="preserve">cettes </w:t>
            </w:r>
            <w:r w:rsidRPr="00262910">
              <w:rPr>
                <w:bCs/>
                <w:sz w:val="18"/>
                <w:lang w:val="fr-FR"/>
              </w:rPr>
              <w:t xml:space="preserve">hors </w:t>
            </w:r>
            <w:r>
              <w:rPr>
                <w:bCs/>
                <w:sz w:val="18"/>
                <w:lang w:val="fr-FR"/>
              </w:rPr>
              <w:t>p</w:t>
            </w:r>
            <w:r w:rsidRPr="00262910">
              <w:rPr>
                <w:bCs/>
                <w:sz w:val="18"/>
                <w:lang w:val="fr-FR"/>
              </w:rPr>
              <w:t>étrol</w:t>
            </w:r>
            <w:r>
              <w:rPr>
                <w:bCs/>
                <w:sz w:val="18"/>
                <w:lang w:val="fr-FR"/>
              </w:rPr>
              <w:t>e</w:t>
            </w:r>
          </w:p>
        </w:tc>
        <w:tc>
          <w:tcPr>
            <w:tcW w:w="680" w:type="dxa"/>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91</w:t>
            </w:r>
          </w:p>
        </w:tc>
        <w:tc>
          <w:tcPr>
            <w:tcW w:w="680" w:type="dxa"/>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92</w:t>
            </w:r>
          </w:p>
        </w:tc>
        <w:tc>
          <w:tcPr>
            <w:tcW w:w="680" w:type="dxa"/>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93</w:t>
            </w:r>
          </w:p>
        </w:tc>
        <w:tc>
          <w:tcPr>
            <w:tcW w:w="680" w:type="dxa"/>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after="0" w:line="220" w:lineRule="exact"/>
              <w:ind w:right="0" w:firstLine="170"/>
              <w:jc w:val="right"/>
              <w:rPr>
                <w:sz w:val="18"/>
                <w:lang w:val="fr-FR"/>
              </w:rPr>
            </w:pPr>
            <w:r w:rsidRPr="00262910">
              <w:rPr>
                <w:sz w:val="18"/>
                <w:lang w:val="fr-FR"/>
              </w:rPr>
              <w:t>91</w:t>
            </w:r>
          </w:p>
        </w:tc>
        <w:tc>
          <w:tcPr>
            <w:tcW w:w="680" w:type="dxa"/>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93</w:t>
            </w:r>
          </w:p>
        </w:tc>
        <w:tc>
          <w:tcPr>
            <w:tcW w:w="680" w:type="dxa"/>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93</w:t>
            </w:r>
          </w:p>
        </w:tc>
        <w:tc>
          <w:tcPr>
            <w:tcW w:w="680" w:type="dxa"/>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93</w:t>
            </w:r>
          </w:p>
        </w:tc>
        <w:tc>
          <w:tcPr>
            <w:tcW w:w="680" w:type="dxa"/>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91</w:t>
            </w:r>
          </w:p>
        </w:tc>
        <w:tc>
          <w:tcPr>
            <w:tcW w:w="680" w:type="dxa"/>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91</w:t>
            </w:r>
          </w:p>
        </w:tc>
        <w:tc>
          <w:tcPr>
            <w:tcW w:w="680" w:type="dxa"/>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91</w:t>
            </w:r>
          </w:p>
        </w:tc>
        <w:tc>
          <w:tcPr>
            <w:tcW w:w="680" w:type="dxa"/>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92</w:t>
            </w:r>
          </w:p>
        </w:tc>
        <w:tc>
          <w:tcPr>
            <w:tcW w:w="737" w:type="dxa"/>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92</w:t>
            </w:r>
          </w:p>
        </w:tc>
      </w:tr>
    </w:tbl>
    <w:p w:rsidR="001771B8" w:rsidRPr="00262910" w:rsidRDefault="001771B8" w:rsidP="00FB53CF">
      <w:pPr>
        <w:pStyle w:val="H1G"/>
        <w:rPr>
          <w:lang w:val="fr-FR"/>
        </w:rPr>
      </w:pPr>
      <w:r w:rsidRPr="00262910">
        <w:rPr>
          <w:lang w:val="fr-FR"/>
        </w:rPr>
        <w:tab/>
      </w:r>
      <w:r w:rsidRPr="00262910">
        <w:rPr>
          <w:lang w:val="fr-FR"/>
        </w:rPr>
        <w:tab/>
      </w:r>
      <w:r w:rsidRPr="007D6031">
        <w:rPr>
          <w:lang w:val="fr-FR"/>
        </w:rPr>
        <w:t>Réponse au paragraphe</w:t>
      </w:r>
      <w:r w:rsidRPr="00262910">
        <w:rPr>
          <w:lang w:val="fr-FR"/>
        </w:rPr>
        <w:t xml:space="preserve"> 10 c) de la liste de points</w:t>
      </w:r>
    </w:p>
    <w:p w:rsidR="001771B8" w:rsidRPr="00262910" w:rsidRDefault="001771B8" w:rsidP="001771B8">
      <w:pPr>
        <w:pStyle w:val="SingleTxtG"/>
        <w:rPr>
          <w:lang w:val="fr-FR"/>
        </w:rPr>
      </w:pPr>
      <w:r w:rsidRPr="00262910">
        <w:rPr>
          <w:lang w:val="fr-FR"/>
        </w:rPr>
        <w:t>74.</w:t>
      </w:r>
      <w:r w:rsidRPr="00262910">
        <w:rPr>
          <w:lang w:val="fr-FR"/>
        </w:rPr>
        <w:tab/>
        <w:t xml:space="preserve">Taux </w:t>
      </w:r>
      <w:r>
        <w:rPr>
          <w:lang w:val="fr-FR"/>
        </w:rPr>
        <w:t xml:space="preserve">de l’impôt sur les bénéfices des sociétés (IS) </w:t>
      </w:r>
      <w:r w:rsidRPr="00262910">
        <w:rPr>
          <w:lang w:val="fr-FR"/>
        </w:rPr>
        <w:t xml:space="preserve">et </w:t>
      </w:r>
      <w:r>
        <w:rPr>
          <w:lang w:val="fr-FR"/>
        </w:rPr>
        <w:t>t</w:t>
      </w:r>
      <w:r w:rsidRPr="00262910">
        <w:rPr>
          <w:lang w:val="fr-FR"/>
        </w:rPr>
        <w:t xml:space="preserve">aux </w:t>
      </w:r>
      <w:r>
        <w:rPr>
          <w:lang w:val="fr-FR"/>
        </w:rPr>
        <w:t>de l’</w:t>
      </w:r>
      <w:r w:rsidRPr="00262910">
        <w:rPr>
          <w:lang w:val="fr-FR"/>
        </w:rPr>
        <w:t>imp</w:t>
      </w:r>
      <w:r>
        <w:rPr>
          <w:lang w:val="fr-FR"/>
        </w:rPr>
        <w:t xml:space="preserve">ôt sur le </w:t>
      </w:r>
      <w:r w:rsidRPr="00262910">
        <w:rPr>
          <w:lang w:val="fr-FR"/>
        </w:rPr>
        <w:t>revenu des p</w:t>
      </w:r>
      <w:r>
        <w:rPr>
          <w:lang w:val="fr-FR"/>
        </w:rPr>
        <w:t xml:space="preserve">ersonnes physiques (IRPP) ; </w:t>
      </w:r>
      <w:r w:rsidRPr="00262910">
        <w:rPr>
          <w:lang w:val="fr-FR"/>
        </w:rPr>
        <w:t xml:space="preserve">taux de </w:t>
      </w:r>
      <w:r>
        <w:rPr>
          <w:lang w:val="fr-FR"/>
        </w:rPr>
        <w:t xml:space="preserve">la taxe sur la valeur ajoutée (TVA) </w:t>
      </w:r>
      <w:r w:rsidRPr="00262910">
        <w:rPr>
          <w:lang w:val="fr-FR"/>
        </w:rPr>
        <w:t>(hors TVA sur les produits de luxe, le tabac, et l</w:t>
      </w:r>
      <w:r>
        <w:rPr>
          <w:lang w:val="fr-FR"/>
        </w:rPr>
        <w:t>’</w:t>
      </w:r>
      <w:r w:rsidRPr="00262910">
        <w:rPr>
          <w:lang w:val="fr-FR"/>
        </w:rPr>
        <w:t>alcool, ou les boissons sucrées/produits de grignotage, l</w:t>
      </w:r>
      <w:r>
        <w:rPr>
          <w:lang w:val="fr-FR"/>
        </w:rPr>
        <w:t>’</w:t>
      </w:r>
      <w:r w:rsidRPr="00262910">
        <w:rPr>
          <w:lang w:val="fr-FR"/>
        </w:rPr>
        <w:t>essence et le diesel)</w:t>
      </w:r>
      <w:r w:rsidR="00FB53CF">
        <w:rPr>
          <w:lang w:val="fr-FR"/>
        </w:rPr>
        <w:t> </w:t>
      </w:r>
      <w:r w:rsidRPr="00262910">
        <w:rPr>
          <w:lang w:val="fr-FR"/>
        </w:rPr>
        <w:t>; pourcentage des recettes totales provenant de l</w:t>
      </w:r>
      <w:r>
        <w:rPr>
          <w:lang w:val="fr-FR"/>
        </w:rPr>
        <w:t>’</w:t>
      </w:r>
      <w:r w:rsidRPr="00262910">
        <w:rPr>
          <w:lang w:val="fr-FR"/>
        </w:rPr>
        <w:t xml:space="preserve">impôt sur le revenu des personnes physiques </w:t>
      </w:r>
      <w:r>
        <w:rPr>
          <w:lang w:val="fr-FR"/>
        </w:rPr>
        <w:t xml:space="preserve">prélevé </w:t>
      </w:r>
      <w:r w:rsidRPr="00262910">
        <w:rPr>
          <w:lang w:val="fr-FR"/>
        </w:rPr>
        <w:t>sur le décile le plus riche de la population</w:t>
      </w:r>
      <w:r w:rsidR="005961CC">
        <w:rPr>
          <w:lang w:val="fr-FR"/>
        </w:rPr>
        <w:t> </w:t>
      </w:r>
      <w:r w:rsidRPr="00262910">
        <w:rPr>
          <w:lang w:val="fr-FR"/>
        </w:rPr>
        <w:t>:</w:t>
      </w:r>
    </w:p>
    <w:tbl>
      <w:tblPr>
        <w:tblW w:w="9639" w:type="dxa"/>
        <w:tblLayout w:type="fixed"/>
        <w:tblCellMar>
          <w:left w:w="0" w:type="dxa"/>
          <w:right w:w="0" w:type="dxa"/>
        </w:tblCellMar>
        <w:tblLook w:val="04A0" w:firstRow="1" w:lastRow="0" w:firstColumn="1" w:lastColumn="0" w:noHBand="0" w:noVBand="1"/>
      </w:tblPr>
      <w:tblGrid>
        <w:gridCol w:w="2220"/>
        <w:gridCol w:w="518"/>
        <w:gridCol w:w="521"/>
        <w:gridCol w:w="518"/>
        <w:gridCol w:w="522"/>
        <w:gridCol w:w="519"/>
        <w:gridCol w:w="521"/>
        <w:gridCol w:w="521"/>
        <w:gridCol w:w="519"/>
        <w:gridCol w:w="521"/>
        <w:gridCol w:w="519"/>
        <w:gridCol w:w="521"/>
        <w:gridCol w:w="519"/>
        <w:gridCol w:w="521"/>
        <w:gridCol w:w="659"/>
      </w:tblGrid>
      <w:tr w:rsidR="001771B8" w:rsidRPr="00262910" w:rsidTr="00FB53CF">
        <w:trPr>
          <w:tblHeader/>
        </w:trPr>
        <w:tc>
          <w:tcPr>
            <w:tcW w:w="1152" w:type="pct"/>
            <w:tcBorders>
              <w:top w:val="single" w:sz="4" w:space="0" w:color="auto"/>
              <w:bottom w:val="single" w:sz="12" w:space="0" w:color="auto"/>
            </w:tcBorders>
            <w:shd w:val="clear" w:color="auto" w:fill="auto"/>
            <w:noWrap/>
            <w:vAlign w:val="bottom"/>
            <w:hideMark/>
          </w:tcPr>
          <w:p w:rsidR="001771B8" w:rsidRPr="005961CC" w:rsidRDefault="001771B8" w:rsidP="001771B8">
            <w:pPr>
              <w:pStyle w:val="SingleTxtG"/>
              <w:suppressAutoHyphens w:val="0"/>
              <w:spacing w:before="80" w:after="80" w:line="200" w:lineRule="exact"/>
              <w:ind w:left="0" w:right="0"/>
              <w:jc w:val="left"/>
              <w:rPr>
                <w:bCs/>
                <w:i/>
                <w:sz w:val="16"/>
                <w:highlight w:val="magenta"/>
                <w:lang w:val="fr-FR"/>
              </w:rPr>
            </w:pPr>
          </w:p>
        </w:tc>
        <w:tc>
          <w:tcPr>
            <w:tcW w:w="269" w:type="pct"/>
            <w:tcBorders>
              <w:top w:val="single" w:sz="4" w:space="0" w:color="auto"/>
              <w:bottom w:val="single" w:sz="12" w:space="0" w:color="auto"/>
            </w:tcBorders>
            <w:shd w:val="clear" w:color="auto" w:fill="auto"/>
            <w:noWrap/>
            <w:vAlign w:val="bottom"/>
            <w:hideMark/>
          </w:tcPr>
          <w:p w:rsidR="001771B8" w:rsidRPr="00977AC3" w:rsidRDefault="001771B8" w:rsidP="001771B8">
            <w:pPr>
              <w:pStyle w:val="SingleTxtG"/>
              <w:suppressAutoHyphens w:val="0"/>
              <w:spacing w:before="80" w:after="80" w:line="200" w:lineRule="exact"/>
              <w:ind w:left="0" w:right="0"/>
              <w:jc w:val="right"/>
              <w:rPr>
                <w:bCs/>
                <w:i/>
                <w:sz w:val="16"/>
                <w:lang w:val="fr-FR"/>
              </w:rPr>
            </w:pPr>
            <w:r w:rsidRPr="00977AC3">
              <w:rPr>
                <w:bCs/>
                <w:i/>
                <w:sz w:val="16"/>
                <w:lang w:val="fr-FR"/>
              </w:rPr>
              <w:t>2007</w:t>
            </w:r>
          </w:p>
        </w:tc>
        <w:tc>
          <w:tcPr>
            <w:tcW w:w="271" w:type="pct"/>
            <w:tcBorders>
              <w:top w:val="single" w:sz="4" w:space="0" w:color="auto"/>
              <w:bottom w:val="single" w:sz="12" w:space="0" w:color="auto"/>
            </w:tcBorders>
            <w:shd w:val="clear" w:color="auto" w:fill="auto"/>
            <w:noWrap/>
            <w:vAlign w:val="bottom"/>
            <w:hideMark/>
          </w:tcPr>
          <w:p w:rsidR="001771B8" w:rsidRPr="00977AC3" w:rsidRDefault="001771B8" w:rsidP="001771B8">
            <w:pPr>
              <w:pStyle w:val="SingleTxtG"/>
              <w:suppressAutoHyphens w:val="0"/>
              <w:spacing w:before="80" w:after="80" w:line="200" w:lineRule="exact"/>
              <w:ind w:left="0" w:right="0"/>
              <w:jc w:val="right"/>
              <w:rPr>
                <w:bCs/>
                <w:i/>
                <w:sz w:val="16"/>
                <w:lang w:val="fr-FR"/>
              </w:rPr>
            </w:pPr>
            <w:r w:rsidRPr="00977AC3">
              <w:rPr>
                <w:bCs/>
                <w:i/>
                <w:sz w:val="16"/>
                <w:lang w:val="fr-FR"/>
              </w:rPr>
              <w:t>2008</w:t>
            </w:r>
          </w:p>
        </w:tc>
        <w:tc>
          <w:tcPr>
            <w:tcW w:w="269" w:type="pct"/>
            <w:tcBorders>
              <w:top w:val="single" w:sz="4" w:space="0" w:color="auto"/>
              <w:bottom w:val="single" w:sz="12" w:space="0" w:color="auto"/>
            </w:tcBorders>
            <w:shd w:val="clear" w:color="auto" w:fill="auto"/>
            <w:noWrap/>
            <w:vAlign w:val="bottom"/>
            <w:hideMark/>
          </w:tcPr>
          <w:p w:rsidR="001771B8" w:rsidRPr="00977AC3" w:rsidRDefault="001771B8" w:rsidP="001771B8">
            <w:pPr>
              <w:pStyle w:val="SingleTxtG"/>
              <w:suppressAutoHyphens w:val="0"/>
              <w:spacing w:before="80" w:after="80" w:line="200" w:lineRule="exact"/>
              <w:ind w:left="0" w:right="0"/>
              <w:jc w:val="right"/>
              <w:rPr>
                <w:bCs/>
                <w:i/>
                <w:sz w:val="16"/>
                <w:lang w:val="fr-FR"/>
              </w:rPr>
            </w:pPr>
            <w:r w:rsidRPr="00977AC3">
              <w:rPr>
                <w:bCs/>
                <w:i/>
                <w:sz w:val="16"/>
                <w:lang w:val="fr-FR"/>
              </w:rPr>
              <w:t>2009</w:t>
            </w:r>
          </w:p>
        </w:tc>
        <w:tc>
          <w:tcPr>
            <w:tcW w:w="271" w:type="pct"/>
            <w:tcBorders>
              <w:top w:val="single" w:sz="4" w:space="0" w:color="auto"/>
              <w:bottom w:val="single" w:sz="12" w:space="0" w:color="auto"/>
            </w:tcBorders>
            <w:shd w:val="clear" w:color="auto" w:fill="auto"/>
            <w:noWrap/>
            <w:vAlign w:val="bottom"/>
            <w:hideMark/>
          </w:tcPr>
          <w:p w:rsidR="001771B8" w:rsidRPr="00977AC3" w:rsidRDefault="001771B8" w:rsidP="001771B8">
            <w:pPr>
              <w:pStyle w:val="SingleTxtG"/>
              <w:suppressAutoHyphens w:val="0"/>
              <w:spacing w:before="80" w:after="80" w:line="200" w:lineRule="exact"/>
              <w:ind w:left="0" w:right="0"/>
              <w:jc w:val="right"/>
              <w:rPr>
                <w:bCs/>
                <w:i/>
                <w:sz w:val="16"/>
                <w:lang w:val="fr-FR"/>
              </w:rPr>
            </w:pPr>
            <w:r w:rsidRPr="00977AC3">
              <w:rPr>
                <w:bCs/>
                <w:i/>
                <w:sz w:val="16"/>
                <w:lang w:val="fr-FR"/>
              </w:rPr>
              <w:t>2010</w:t>
            </w:r>
          </w:p>
        </w:tc>
        <w:tc>
          <w:tcPr>
            <w:tcW w:w="269" w:type="pct"/>
            <w:tcBorders>
              <w:top w:val="single" w:sz="4" w:space="0" w:color="auto"/>
              <w:bottom w:val="single" w:sz="12" w:space="0" w:color="auto"/>
            </w:tcBorders>
            <w:shd w:val="clear" w:color="auto" w:fill="auto"/>
            <w:noWrap/>
            <w:vAlign w:val="bottom"/>
            <w:hideMark/>
          </w:tcPr>
          <w:p w:rsidR="001771B8" w:rsidRPr="00977AC3" w:rsidRDefault="001771B8" w:rsidP="001771B8">
            <w:pPr>
              <w:pStyle w:val="SingleTxtG"/>
              <w:suppressAutoHyphens w:val="0"/>
              <w:spacing w:before="80" w:after="80" w:line="200" w:lineRule="exact"/>
              <w:ind w:left="0" w:right="0"/>
              <w:jc w:val="right"/>
              <w:rPr>
                <w:bCs/>
                <w:i/>
                <w:sz w:val="16"/>
                <w:lang w:val="fr-FR"/>
              </w:rPr>
            </w:pPr>
            <w:r w:rsidRPr="00977AC3">
              <w:rPr>
                <w:bCs/>
                <w:i/>
                <w:sz w:val="16"/>
                <w:lang w:val="fr-FR"/>
              </w:rPr>
              <w:t>2011</w:t>
            </w:r>
          </w:p>
        </w:tc>
        <w:tc>
          <w:tcPr>
            <w:tcW w:w="270" w:type="pct"/>
            <w:tcBorders>
              <w:top w:val="single" w:sz="4" w:space="0" w:color="auto"/>
              <w:bottom w:val="single" w:sz="12" w:space="0" w:color="auto"/>
            </w:tcBorders>
            <w:shd w:val="clear" w:color="auto" w:fill="auto"/>
            <w:noWrap/>
            <w:vAlign w:val="bottom"/>
            <w:hideMark/>
          </w:tcPr>
          <w:p w:rsidR="001771B8" w:rsidRPr="00977AC3" w:rsidRDefault="001771B8" w:rsidP="001771B8">
            <w:pPr>
              <w:pStyle w:val="SingleTxtG"/>
              <w:suppressAutoHyphens w:val="0"/>
              <w:spacing w:before="80" w:after="80" w:line="200" w:lineRule="exact"/>
              <w:ind w:left="0" w:right="0"/>
              <w:jc w:val="right"/>
              <w:rPr>
                <w:bCs/>
                <w:i/>
                <w:sz w:val="16"/>
                <w:lang w:val="fr-FR"/>
              </w:rPr>
            </w:pPr>
            <w:r w:rsidRPr="00977AC3">
              <w:rPr>
                <w:bCs/>
                <w:i/>
                <w:sz w:val="16"/>
                <w:lang w:val="fr-FR"/>
              </w:rPr>
              <w:t>2012</w:t>
            </w:r>
          </w:p>
        </w:tc>
        <w:tc>
          <w:tcPr>
            <w:tcW w:w="270" w:type="pct"/>
            <w:tcBorders>
              <w:top w:val="single" w:sz="4" w:space="0" w:color="auto"/>
              <w:bottom w:val="single" w:sz="12" w:space="0" w:color="auto"/>
            </w:tcBorders>
            <w:shd w:val="clear" w:color="auto" w:fill="auto"/>
            <w:noWrap/>
            <w:vAlign w:val="bottom"/>
            <w:hideMark/>
          </w:tcPr>
          <w:p w:rsidR="001771B8" w:rsidRPr="00977AC3" w:rsidRDefault="001771B8" w:rsidP="001771B8">
            <w:pPr>
              <w:pStyle w:val="SingleTxtG"/>
              <w:suppressAutoHyphens w:val="0"/>
              <w:spacing w:before="80" w:after="80" w:line="200" w:lineRule="exact"/>
              <w:ind w:left="0" w:right="0"/>
              <w:jc w:val="right"/>
              <w:rPr>
                <w:bCs/>
                <w:i/>
                <w:sz w:val="16"/>
                <w:lang w:val="fr-FR"/>
              </w:rPr>
            </w:pPr>
            <w:r w:rsidRPr="00977AC3">
              <w:rPr>
                <w:bCs/>
                <w:i/>
                <w:sz w:val="16"/>
                <w:lang w:val="fr-FR"/>
              </w:rPr>
              <w:t>2013</w:t>
            </w:r>
          </w:p>
        </w:tc>
        <w:tc>
          <w:tcPr>
            <w:tcW w:w="269" w:type="pct"/>
            <w:tcBorders>
              <w:top w:val="single" w:sz="4" w:space="0" w:color="auto"/>
              <w:bottom w:val="single" w:sz="12" w:space="0" w:color="auto"/>
            </w:tcBorders>
            <w:shd w:val="clear" w:color="auto" w:fill="auto"/>
            <w:noWrap/>
            <w:vAlign w:val="bottom"/>
            <w:hideMark/>
          </w:tcPr>
          <w:p w:rsidR="001771B8" w:rsidRPr="00977AC3" w:rsidRDefault="001771B8" w:rsidP="001771B8">
            <w:pPr>
              <w:pStyle w:val="SingleTxtG"/>
              <w:suppressAutoHyphens w:val="0"/>
              <w:spacing w:before="80" w:after="80" w:line="200" w:lineRule="exact"/>
              <w:ind w:left="0" w:right="0"/>
              <w:jc w:val="right"/>
              <w:rPr>
                <w:bCs/>
                <w:i/>
                <w:sz w:val="16"/>
                <w:lang w:val="fr-FR"/>
              </w:rPr>
            </w:pPr>
            <w:r w:rsidRPr="00977AC3">
              <w:rPr>
                <w:bCs/>
                <w:i/>
                <w:sz w:val="16"/>
                <w:lang w:val="fr-FR"/>
              </w:rPr>
              <w:t>2014</w:t>
            </w:r>
          </w:p>
        </w:tc>
        <w:tc>
          <w:tcPr>
            <w:tcW w:w="270" w:type="pct"/>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2015</w:t>
            </w:r>
          </w:p>
        </w:tc>
        <w:tc>
          <w:tcPr>
            <w:tcW w:w="269" w:type="pct"/>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2016</w:t>
            </w:r>
          </w:p>
        </w:tc>
        <w:tc>
          <w:tcPr>
            <w:tcW w:w="270" w:type="pct"/>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2017</w:t>
            </w:r>
          </w:p>
        </w:tc>
        <w:tc>
          <w:tcPr>
            <w:tcW w:w="269" w:type="pct"/>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2018</w:t>
            </w:r>
          </w:p>
        </w:tc>
        <w:tc>
          <w:tcPr>
            <w:tcW w:w="270" w:type="pct"/>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2019</w:t>
            </w:r>
          </w:p>
        </w:tc>
        <w:tc>
          <w:tcPr>
            <w:tcW w:w="343" w:type="pct"/>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Moyenne</w:t>
            </w:r>
          </w:p>
        </w:tc>
      </w:tr>
      <w:tr w:rsidR="001771B8" w:rsidRPr="00262910" w:rsidTr="00FB53CF">
        <w:tc>
          <w:tcPr>
            <w:tcW w:w="1152" w:type="pct"/>
            <w:tcBorders>
              <w:top w:val="single" w:sz="12" w:space="0" w:color="auto"/>
            </w:tcBorders>
            <w:shd w:val="clear" w:color="auto" w:fill="auto"/>
            <w:noWrap/>
            <w:hideMark/>
          </w:tcPr>
          <w:p w:rsidR="001771B8" w:rsidRPr="00262910" w:rsidRDefault="001771B8" w:rsidP="001771B8">
            <w:pPr>
              <w:pStyle w:val="SingleTxtG"/>
              <w:suppressAutoHyphens w:val="0"/>
              <w:spacing w:before="40" w:after="40" w:line="220" w:lineRule="exact"/>
              <w:ind w:left="0" w:right="0"/>
              <w:jc w:val="left"/>
              <w:rPr>
                <w:bCs/>
                <w:sz w:val="18"/>
                <w:lang w:val="fr-FR"/>
              </w:rPr>
            </w:pPr>
            <w:r w:rsidRPr="00262910">
              <w:rPr>
                <w:bCs/>
                <w:sz w:val="18"/>
                <w:lang w:val="fr-FR"/>
              </w:rPr>
              <w:t>Taux de l</w:t>
            </w:r>
            <w:r>
              <w:rPr>
                <w:bCs/>
                <w:sz w:val="18"/>
                <w:lang w:val="fr-FR"/>
              </w:rPr>
              <w:t>’</w:t>
            </w:r>
            <w:r w:rsidRPr="00262910">
              <w:rPr>
                <w:bCs/>
                <w:sz w:val="18"/>
                <w:lang w:val="fr-FR"/>
              </w:rPr>
              <w:t>IS (%)</w:t>
            </w:r>
          </w:p>
        </w:tc>
        <w:tc>
          <w:tcPr>
            <w:tcW w:w="269" w:type="pct"/>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28</w:t>
            </w:r>
          </w:p>
        </w:tc>
        <w:tc>
          <w:tcPr>
            <w:tcW w:w="271" w:type="pct"/>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28</w:t>
            </w:r>
          </w:p>
        </w:tc>
        <w:tc>
          <w:tcPr>
            <w:tcW w:w="269" w:type="pct"/>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28</w:t>
            </w:r>
          </w:p>
        </w:tc>
        <w:tc>
          <w:tcPr>
            <w:tcW w:w="271" w:type="pct"/>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28</w:t>
            </w:r>
          </w:p>
        </w:tc>
        <w:tc>
          <w:tcPr>
            <w:tcW w:w="269" w:type="pct"/>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28</w:t>
            </w:r>
          </w:p>
        </w:tc>
        <w:tc>
          <w:tcPr>
            <w:tcW w:w="270" w:type="pct"/>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28</w:t>
            </w:r>
          </w:p>
        </w:tc>
        <w:tc>
          <w:tcPr>
            <w:tcW w:w="270" w:type="pct"/>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28</w:t>
            </w:r>
          </w:p>
        </w:tc>
        <w:tc>
          <w:tcPr>
            <w:tcW w:w="269" w:type="pct"/>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27</w:t>
            </w:r>
          </w:p>
        </w:tc>
        <w:tc>
          <w:tcPr>
            <w:tcW w:w="270" w:type="pct"/>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27</w:t>
            </w:r>
          </w:p>
        </w:tc>
        <w:tc>
          <w:tcPr>
            <w:tcW w:w="269" w:type="pct"/>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25</w:t>
            </w:r>
          </w:p>
        </w:tc>
        <w:tc>
          <w:tcPr>
            <w:tcW w:w="270" w:type="pct"/>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24</w:t>
            </w:r>
          </w:p>
        </w:tc>
        <w:tc>
          <w:tcPr>
            <w:tcW w:w="269" w:type="pct"/>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23</w:t>
            </w:r>
          </w:p>
        </w:tc>
        <w:tc>
          <w:tcPr>
            <w:tcW w:w="270" w:type="pct"/>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22</w:t>
            </w:r>
          </w:p>
        </w:tc>
        <w:tc>
          <w:tcPr>
            <w:tcW w:w="343" w:type="pct"/>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r>
      <w:tr w:rsidR="001771B8" w:rsidRPr="00262910" w:rsidTr="00FB53CF">
        <w:tc>
          <w:tcPr>
            <w:tcW w:w="1152" w:type="pct"/>
            <w:shd w:val="clear" w:color="auto" w:fill="auto"/>
            <w:noWrap/>
            <w:hideMark/>
          </w:tcPr>
          <w:p w:rsidR="001771B8" w:rsidRPr="00262910" w:rsidRDefault="001771B8" w:rsidP="001771B8">
            <w:pPr>
              <w:pStyle w:val="SingleTxtG"/>
              <w:suppressAutoHyphens w:val="0"/>
              <w:spacing w:before="40" w:after="40" w:line="220" w:lineRule="exact"/>
              <w:ind w:left="0" w:right="0"/>
              <w:jc w:val="left"/>
              <w:rPr>
                <w:bCs/>
                <w:sz w:val="18"/>
                <w:lang w:val="fr-FR"/>
              </w:rPr>
            </w:pPr>
            <w:r w:rsidRPr="00262910">
              <w:rPr>
                <w:bCs/>
                <w:sz w:val="18"/>
                <w:lang w:val="fr-FR"/>
              </w:rPr>
              <w:t>Taux d</w:t>
            </w:r>
            <w:r>
              <w:rPr>
                <w:bCs/>
                <w:sz w:val="18"/>
                <w:lang w:val="fr-FR"/>
              </w:rPr>
              <w:t>e l’</w:t>
            </w:r>
            <w:r w:rsidRPr="00262910">
              <w:rPr>
                <w:bCs/>
                <w:sz w:val="18"/>
                <w:lang w:val="fr-FR"/>
              </w:rPr>
              <w:t>IR</w:t>
            </w:r>
            <w:r>
              <w:rPr>
                <w:bCs/>
                <w:sz w:val="18"/>
                <w:lang w:val="fr-FR"/>
              </w:rPr>
              <w:t>P</w:t>
            </w:r>
            <w:r w:rsidRPr="00262910">
              <w:rPr>
                <w:bCs/>
                <w:sz w:val="18"/>
                <w:lang w:val="fr-FR"/>
              </w:rPr>
              <w:t>P (%)</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bCs/>
                <w:sz w:val="18"/>
                <w:lang w:val="fr-FR"/>
              </w:rPr>
            </w:pPr>
          </w:p>
        </w:tc>
        <w:tc>
          <w:tcPr>
            <w:tcW w:w="271"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271"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343"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r>
      <w:tr w:rsidR="001771B8" w:rsidRPr="00262910" w:rsidTr="00FB53CF">
        <w:tc>
          <w:tcPr>
            <w:tcW w:w="1152" w:type="pct"/>
            <w:shd w:val="clear" w:color="auto" w:fill="auto"/>
            <w:noWrap/>
            <w:hideMark/>
          </w:tcPr>
          <w:p w:rsidR="001771B8" w:rsidRPr="00262910" w:rsidRDefault="001771B8" w:rsidP="001771B8">
            <w:pPr>
              <w:pStyle w:val="SingleTxtG"/>
              <w:suppressAutoHyphens w:val="0"/>
              <w:spacing w:before="40" w:after="40" w:line="220" w:lineRule="exact"/>
              <w:ind w:left="142" w:right="0"/>
              <w:jc w:val="left"/>
              <w:rPr>
                <w:sz w:val="18"/>
                <w:lang w:val="fr-FR"/>
              </w:rPr>
            </w:pPr>
            <w:r w:rsidRPr="00262910">
              <w:rPr>
                <w:sz w:val="18"/>
                <w:lang w:val="fr-FR"/>
              </w:rPr>
              <w:t>Cotisations de sécurité sociale, salaires</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7</w:t>
            </w:r>
            <w:r>
              <w:rPr>
                <w:sz w:val="18"/>
                <w:lang w:val="fr-FR"/>
              </w:rPr>
              <w:t>,</w:t>
            </w:r>
            <w:r w:rsidRPr="00262910">
              <w:rPr>
                <w:sz w:val="18"/>
                <w:lang w:val="fr-FR"/>
              </w:rPr>
              <w:t>8</w:t>
            </w:r>
          </w:p>
        </w:tc>
        <w:tc>
          <w:tcPr>
            <w:tcW w:w="271"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7</w:t>
            </w:r>
            <w:r>
              <w:rPr>
                <w:sz w:val="18"/>
                <w:lang w:val="fr-FR"/>
              </w:rPr>
              <w:t>,</w:t>
            </w:r>
            <w:r w:rsidRPr="00262910">
              <w:rPr>
                <w:sz w:val="18"/>
                <w:lang w:val="fr-FR"/>
              </w:rPr>
              <w:t>8</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7</w:t>
            </w:r>
            <w:r>
              <w:rPr>
                <w:sz w:val="18"/>
                <w:lang w:val="fr-FR"/>
              </w:rPr>
              <w:t>,</w:t>
            </w:r>
            <w:r w:rsidRPr="00262910">
              <w:rPr>
                <w:sz w:val="18"/>
                <w:lang w:val="fr-FR"/>
              </w:rPr>
              <w:t>8</w:t>
            </w:r>
          </w:p>
        </w:tc>
        <w:tc>
          <w:tcPr>
            <w:tcW w:w="271"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7</w:t>
            </w:r>
            <w:r>
              <w:rPr>
                <w:sz w:val="18"/>
                <w:lang w:val="fr-FR"/>
              </w:rPr>
              <w:t>,</w:t>
            </w:r>
            <w:r w:rsidRPr="00262910">
              <w:rPr>
                <w:sz w:val="18"/>
                <w:lang w:val="fr-FR"/>
              </w:rPr>
              <w:t>8</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7</w:t>
            </w:r>
            <w:r>
              <w:rPr>
                <w:sz w:val="18"/>
                <w:lang w:val="fr-FR"/>
              </w:rPr>
              <w:t>,</w:t>
            </w:r>
            <w:r w:rsidRPr="00262910">
              <w:rPr>
                <w:sz w:val="18"/>
                <w:lang w:val="fr-FR"/>
              </w:rPr>
              <w:t>8</w:t>
            </w: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7</w:t>
            </w:r>
            <w:r>
              <w:rPr>
                <w:sz w:val="18"/>
                <w:lang w:val="fr-FR"/>
              </w:rPr>
              <w:t>,</w:t>
            </w:r>
            <w:r w:rsidRPr="00262910">
              <w:rPr>
                <w:sz w:val="18"/>
                <w:lang w:val="fr-FR"/>
              </w:rPr>
              <w:t>8</w:t>
            </w: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7</w:t>
            </w:r>
            <w:r>
              <w:rPr>
                <w:sz w:val="18"/>
                <w:lang w:val="fr-FR"/>
              </w:rPr>
              <w:t>,</w:t>
            </w:r>
            <w:r w:rsidRPr="00262910">
              <w:rPr>
                <w:sz w:val="18"/>
                <w:lang w:val="fr-FR"/>
              </w:rPr>
              <w:t>8</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8</w:t>
            </w:r>
            <w:r>
              <w:rPr>
                <w:sz w:val="18"/>
                <w:lang w:val="fr-FR"/>
              </w:rPr>
              <w:t>,</w:t>
            </w:r>
            <w:r w:rsidRPr="00262910">
              <w:rPr>
                <w:sz w:val="18"/>
                <w:lang w:val="fr-FR"/>
              </w:rPr>
              <w:t>2</w:t>
            </w: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8</w:t>
            </w:r>
            <w:r>
              <w:rPr>
                <w:sz w:val="18"/>
                <w:lang w:val="fr-FR"/>
              </w:rPr>
              <w:t>,</w:t>
            </w:r>
            <w:r w:rsidRPr="00262910">
              <w:rPr>
                <w:sz w:val="18"/>
                <w:lang w:val="fr-FR"/>
              </w:rPr>
              <w:t>2</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8</w:t>
            </w:r>
            <w:r>
              <w:rPr>
                <w:sz w:val="18"/>
                <w:lang w:val="fr-FR"/>
              </w:rPr>
              <w:t>,</w:t>
            </w:r>
            <w:r w:rsidRPr="00262910">
              <w:rPr>
                <w:sz w:val="18"/>
                <w:lang w:val="fr-FR"/>
              </w:rPr>
              <w:t>2</w:t>
            </w: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8</w:t>
            </w:r>
            <w:r>
              <w:rPr>
                <w:sz w:val="18"/>
                <w:lang w:val="fr-FR"/>
              </w:rPr>
              <w:t>,</w:t>
            </w:r>
            <w:r w:rsidRPr="00262910">
              <w:rPr>
                <w:sz w:val="18"/>
                <w:lang w:val="fr-FR"/>
              </w:rPr>
              <w:t>2</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8</w:t>
            </w:r>
            <w:r>
              <w:rPr>
                <w:sz w:val="18"/>
                <w:lang w:val="fr-FR"/>
              </w:rPr>
              <w:t>,</w:t>
            </w:r>
            <w:r w:rsidRPr="00262910">
              <w:rPr>
                <w:sz w:val="18"/>
                <w:lang w:val="fr-FR"/>
              </w:rPr>
              <w:t>2</w:t>
            </w: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8</w:t>
            </w:r>
            <w:r>
              <w:rPr>
                <w:sz w:val="18"/>
                <w:lang w:val="fr-FR"/>
              </w:rPr>
              <w:t>,</w:t>
            </w:r>
            <w:r w:rsidRPr="00262910">
              <w:rPr>
                <w:sz w:val="18"/>
                <w:lang w:val="fr-FR"/>
              </w:rPr>
              <w:t>2</w:t>
            </w:r>
          </w:p>
        </w:tc>
        <w:tc>
          <w:tcPr>
            <w:tcW w:w="343"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r>
      <w:tr w:rsidR="001771B8" w:rsidRPr="00262910" w:rsidTr="00FB53CF">
        <w:tc>
          <w:tcPr>
            <w:tcW w:w="1152" w:type="pct"/>
            <w:shd w:val="clear" w:color="auto" w:fill="auto"/>
            <w:noWrap/>
            <w:hideMark/>
          </w:tcPr>
          <w:p w:rsidR="001771B8" w:rsidRPr="00262910" w:rsidRDefault="001771B8" w:rsidP="001771B8">
            <w:pPr>
              <w:pStyle w:val="SingleTxtG"/>
              <w:suppressAutoHyphens w:val="0"/>
              <w:spacing w:before="40" w:after="40" w:line="220" w:lineRule="exact"/>
              <w:ind w:left="142" w:right="0"/>
              <w:jc w:val="left"/>
              <w:rPr>
                <w:sz w:val="18"/>
                <w:lang w:val="fr-FR"/>
              </w:rPr>
            </w:pPr>
            <w:r>
              <w:rPr>
                <w:sz w:val="18"/>
                <w:lang w:val="fr-FR"/>
              </w:rPr>
              <w:t>1</w:t>
            </w:r>
            <w:r w:rsidRPr="00C16D06">
              <w:rPr>
                <w:sz w:val="18"/>
                <w:vertAlign w:val="superscript"/>
                <w:lang w:val="fr-FR"/>
              </w:rPr>
              <w:t>re</w:t>
            </w:r>
            <w:r>
              <w:rPr>
                <w:sz w:val="18"/>
                <w:lang w:val="fr-FR"/>
              </w:rPr>
              <w:t xml:space="preserve"> </w:t>
            </w:r>
            <w:r w:rsidRPr="00262910">
              <w:rPr>
                <w:sz w:val="18"/>
                <w:lang w:val="fr-FR"/>
              </w:rPr>
              <w:t>tranche</w:t>
            </w:r>
            <w:r>
              <w:rPr>
                <w:sz w:val="18"/>
                <w:lang w:val="fr-FR"/>
              </w:rPr>
              <w:t xml:space="preserve"> surtaxée</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9</w:t>
            </w:r>
            <w:r>
              <w:rPr>
                <w:sz w:val="18"/>
                <w:lang w:val="fr-FR"/>
              </w:rPr>
              <w:t>,</w:t>
            </w:r>
            <w:r w:rsidRPr="00262910">
              <w:rPr>
                <w:sz w:val="18"/>
                <w:lang w:val="fr-FR"/>
              </w:rPr>
              <w:t>00</w:t>
            </w:r>
          </w:p>
        </w:tc>
        <w:tc>
          <w:tcPr>
            <w:tcW w:w="271"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9</w:t>
            </w:r>
            <w:r>
              <w:rPr>
                <w:sz w:val="18"/>
                <w:lang w:val="fr-FR"/>
              </w:rPr>
              <w:t>,</w:t>
            </w:r>
            <w:r w:rsidRPr="00262910">
              <w:rPr>
                <w:sz w:val="18"/>
                <w:lang w:val="fr-FR"/>
              </w:rPr>
              <w:t>00</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9</w:t>
            </w:r>
            <w:r>
              <w:rPr>
                <w:sz w:val="18"/>
                <w:lang w:val="fr-FR"/>
              </w:rPr>
              <w:t>,</w:t>
            </w:r>
            <w:r w:rsidRPr="00262910">
              <w:rPr>
                <w:sz w:val="18"/>
                <w:lang w:val="fr-FR"/>
              </w:rPr>
              <w:t>00</w:t>
            </w:r>
          </w:p>
        </w:tc>
        <w:tc>
          <w:tcPr>
            <w:tcW w:w="271"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9</w:t>
            </w:r>
            <w:r>
              <w:rPr>
                <w:sz w:val="18"/>
                <w:lang w:val="fr-FR"/>
              </w:rPr>
              <w:t>,</w:t>
            </w:r>
            <w:r w:rsidRPr="00262910">
              <w:rPr>
                <w:sz w:val="18"/>
                <w:lang w:val="fr-FR"/>
              </w:rPr>
              <w:t>00</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9</w:t>
            </w:r>
            <w:r>
              <w:rPr>
                <w:sz w:val="18"/>
                <w:lang w:val="fr-FR"/>
              </w:rPr>
              <w:t>,</w:t>
            </w:r>
            <w:r w:rsidRPr="00262910">
              <w:rPr>
                <w:sz w:val="18"/>
                <w:lang w:val="fr-FR"/>
              </w:rPr>
              <w:t>00</w:t>
            </w: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9</w:t>
            </w:r>
            <w:r>
              <w:rPr>
                <w:sz w:val="18"/>
                <w:lang w:val="fr-FR"/>
              </w:rPr>
              <w:t>,</w:t>
            </w:r>
            <w:r w:rsidRPr="00262910">
              <w:rPr>
                <w:sz w:val="18"/>
                <w:lang w:val="fr-FR"/>
              </w:rPr>
              <w:t>00</w:t>
            </w: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9</w:t>
            </w:r>
            <w:r>
              <w:rPr>
                <w:sz w:val="18"/>
                <w:lang w:val="fr-FR"/>
              </w:rPr>
              <w:t>,</w:t>
            </w:r>
            <w:r w:rsidRPr="00262910">
              <w:rPr>
                <w:sz w:val="18"/>
                <w:lang w:val="fr-FR"/>
              </w:rPr>
              <w:t>00</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9</w:t>
            </w:r>
            <w:r>
              <w:rPr>
                <w:sz w:val="18"/>
                <w:lang w:val="fr-FR"/>
              </w:rPr>
              <w:t>,</w:t>
            </w:r>
            <w:r w:rsidRPr="00262910">
              <w:rPr>
                <w:sz w:val="18"/>
                <w:lang w:val="fr-FR"/>
              </w:rPr>
              <w:t>00</w:t>
            </w: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9</w:t>
            </w:r>
            <w:r>
              <w:rPr>
                <w:sz w:val="18"/>
                <w:lang w:val="fr-FR"/>
              </w:rPr>
              <w:t>,</w:t>
            </w:r>
            <w:r w:rsidRPr="00262910">
              <w:rPr>
                <w:sz w:val="18"/>
                <w:lang w:val="fr-FR"/>
              </w:rPr>
              <w:t>00</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0</w:t>
            </w:r>
            <w:r>
              <w:rPr>
                <w:sz w:val="18"/>
                <w:lang w:val="fr-FR"/>
              </w:rPr>
              <w:t>,</w:t>
            </w:r>
            <w:r w:rsidRPr="00262910">
              <w:rPr>
                <w:sz w:val="18"/>
                <w:lang w:val="fr-FR"/>
              </w:rPr>
              <w:t>44</w:t>
            </w: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0</w:t>
            </w:r>
            <w:r>
              <w:rPr>
                <w:sz w:val="18"/>
                <w:lang w:val="fr-FR"/>
              </w:rPr>
              <w:t>,</w:t>
            </w:r>
            <w:r w:rsidRPr="00262910">
              <w:rPr>
                <w:sz w:val="18"/>
                <w:lang w:val="fr-FR"/>
              </w:rPr>
              <w:t>93</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r>
              <w:rPr>
                <w:sz w:val="18"/>
                <w:lang w:val="fr-FR"/>
              </w:rPr>
              <w:t>,</w:t>
            </w:r>
            <w:r w:rsidRPr="00262910">
              <w:rPr>
                <w:sz w:val="18"/>
                <w:lang w:val="fr-FR"/>
              </w:rPr>
              <w:t>40</w:t>
            </w: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r>
              <w:rPr>
                <w:sz w:val="18"/>
                <w:lang w:val="fr-FR"/>
              </w:rPr>
              <w:t>,</w:t>
            </w:r>
            <w:r w:rsidRPr="00262910">
              <w:rPr>
                <w:sz w:val="18"/>
                <w:lang w:val="fr-FR"/>
              </w:rPr>
              <w:t>90</w:t>
            </w:r>
          </w:p>
        </w:tc>
        <w:tc>
          <w:tcPr>
            <w:tcW w:w="343"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r>
      <w:tr w:rsidR="001771B8" w:rsidRPr="00262910" w:rsidTr="00FB53CF">
        <w:tc>
          <w:tcPr>
            <w:tcW w:w="1152" w:type="pct"/>
            <w:shd w:val="clear" w:color="auto" w:fill="auto"/>
            <w:noWrap/>
            <w:hideMark/>
          </w:tcPr>
          <w:p w:rsidR="001771B8" w:rsidRPr="00262910" w:rsidRDefault="001771B8" w:rsidP="001771B8">
            <w:pPr>
              <w:pStyle w:val="SingleTxtG"/>
              <w:suppressAutoHyphens w:val="0"/>
              <w:spacing w:before="40" w:after="40" w:line="220" w:lineRule="exact"/>
              <w:ind w:left="142" w:right="0"/>
              <w:jc w:val="left"/>
              <w:rPr>
                <w:sz w:val="18"/>
                <w:lang w:val="fr-FR"/>
              </w:rPr>
            </w:pPr>
            <w:r>
              <w:rPr>
                <w:sz w:val="18"/>
                <w:lang w:val="fr-FR"/>
              </w:rPr>
              <w:t>2</w:t>
            </w:r>
            <w:r w:rsidRPr="00C16D06">
              <w:rPr>
                <w:sz w:val="18"/>
                <w:vertAlign w:val="superscript"/>
                <w:lang w:val="fr-FR"/>
              </w:rPr>
              <w:t>e</w:t>
            </w:r>
            <w:r>
              <w:rPr>
                <w:sz w:val="18"/>
                <w:lang w:val="fr-FR"/>
              </w:rPr>
              <w:t xml:space="preserve"> </w:t>
            </w:r>
            <w:r w:rsidRPr="00262910">
              <w:rPr>
                <w:sz w:val="18"/>
                <w:lang w:val="fr-FR"/>
              </w:rPr>
              <w:t>tranche</w:t>
            </w:r>
            <w:r>
              <w:rPr>
                <w:sz w:val="18"/>
                <w:lang w:val="fr-FR"/>
              </w:rPr>
              <w:t xml:space="preserve"> </w:t>
            </w:r>
            <w:r w:rsidRPr="005948CC">
              <w:rPr>
                <w:sz w:val="18"/>
                <w:lang w:val="fr-FR"/>
              </w:rPr>
              <w:t>surtaxée</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12</w:t>
            </w:r>
            <w:r>
              <w:rPr>
                <w:sz w:val="18"/>
                <w:lang w:val="fr-FR"/>
              </w:rPr>
              <w:t>,</w:t>
            </w:r>
            <w:r w:rsidRPr="00262910">
              <w:rPr>
                <w:sz w:val="18"/>
                <w:lang w:val="fr-FR"/>
              </w:rPr>
              <w:t>00</w:t>
            </w:r>
          </w:p>
        </w:tc>
        <w:tc>
          <w:tcPr>
            <w:tcW w:w="271"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12</w:t>
            </w:r>
            <w:r>
              <w:rPr>
                <w:sz w:val="18"/>
                <w:lang w:val="fr-FR"/>
              </w:rPr>
              <w:t>,</w:t>
            </w:r>
            <w:r w:rsidRPr="00262910">
              <w:rPr>
                <w:sz w:val="18"/>
                <w:lang w:val="fr-FR"/>
              </w:rPr>
              <w:t>00</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12</w:t>
            </w:r>
            <w:r>
              <w:rPr>
                <w:sz w:val="18"/>
                <w:lang w:val="fr-FR"/>
              </w:rPr>
              <w:t>,</w:t>
            </w:r>
            <w:r w:rsidRPr="00262910">
              <w:rPr>
                <w:sz w:val="18"/>
                <w:lang w:val="fr-FR"/>
              </w:rPr>
              <w:t>00</w:t>
            </w:r>
          </w:p>
        </w:tc>
        <w:tc>
          <w:tcPr>
            <w:tcW w:w="271"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12</w:t>
            </w:r>
            <w:r>
              <w:rPr>
                <w:sz w:val="18"/>
                <w:lang w:val="fr-FR"/>
              </w:rPr>
              <w:t>,</w:t>
            </w:r>
            <w:r w:rsidRPr="00262910">
              <w:rPr>
                <w:sz w:val="18"/>
                <w:lang w:val="fr-FR"/>
              </w:rPr>
              <w:t>00</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12</w:t>
            </w:r>
            <w:r>
              <w:rPr>
                <w:sz w:val="18"/>
                <w:lang w:val="fr-FR"/>
              </w:rPr>
              <w:t>,</w:t>
            </w:r>
            <w:r w:rsidRPr="00262910">
              <w:rPr>
                <w:sz w:val="18"/>
                <w:lang w:val="fr-FR"/>
              </w:rPr>
              <w:t>00</w:t>
            </w: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12</w:t>
            </w:r>
            <w:r>
              <w:rPr>
                <w:sz w:val="18"/>
                <w:lang w:val="fr-FR"/>
              </w:rPr>
              <w:t>,</w:t>
            </w:r>
            <w:r w:rsidRPr="00262910">
              <w:rPr>
                <w:sz w:val="18"/>
                <w:lang w:val="fr-FR"/>
              </w:rPr>
              <w:t>00</w:t>
            </w: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12</w:t>
            </w:r>
            <w:r>
              <w:rPr>
                <w:sz w:val="18"/>
                <w:lang w:val="fr-FR"/>
              </w:rPr>
              <w:t>,</w:t>
            </w:r>
            <w:r w:rsidRPr="00262910">
              <w:rPr>
                <w:sz w:val="18"/>
                <w:lang w:val="fr-FR"/>
              </w:rPr>
              <w:t>00</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12</w:t>
            </w:r>
            <w:r>
              <w:rPr>
                <w:sz w:val="18"/>
                <w:lang w:val="fr-FR"/>
              </w:rPr>
              <w:t>,</w:t>
            </w:r>
            <w:r w:rsidRPr="00262910">
              <w:rPr>
                <w:sz w:val="18"/>
                <w:lang w:val="fr-FR"/>
              </w:rPr>
              <w:t>00</w:t>
            </w: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12</w:t>
            </w:r>
            <w:r>
              <w:rPr>
                <w:sz w:val="18"/>
                <w:lang w:val="fr-FR"/>
              </w:rPr>
              <w:t>,</w:t>
            </w:r>
            <w:r w:rsidRPr="00262910">
              <w:rPr>
                <w:sz w:val="18"/>
                <w:lang w:val="fr-FR"/>
              </w:rPr>
              <w:t>00</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r>
              <w:rPr>
                <w:sz w:val="18"/>
                <w:lang w:val="fr-FR"/>
              </w:rPr>
              <w:t>,</w:t>
            </w:r>
            <w:r w:rsidRPr="00262910">
              <w:rPr>
                <w:sz w:val="18"/>
                <w:lang w:val="fr-FR"/>
              </w:rPr>
              <w:t>70</w:t>
            </w: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w:t>
            </w:r>
            <w:r>
              <w:rPr>
                <w:sz w:val="18"/>
                <w:lang w:val="fr-FR"/>
              </w:rPr>
              <w:t>,</w:t>
            </w:r>
            <w:r w:rsidRPr="00262910">
              <w:rPr>
                <w:sz w:val="18"/>
                <w:lang w:val="fr-FR"/>
              </w:rPr>
              <w:t>41</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w:t>
            </w:r>
            <w:r>
              <w:rPr>
                <w:sz w:val="18"/>
                <w:lang w:val="fr-FR"/>
              </w:rPr>
              <w:t>,</w:t>
            </w:r>
            <w:r w:rsidRPr="00262910">
              <w:rPr>
                <w:sz w:val="18"/>
                <w:lang w:val="fr-FR"/>
              </w:rPr>
              <w:t>30</w:t>
            </w: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4</w:t>
            </w:r>
            <w:r>
              <w:rPr>
                <w:sz w:val="18"/>
                <w:lang w:val="fr-FR"/>
              </w:rPr>
              <w:t>,</w:t>
            </w:r>
            <w:r w:rsidRPr="00262910">
              <w:rPr>
                <w:sz w:val="18"/>
                <w:lang w:val="fr-FR"/>
              </w:rPr>
              <w:t>20</w:t>
            </w:r>
          </w:p>
        </w:tc>
        <w:tc>
          <w:tcPr>
            <w:tcW w:w="343"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r>
      <w:tr w:rsidR="001771B8" w:rsidRPr="00262910" w:rsidTr="00FB53CF">
        <w:tc>
          <w:tcPr>
            <w:tcW w:w="1152" w:type="pct"/>
            <w:shd w:val="clear" w:color="auto" w:fill="auto"/>
            <w:noWrap/>
            <w:hideMark/>
          </w:tcPr>
          <w:p w:rsidR="001771B8" w:rsidRPr="00262910" w:rsidRDefault="001771B8" w:rsidP="005B1DC6">
            <w:pPr>
              <w:pStyle w:val="SingleTxtG"/>
              <w:suppressAutoHyphens w:val="0"/>
              <w:spacing w:before="40" w:after="40" w:line="220" w:lineRule="exact"/>
              <w:ind w:left="142" w:right="0"/>
              <w:jc w:val="left"/>
              <w:rPr>
                <w:sz w:val="18"/>
                <w:lang w:val="fr-FR"/>
              </w:rPr>
            </w:pPr>
            <w:r>
              <w:rPr>
                <w:sz w:val="18"/>
                <w:lang w:val="fr-FR"/>
              </w:rPr>
              <w:t>3</w:t>
            </w:r>
            <w:r w:rsidRPr="00995C28">
              <w:rPr>
                <w:sz w:val="18"/>
                <w:vertAlign w:val="superscript"/>
                <w:lang w:val="fr-FR"/>
              </w:rPr>
              <w:t>e</w:t>
            </w:r>
            <w:r>
              <w:rPr>
                <w:sz w:val="18"/>
                <w:lang w:val="fr-FR"/>
              </w:rPr>
              <w:t xml:space="preserve"> </w:t>
            </w:r>
            <w:r w:rsidRPr="00262910">
              <w:rPr>
                <w:sz w:val="18"/>
                <w:lang w:val="fr-FR"/>
              </w:rPr>
              <w:t>tranche</w:t>
            </w:r>
            <w:r>
              <w:t xml:space="preserve"> </w:t>
            </w:r>
            <w:r w:rsidRPr="005948CC">
              <w:rPr>
                <w:sz w:val="18"/>
                <w:lang w:val="fr-FR"/>
              </w:rPr>
              <w:t>surtaxée</w:t>
            </w:r>
            <w:r w:rsidR="005B1DC6">
              <w:rPr>
                <w:sz w:val="18"/>
                <w:lang w:val="fr-FR"/>
              </w:rPr>
              <w:br/>
            </w:r>
            <w:r w:rsidRPr="00262910">
              <w:rPr>
                <w:sz w:val="18"/>
                <w:lang w:val="fr-FR"/>
              </w:rPr>
              <w:t xml:space="preserve">(depuis 2016) </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271"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271"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10</w:t>
            </w:r>
            <w:r>
              <w:rPr>
                <w:sz w:val="18"/>
                <w:lang w:val="fr-FR"/>
              </w:rPr>
              <w:t>,</w:t>
            </w:r>
            <w:r w:rsidRPr="00262910">
              <w:rPr>
                <w:sz w:val="18"/>
                <w:lang w:val="fr-FR"/>
              </w:rPr>
              <w:t>70</w:t>
            </w: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11</w:t>
            </w:r>
            <w:r>
              <w:rPr>
                <w:sz w:val="18"/>
                <w:lang w:val="fr-FR"/>
              </w:rPr>
              <w:t>,</w:t>
            </w:r>
            <w:r w:rsidRPr="00262910">
              <w:rPr>
                <w:sz w:val="18"/>
                <w:lang w:val="fr-FR"/>
              </w:rPr>
              <w:t>52</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12</w:t>
            </w:r>
            <w:r>
              <w:rPr>
                <w:sz w:val="18"/>
                <w:lang w:val="fr-FR"/>
              </w:rPr>
              <w:t>,</w:t>
            </w:r>
            <w:r w:rsidRPr="00262910">
              <w:rPr>
                <w:sz w:val="18"/>
                <w:lang w:val="fr-FR"/>
              </w:rPr>
              <w:t>40</w:t>
            </w: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13</w:t>
            </w:r>
            <w:r>
              <w:rPr>
                <w:sz w:val="18"/>
                <w:lang w:val="fr-FR"/>
              </w:rPr>
              <w:t>,</w:t>
            </w:r>
            <w:r w:rsidRPr="00262910">
              <w:rPr>
                <w:sz w:val="18"/>
                <w:lang w:val="fr-FR"/>
              </w:rPr>
              <w:t>20</w:t>
            </w:r>
          </w:p>
        </w:tc>
        <w:tc>
          <w:tcPr>
            <w:tcW w:w="343"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r>
      <w:tr w:rsidR="001771B8" w:rsidRPr="00262910" w:rsidTr="00FB53CF">
        <w:tc>
          <w:tcPr>
            <w:tcW w:w="1152" w:type="pct"/>
            <w:shd w:val="clear" w:color="auto" w:fill="auto"/>
            <w:noWrap/>
            <w:hideMark/>
          </w:tcPr>
          <w:p w:rsidR="001771B8" w:rsidRPr="00262910" w:rsidRDefault="001771B8" w:rsidP="001771B8">
            <w:pPr>
              <w:pStyle w:val="SingleTxtG"/>
              <w:suppressAutoHyphens w:val="0"/>
              <w:spacing w:before="40" w:after="40" w:line="220" w:lineRule="exact"/>
              <w:ind w:left="142" w:right="0"/>
              <w:jc w:val="left"/>
              <w:rPr>
                <w:sz w:val="18"/>
                <w:lang w:val="fr-FR"/>
              </w:rPr>
            </w:pPr>
            <w:r>
              <w:rPr>
                <w:sz w:val="18"/>
                <w:lang w:val="fr-FR"/>
              </w:rPr>
              <w:t>4</w:t>
            </w:r>
            <w:r w:rsidRPr="00C16D06">
              <w:rPr>
                <w:sz w:val="18"/>
                <w:vertAlign w:val="superscript"/>
                <w:lang w:val="fr-FR"/>
              </w:rPr>
              <w:t>e</w:t>
            </w:r>
            <w:r>
              <w:rPr>
                <w:sz w:val="18"/>
                <w:lang w:val="fr-FR"/>
              </w:rPr>
              <w:t xml:space="preserve"> </w:t>
            </w:r>
            <w:r w:rsidRPr="00262910">
              <w:rPr>
                <w:sz w:val="18"/>
                <w:lang w:val="fr-FR"/>
              </w:rPr>
              <w:t>tranche</w:t>
            </w:r>
            <w:r>
              <w:rPr>
                <w:sz w:val="18"/>
                <w:lang w:val="fr-FR"/>
              </w:rPr>
              <w:t xml:space="preserve"> </w:t>
            </w:r>
            <w:r w:rsidRPr="005948CC">
              <w:rPr>
                <w:sz w:val="18"/>
                <w:lang w:val="fr-FR"/>
              </w:rPr>
              <w:t>surtaxée</w:t>
            </w:r>
            <w:r w:rsidRPr="00262910">
              <w:rPr>
                <w:sz w:val="18"/>
                <w:lang w:val="fr-FR"/>
              </w:rPr>
              <w:br/>
              <w:t>(depuis 2016)</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271"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271"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13</w:t>
            </w:r>
            <w:r>
              <w:rPr>
                <w:sz w:val="18"/>
                <w:lang w:val="fr-FR"/>
              </w:rPr>
              <w:t>,</w:t>
            </w:r>
            <w:r w:rsidRPr="00262910">
              <w:rPr>
                <w:sz w:val="18"/>
                <w:lang w:val="fr-FR"/>
              </w:rPr>
              <w:t>70</w:t>
            </w: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14</w:t>
            </w:r>
            <w:r>
              <w:rPr>
                <w:sz w:val="18"/>
                <w:lang w:val="fr-FR"/>
              </w:rPr>
              <w:t>,</w:t>
            </w:r>
            <w:r w:rsidRPr="00262910">
              <w:rPr>
                <w:sz w:val="18"/>
                <w:lang w:val="fr-FR"/>
              </w:rPr>
              <w:t>52</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15</w:t>
            </w:r>
            <w:r>
              <w:rPr>
                <w:sz w:val="18"/>
                <w:lang w:val="fr-FR"/>
              </w:rPr>
              <w:t>,</w:t>
            </w:r>
            <w:r w:rsidRPr="00262910">
              <w:rPr>
                <w:sz w:val="18"/>
                <w:lang w:val="fr-FR"/>
              </w:rPr>
              <w:t>40</w:t>
            </w: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16</w:t>
            </w:r>
            <w:r>
              <w:rPr>
                <w:sz w:val="18"/>
                <w:lang w:val="fr-FR"/>
              </w:rPr>
              <w:t>,</w:t>
            </w:r>
            <w:r w:rsidRPr="00262910">
              <w:rPr>
                <w:sz w:val="18"/>
                <w:lang w:val="fr-FR"/>
              </w:rPr>
              <w:t>20</w:t>
            </w:r>
          </w:p>
        </w:tc>
        <w:tc>
          <w:tcPr>
            <w:tcW w:w="343"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r>
      <w:tr w:rsidR="001771B8" w:rsidRPr="00262910" w:rsidTr="00FB53CF">
        <w:tc>
          <w:tcPr>
            <w:tcW w:w="1152" w:type="pct"/>
            <w:shd w:val="clear" w:color="auto" w:fill="auto"/>
            <w:noWrap/>
            <w:hideMark/>
          </w:tcPr>
          <w:p w:rsidR="001771B8" w:rsidRPr="00262910" w:rsidRDefault="001771B8" w:rsidP="001771B8">
            <w:pPr>
              <w:pStyle w:val="SingleTxtG"/>
              <w:suppressAutoHyphens w:val="0"/>
              <w:spacing w:before="40" w:after="40" w:line="220" w:lineRule="exact"/>
              <w:ind w:left="142" w:right="0"/>
              <w:jc w:val="left"/>
              <w:rPr>
                <w:sz w:val="18"/>
                <w:lang w:val="fr-FR"/>
              </w:rPr>
            </w:pPr>
            <w:r w:rsidRPr="0059347A">
              <w:rPr>
                <w:sz w:val="18"/>
                <w:lang w:val="fr-FR"/>
              </w:rPr>
              <w:t>Taux d</w:t>
            </w:r>
            <w:r>
              <w:rPr>
                <w:sz w:val="18"/>
                <w:lang w:val="fr-FR"/>
              </w:rPr>
              <w:t>’</w:t>
            </w:r>
            <w:r w:rsidRPr="0059347A">
              <w:rPr>
                <w:sz w:val="18"/>
                <w:lang w:val="fr-FR"/>
              </w:rPr>
              <w:t xml:space="preserve">imposition </w:t>
            </w:r>
            <w:r w:rsidR="005B1DC6">
              <w:rPr>
                <w:sz w:val="18"/>
                <w:lang w:val="fr-FR"/>
              </w:rPr>
              <w:br/>
            </w:r>
            <w:r w:rsidRPr="0059347A">
              <w:rPr>
                <w:sz w:val="18"/>
                <w:lang w:val="fr-FR"/>
              </w:rPr>
              <w:t xml:space="preserve">du revenu ordinaire </w:t>
            </w:r>
            <w:r w:rsidR="005B1DC6">
              <w:rPr>
                <w:sz w:val="18"/>
                <w:lang w:val="fr-FR"/>
              </w:rPr>
              <w:br/>
            </w:r>
            <w:r w:rsidRPr="0059347A">
              <w:rPr>
                <w:sz w:val="18"/>
                <w:lang w:val="fr-FR"/>
              </w:rPr>
              <w:t>(revenu net)</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28</w:t>
            </w:r>
          </w:p>
        </w:tc>
        <w:tc>
          <w:tcPr>
            <w:tcW w:w="271"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28</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28</w:t>
            </w:r>
          </w:p>
        </w:tc>
        <w:tc>
          <w:tcPr>
            <w:tcW w:w="271"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28</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28</w:t>
            </w: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28</w:t>
            </w: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28</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27</w:t>
            </w: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27</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25</w:t>
            </w: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24</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23</w:t>
            </w: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22</w:t>
            </w:r>
          </w:p>
        </w:tc>
        <w:tc>
          <w:tcPr>
            <w:tcW w:w="343"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r>
      <w:tr w:rsidR="001771B8" w:rsidRPr="00262910" w:rsidTr="00FB53CF">
        <w:tc>
          <w:tcPr>
            <w:tcW w:w="1152" w:type="pct"/>
            <w:shd w:val="clear" w:color="auto" w:fill="auto"/>
            <w:noWrap/>
            <w:hideMark/>
          </w:tcPr>
          <w:p w:rsidR="001771B8" w:rsidRPr="00262910" w:rsidRDefault="001771B8" w:rsidP="001771B8">
            <w:pPr>
              <w:pStyle w:val="SingleTxtG"/>
              <w:suppressAutoHyphens w:val="0"/>
              <w:spacing w:before="40" w:after="40" w:line="220" w:lineRule="exact"/>
              <w:ind w:left="142" w:right="0"/>
              <w:jc w:val="left"/>
              <w:rPr>
                <w:sz w:val="18"/>
                <w:lang w:val="fr-FR"/>
              </w:rPr>
            </w:pPr>
            <w:r w:rsidRPr="00262910">
              <w:rPr>
                <w:sz w:val="18"/>
                <w:lang w:val="fr-FR"/>
              </w:rPr>
              <w:t>Taux marginal d</w:t>
            </w:r>
            <w:r>
              <w:rPr>
                <w:sz w:val="18"/>
                <w:lang w:val="fr-FR"/>
              </w:rPr>
              <w:t>’</w:t>
            </w:r>
            <w:r w:rsidRPr="00262910">
              <w:rPr>
                <w:sz w:val="18"/>
                <w:lang w:val="fr-FR"/>
              </w:rPr>
              <w:t>imposition maximal</w:t>
            </w:r>
            <w:r>
              <w:rPr>
                <w:sz w:val="18"/>
                <w:lang w:val="fr-FR"/>
              </w:rPr>
              <w:t>e</w:t>
            </w:r>
            <w:r w:rsidRPr="00262910">
              <w:rPr>
                <w:sz w:val="18"/>
                <w:lang w:val="fr-FR"/>
              </w:rPr>
              <w:t xml:space="preserve">, salaires </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48</w:t>
            </w:r>
          </w:p>
        </w:tc>
        <w:tc>
          <w:tcPr>
            <w:tcW w:w="271"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48</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48</w:t>
            </w:r>
          </w:p>
        </w:tc>
        <w:tc>
          <w:tcPr>
            <w:tcW w:w="271"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48</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48</w:t>
            </w: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48</w:t>
            </w: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48</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47</w:t>
            </w: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47</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47</w:t>
            </w: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47</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47</w:t>
            </w: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46</w:t>
            </w:r>
          </w:p>
        </w:tc>
        <w:tc>
          <w:tcPr>
            <w:tcW w:w="343"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r>
      <w:tr w:rsidR="001771B8" w:rsidRPr="00262910" w:rsidTr="00FB53CF">
        <w:tc>
          <w:tcPr>
            <w:tcW w:w="1152" w:type="pct"/>
            <w:shd w:val="clear" w:color="auto" w:fill="auto"/>
            <w:noWrap/>
            <w:hideMark/>
          </w:tcPr>
          <w:p w:rsidR="001771B8" w:rsidRPr="00262910" w:rsidRDefault="001771B8" w:rsidP="001771B8">
            <w:pPr>
              <w:pStyle w:val="SingleTxtG"/>
              <w:suppressAutoHyphens w:val="0"/>
              <w:spacing w:before="40" w:after="40" w:line="220" w:lineRule="exact"/>
              <w:ind w:left="0" w:right="0"/>
              <w:jc w:val="left"/>
              <w:rPr>
                <w:bCs/>
                <w:sz w:val="18"/>
                <w:lang w:val="fr-FR"/>
              </w:rPr>
            </w:pPr>
            <w:r w:rsidRPr="00262910">
              <w:rPr>
                <w:bCs/>
                <w:sz w:val="18"/>
                <w:lang w:val="fr-FR"/>
              </w:rPr>
              <w:t xml:space="preserve">Taux de </w:t>
            </w:r>
            <w:r>
              <w:rPr>
                <w:bCs/>
                <w:sz w:val="18"/>
                <w:lang w:val="fr-FR"/>
              </w:rPr>
              <w:t xml:space="preserve">la </w:t>
            </w:r>
            <w:r w:rsidRPr="00262910">
              <w:rPr>
                <w:bCs/>
                <w:sz w:val="18"/>
                <w:lang w:val="fr-FR"/>
              </w:rPr>
              <w:t>TVA (%)</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bCs/>
                <w:sz w:val="18"/>
                <w:lang w:val="fr-FR"/>
              </w:rPr>
            </w:pPr>
          </w:p>
        </w:tc>
        <w:tc>
          <w:tcPr>
            <w:tcW w:w="271"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271"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343"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r>
      <w:tr w:rsidR="001771B8" w:rsidRPr="00262910" w:rsidTr="00FB53CF">
        <w:tc>
          <w:tcPr>
            <w:tcW w:w="1152" w:type="pct"/>
            <w:shd w:val="clear" w:color="auto" w:fill="auto"/>
            <w:noWrap/>
            <w:hideMark/>
          </w:tcPr>
          <w:p w:rsidR="001771B8" w:rsidRPr="00262910" w:rsidRDefault="001771B8" w:rsidP="001771B8">
            <w:pPr>
              <w:pStyle w:val="SingleTxtG"/>
              <w:suppressAutoHyphens w:val="0"/>
              <w:spacing w:before="40" w:after="40" w:line="220" w:lineRule="exact"/>
              <w:ind w:left="142" w:right="0"/>
              <w:jc w:val="left"/>
              <w:rPr>
                <w:sz w:val="18"/>
                <w:lang w:val="fr-FR"/>
              </w:rPr>
            </w:pPr>
            <w:r w:rsidRPr="00262910">
              <w:rPr>
                <w:sz w:val="18"/>
                <w:lang w:val="fr-FR"/>
              </w:rPr>
              <w:t xml:space="preserve">Taux </w:t>
            </w:r>
            <w:r>
              <w:rPr>
                <w:sz w:val="18"/>
                <w:lang w:val="fr-FR"/>
              </w:rPr>
              <w:t>normal</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25</w:t>
            </w:r>
          </w:p>
        </w:tc>
        <w:tc>
          <w:tcPr>
            <w:tcW w:w="271"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25</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25</w:t>
            </w:r>
          </w:p>
        </w:tc>
        <w:tc>
          <w:tcPr>
            <w:tcW w:w="271"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25</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25</w:t>
            </w: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25</w:t>
            </w: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25</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25</w:t>
            </w: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25</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25</w:t>
            </w: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25</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25</w:t>
            </w: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25</w:t>
            </w:r>
          </w:p>
        </w:tc>
        <w:tc>
          <w:tcPr>
            <w:tcW w:w="343"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r>
      <w:tr w:rsidR="001771B8" w:rsidRPr="00262910" w:rsidTr="00FB53CF">
        <w:tc>
          <w:tcPr>
            <w:tcW w:w="1152" w:type="pct"/>
            <w:shd w:val="clear" w:color="auto" w:fill="auto"/>
            <w:noWrap/>
            <w:hideMark/>
          </w:tcPr>
          <w:p w:rsidR="001771B8" w:rsidRPr="00262910" w:rsidRDefault="001771B8" w:rsidP="001771B8">
            <w:pPr>
              <w:pStyle w:val="SingleTxtG"/>
              <w:suppressAutoHyphens w:val="0"/>
              <w:spacing w:before="40" w:after="40" w:line="220" w:lineRule="exact"/>
              <w:ind w:left="142" w:right="0"/>
              <w:jc w:val="left"/>
              <w:rPr>
                <w:sz w:val="18"/>
                <w:lang w:val="fr-FR"/>
              </w:rPr>
            </w:pPr>
            <w:r w:rsidRPr="00262910">
              <w:rPr>
                <w:sz w:val="18"/>
                <w:lang w:val="fr-FR"/>
              </w:rPr>
              <w:t xml:space="preserve">Taux </w:t>
            </w:r>
            <w:r>
              <w:rPr>
                <w:sz w:val="18"/>
                <w:lang w:val="fr-FR"/>
              </w:rPr>
              <w:t xml:space="preserve">intermédiaire </w:t>
            </w:r>
            <w:r w:rsidRPr="00262910">
              <w:rPr>
                <w:sz w:val="18"/>
                <w:lang w:val="fr-FR"/>
              </w:rPr>
              <w:t>(aliments)</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14</w:t>
            </w:r>
          </w:p>
        </w:tc>
        <w:tc>
          <w:tcPr>
            <w:tcW w:w="271"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14</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14</w:t>
            </w:r>
          </w:p>
        </w:tc>
        <w:tc>
          <w:tcPr>
            <w:tcW w:w="271"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14</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14</w:t>
            </w: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15</w:t>
            </w: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15</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15</w:t>
            </w: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15</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15</w:t>
            </w: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15</w:t>
            </w:r>
          </w:p>
        </w:tc>
        <w:tc>
          <w:tcPr>
            <w:tcW w:w="269"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15</w:t>
            </w:r>
          </w:p>
        </w:tc>
        <w:tc>
          <w:tcPr>
            <w:tcW w:w="270"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15</w:t>
            </w:r>
          </w:p>
        </w:tc>
        <w:tc>
          <w:tcPr>
            <w:tcW w:w="343" w:type="pct"/>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r>
      <w:tr w:rsidR="001771B8" w:rsidRPr="00262910" w:rsidTr="00FB53CF">
        <w:tc>
          <w:tcPr>
            <w:tcW w:w="1152" w:type="pct"/>
            <w:tcBorders>
              <w:bottom w:val="single" w:sz="4" w:space="0" w:color="auto"/>
            </w:tcBorders>
            <w:shd w:val="clear" w:color="auto" w:fill="auto"/>
            <w:noWrap/>
            <w:hideMark/>
          </w:tcPr>
          <w:p w:rsidR="001771B8" w:rsidRPr="00262910" w:rsidRDefault="001771B8" w:rsidP="001771B8">
            <w:pPr>
              <w:pStyle w:val="SingleTxtG"/>
              <w:suppressAutoHyphens w:val="0"/>
              <w:spacing w:before="40" w:after="40" w:line="220" w:lineRule="exact"/>
              <w:ind w:left="142" w:right="0"/>
              <w:jc w:val="left"/>
              <w:rPr>
                <w:sz w:val="18"/>
                <w:lang w:val="fr-FR"/>
              </w:rPr>
            </w:pPr>
            <w:r w:rsidRPr="00262910">
              <w:rPr>
                <w:sz w:val="18"/>
                <w:lang w:val="fr-FR"/>
              </w:rPr>
              <w:t xml:space="preserve">Taux </w:t>
            </w:r>
            <w:r>
              <w:rPr>
                <w:sz w:val="18"/>
                <w:lang w:val="fr-FR"/>
              </w:rPr>
              <w:t>réduit</w:t>
            </w:r>
            <w:r w:rsidRPr="00262910">
              <w:rPr>
                <w:sz w:val="18"/>
                <w:lang w:val="fr-FR"/>
              </w:rPr>
              <w:t xml:space="preserve"> (transport, culture)</w:t>
            </w:r>
          </w:p>
        </w:tc>
        <w:tc>
          <w:tcPr>
            <w:tcW w:w="269" w:type="pct"/>
            <w:tcBorders>
              <w:bottom w:val="single" w:sz="4"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8</w:t>
            </w:r>
          </w:p>
        </w:tc>
        <w:tc>
          <w:tcPr>
            <w:tcW w:w="271" w:type="pct"/>
            <w:tcBorders>
              <w:bottom w:val="single" w:sz="4"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8</w:t>
            </w:r>
          </w:p>
        </w:tc>
        <w:tc>
          <w:tcPr>
            <w:tcW w:w="269" w:type="pct"/>
            <w:tcBorders>
              <w:bottom w:val="single" w:sz="4"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8</w:t>
            </w:r>
          </w:p>
        </w:tc>
        <w:tc>
          <w:tcPr>
            <w:tcW w:w="271" w:type="pct"/>
            <w:tcBorders>
              <w:bottom w:val="single" w:sz="4"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8</w:t>
            </w:r>
          </w:p>
        </w:tc>
        <w:tc>
          <w:tcPr>
            <w:tcW w:w="269" w:type="pct"/>
            <w:tcBorders>
              <w:bottom w:val="single" w:sz="4"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8</w:t>
            </w:r>
          </w:p>
        </w:tc>
        <w:tc>
          <w:tcPr>
            <w:tcW w:w="270" w:type="pct"/>
            <w:tcBorders>
              <w:bottom w:val="single" w:sz="4"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8</w:t>
            </w:r>
          </w:p>
        </w:tc>
        <w:tc>
          <w:tcPr>
            <w:tcW w:w="270" w:type="pct"/>
            <w:tcBorders>
              <w:bottom w:val="single" w:sz="4"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8</w:t>
            </w:r>
          </w:p>
        </w:tc>
        <w:tc>
          <w:tcPr>
            <w:tcW w:w="269" w:type="pct"/>
            <w:tcBorders>
              <w:bottom w:val="single" w:sz="4"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8</w:t>
            </w:r>
          </w:p>
        </w:tc>
        <w:tc>
          <w:tcPr>
            <w:tcW w:w="270" w:type="pct"/>
            <w:tcBorders>
              <w:bottom w:val="single" w:sz="4"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8</w:t>
            </w:r>
          </w:p>
        </w:tc>
        <w:tc>
          <w:tcPr>
            <w:tcW w:w="269" w:type="pct"/>
            <w:tcBorders>
              <w:bottom w:val="single" w:sz="4"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10</w:t>
            </w:r>
          </w:p>
        </w:tc>
        <w:tc>
          <w:tcPr>
            <w:tcW w:w="270" w:type="pct"/>
            <w:tcBorders>
              <w:bottom w:val="single" w:sz="4"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10</w:t>
            </w:r>
          </w:p>
        </w:tc>
        <w:tc>
          <w:tcPr>
            <w:tcW w:w="269" w:type="pct"/>
            <w:tcBorders>
              <w:bottom w:val="single" w:sz="4"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12</w:t>
            </w:r>
          </w:p>
        </w:tc>
        <w:tc>
          <w:tcPr>
            <w:tcW w:w="270" w:type="pct"/>
            <w:tcBorders>
              <w:bottom w:val="single" w:sz="4"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12</w:t>
            </w:r>
          </w:p>
        </w:tc>
        <w:tc>
          <w:tcPr>
            <w:tcW w:w="343" w:type="pct"/>
            <w:tcBorders>
              <w:bottom w:val="single" w:sz="4"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r>
      <w:tr w:rsidR="001771B8" w:rsidRPr="00262910" w:rsidTr="00FB53CF">
        <w:tc>
          <w:tcPr>
            <w:tcW w:w="1152" w:type="pct"/>
            <w:tcBorders>
              <w:top w:val="single" w:sz="4" w:space="0" w:color="auto"/>
              <w:bottom w:val="single" w:sz="12" w:space="0" w:color="auto"/>
            </w:tcBorders>
            <w:shd w:val="clear" w:color="auto" w:fill="auto"/>
            <w:noWrap/>
            <w:hideMark/>
          </w:tcPr>
          <w:p w:rsidR="001771B8" w:rsidRPr="00262910" w:rsidRDefault="001771B8" w:rsidP="003D5858">
            <w:pPr>
              <w:pStyle w:val="SingleTxtG"/>
              <w:suppressAutoHyphens w:val="0"/>
              <w:spacing w:before="80" w:after="80" w:line="220" w:lineRule="exact"/>
              <w:ind w:left="283" w:right="0"/>
              <w:jc w:val="left"/>
              <w:rPr>
                <w:b/>
                <w:bCs/>
                <w:sz w:val="18"/>
                <w:lang w:val="fr-FR"/>
              </w:rPr>
            </w:pPr>
            <w:r w:rsidRPr="00262910">
              <w:rPr>
                <w:b/>
                <w:bCs/>
                <w:sz w:val="18"/>
                <w:lang w:val="fr-FR"/>
              </w:rPr>
              <w:t>Total des recettes fiscales tous déciles confondus, en milliards de</w:t>
            </w:r>
            <w:r>
              <w:rPr>
                <w:b/>
                <w:bCs/>
                <w:sz w:val="18"/>
                <w:lang w:val="fr-FR"/>
              </w:rPr>
              <w:t xml:space="preserve"> </w:t>
            </w:r>
            <w:r w:rsidR="003D5858" w:rsidRPr="003D5858">
              <w:rPr>
                <w:b/>
                <w:bCs/>
                <w:sz w:val="18"/>
                <w:lang w:val="fr-FR"/>
              </w:rPr>
              <w:t>NKr</w:t>
            </w:r>
            <w:r w:rsidRPr="003D5858">
              <w:rPr>
                <w:b/>
                <w:bCs/>
                <w:lang w:val="fr-FR"/>
              </w:rPr>
              <w:t>*</w:t>
            </w:r>
          </w:p>
        </w:tc>
        <w:tc>
          <w:tcPr>
            <w:tcW w:w="269" w:type="pct"/>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20" w:lineRule="exact"/>
              <w:ind w:left="0" w:right="0"/>
              <w:jc w:val="right"/>
              <w:rPr>
                <w:b/>
                <w:sz w:val="18"/>
                <w:lang w:val="fr-FR"/>
              </w:rPr>
            </w:pPr>
            <w:r w:rsidRPr="00262910">
              <w:rPr>
                <w:b/>
                <w:sz w:val="18"/>
                <w:lang w:val="fr-FR"/>
              </w:rPr>
              <w:t>301</w:t>
            </w:r>
            <w:r>
              <w:rPr>
                <w:b/>
                <w:sz w:val="18"/>
                <w:lang w:val="fr-FR"/>
              </w:rPr>
              <w:t>,</w:t>
            </w:r>
            <w:r w:rsidRPr="00262910">
              <w:rPr>
                <w:b/>
                <w:sz w:val="18"/>
                <w:lang w:val="fr-FR"/>
              </w:rPr>
              <w:t>9</w:t>
            </w:r>
          </w:p>
        </w:tc>
        <w:tc>
          <w:tcPr>
            <w:tcW w:w="271" w:type="pct"/>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20" w:lineRule="exact"/>
              <w:ind w:left="0" w:right="0"/>
              <w:jc w:val="right"/>
              <w:rPr>
                <w:b/>
                <w:sz w:val="18"/>
                <w:lang w:val="fr-FR"/>
              </w:rPr>
            </w:pPr>
            <w:r w:rsidRPr="00262910">
              <w:rPr>
                <w:b/>
                <w:sz w:val="18"/>
                <w:lang w:val="fr-FR"/>
              </w:rPr>
              <w:t>320</w:t>
            </w:r>
            <w:r>
              <w:rPr>
                <w:b/>
                <w:sz w:val="18"/>
                <w:lang w:val="fr-FR"/>
              </w:rPr>
              <w:t>,</w:t>
            </w:r>
            <w:r w:rsidRPr="00262910">
              <w:rPr>
                <w:b/>
                <w:sz w:val="18"/>
                <w:lang w:val="fr-FR"/>
              </w:rPr>
              <w:t>5</w:t>
            </w:r>
          </w:p>
        </w:tc>
        <w:tc>
          <w:tcPr>
            <w:tcW w:w="269" w:type="pct"/>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20" w:lineRule="exact"/>
              <w:ind w:left="0" w:right="0"/>
              <w:jc w:val="right"/>
              <w:rPr>
                <w:b/>
                <w:sz w:val="18"/>
                <w:lang w:val="fr-FR"/>
              </w:rPr>
            </w:pPr>
            <w:r w:rsidRPr="00262910">
              <w:rPr>
                <w:b/>
                <w:sz w:val="18"/>
                <w:lang w:val="fr-FR"/>
              </w:rPr>
              <w:t>333</w:t>
            </w:r>
            <w:r>
              <w:rPr>
                <w:b/>
                <w:sz w:val="18"/>
                <w:lang w:val="fr-FR"/>
              </w:rPr>
              <w:t>,</w:t>
            </w:r>
            <w:r w:rsidRPr="00262910">
              <w:rPr>
                <w:b/>
                <w:sz w:val="18"/>
                <w:lang w:val="fr-FR"/>
              </w:rPr>
              <w:t>6</w:t>
            </w:r>
          </w:p>
        </w:tc>
        <w:tc>
          <w:tcPr>
            <w:tcW w:w="271" w:type="pct"/>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20" w:lineRule="exact"/>
              <w:ind w:left="0" w:right="0"/>
              <w:jc w:val="right"/>
              <w:rPr>
                <w:b/>
                <w:sz w:val="18"/>
                <w:lang w:val="fr-FR"/>
              </w:rPr>
            </w:pPr>
            <w:r w:rsidRPr="00262910">
              <w:rPr>
                <w:b/>
                <w:sz w:val="18"/>
                <w:lang w:val="fr-FR"/>
              </w:rPr>
              <w:t>352</w:t>
            </w:r>
            <w:r>
              <w:rPr>
                <w:b/>
                <w:sz w:val="18"/>
                <w:lang w:val="fr-FR"/>
              </w:rPr>
              <w:t>,</w:t>
            </w:r>
            <w:r w:rsidRPr="00262910">
              <w:rPr>
                <w:b/>
                <w:sz w:val="18"/>
                <w:lang w:val="fr-FR"/>
              </w:rPr>
              <w:t>2</w:t>
            </w:r>
          </w:p>
        </w:tc>
        <w:tc>
          <w:tcPr>
            <w:tcW w:w="269" w:type="pct"/>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20" w:lineRule="exact"/>
              <w:ind w:left="0" w:right="0"/>
              <w:jc w:val="right"/>
              <w:rPr>
                <w:b/>
                <w:sz w:val="18"/>
                <w:lang w:val="fr-FR"/>
              </w:rPr>
            </w:pPr>
            <w:r w:rsidRPr="00262910">
              <w:rPr>
                <w:b/>
                <w:sz w:val="18"/>
                <w:lang w:val="fr-FR"/>
              </w:rPr>
              <w:t>374</w:t>
            </w:r>
            <w:r>
              <w:rPr>
                <w:b/>
                <w:sz w:val="18"/>
                <w:lang w:val="fr-FR"/>
              </w:rPr>
              <w:t>,</w:t>
            </w:r>
            <w:r w:rsidRPr="00262910">
              <w:rPr>
                <w:b/>
                <w:sz w:val="18"/>
                <w:lang w:val="fr-FR"/>
              </w:rPr>
              <w:t>5</w:t>
            </w:r>
          </w:p>
        </w:tc>
        <w:tc>
          <w:tcPr>
            <w:tcW w:w="270" w:type="pct"/>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20" w:lineRule="exact"/>
              <w:ind w:left="0" w:right="0"/>
              <w:jc w:val="right"/>
              <w:rPr>
                <w:b/>
                <w:sz w:val="18"/>
                <w:lang w:val="fr-FR"/>
              </w:rPr>
            </w:pPr>
            <w:r w:rsidRPr="00262910">
              <w:rPr>
                <w:b/>
                <w:sz w:val="18"/>
                <w:lang w:val="fr-FR"/>
              </w:rPr>
              <w:t>396</w:t>
            </w:r>
            <w:r>
              <w:rPr>
                <w:b/>
                <w:sz w:val="18"/>
                <w:lang w:val="fr-FR"/>
              </w:rPr>
              <w:t>,</w:t>
            </w:r>
            <w:r w:rsidRPr="00262910">
              <w:rPr>
                <w:b/>
                <w:sz w:val="18"/>
                <w:lang w:val="fr-FR"/>
              </w:rPr>
              <w:t>9</w:t>
            </w:r>
          </w:p>
        </w:tc>
        <w:tc>
          <w:tcPr>
            <w:tcW w:w="270" w:type="pct"/>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20" w:lineRule="exact"/>
              <w:ind w:left="0" w:right="0"/>
              <w:jc w:val="right"/>
              <w:rPr>
                <w:b/>
                <w:sz w:val="18"/>
                <w:lang w:val="fr-FR"/>
              </w:rPr>
            </w:pPr>
            <w:r w:rsidRPr="00262910">
              <w:rPr>
                <w:b/>
                <w:sz w:val="18"/>
                <w:lang w:val="fr-FR"/>
              </w:rPr>
              <w:t>418</w:t>
            </w:r>
            <w:r>
              <w:rPr>
                <w:b/>
                <w:sz w:val="18"/>
                <w:lang w:val="fr-FR"/>
              </w:rPr>
              <w:t>,</w:t>
            </w:r>
            <w:r w:rsidRPr="00262910">
              <w:rPr>
                <w:b/>
                <w:sz w:val="18"/>
                <w:lang w:val="fr-FR"/>
              </w:rPr>
              <w:t>3</w:t>
            </w:r>
          </w:p>
        </w:tc>
        <w:tc>
          <w:tcPr>
            <w:tcW w:w="269" w:type="pct"/>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20" w:lineRule="exact"/>
              <w:ind w:left="0" w:right="0"/>
              <w:jc w:val="right"/>
              <w:rPr>
                <w:b/>
                <w:sz w:val="18"/>
                <w:lang w:val="fr-FR"/>
              </w:rPr>
            </w:pPr>
            <w:r w:rsidRPr="00262910">
              <w:rPr>
                <w:b/>
                <w:sz w:val="18"/>
                <w:lang w:val="fr-FR"/>
              </w:rPr>
              <w:t>433</w:t>
            </w:r>
            <w:r>
              <w:rPr>
                <w:b/>
                <w:sz w:val="18"/>
                <w:lang w:val="fr-FR"/>
              </w:rPr>
              <w:t>,</w:t>
            </w:r>
            <w:r w:rsidRPr="00262910">
              <w:rPr>
                <w:b/>
                <w:sz w:val="18"/>
                <w:lang w:val="fr-FR"/>
              </w:rPr>
              <w:t>8</w:t>
            </w:r>
          </w:p>
        </w:tc>
        <w:tc>
          <w:tcPr>
            <w:tcW w:w="270" w:type="pct"/>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20" w:lineRule="exact"/>
              <w:ind w:left="0" w:right="0"/>
              <w:jc w:val="right"/>
              <w:rPr>
                <w:b/>
                <w:sz w:val="18"/>
                <w:lang w:val="fr-FR"/>
              </w:rPr>
            </w:pPr>
            <w:r w:rsidRPr="00262910">
              <w:rPr>
                <w:b/>
                <w:sz w:val="18"/>
                <w:lang w:val="fr-FR"/>
              </w:rPr>
              <w:t>466</w:t>
            </w:r>
            <w:r>
              <w:rPr>
                <w:b/>
                <w:sz w:val="18"/>
                <w:lang w:val="fr-FR"/>
              </w:rPr>
              <w:t>,</w:t>
            </w:r>
            <w:r w:rsidRPr="00262910">
              <w:rPr>
                <w:b/>
                <w:sz w:val="18"/>
                <w:lang w:val="fr-FR"/>
              </w:rPr>
              <w:t>1</w:t>
            </w:r>
          </w:p>
        </w:tc>
        <w:tc>
          <w:tcPr>
            <w:tcW w:w="269" w:type="pct"/>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20" w:lineRule="exact"/>
              <w:ind w:left="0" w:right="0"/>
              <w:jc w:val="right"/>
              <w:rPr>
                <w:b/>
                <w:sz w:val="18"/>
                <w:lang w:val="fr-FR"/>
              </w:rPr>
            </w:pPr>
            <w:r w:rsidRPr="00262910">
              <w:rPr>
                <w:b/>
                <w:sz w:val="18"/>
                <w:lang w:val="fr-FR"/>
              </w:rPr>
              <w:t>468</w:t>
            </w:r>
            <w:r>
              <w:rPr>
                <w:b/>
                <w:sz w:val="18"/>
                <w:lang w:val="fr-FR"/>
              </w:rPr>
              <w:t>,</w:t>
            </w:r>
            <w:r w:rsidRPr="00262910">
              <w:rPr>
                <w:b/>
                <w:sz w:val="18"/>
                <w:lang w:val="fr-FR"/>
              </w:rPr>
              <w:t>8</w:t>
            </w:r>
          </w:p>
        </w:tc>
        <w:tc>
          <w:tcPr>
            <w:tcW w:w="270" w:type="pct"/>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20" w:lineRule="exact"/>
              <w:ind w:left="0" w:right="0"/>
              <w:jc w:val="right"/>
              <w:rPr>
                <w:b/>
                <w:sz w:val="18"/>
                <w:lang w:val="fr-FR"/>
              </w:rPr>
            </w:pPr>
            <w:r w:rsidRPr="00262910">
              <w:rPr>
                <w:b/>
                <w:sz w:val="18"/>
                <w:lang w:val="fr-FR"/>
              </w:rPr>
              <w:t>480</w:t>
            </w:r>
            <w:r>
              <w:rPr>
                <w:b/>
                <w:sz w:val="18"/>
                <w:lang w:val="fr-FR"/>
              </w:rPr>
              <w:t>,</w:t>
            </w:r>
            <w:r w:rsidRPr="00262910">
              <w:rPr>
                <w:b/>
                <w:sz w:val="18"/>
                <w:lang w:val="fr-FR"/>
              </w:rPr>
              <w:t>8</w:t>
            </w:r>
          </w:p>
        </w:tc>
        <w:tc>
          <w:tcPr>
            <w:tcW w:w="269" w:type="pct"/>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20" w:lineRule="exact"/>
              <w:ind w:left="0" w:right="0"/>
              <w:jc w:val="right"/>
              <w:rPr>
                <w:b/>
                <w:sz w:val="18"/>
                <w:lang w:val="fr-FR"/>
              </w:rPr>
            </w:pPr>
            <w:r w:rsidRPr="00262910">
              <w:rPr>
                <w:b/>
                <w:sz w:val="18"/>
                <w:lang w:val="fr-FR"/>
              </w:rPr>
              <w:t>-</w:t>
            </w:r>
          </w:p>
        </w:tc>
        <w:tc>
          <w:tcPr>
            <w:tcW w:w="270" w:type="pct"/>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20" w:lineRule="exact"/>
              <w:ind w:left="0" w:right="0"/>
              <w:jc w:val="right"/>
              <w:rPr>
                <w:b/>
                <w:sz w:val="18"/>
                <w:lang w:val="fr-FR"/>
              </w:rPr>
            </w:pPr>
            <w:r w:rsidRPr="00262910">
              <w:rPr>
                <w:b/>
                <w:sz w:val="18"/>
                <w:lang w:val="fr-FR"/>
              </w:rPr>
              <w:t>-</w:t>
            </w:r>
          </w:p>
        </w:tc>
        <w:tc>
          <w:tcPr>
            <w:tcW w:w="343" w:type="pct"/>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20" w:lineRule="exact"/>
              <w:ind w:left="0" w:right="0"/>
              <w:jc w:val="right"/>
              <w:rPr>
                <w:b/>
                <w:sz w:val="18"/>
                <w:lang w:val="fr-FR"/>
              </w:rPr>
            </w:pPr>
          </w:p>
        </w:tc>
      </w:tr>
      <w:tr w:rsidR="001771B8" w:rsidRPr="00262910" w:rsidTr="00FB53CF">
        <w:tc>
          <w:tcPr>
            <w:tcW w:w="1152" w:type="pct"/>
            <w:tcBorders>
              <w:top w:val="single" w:sz="12" w:space="0" w:color="auto"/>
              <w:bottom w:val="single" w:sz="12" w:space="0" w:color="auto"/>
            </w:tcBorders>
            <w:shd w:val="clear" w:color="auto" w:fill="auto"/>
            <w:noWrap/>
            <w:hideMark/>
          </w:tcPr>
          <w:p w:rsidR="001771B8" w:rsidRPr="00262910" w:rsidRDefault="001771B8" w:rsidP="001771B8">
            <w:pPr>
              <w:pStyle w:val="SingleTxtG"/>
              <w:suppressAutoHyphens w:val="0"/>
              <w:spacing w:before="40" w:after="40" w:line="220" w:lineRule="exact"/>
              <w:ind w:left="0" w:right="0"/>
              <w:jc w:val="left"/>
              <w:rPr>
                <w:bCs/>
                <w:sz w:val="18"/>
                <w:lang w:val="fr-FR"/>
              </w:rPr>
            </w:pPr>
            <w:r w:rsidRPr="00262910">
              <w:rPr>
                <w:bCs/>
                <w:sz w:val="18"/>
                <w:lang w:val="fr-FR"/>
              </w:rPr>
              <w:t>P</w:t>
            </w:r>
            <w:r>
              <w:rPr>
                <w:bCs/>
                <w:sz w:val="18"/>
                <w:lang w:val="fr-FR"/>
              </w:rPr>
              <w:t xml:space="preserve">ourcentage </w:t>
            </w:r>
            <w:r w:rsidRPr="00262910">
              <w:rPr>
                <w:bCs/>
                <w:sz w:val="18"/>
                <w:lang w:val="fr-FR"/>
              </w:rPr>
              <w:t xml:space="preserve">du total des recettes perçues </w:t>
            </w:r>
            <w:r>
              <w:rPr>
                <w:bCs/>
                <w:sz w:val="18"/>
                <w:lang w:val="fr-FR"/>
              </w:rPr>
              <w:t xml:space="preserve">sur le </w:t>
            </w:r>
            <w:r w:rsidRPr="00262910">
              <w:rPr>
                <w:bCs/>
                <w:sz w:val="18"/>
                <w:lang w:val="fr-FR"/>
              </w:rPr>
              <w:t>10</w:t>
            </w:r>
            <w:r w:rsidRPr="00C16D06">
              <w:rPr>
                <w:bCs/>
                <w:sz w:val="18"/>
                <w:vertAlign w:val="superscript"/>
                <w:lang w:val="fr-FR"/>
              </w:rPr>
              <w:t>e</w:t>
            </w:r>
            <w:r w:rsidR="00017523">
              <w:rPr>
                <w:bCs/>
                <w:sz w:val="18"/>
                <w:vertAlign w:val="superscript"/>
                <w:lang w:val="fr-FR"/>
              </w:rPr>
              <w:t> </w:t>
            </w:r>
            <w:r w:rsidRPr="00262910">
              <w:rPr>
                <w:bCs/>
                <w:sz w:val="18"/>
                <w:lang w:val="fr-FR"/>
              </w:rPr>
              <w:t>décile</w:t>
            </w:r>
          </w:p>
        </w:tc>
        <w:tc>
          <w:tcPr>
            <w:tcW w:w="269" w:type="pct"/>
            <w:tcBorders>
              <w:top w:val="single" w:sz="12"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38</w:t>
            </w:r>
            <w:r>
              <w:rPr>
                <w:sz w:val="18"/>
                <w:lang w:val="fr-FR"/>
              </w:rPr>
              <w:t>,</w:t>
            </w:r>
            <w:r w:rsidRPr="00262910">
              <w:rPr>
                <w:sz w:val="18"/>
                <w:lang w:val="fr-FR"/>
              </w:rPr>
              <w:t>4</w:t>
            </w:r>
          </w:p>
        </w:tc>
        <w:tc>
          <w:tcPr>
            <w:tcW w:w="271" w:type="pct"/>
            <w:tcBorders>
              <w:top w:val="single" w:sz="12"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37</w:t>
            </w:r>
            <w:r>
              <w:rPr>
                <w:sz w:val="18"/>
                <w:lang w:val="fr-FR"/>
              </w:rPr>
              <w:t>,</w:t>
            </w:r>
            <w:r w:rsidRPr="00262910">
              <w:rPr>
                <w:sz w:val="18"/>
                <w:lang w:val="fr-FR"/>
              </w:rPr>
              <w:t>9</w:t>
            </w:r>
          </w:p>
        </w:tc>
        <w:tc>
          <w:tcPr>
            <w:tcW w:w="269" w:type="pct"/>
            <w:tcBorders>
              <w:top w:val="single" w:sz="12"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37</w:t>
            </w:r>
            <w:r>
              <w:rPr>
                <w:sz w:val="18"/>
                <w:lang w:val="fr-FR"/>
              </w:rPr>
              <w:t>,</w:t>
            </w:r>
            <w:r w:rsidRPr="00262910">
              <w:rPr>
                <w:sz w:val="18"/>
                <w:lang w:val="fr-FR"/>
              </w:rPr>
              <w:t>5</w:t>
            </w:r>
          </w:p>
        </w:tc>
        <w:tc>
          <w:tcPr>
            <w:tcW w:w="271" w:type="pct"/>
            <w:tcBorders>
              <w:top w:val="single" w:sz="12"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38</w:t>
            </w:r>
            <w:r>
              <w:rPr>
                <w:sz w:val="18"/>
                <w:lang w:val="fr-FR"/>
              </w:rPr>
              <w:t>,</w:t>
            </w:r>
            <w:r w:rsidRPr="00262910">
              <w:rPr>
                <w:sz w:val="18"/>
                <w:lang w:val="fr-FR"/>
              </w:rPr>
              <w:t>0</w:t>
            </w:r>
          </w:p>
        </w:tc>
        <w:tc>
          <w:tcPr>
            <w:tcW w:w="269" w:type="pct"/>
            <w:tcBorders>
              <w:top w:val="single" w:sz="12"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38</w:t>
            </w:r>
            <w:r>
              <w:rPr>
                <w:sz w:val="18"/>
                <w:lang w:val="fr-FR"/>
              </w:rPr>
              <w:t>,</w:t>
            </w:r>
            <w:r w:rsidRPr="00262910">
              <w:rPr>
                <w:sz w:val="18"/>
                <w:lang w:val="fr-FR"/>
              </w:rPr>
              <w:t>5</w:t>
            </w:r>
          </w:p>
        </w:tc>
        <w:tc>
          <w:tcPr>
            <w:tcW w:w="270" w:type="pct"/>
            <w:tcBorders>
              <w:top w:val="single" w:sz="12"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38</w:t>
            </w:r>
            <w:r>
              <w:rPr>
                <w:sz w:val="18"/>
                <w:lang w:val="fr-FR"/>
              </w:rPr>
              <w:t>,</w:t>
            </w:r>
            <w:r w:rsidRPr="00262910">
              <w:rPr>
                <w:sz w:val="18"/>
                <w:lang w:val="fr-FR"/>
              </w:rPr>
              <w:t>4</w:t>
            </w:r>
          </w:p>
        </w:tc>
        <w:tc>
          <w:tcPr>
            <w:tcW w:w="270" w:type="pct"/>
            <w:tcBorders>
              <w:top w:val="single" w:sz="12"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38</w:t>
            </w:r>
            <w:r>
              <w:rPr>
                <w:sz w:val="18"/>
                <w:lang w:val="fr-FR"/>
              </w:rPr>
              <w:t>,</w:t>
            </w:r>
            <w:r w:rsidRPr="00262910">
              <w:rPr>
                <w:sz w:val="18"/>
                <w:lang w:val="fr-FR"/>
              </w:rPr>
              <w:t>5</w:t>
            </w:r>
          </w:p>
        </w:tc>
        <w:tc>
          <w:tcPr>
            <w:tcW w:w="269" w:type="pct"/>
            <w:tcBorders>
              <w:top w:val="single" w:sz="12"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38</w:t>
            </w:r>
            <w:r>
              <w:rPr>
                <w:sz w:val="18"/>
                <w:lang w:val="fr-FR"/>
              </w:rPr>
              <w:t>,</w:t>
            </w:r>
            <w:r w:rsidRPr="00262910">
              <w:rPr>
                <w:sz w:val="18"/>
                <w:lang w:val="fr-FR"/>
              </w:rPr>
              <w:t>6</w:t>
            </w:r>
          </w:p>
        </w:tc>
        <w:tc>
          <w:tcPr>
            <w:tcW w:w="270" w:type="pct"/>
            <w:tcBorders>
              <w:top w:val="single" w:sz="12"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39</w:t>
            </w:r>
            <w:r>
              <w:rPr>
                <w:sz w:val="18"/>
                <w:lang w:val="fr-FR"/>
              </w:rPr>
              <w:t>,</w:t>
            </w:r>
            <w:r w:rsidRPr="00262910">
              <w:rPr>
                <w:sz w:val="18"/>
                <w:lang w:val="fr-FR"/>
              </w:rPr>
              <w:t>4</w:t>
            </w:r>
          </w:p>
        </w:tc>
        <w:tc>
          <w:tcPr>
            <w:tcW w:w="269" w:type="pct"/>
            <w:tcBorders>
              <w:top w:val="single" w:sz="12"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38</w:t>
            </w:r>
            <w:r>
              <w:rPr>
                <w:sz w:val="18"/>
                <w:lang w:val="fr-FR"/>
              </w:rPr>
              <w:t>,</w:t>
            </w:r>
            <w:r w:rsidRPr="00262910">
              <w:rPr>
                <w:sz w:val="18"/>
                <w:lang w:val="fr-FR"/>
              </w:rPr>
              <w:t>5</w:t>
            </w:r>
          </w:p>
        </w:tc>
        <w:tc>
          <w:tcPr>
            <w:tcW w:w="270" w:type="pct"/>
            <w:tcBorders>
              <w:top w:val="single" w:sz="12"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38</w:t>
            </w:r>
            <w:r>
              <w:rPr>
                <w:sz w:val="18"/>
                <w:lang w:val="fr-FR"/>
              </w:rPr>
              <w:t>,</w:t>
            </w:r>
            <w:r w:rsidRPr="00262910">
              <w:rPr>
                <w:sz w:val="18"/>
                <w:lang w:val="fr-FR"/>
              </w:rPr>
              <w:t>8</w:t>
            </w:r>
          </w:p>
        </w:tc>
        <w:tc>
          <w:tcPr>
            <w:tcW w:w="269" w:type="pct"/>
            <w:tcBorders>
              <w:top w:val="single" w:sz="12"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w:t>
            </w:r>
          </w:p>
        </w:tc>
        <w:tc>
          <w:tcPr>
            <w:tcW w:w="270" w:type="pct"/>
            <w:tcBorders>
              <w:top w:val="single" w:sz="12"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w:t>
            </w:r>
          </w:p>
        </w:tc>
        <w:tc>
          <w:tcPr>
            <w:tcW w:w="343" w:type="pct"/>
            <w:tcBorders>
              <w:top w:val="single" w:sz="12"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38</w:t>
            </w:r>
            <w:r>
              <w:rPr>
                <w:sz w:val="18"/>
                <w:lang w:val="fr-FR"/>
              </w:rPr>
              <w:t>,</w:t>
            </w:r>
            <w:r w:rsidRPr="00262910">
              <w:rPr>
                <w:sz w:val="18"/>
                <w:lang w:val="fr-FR"/>
              </w:rPr>
              <w:t>4</w:t>
            </w:r>
          </w:p>
        </w:tc>
      </w:tr>
    </w:tbl>
    <w:p w:rsidR="001771B8" w:rsidRPr="00262910" w:rsidRDefault="001771B8" w:rsidP="001771B8">
      <w:pPr>
        <w:pStyle w:val="SingleTxtG"/>
        <w:spacing w:before="120" w:after="0" w:line="220" w:lineRule="exact"/>
        <w:ind w:left="0" w:right="0" w:firstLine="170"/>
        <w:jc w:val="left"/>
        <w:rPr>
          <w:sz w:val="18"/>
          <w:lang w:val="fr-FR"/>
        </w:rPr>
      </w:pPr>
      <w:r w:rsidRPr="00262910">
        <w:rPr>
          <w:i/>
          <w:sz w:val="18"/>
          <w:lang w:val="fr-FR"/>
        </w:rPr>
        <w:t>Source</w:t>
      </w:r>
      <w:r w:rsidR="00017523">
        <w:rPr>
          <w:i/>
          <w:sz w:val="18"/>
          <w:lang w:val="fr-FR"/>
        </w:rPr>
        <w:t> </w:t>
      </w:r>
      <w:r w:rsidRPr="00262910">
        <w:rPr>
          <w:sz w:val="18"/>
          <w:lang w:val="fr-FR"/>
        </w:rPr>
        <w:t xml:space="preserve">: Ministère </w:t>
      </w:r>
      <w:r>
        <w:rPr>
          <w:sz w:val="18"/>
          <w:lang w:val="fr-FR"/>
        </w:rPr>
        <w:t xml:space="preserve">des </w:t>
      </w:r>
      <w:r w:rsidRPr="00262910">
        <w:rPr>
          <w:sz w:val="18"/>
          <w:lang w:val="fr-FR"/>
        </w:rPr>
        <w:t>finances</w:t>
      </w:r>
      <w:r>
        <w:rPr>
          <w:sz w:val="18"/>
          <w:lang w:val="fr-FR"/>
        </w:rPr>
        <w:t xml:space="preserve"> </w:t>
      </w:r>
      <w:r w:rsidRPr="00262910">
        <w:rPr>
          <w:sz w:val="18"/>
          <w:lang w:val="fr-FR"/>
        </w:rPr>
        <w:t>et Bureau norvégien de statistique.</w:t>
      </w:r>
    </w:p>
    <w:p w:rsidR="001771B8" w:rsidRPr="00262910" w:rsidRDefault="001771B8" w:rsidP="001771B8">
      <w:pPr>
        <w:pStyle w:val="SingleTxtG"/>
        <w:tabs>
          <w:tab w:val="left" w:pos="426"/>
          <w:tab w:val="left" w:pos="567"/>
          <w:tab w:val="left" w:pos="851"/>
        </w:tabs>
        <w:spacing w:after="0" w:line="220" w:lineRule="exact"/>
        <w:ind w:left="0" w:right="0" w:firstLine="170"/>
        <w:jc w:val="left"/>
        <w:rPr>
          <w:sz w:val="18"/>
          <w:lang w:val="fr-FR"/>
        </w:rPr>
      </w:pPr>
      <w:r w:rsidRPr="00017523">
        <w:rPr>
          <w:lang w:val="fr-FR"/>
        </w:rPr>
        <w:t>*</w:t>
      </w:r>
      <w:r w:rsidRPr="00262910">
        <w:rPr>
          <w:sz w:val="18"/>
          <w:lang w:val="fr-FR"/>
        </w:rPr>
        <w:t xml:space="preserve"> </w:t>
      </w:r>
      <w:r w:rsidR="00017523">
        <w:rPr>
          <w:sz w:val="18"/>
          <w:lang w:val="fr-FR"/>
        </w:rPr>
        <w:t xml:space="preserve"> </w:t>
      </w:r>
      <w:r>
        <w:rPr>
          <w:sz w:val="18"/>
          <w:lang w:val="fr-FR"/>
        </w:rPr>
        <w:t xml:space="preserve">Total des </w:t>
      </w:r>
      <w:r w:rsidRPr="00262910">
        <w:rPr>
          <w:sz w:val="18"/>
          <w:lang w:val="fr-FR"/>
        </w:rPr>
        <w:t xml:space="preserve">recettes provenant de tous les impôts directs </w:t>
      </w:r>
      <w:r>
        <w:rPr>
          <w:sz w:val="18"/>
          <w:lang w:val="fr-FR"/>
        </w:rPr>
        <w:t>perçus sur les personnes physiques</w:t>
      </w:r>
      <w:r w:rsidRPr="00262910">
        <w:rPr>
          <w:sz w:val="18"/>
          <w:lang w:val="fr-FR"/>
        </w:rPr>
        <w:t xml:space="preserve">, </w:t>
      </w:r>
      <w:r>
        <w:rPr>
          <w:sz w:val="18"/>
          <w:lang w:val="fr-FR"/>
        </w:rPr>
        <w:t xml:space="preserve">à savoir </w:t>
      </w:r>
      <w:r w:rsidRPr="00262910">
        <w:rPr>
          <w:sz w:val="18"/>
          <w:lang w:val="fr-FR"/>
        </w:rPr>
        <w:t xml:space="preserve">la part des salariés dans les cotisations de sécurité sociale, </w:t>
      </w:r>
      <w:r>
        <w:rPr>
          <w:sz w:val="18"/>
          <w:lang w:val="fr-FR"/>
        </w:rPr>
        <w:t>les tranches surtaxées</w:t>
      </w:r>
      <w:r w:rsidRPr="0059347A">
        <w:rPr>
          <w:sz w:val="18"/>
          <w:lang w:val="fr-FR"/>
        </w:rPr>
        <w:t>, l</w:t>
      </w:r>
      <w:r>
        <w:rPr>
          <w:sz w:val="18"/>
          <w:lang w:val="fr-FR"/>
        </w:rPr>
        <w:t>’</w:t>
      </w:r>
      <w:r w:rsidRPr="0059347A">
        <w:rPr>
          <w:sz w:val="18"/>
          <w:lang w:val="fr-FR"/>
        </w:rPr>
        <w:t>impôt sur le revenu ordinaire</w:t>
      </w:r>
      <w:r w:rsidRPr="00262910">
        <w:rPr>
          <w:sz w:val="18"/>
          <w:lang w:val="fr-FR"/>
        </w:rPr>
        <w:t>, l</w:t>
      </w:r>
      <w:r>
        <w:rPr>
          <w:sz w:val="18"/>
          <w:lang w:val="fr-FR"/>
        </w:rPr>
        <w:t>’</w:t>
      </w:r>
      <w:r w:rsidRPr="00262910">
        <w:rPr>
          <w:sz w:val="18"/>
          <w:lang w:val="fr-FR"/>
        </w:rPr>
        <w:t>impôt foncier et l</w:t>
      </w:r>
      <w:r>
        <w:rPr>
          <w:sz w:val="18"/>
          <w:lang w:val="fr-FR"/>
        </w:rPr>
        <w:t>’</w:t>
      </w:r>
      <w:r w:rsidRPr="00262910">
        <w:rPr>
          <w:sz w:val="18"/>
          <w:lang w:val="fr-FR"/>
        </w:rPr>
        <w:t>impôt sur la fortune.</w:t>
      </w:r>
    </w:p>
    <w:p w:rsidR="001771B8" w:rsidRPr="00262910" w:rsidRDefault="001771B8" w:rsidP="00017523">
      <w:pPr>
        <w:pStyle w:val="H1G"/>
        <w:rPr>
          <w:lang w:val="fr-FR"/>
        </w:rPr>
      </w:pPr>
      <w:r w:rsidRPr="00262910">
        <w:rPr>
          <w:lang w:val="fr-FR"/>
        </w:rPr>
        <w:tab/>
      </w:r>
      <w:r w:rsidRPr="00262910">
        <w:rPr>
          <w:lang w:val="fr-FR"/>
        </w:rPr>
        <w:tab/>
        <w:t>Réponse au paragraphe 10 d) de la liste de points</w:t>
      </w:r>
    </w:p>
    <w:p w:rsidR="001771B8" w:rsidRPr="00262910" w:rsidRDefault="001771B8" w:rsidP="001771B8">
      <w:pPr>
        <w:pStyle w:val="SingleTxtG"/>
        <w:rPr>
          <w:lang w:val="fr-FR"/>
        </w:rPr>
      </w:pPr>
      <w:r w:rsidRPr="00262910">
        <w:rPr>
          <w:lang w:val="fr-FR"/>
        </w:rPr>
        <w:t>75.</w:t>
      </w:r>
      <w:r w:rsidRPr="00262910">
        <w:rPr>
          <w:lang w:val="fr-FR"/>
        </w:rPr>
        <w:tab/>
      </w:r>
      <w:r>
        <w:rPr>
          <w:lang w:val="fr-FR"/>
        </w:rPr>
        <w:t xml:space="preserve">Part des </w:t>
      </w:r>
      <w:r w:rsidRPr="00262910">
        <w:rPr>
          <w:lang w:val="fr-FR"/>
        </w:rPr>
        <w:t xml:space="preserve">dépenses publiques </w:t>
      </w:r>
      <w:r>
        <w:rPr>
          <w:lang w:val="fr-FR"/>
        </w:rPr>
        <w:t xml:space="preserve">dans le </w:t>
      </w:r>
      <w:r w:rsidRPr="00262910">
        <w:rPr>
          <w:lang w:val="fr-FR"/>
        </w:rPr>
        <w:t>produit intérieur brut</w:t>
      </w:r>
      <w:r>
        <w:rPr>
          <w:lang w:val="fr-FR"/>
        </w:rPr>
        <w:t xml:space="preserve">, et part du total </w:t>
      </w:r>
      <w:r w:rsidRPr="00262910">
        <w:rPr>
          <w:lang w:val="fr-FR"/>
        </w:rPr>
        <w:t xml:space="preserve">des dépenses publiques </w:t>
      </w:r>
      <w:r>
        <w:rPr>
          <w:lang w:val="fr-FR"/>
        </w:rPr>
        <w:t>c</w:t>
      </w:r>
      <w:r w:rsidRPr="00262910">
        <w:rPr>
          <w:lang w:val="fr-FR"/>
        </w:rPr>
        <w:t>onsacrée aux priorités sociales (emploi, éducation, alimentation, santé, eau et assainissement, sécurité sociale, logement et culture):</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140"/>
        <w:gridCol w:w="474"/>
        <w:gridCol w:w="475"/>
        <w:gridCol w:w="475"/>
        <w:gridCol w:w="476"/>
        <w:gridCol w:w="476"/>
        <w:gridCol w:w="476"/>
        <w:gridCol w:w="476"/>
        <w:gridCol w:w="476"/>
        <w:gridCol w:w="476"/>
        <w:gridCol w:w="476"/>
        <w:gridCol w:w="474"/>
      </w:tblGrid>
      <w:tr w:rsidR="001771B8" w:rsidRPr="00262910" w:rsidTr="00017523">
        <w:trPr>
          <w:tblHeader/>
        </w:trPr>
        <w:tc>
          <w:tcPr>
            <w:tcW w:w="2268" w:type="dxa"/>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left"/>
              <w:rPr>
                <w:i/>
                <w:iCs/>
                <w:sz w:val="16"/>
                <w:lang w:val="fr-FR"/>
              </w:rPr>
            </w:pPr>
            <w:r>
              <w:rPr>
                <w:i/>
                <w:iCs/>
                <w:sz w:val="16"/>
                <w:lang w:val="fr-FR"/>
              </w:rPr>
              <w:t xml:space="preserve">En pourcentage </w:t>
            </w:r>
            <w:r w:rsidRPr="00262910">
              <w:rPr>
                <w:i/>
                <w:iCs/>
                <w:sz w:val="16"/>
                <w:lang w:val="fr-FR"/>
              </w:rPr>
              <w:t xml:space="preserve">du PIB </w:t>
            </w:r>
            <w:r w:rsidR="00017523">
              <w:rPr>
                <w:i/>
                <w:iCs/>
                <w:sz w:val="16"/>
                <w:lang w:val="fr-FR"/>
              </w:rPr>
              <w:br/>
            </w:r>
            <w:r w:rsidRPr="00262910">
              <w:rPr>
                <w:i/>
                <w:iCs/>
                <w:sz w:val="16"/>
                <w:lang w:val="fr-FR"/>
              </w:rPr>
              <w:t xml:space="preserve">hors pétrole </w:t>
            </w:r>
          </w:p>
        </w:tc>
        <w:tc>
          <w:tcPr>
            <w:tcW w:w="502" w:type="dxa"/>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2008</w:t>
            </w:r>
          </w:p>
        </w:tc>
        <w:tc>
          <w:tcPr>
            <w:tcW w:w="502" w:type="dxa"/>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2009</w:t>
            </w:r>
          </w:p>
        </w:tc>
        <w:tc>
          <w:tcPr>
            <w:tcW w:w="502" w:type="dxa"/>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2010</w:t>
            </w:r>
          </w:p>
        </w:tc>
        <w:tc>
          <w:tcPr>
            <w:tcW w:w="503" w:type="dxa"/>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2011</w:t>
            </w:r>
          </w:p>
        </w:tc>
        <w:tc>
          <w:tcPr>
            <w:tcW w:w="503" w:type="dxa"/>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2012</w:t>
            </w:r>
          </w:p>
        </w:tc>
        <w:tc>
          <w:tcPr>
            <w:tcW w:w="503" w:type="dxa"/>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2013</w:t>
            </w:r>
          </w:p>
        </w:tc>
        <w:tc>
          <w:tcPr>
            <w:tcW w:w="503" w:type="dxa"/>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2014</w:t>
            </w:r>
          </w:p>
        </w:tc>
        <w:tc>
          <w:tcPr>
            <w:tcW w:w="503" w:type="dxa"/>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2015</w:t>
            </w:r>
          </w:p>
        </w:tc>
        <w:tc>
          <w:tcPr>
            <w:tcW w:w="503" w:type="dxa"/>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2016</w:t>
            </w:r>
          </w:p>
        </w:tc>
        <w:tc>
          <w:tcPr>
            <w:tcW w:w="503" w:type="dxa"/>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2017</w:t>
            </w:r>
          </w:p>
        </w:tc>
        <w:tc>
          <w:tcPr>
            <w:tcW w:w="501" w:type="dxa"/>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2018</w:t>
            </w:r>
          </w:p>
        </w:tc>
      </w:tr>
      <w:tr w:rsidR="001771B8" w:rsidRPr="00262910" w:rsidTr="00017523">
        <w:tc>
          <w:tcPr>
            <w:tcW w:w="2268" w:type="dxa"/>
            <w:shd w:val="clear" w:color="auto" w:fill="auto"/>
            <w:noWrap/>
            <w:hideMark/>
          </w:tcPr>
          <w:p w:rsidR="001771B8" w:rsidRPr="00262910" w:rsidRDefault="001771B8" w:rsidP="001771B8">
            <w:pPr>
              <w:pStyle w:val="SingleTxtG"/>
              <w:suppressAutoHyphens w:val="0"/>
              <w:spacing w:before="40" w:after="40" w:line="220" w:lineRule="exact"/>
              <w:ind w:left="0" w:right="0"/>
              <w:jc w:val="left"/>
              <w:rPr>
                <w:bCs/>
                <w:sz w:val="18"/>
                <w:lang w:val="fr-FR"/>
              </w:rPr>
            </w:pPr>
            <w:r w:rsidRPr="007229E6">
              <w:rPr>
                <w:bCs/>
                <w:sz w:val="18"/>
                <w:lang w:val="fr-FR"/>
              </w:rPr>
              <w:t>Dépenses des administrations publiques</w:t>
            </w:r>
          </w:p>
        </w:tc>
        <w:tc>
          <w:tcPr>
            <w:tcW w:w="502"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52</w:t>
            </w:r>
            <w:r>
              <w:rPr>
                <w:sz w:val="18"/>
                <w:lang w:val="fr-FR"/>
              </w:rPr>
              <w:t>,</w:t>
            </w:r>
            <w:r w:rsidRPr="00262910">
              <w:rPr>
                <w:sz w:val="18"/>
                <w:lang w:val="fr-FR"/>
              </w:rPr>
              <w:t>8</w:t>
            </w:r>
          </w:p>
        </w:tc>
        <w:tc>
          <w:tcPr>
            <w:tcW w:w="502"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56</w:t>
            </w:r>
            <w:r>
              <w:rPr>
                <w:sz w:val="18"/>
                <w:lang w:val="fr-FR"/>
              </w:rPr>
              <w:t>,</w:t>
            </w:r>
            <w:r w:rsidRPr="00262910">
              <w:rPr>
                <w:sz w:val="18"/>
                <w:lang w:val="fr-FR"/>
              </w:rPr>
              <w:t>8</w:t>
            </w:r>
          </w:p>
        </w:tc>
        <w:tc>
          <w:tcPr>
            <w:tcW w:w="502"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56</w:t>
            </w:r>
            <w:r>
              <w:rPr>
                <w:sz w:val="18"/>
                <w:lang w:val="fr-FR"/>
              </w:rPr>
              <w:t>,</w:t>
            </w:r>
            <w:r w:rsidRPr="00262910">
              <w:rPr>
                <w:sz w:val="18"/>
                <w:lang w:val="fr-FR"/>
              </w:rPr>
              <w:t>1</w:t>
            </w:r>
          </w:p>
        </w:tc>
        <w:tc>
          <w:tcPr>
            <w:tcW w:w="503"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56</w:t>
            </w:r>
            <w:r>
              <w:rPr>
                <w:sz w:val="18"/>
                <w:lang w:val="fr-FR"/>
              </w:rPr>
              <w:t>,</w:t>
            </w:r>
            <w:r w:rsidRPr="00262910">
              <w:rPr>
                <w:sz w:val="18"/>
                <w:lang w:val="fr-FR"/>
              </w:rPr>
              <w:t>5</w:t>
            </w:r>
          </w:p>
        </w:tc>
        <w:tc>
          <w:tcPr>
            <w:tcW w:w="503"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55</w:t>
            </w:r>
            <w:r>
              <w:rPr>
                <w:sz w:val="18"/>
                <w:lang w:val="fr-FR"/>
              </w:rPr>
              <w:t>,</w:t>
            </w:r>
            <w:r w:rsidRPr="00262910">
              <w:rPr>
                <w:sz w:val="18"/>
                <w:lang w:val="fr-FR"/>
              </w:rPr>
              <w:t>4</w:t>
            </w:r>
          </w:p>
        </w:tc>
        <w:tc>
          <w:tcPr>
            <w:tcW w:w="503"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55</w:t>
            </w:r>
            <w:r>
              <w:rPr>
                <w:sz w:val="18"/>
                <w:lang w:val="fr-FR"/>
              </w:rPr>
              <w:t>,</w:t>
            </w:r>
            <w:r w:rsidRPr="00262910">
              <w:rPr>
                <w:sz w:val="18"/>
                <w:lang w:val="fr-FR"/>
              </w:rPr>
              <w:t>8</w:t>
            </w:r>
          </w:p>
        </w:tc>
        <w:tc>
          <w:tcPr>
            <w:tcW w:w="503"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56</w:t>
            </w:r>
            <w:r>
              <w:rPr>
                <w:sz w:val="18"/>
                <w:lang w:val="fr-FR"/>
              </w:rPr>
              <w:t>,</w:t>
            </w:r>
            <w:r w:rsidRPr="00262910">
              <w:rPr>
                <w:sz w:val="18"/>
                <w:lang w:val="fr-FR"/>
              </w:rPr>
              <w:t>7</w:t>
            </w:r>
          </w:p>
        </w:tc>
        <w:tc>
          <w:tcPr>
            <w:tcW w:w="503"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58</w:t>
            </w:r>
            <w:r>
              <w:rPr>
                <w:sz w:val="18"/>
                <w:lang w:val="fr-FR"/>
              </w:rPr>
              <w:t>,</w:t>
            </w:r>
            <w:r w:rsidRPr="00262910">
              <w:rPr>
                <w:sz w:val="18"/>
                <w:lang w:val="fr-FR"/>
              </w:rPr>
              <w:t>1</w:t>
            </w:r>
          </w:p>
        </w:tc>
        <w:tc>
          <w:tcPr>
            <w:tcW w:w="503"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58</w:t>
            </w:r>
            <w:r>
              <w:rPr>
                <w:sz w:val="18"/>
                <w:lang w:val="fr-FR"/>
              </w:rPr>
              <w:t>,</w:t>
            </w:r>
            <w:r w:rsidRPr="00262910">
              <w:rPr>
                <w:sz w:val="18"/>
                <w:lang w:val="fr-FR"/>
              </w:rPr>
              <w:t>4</w:t>
            </w:r>
          </w:p>
        </w:tc>
        <w:tc>
          <w:tcPr>
            <w:tcW w:w="503"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59</w:t>
            </w:r>
            <w:r>
              <w:rPr>
                <w:sz w:val="18"/>
                <w:lang w:val="fr-FR"/>
              </w:rPr>
              <w:t>,</w:t>
            </w:r>
            <w:r w:rsidRPr="00262910">
              <w:rPr>
                <w:sz w:val="18"/>
                <w:lang w:val="fr-FR"/>
              </w:rPr>
              <w:t>0</w:t>
            </w:r>
          </w:p>
        </w:tc>
        <w:tc>
          <w:tcPr>
            <w:tcW w:w="501"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59</w:t>
            </w:r>
            <w:r>
              <w:rPr>
                <w:sz w:val="18"/>
                <w:lang w:val="fr-FR"/>
              </w:rPr>
              <w:t>,</w:t>
            </w:r>
            <w:r w:rsidRPr="00262910">
              <w:rPr>
                <w:sz w:val="18"/>
                <w:lang w:val="fr-FR"/>
              </w:rPr>
              <w:t>2</w:t>
            </w:r>
          </w:p>
        </w:tc>
      </w:tr>
    </w:tbl>
    <w:p w:rsidR="001771B8" w:rsidRPr="00262910" w:rsidRDefault="001771B8" w:rsidP="003D5858">
      <w:pPr>
        <w:pStyle w:val="H23G"/>
        <w:rPr>
          <w:lang w:val="fr-FR"/>
        </w:rPr>
      </w:pPr>
      <w:r w:rsidRPr="00262910">
        <w:rPr>
          <w:w w:val="103"/>
          <w:lang w:val="fr-FR"/>
        </w:rPr>
        <w:tab/>
      </w:r>
      <w:r w:rsidRPr="00262910">
        <w:rPr>
          <w:w w:val="103"/>
          <w:lang w:val="fr-FR"/>
        </w:rPr>
        <w:tab/>
      </w:r>
      <w:r>
        <w:rPr>
          <w:w w:val="103"/>
          <w:lang w:val="fr-FR"/>
        </w:rPr>
        <w:t xml:space="preserve">Montant nominal en milliards </w:t>
      </w:r>
      <w:r w:rsidRPr="003D5858">
        <w:rPr>
          <w:w w:val="103"/>
          <w:lang w:val="fr-FR"/>
        </w:rPr>
        <w:t xml:space="preserve">de </w:t>
      </w:r>
      <w:r w:rsidR="003D5858" w:rsidRPr="003D5858">
        <w:rPr>
          <w:w w:val="103"/>
          <w:lang w:val="fr-FR"/>
        </w:rPr>
        <w:t>NKr</w:t>
      </w:r>
      <w:r w:rsidRPr="003D5858">
        <w:rPr>
          <w:w w:val="103"/>
          <w:lang w:val="fr-FR"/>
        </w:rPr>
        <w:t xml:space="preserve"> et taux de</w:t>
      </w:r>
      <w:r>
        <w:rPr>
          <w:w w:val="103"/>
          <w:lang w:val="fr-FR"/>
        </w:rPr>
        <w:t xml:space="preserve"> </w:t>
      </w:r>
      <w:r w:rsidRPr="00262910">
        <w:rPr>
          <w:w w:val="103"/>
          <w:lang w:val="fr-FR"/>
        </w:rPr>
        <w:t>croissance réel</w:t>
      </w:r>
    </w:p>
    <w:tbl>
      <w:tblPr>
        <w:tblW w:w="7370" w:type="dxa"/>
        <w:tblInd w:w="1134" w:type="dxa"/>
        <w:tblLayout w:type="fixed"/>
        <w:tblCellMar>
          <w:left w:w="0" w:type="dxa"/>
          <w:right w:w="0" w:type="dxa"/>
        </w:tblCellMar>
        <w:tblLook w:val="04A0" w:firstRow="1" w:lastRow="0" w:firstColumn="1" w:lastColumn="0" w:noHBand="0" w:noVBand="1"/>
      </w:tblPr>
      <w:tblGrid>
        <w:gridCol w:w="2456"/>
        <w:gridCol w:w="563"/>
        <w:gridCol w:w="603"/>
        <w:gridCol w:w="603"/>
        <w:gridCol w:w="604"/>
        <w:gridCol w:w="847"/>
        <w:gridCol w:w="847"/>
        <w:gridCol w:w="847"/>
      </w:tblGrid>
      <w:tr w:rsidR="001771B8" w:rsidRPr="00262910" w:rsidTr="00E4183A">
        <w:trPr>
          <w:tblHeader/>
        </w:trPr>
        <w:tc>
          <w:tcPr>
            <w:tcW w:w="2552" w:type="dxa"/>
            <w:tcBorders>
              <w:top w:val="single" w:sz="4" w:space="0" w:color="auto"/>
              <w:right w:val="single" w:sz="24" w:space="0" w:color="FFFFFF" w:themeColor="background1"/>
            </w:tcBorders>
            <w:shd w:val="clear" w:color="auto" w:fill="auto"/>
            <w:noWrap/>
          </w:tcPr>
          <w:p w:rsidR="001771B8" w:rsidRPr="00262910" w:rsidRDefault="001771B8" w:rsidP="001771B8">
            <w:pPr>
              <w:pStyle w:val="SingleTxtG"/>
              <w:suppressAutoHyphens w:val="0"/>
              <w:spacing w:before="80" w:after="80" w:line="200" w:lineRule="exact"/>
              <w:ind w:left="0" w:right="0"/>
              <w:jc w:val="left"/>
              <w:rPr>
                <w:i/>
                <w:iCs/>
                <w:spacing w:val="4"/>
                <w:w w:val="103"/>
                <w:kern w:val="14"/>
                <w:sz w:val="16"/>
                <w:lang w:val="fr-FR"/>
              </w:rPr>
            </w:pPr>
          </w:p>
        </w:tc>
        <w:tc>
          <w:tcPr>
            <w:tcW w:w="2462" w:type="dxa"/>
            <w:gridSpan w:val="4"/>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rsidR="001771B8" w:rsidRPr="00C03D20" w:rsidRDefault="001771B8" w:rsidP="001771B8">
            <w:pPr>
              <w:pStyle w:val="SingleTxtG"/>
              <w:suppressAutoHyphens w:val="0"/>
              <w:spacing w:before="80" w:after="80" w:line="200" w:lineRule="exact"/>
              <w:ind w:left="0" w:right="0"/>
              <w:jc w:val="center"/>
              <w:rPr>
                <w:i/>
                <w:spacing w:val="4"/>
                <w:w w:val="103"/>
                <w:kern w:val="14"/>
                <w:sz w:val="16"/>
                <w:lang w:val="fr-FR"/>
              </w:rPr>
            </w:pPr>
            <w:r>
              <w:rPr>
                <w:i/>
                <w:spacing w:val="4"/>
                <w:w w:val="103"/>
                <w:kern w:val="14"/>
                <w:sz w:val="16"/>
                <w:lang w:val="fr-FR"/>
              </w:rPr>
              <w:t xml:space="preserve">Montant </w:t>
            </w:r>
            <w:r w:rsidRPr="00C03D20">
              <w:rPr>
                <w:i/>
                <w:spacing w:val="4"/>
                <w:w w:val="103"/>
                <w:kern w:val="14"/>
                <w:sz w:val="16"/>
                <w:lang w:val="fr-FR"/>
              </w:rPr>
              <w:t>nominal</w:t>
            </w:r>
          </w:p>
        </w:tc>
        <w:tc>
          <w:tcPr>
            <w:tcW w:w="2639" w:type="dxa"/>
            <w:gridSpan w:val="3"/>
            <w:tcBorders>
              <w:top w:val="single" w:sz="4" w:space="0" w:color="auto"/>
              <w:left w:val="single" w:sz="24" w:space="0" w:color="FFFFFF" w:themeColor="background1"/>
              <w:bottom w:val="single" w:sz="4" w:space="0" w:color="auto"/>
            </w:tcBorders>
            <w:shd w:val="clear" w:color="auto" w:fill="auto"/>
            <w:noWrap/>
            <w:vAlign w:val="bottom"/>
          </w:tcPr>
          <w:p w:rsidR="001771B8" w:rsidRPr="00C03D20" w:rsidRDefault="001771B8" w:rsidP="001771B8">
            <w:pPr>
              <w:pStyle w:val="SingleTxtG"/>
              <w:suppressAutoHyphens w:val="0"/>
              <w:spacing w:before="80" w:after="80" w:line="200" w:lineRule="exact"/>
              <w:ind w:left="0" w:right="0"/>
              <w:jc w:val="center"/>
              <w:rPr>
                <w:i/>
                <w:spacing w:val="4"/>
                <w:w w:val="103"/>
                <w:kern w:val="14"/>
                <w:sz w:val="16"/>
                <w:lang w:val="fr-FR"/>
              </w:rPr>
            </w:pPr>
            <w:r w:rsidRPr="00C03D20">
              <w:rPr>
                <w:i/>
                <w:spacing w:val="4"/>
                <w:w w:val="103"/>
                <w:kern w:val="14"/>
                <w:sz w:val="16"/>
                <w:lang w:val="fr-FR"/>
              </w:rPr>
              <w:t>Taux de croissance réel</w:t>
            </w:r>
          </w:p>
        </w:tc>
      </w:tr>
      <w:tr w:rsidR="001771B8" w:rsidRPr="00262910" w:rsidTr="00E4183A">
        <w:trPr>
          <w:tblHeader/>
        </w:trPr>
        <w:tc>
          <w:tcPr>
            <w:tcW w:w="2552" w:type="dxa"/>
            <w:tcBorders>
              <w:left w:val="single" w:sz="24" w:space="0" w:color="FFFFFF" w:themeColor="background1"/>
              <w:bottom w:val="single" w:sz="12" w:space="0" w:color="auto"/>
              <w:right w:val="single" w:sz="24" w:space="0" w:color="FFFFFF" w:themeColor="background1"/>
            </w:tcBorders>
            <w:shd w:val="clear" w:color="auto" w:fill="auto"/>
            <w:noWrap/>
            <w:hideMark/>
          </w:tcPr>
          <w:p w:rsidR="001771B8" w:rsidRPr="00262910" w:rsidRDefault="001771B8" w:rsidP="001771B8">
            <w:pPr>
              <w:pStyle w:val="SingleTxtG"/>
              <w:suppressAutoHyphens w:val="0"/>
              <w:spacing w:before="80" w:after="80" w:line="200" w:lineRule="exact"/>
              <w:ind w:left="0" w:right="0"/>
              <w:jc w:val="left"/>
              <w:rPr>
                <w:bCs/>
                <w:i/>
                <w:spacing w:val="4"/>
                <w:w w:val="103"/>
                <w:kern w:val="14"/>
                <w:sz w:val="16"/>
                <w:lang w:val="fr-FR"/>
              </w:rPr>
            </w:pPr>
            <w:r w:rsidRPr="00262910">
              <w:rPr>
                <w:bCs/>
                <w:i/>
                <w:spacing w:val="4"/>
                <w:w w:val="103"/>
                <w:kern w:val="14"/>
                <w:sz w:val="16"/>
                <w:lang w:val="fr-FR"/>
              </w:rPr>
              <w:t>Dépenses de l</w:t>
            </w:r>
            <w:r>
              <w:rPr>
                <w:bCs/>
                <w:i/>
                <w:spacing w:val="4"/>
                <w:w w:val="103"/>
                <w:kern w:val="14"/>
                <w:sz w:val="16"/>
                <w:lang w:val="fr-FR"/>
              </w:rPr>
              <w:t>’</w:t>
            </w:r>
            <w:r w:rsidRPr="00262910">
              <w:rPr>
                <w:bCs/>
                <w:i/>
                <w:spacing w:val="4"/>
                <w:w w:val="103"/>
                <w:kern w:val="14"/>
                <w:sz w:val="16"/>
                <w:lang w:val="fr-FR"/>
              </w:rPr>
              <w:t>administration centrale</w:t>
            </w:r>
            <w:r>
              <w:rPr>
                <w:bCs/>
                <w:i/>
                <w:spacing w:val="4"/>
                <w:w w:val="103"/>
                <w:kern w:val="14"/>
                <w:sz w:val="16"/>
                <w:lang w:val="fr-FR"/>
              </w:rPr>
              <w:t xml:space="preserve"> dans certains secteurs</w:t>
            </w:r>
          </w:p>
        </w:tc>
        <w:tc>
          <w:tcPr>
            <w:tcW w:w="584" w:type="dxa"/>
            <w:tcBorders>
              <w:top w:val="single" w:sz="4" w:space="0" w:color="auto"/>
              <w:left w:val="single" w:sz="24" w:space="0" w:color="FFFFFF" w:themeColor="background1"/>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2009</w:t>
            </w:r>
          </w:p>
        </w:tc>
        <w:tc>
          <w:tcPr>
            <w:tcW w:w="626" w:type="dxa"/>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2013</w:t>
            </w:r>
          </w:p>
        </w:tc>
        <w:tc>
          <w:tcPr>
            <w:tcW w:w="626" w:type="dxa"/>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2017</w:t>
            </w:r>
          </w:p>
        </w:tc>
        <w:tc>
          <w:tcPr>
            <w:tcW w:w="626" w:type="dxa"/>
            <w:tcBorders>
              <w:top w:val="single" w:sz="4" w:space="0" w:color="auto"/>
              <w:bottom w:val="single" w:sz="12" w:space="0" w:color="auto"/>
              <w:right w:val="single" w:sz="24" w:space="0" w:color="FFFFFF" w:themeColor="background1"/>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2018</w:t>
            </w:r>
          </w:p>
        </w:tc>
        <w:tc>
          <w:tcPr>
            <w:tcW w:w="879" w:type="dxa"/>
            <w:tcBorders>
              <w:top w:val="single" w:sz="4" w:space="0" w:color="auto"/>
              <w:left w:val="single" w:sz="24" w:space="0" w:color="FFFFFF" w:themeColor="background1"/>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2009-2013</w:t>
            </w:r>
          </w:p>
        </w:tc>
        <w:tc>
          <w:tcPr>
            <w:tcW w:w="880" w:type="dxa"/>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2013-2017</w:t>
            </w:r>
          </w:p>
        </w:tc>
        <w:tc>
          <w:tcPr>
            <w:tcW w:w="880" w:type="dxa"/>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2017-2018</w:t>
            </w:r>
          </w:p>
        </w:tc>
      </w:tr>
      <w:tr w:rsidR="001771B8" w:rsidRPr="00262910" w:rsidTr="00E4183A">
        <w:tc>
          <w:tcPr>
            <w:tcW w:w="2552" w:type="dxa"/>
            <w:tcBorders>
              <w:top w:val="single" w:sz="12" w:space="0" w:color="auto"/>
            </w:tcBorders>
            <w:shd w:val="clear" w:color="auto" w:fill="auto"/>
            <w:noWrap/>
            <w:hideMark/>
          </w:tcPr>
          <w:p w:rsidR="001771B8" w:rsidRPr="00262910" w:rsidRDefault="001771B8" w:rsidP="001771B8">
            <w:pPr>
              <w:pStyle w:val="SingleTxtG"/>
              <w:suppressAutoHyphens w:val="0"/>
              <w:spacing w:before="40" w:after="40" w:line="220" w:lineRule="exact"/>
              <w:ind w:left="0" w:right="0"/>
              <w:jc w:val="left"/>
              <w:rPr>
                <w:sz w:val="18"/>
                <w:lang w:val="fr-FR"/>
              </w:rPr>
            </w:pPr>
            <w:r w:rsidRPr="00D3040B">
              <w:rPr>
                <w:sz w:val="18"/>
                <w:lang w:val="fr-FR"/>
              </w:rPr>
              <w:t>Éducation</w:t>
            </w:r>
          </w:p>
        </w:tc>
        <w:tc>
          <w:tcPr>
            <w:tcW w:w="584" w:type="dxa"/>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626" w:type="dxa"/>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626" w:type="dxa"/>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626" w:type="dxa"/>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879" w:type="dxa"/>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880" w:type="dxa"/>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880" w:type="dxa"/>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r>
      <w:tr w:rsidR="001771B8" w:rsidRPr="00262910" w:rsidTr="00E4183A">
        <w:tc>
          <w:tcPr>
            <w:tcW w:w="2552" w:type="dxa"/>
            <w:shd w:val="clear" w:color="auto" w:fill="auto"/>
            <w:noWrap/>
            <w:hideMark/>
          </w:tcPr>
          <w:p w:rsidR="001771B8" w:rsidRPr="00262910" w:rsidRDefault="001771B8" w:rsidP="001771B8">
            <w:pPr>
              <w:pStyle w:val="SingleTxtG"/>
              <w:suppressAutoHyphens w:val="0"/>
              <w:spacing w:before="40" w:after="40" w:line="220" w:lineRule="exact"/>
              <w:ind w:left="142" w:right="0"/>
              <w:jc w:val="left"/>
              <w:rPr>
                <w:sz w:val="18"/>
                <w:lang w:val="fr-FR"/>
              </w:rPr>
            </w:pPr>
            <w:r w:rsidRPr="00262910">
              <w:rPr>
                <w:sz w:val="18"/>
                <w:lang w:val="fr-FR"/>
              </w:rPr>
              <w:t>Subventions</w:t>
            </w:r>
            <w:r>
              <w:rPr>
                <w:sz w:val="18"/>
                <w:lang w:val="fr-FR"/>
              </w:rPr>
              <w:t xml:space="preserve"> à </w:t>
            </w:r>
            <w:r w:rsidRPr="00262910">
              <w:rPr>
                <w:sz w:val="18"/>
                <w:lang w:val="fr-FR"/>
              </w:rPr>
              <w:t xml:space="preserve">la formation et </w:t>
            </w:r>
            <w:r w:rsidRPr="001D6035">
              <w:rPr>
                <w:sz w:val="18"/>
                <w:lang w:val="fr-FR"/>
              </w:rPr>
              <w:t>à l</w:t>
            </w:r>
            <w:r>
              <w:rPr>
                <w:sz w:val="18"/>
                <w:lang w:val="fr-FR"/>
              </w:rPr>
              <w:t>’</w:t>
            </w:r>
            <w:r w:rsidRPr="001D6035">
              <w:rPr>
                <w:sz w:val="18"/>
                <w:lang w:val="fr-FR"/>
              </w:rPr>
              <w:t>éducation préscolaire</w:t>
            </w:r>
          </w:p>
        </w:tc>
        <w:tc>
          <w:tcPr>
            <w:tcW w:w="584"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7</w:t>
            </w:r>
            <w:r>
              <w:rPr>
                <w:sz w:val="18"/>
                <w:lang w:val="fr-FR"/>
              </w:rPr>
              <w:t>,</w:t>
            </w:r>
            <w:r w:rsidRPr="00262910">
              <w:rPr>
                <w:sz w:val="18"/>
                <w:lang w:val="fr-FR"/>
              </w:rPr>
              <w:t>7</w:t>
            </w:r>
          </w:p>
        </w:tc>
        <w:tc>
          <w:tcPr>
            <w:tcW w:w="626"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9</w:t>
            </w:r>
            <w:r>
              <w:rPr>
                <w:sz w:val="18"/>
                <w:lang w:val="fr-FR"/>
              </w:rPr>
              <w:t>,</w:t>
            </w:r>
            <w:r w:rsidRPr="00262910">
              <w:rPr>
                <w:sz w:val="18"/>
                <w:lang w:val="fr-FR"/>
              </w:rPr>
              <w:t>5</w:t>
            </w:r>
          </w:p>
        </w:tc>
        <w:tc>
          <w:tcPr>
            <w:tcW w:w="626"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14</w:t>
            </w:r>
            <w:r>
              <w:rPr>
                <w:sz w:val="18"/>
                <w:lang w:val="fr-FR"/>
              </w:rPr>
              <w:t>,</w:t>
            </w:r>
            <w:r w:rsidRPr="00262910">
              <w:rPr>
                <w:sz w:val="18"/>
                <w:lang w:val="fr-FR"/>
              </w:rPr>
              <w:t>1</w:t>
            </w:r>
          </w:p>
        </w:tc>
        <w:tc>
          <w:tcPr>
            <w:tcW w:w="626"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14</w:t>
            </w:r>
            <w:r>
              <w:rPr>
                <w:sz w:val="18"/>
                <w:lang w:val="fr-FR"/>
              </w:rPr>
              <w:t>,</w:t>
            </w:r>
            <w:r w:rsidRPr="00262910">
              <w:rPr>
                <w:sz w:val="18"/>
                <w:lang w:val="fr-FR"/>
              </w:rPr>
              <w:t>3</w:t>
            </w:r>
          </w:p>
        </w:tc>
        <w:tc>
          <w:tcPr>
            <w:tcW w:w="879"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w:t>
            </w:r>
            <w:r>
              <w:rPr>
                <w:sz w:val="18"/>
                <w:lang w:val="fr-FR"/>
              </w:rPr>
              <w:t>,</w:t>
            </w:r>
            <w:r w:rsidRPr="00262910">
              <w:rPr>
                <w:sz w:val="18"/>
                <w:lang w:val="fr-FR"/>
              </w:rPr>
              <w:t>2</w:t>
            </w:r>
            <w:r w:rsidR="001D162F">
              <w:rPr>
                <w:sz w:val="18"/>
                <w:lang w:val="fr-FR"/>
              </w:rPr>
              <w:t xml:space="preserve"> </w:t>
            </w:r>
            <w:r w:rsidRPr="00262910">
              <w:rPr>
                <w:sz w:val="18"/>
                <w:lang w:val="fr-FR"/>
              </w:rPr>
              <w:t>%</w:t>
            </w:r>
          </w:p>
        </w:tc>
        <w:tc>
          <w:tcPr>
            <w:tcW w:w="880"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7</w:t>
            </w:r>
            <w:r>
              <w:rPr>
                <w:sz w:val="18"/>
                <w:lang w:val="fr-FR"/>
              </w:rPr>
              <w:t>,</w:t>
            </w:r>
            <w:r w:rsidRPr="00262910">
              <w:rPr>
                <w:sz w:val="18"/>
                <w:lang w:val="fr-FR"/>
              </w:rPr>
              <w:t>4</w:t>
            </w:r>
            <w:r w:rsidR="001D162F">
              <w:rPr>
                <w:sz w:val="18"/>
                <w:lang w:val="fr-FR"/>
              </w:rPr>
              <w:t xml:space="preserve"> </w:t>
            </w:r>
            <w:r w:rsidRPr="00262910">
              <w:rPr>
                <w:sz w:val="18"/>
                <w:lang w:val="fr-FR"/>
              </w:rPr>
              <w:t>%</w:t>
            </w:r>
          </w:p>
        </w:tc>
        <w:tc>
          <w:tcPr>
            <w:tcW w:w="880"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r>
              <w:rPr>
                <w:sz w:val="18"/>
                <w:lang w:val="fr-FR"/>
              </w:rPr>
              <w:t>,</w:t>
            </w:r>
            <w:r w:rsidRPr="00262910">
              <w:rPr>
                <w:sz w:val="18"/>
                <w:lang w:val="fr-FR"/>
              </w:rPr>
              <w:t>1</w:t>
            </w:r>
            <w:r w:rsidR="001D162F">
              <w:rPr>
                <w:sz w:val="18"/>
                <w:lang w:val="fr-FR"/>
              </w:rPr>
              <w:t xml:space="preserve"> </w:t>
            </w:r>
            <w:r w:rsidRPr="00262910">
              <w:rPr>
                <w:sz w:val="18"/>
                <w:lang w:val="fr-FR"/>
              </w:rPr>
              <w:t>%</w:t>
            </w:r>
          </w:p>
        </w:tc>
      </w:tr>
      <w:tr w:rsidR="001771B8" w:rsidRPr="00262910" w:rsidTr="00E4183A">
        <w:tc>
          <w:tcPr>
            <w:tcW w:w="2552" w:type="dxa"/>
            <w:shd w:val="clear" w:color="auto" w:fill="auto"/>
            <w:noWrap/>
            <w:hideMark/>
          </w:tcPr>
          <w:p w:rsidR="001771B8" w:rsidRPr="00262910" w:rsidRDefault="001771B8" w:rsidP="001771B8">
            <w:pPr>
              <w:pStyle w:val="SingleTxtG"/>
              <w:suppressAutoHyphens w:val="0"/>
              <w:spacing w:before="40" w:after="40" w:line="220" w:lineRule="exact"/>
              <w:ind w:left="142" w:right="0"/>
              <w:jc w:val="left"/>
              <w:rPr>
                <w:sz w:val="18"/>
                <w:lang w:val="fr-FR"/>
              </w:rPr>
            </w:pPr>
            <w:r w:rsidRPr="00262910">
              <w:rPr>
                <w:sz w:val="18"/>
                <w:lang w:val="fr-FR"/>
              </w:rPr>
              <w:t>Enseignement supérieur et recherche</w:t>
            </w:r>
          </w:p>
        </w:tc>
        <w:tc>
          <w:tcPr>
            <w:tcW w:w="584"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38</w:t>
            </w:r>
            <w:r>
              <w:rPr>
                <w:sz w:val="18"/>
                <w:lang w:val="fr-FR"/>
              </w:rPr>
              <w:t>,</w:t>
            </w:r>
            <w:r w:rsidRPr="00262910">
              <w:rPr>
                <w:sz w:val="18"/>
                <w:lang w:val="fr-FR"/>
              </w:rPr>
              <w:t>4</w:t>
            </w:r>
          </w:p>
        </w:tc>
        <w:tc>
          <w:tcPr>
            <w:tcW w:w="626"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46</w:t>
            </w:r>
            <w:r>
              <w:rPr>
                <w:sz w:val="18"/>
                <w:lang w:val="fr-FR"/>
              </w:rPr>
              <w:t>,</w:t>
            </w:r>
            <w:r w:rsidRPr="00262910">
              <w:rPr>
                <w:sz w:val="18"/>
                <w:lang w:val="fr-FR"/>
              </w:rPr>
              <w:t>0</w:t>
            </w:r>
          </w:p>
        </w:tc>
        <w:tc>
          <w:tcPr>
            <w:tcW w:w="626"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56</w:t>
            </w:r>
            <w:r>
              <w:rPr>
                <w:sz w:val="18"/>
                <w:lang w:val="fr-FR"/>
              </w:rPr>
              <w:t>,</w:t>
            </w:r>
            <w:r w:rsidRPr="00262910">
              <w:rPr>
                <w:sz w:val="18"/>
                <w:lang w:val="fr-FR"/>
              </w:rPr>
              <w:t>0</w:t>
            </w:r>
          </w:p>
        </w:tc>
        <w:tc>
          <w:tcPr>
            <w:tcW w:w="626"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59</w:t>
            </w:r>
            <w:r>
              <w:rPr>
                <w:sz w:val="18"/>
                <w:lang w:val="fr-FR"/>
              </w:rPr>
              <w:t>,</w:t>
            </w:r>
            <w:r w:rsidRPr="00262910">
              <w:rPr>
                <w:sz w:val="18"/>
                <w:lang w:val="fr-FR"/>
              </w:rPr>
              <w:t>3</w:t>
            </w:r>
          </w:p>
        </w:tc>
        <w:tc>
          <w:tcPr>
            <w:tcW w:w="879"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r>
              <w:rPr>
                <w:sz w:val="18"/>
                <w:lang w:val="fr-FR"/>
              </w:rPr>
              <w:t>,</w:t>
            </w:r>
            <w:r w:rsidRPr="00262910">
              <w:rPr>
                <w:sz w:val="18"/>
                <w:lang w:val="fr-FR"/>
              </w:rPr>
              <w:t>3</w:t>
            </w:r>
            <w:r w:rsidR="001D162F">
              <w:rPr>
                <w:sz w:val="18"/>
                <w:lang w:val="fr-FR"/>
              </w:rPr>
              <w:t xml:space="preserve"> </w:t>
            </w:r>
            <w:r w:rsidRPr="00262910">
              <w:rPr>
                <w:sz w:val="18"/>
                <w:lang w:val="fr-FR"/>
              </w:rPr>
              <w:t>%</w:t>
            </w:r>
          </w:p>
        </w:tc>
        <w:tc>
          <w:tcPr>
            <w:tcW w:w="880"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w:t>
            </w:r>
            <w:r>
              <w:rPr>
                <w:sz w:val="18"/>
                <w:lang w:val="fr-FR"/>
              </w:rPr>
              <w:t>,</w:t>
            </w:r>
            <w:r w:rsidRPr="00262910">
              <w:rPr>
                <w:sz w:val="18"/>
                <w:lang w:val="fr-FR"/>
              </w:rPr>
              <w:t>4</w:t>
            </w:r>
            <w:r w:rsidR="001D162F">
              <w:rPr>
                <w:sz w:val="18"/>
                <w:lang w:val="fr-FR"/>
              </w:rPr>
              <w:t xml:space="preserve"> </w:t>
            </w:r>
            <w:r w:rsidRPr="00262910">
              <w:rPr>
                <w:sz w:val="18"/>
                <w:lang w:val="fr-FR"/>
              </w:rPr>
              <w:t>%</w:t>
            </w:r>
          </w:p>
        </w:tc>
        <w:tc>
          <w:tcPr>
            <w:tcW w:w="880"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w:t>
            </w:r>
            <w:r>
              <w:rPr>
                <w:sz w:val="18"/>
                <w:lang w:val="fr-FR"/>
              </w:rPr>
              <w:t>,</w:t>
            </w:r>
            <w:r w:rsidRPr="00262910">
              <w:rPr>
                <w:sz w:val="18"/>
                <w:lang w:val="fr-FR"/>
              </w:rPr>
              <w:t>5</w:t>
            </w:r>
            <w:r w:rsidR="001D162F">
              <w:rPr>
                <w:sz w:val="18"/>
                <w:lang w:val="fr-FR"/>
              </w:rPr>
              <w:t xml:space="preserve"> </w:t>
            </w:r>
            <w:r w:rsidRPr="00262910">
              <w:rPr>
                <w:sz w:val="18"/>
                <w:lang w:val="fr-FR"/>
              </w:rPr>
              <w:t>%</w:t>
            </w:r>
          </w:p>
        </w:tc>
      </w:tr>
      <w:tr w:rsidR="001771B8" w:rsidRPr="00262910" w:rsidTr="00E4183A">
        <w:tc>
          <w:tcPr>
            <w:tcW w:w="2552" w:type="dxa"/>
            <w:shd w:val="clear" w:color="auto" w:fill="auto"/>
            <w:noWrap/>
            <w:hideMark/>
          </w:tcPr>
          <w:p w:rsidR="001771B8" w:rsidRPr="00262910" w:rsidRDefault="001771B8" w:rsidP="001771B8">
            <w:pPr>
              <w:pStyle w:val="SingleTxtG"/>
              <w:suppressAutoHyphens w:val="0"/>
              <w:spacing w:before="40" w:after="40" w:line="220" w:lineRule="exact"/>
              <w:ind w:left="142" w:right="0"/>
              <w:jc w:val="left"/>
              <w:rPr>
                <w:sz w:val="18"/>
                <w:lang w:val="fr-FR"/>
              </w:rPr>
            </w:pPr>
            <w:r w:rsidRPr="00262910">
              <w:rPr>
                <w:sz w:val="18"/>
                <w:lang w:val="fr-FR"/>
              </w:rPr>
              <w:t>Culture et confessions religieuses</w:t>
            </w:r>
          </w:p>
        </w:tc>
        <w:tc>
          <w:tcPr>
            <w:tcW w:w="584"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8</w:t>
            </w:r>
            <w:r>
              <w:rPr>
                <w:sz w:val="18"/>
                <w:lang w:val="fr-FR"/>
              </w:rPr>
              <w:t>,</w:t>
            </w:r>
            <w:r w:rsidRPr="00262910">
              <w:rPr>
                <w:sz w:val="18"/>
                <w:lang w:val="fr-FR"/>
              </w:rPr>
              <w:t>0</w:t>
            </w:r>
          </w:p>
        </w:tc>
        <w:tc>
          <w:tcPr>
            <w:tcW w:w="626"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10</w:t>
            </w:r>
            <w:r>
              <w:rPr>
                <w:sz w:val="18"/>
                <w:lang w:val="fr-FR"/>
              </w:rPr>
              <w:t>,</w:t>
            </w:r>
            <w:r w:rsidRPr="00262910">
              <w:rPr>
                <w:sz w:val="18"/>
                <w:lang w:val="fr-FR"/>
              </w:rPr>
              <w:t>6</w:t>
            </w:r>
          </w:p>
        </w:tc>
        <w:tc>
          <w:tcPr>
            <w:tcW w:w="626"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13</w:t>
            </w:r>
            <w:r>
              <w:rPr>
                <w:sz w:val="18"/>
                <w:lang w:val="fr-FR"/>
              </w:rPr>
              <w:t>,</w:t>
            </w:r>
            <w:r w:rsidRPr="00262910">
              <w:rPr>
                <w:sz w:val="18"/>
                <w:lang w:val="fr-FR"/>
              </w:rPr>
              <w:t>5</w:t>
            </w:r>
          </w:p>
        </w:tc>
        <w:tc>
          <w:tcPr>
            <w:tcW w:w="626"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13</w:t>
            </w:r>
            <w:r>
              <w:rPr>
                <w:sz w:val="18"/>
                <w:lang w:val="fr-FR"/>
              </w:rPr>
              <w:t>,</w:t>
            </w:r>
            <w:r w:rsidRPr="00262910">
              <w:rPr>
                <w:sz w:val="18"/>
                <w:lang w:val="fr-FR"/>
              </w:rPr>
              <w:t>8</w:t>
            </w:r>
          </w:p>
        </w:tc>
        <w:tc>
          <w:tcPr>
            <w:tcW w:w="879"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w:t>
            </w:r>
            <w:r>
              <w:rPr>
                <w:sz w:val="18"/>
                <w:lang w:val="fr-FR"/>
              </w:rPr>
              <w:t>,</w:t>
            </w:r>
            <w:r w:rsidRPr="00262910">
              <w:rPr>
                <w:sz w:val="18"/>
                <w:lang w:val="fr-FR"/>
              </w:rPr>
              <w:t>5</w:t>
            </w:r>
            <w:r w:rsidR="001D162F">
              <w:rPr>
                <w:sz w:val="18"/>
                <w:lang w:val="fr-FR"/>
              </w:rPr>
              <w:t xml:space="preserve"> </w:t>
            </w:r>
            <w:r w:rsidRPr="00262910">
              <w:rPr>
                <w:sz w:val="18"/>
                <w:lang w:val="fr-FR"/>
              </w:rPr>
              <w:t>%</w:t>
            </w:r>
          </w:p>
        </w:tc>
        <w:tc>
          <w:tcPr>
            <w:tcW w:w="880"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w:t>
            </w:r>
            <w:r>
              <w:rPr>
                <w:sz w:val="18"/>
                <w:lang w:val="fr-FR"/>
              </w:rPr>
              <w:t>,</w:t>
            </w:r>
            <w:r w:rsidRPr="00262910">
              <w:rPr>
                <w:sz w:val="18"/>
                <w:lang w:val="fr-FR"/>
              </w:rPr>
              <w:t>2</w:t>
            </w:r>
            <w:r w:rsidR="001D162F">
              <w:rPr>
                <w:sz w:val="18"/>
                <w:lang w:val="fr-FR"/>
              </w:rPr>
              <w:t xml:space="preserve"> </w:t>
            </w:r>
            <w:r w:rsidRPr="00262910">
              <w:rPr>
                <w:sz w:val="18"/>
                <w:lang w:val="fr-FR"/>
              </w:rPr>
              <w:t>%</w:t>
            </w:r>
          </w:p>
        </w:tc>
        <w:tc>
          <w:tcPr>
            <w:tcW w:w="880"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r>
              <w:rPr>
                <w:sz w:val="18"/>
                <w:lang w:val="fr-FR"/>
              </w:rPr>
              <w:t>,</w:t>
            </w:r>
            <w:r w:rsidRPr="00262910">
              <w:rPr>
                <w:sz w:val="18"/>
                <w:lang w:val="fr-FR"/>
              </w:rPr>
              <w:t>1</w:t>
            </w:r>
            <w:r w:rsidR="001D162F">
              <w:rPr>
                <w:sz w:val="18"/>
                <w:lang w:val="fr-FR"/>
              </w:rPr>
              <w:t xml:space="preserve"> </w:t>
            </w:r>
            <w:r w:rsidRPr="00262910">
              <w:rPr>
                <w:sz w:val="18"/>
                <w:lang w:val="fr-FR"/>
              </w:rPr>
              <w:t>%</w:t>
            </w:r>
          </w:p>
        </w:tc>
      </w:tr>
      <w:tr w:rsidR="001771B8" w:rsidRPr="00262910" w:rsidTr="00E4183A">
        <w:tc>
          <w:tcPr>
            <w:tcW w:w="2552" w:type="dxa"/>
            <w:shd w:val="clear" w:color="auto" w:fill="auto"/>
            <w:noWrap/>
            <w:hideMark/>
          </w:tcPr>
          <w:p w:rsidR="001771B8" w:rsidRPr="00262910" w:rsidRDefault="001771B8" w:rsidP="001771B8">
            <w:pPr>
              <w:pStyle w:val="SingleTxtG"/>
              <w:suppressAutoHyphens w:val="0"/>
              <w:spacing w:before="40" w:after="40" w:line="220" w:lineRule="exact"/>
              <w:ind w:left="142" w:right="0"/>
              <w:jc w:val="left"/>
              <w:rPr>
                <w:sz w:val="18"/>
                <w:lang w:val="fr-FR"/>
              </w:rPr>
            </w:pPr>
            <w:r w:rsidRPr="00262910">
              <w:rPr>
                <w:sz w:val="18"/>
                <w:lang w:val="fr-FR"/>
              </w:rPr>
              <w:t>Travail et affaires sociales</w:t>
            </w:r>
            <w:r w:rsidRPr="00E4183A">
              <w:rPr>
                <w:lang w:val="fr-FR"/>
              </w:rPr>
              <w:t>*</w:t>
            </w:r>
          </w:p>
        </w:tc>
        <w:tc>
          <w:tcPr>
            <w:tcW w:w="584"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25</w:t>
            </w:r>
            <w:r>
              <w:rPr>
                <w:sz w:val="18"/>
                <w:lang w:val="fr-FR"/>
              </w:rPr>
              <w:t>,</w:t>
            </w:r>
            <w:r w:rsidRPr="00262910">
              <w:rPr>
                <w:sz w:val="18"/>
                <w:lang w:val="fr-FR"/>
              </w:rPr>
              <w:t>9</w:t>
            </w:r>
          </w:p>
        </w:tc>
        <w:tc>
          <w:tcPr>
            <w:tcW w:w="626"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27</w:t>
            </w:r>
            <w:r>
              <w:rPr>
                <w:sz w:val="18"/>
                <w:lang w:val="fr-FR"/>
              </w:rPr>
              <w:t>,</w:t>
            </w:r>
            <w:r w:rsidRPr="00262910">
              <w:rPr>
                <w:sz w:val="18"/>
                <w:lang w:val="fr-FR"/>
              </w:rPr>
              <w:t>0</w:t>
            </w:r>
          </w:p>
        </w:tc>
        <w:tc>
          <w:tcPr>
            <w:tcW w:w="626"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31</w:t>
            </w:r>
            <w:r>
              <w:rPr>
                <w:sz w:val="18"/>
                <w:lang w:val="fr-FR"/>
              </w:rPr>
              <w:t>,</w:t>
            </w:r>
            <w:r w:rsidRPr="00262910">
              <w:rPr>
                <w:sz w:val="18"/>
                <w:lang w:val="fr-FR"/>
              </w:rPr>
              <w:t>8</w:t>
            </w:r>
          </w:p>
        </w:tc>
        <w:tc>
          <w:tcPr>
            <w:tcW w:w="626"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31</w:t>
            </w:r>
            <w:r>
              <w:rPr>
                <w:sz w:val="18"/>
                <w:lang w:val="fr-FR"/>
              </w:rPr>
              <w:t>,</w:t>
            </w:r>
            <w:r w:rsidRPr="00262910">
              <w:rPr>
                <w:sz w:val="18"/>
                <w:lang w:val="fr-FR"/>
              </w:rPr>
              <w:t>3</w:t>
            </w:r>
          </w:p>
        </w:tc>
        <w:tc>
          <w:tcPr>
            <w:tcW w:w="879"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w:t>
            </w:r>
            <w:r>
              <w:rPr>
                <w:sz w:val="18"/>
                <w:lang w:val="fr-FR"/>
              </w:rPr>
              <w:t>,</w:t>
            </w:r>
            <w:r w:rsidRPr="00262910">
              <w:rPr>
                <w:sz w:val="18"/>
                <w:lang w:val="fr-FR"/>
              </w:rPr>
              <w:t>3</w:t>
            </w:r>
            <w:r w:rsidR="00E4183A">
              <w:rPr>
                <w:sz w:val="18"/>
                <w:lang w:val="fr-FR"/>
              </w:rPr>
              <w:t xml:space="preserve"> </w:t>
            </w:r>
            <w:r w:rsidRPr="00262910">
              <w:rPr>
                <w:sz w:val="18"/>
                <w:lang w:val="fr-FR"/>
              </w:rPr>
              <w:t>%</w:t>
            </w:r>
          </w:p>
        </w:tc>
        <w:tc>
          <w:tcPr>
            <w:tcW w:w="880"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r>
              <w:rPr>
                <w:sz w:val="18"/>
                <w:lang w:val="fr-FR"/>
              </w:rPr>
              <w:t>,</w:t>
            </w:r>
            <w:r w:rsidRPr="00262910">
              <w:rPr>
                <w:sz w:val="18"/>
                <w:lang w:val="fr-FR"/>
              </w:rPr>
              <w:t>2</w:t>
            </w:r>
            <w:r w:rsidR="00E4183A">
              <w:rPr>
                <w:sz w:val="18"/>
                <w:lang w:val="fr-FR"/>
              </w:rPr>
              <w:t xml:space="preserve"> </w:t>
            </w:r>
            <w:r w:rsidRPr="00262910">
              <w:rPr>
                <w:sz w:val="18"/>
                <w:lang w:val="fr-FR"/>
              </w:rPr>
              <w:t>%</w:t>
            </w:r>
          </w:p>
        </w:tc>
        <w:tc>
          <w:tcPr>
            <w:tcW w:w="880"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w:t>
            </w:r>
            <w:r>
              <w:rPr>
                <w:sz w:val="18"/>
                <w:lang w:val="fr-FR"/>
              </w:rPr>
              <w:t>,</w:t>
            </w:r>
            <w:r w:rsidRPr="00262910">
              <w:rPr>
                <w:sz w:val="18"/>
                <w:lang w:val="fr-FR"/>
              </w:rPr>
              <w:t>5</w:t>
            </w:r>
            <w:r w:rsidR="00E4183A">
              <w:rPr>
                <w:sz w:val="18"/>
                <w:lang w:val="fr-FR"/>
              </w:rPr>
              <w:t xml:space="preserve"> </w:t>
            </w:r>
            <w:r w:rsidRPr="00262910">
              <w:rPr>
                <w:sz w:val="18"/>
                <w:lang w:val="fr-FR"/>
              </w:rPr>
              <w:t>%</w:t>
            </w:r>
          </w:p>
        </w:tc>
      </w:tr>
      <w:tr w:rsidR="001771B8" w:rsidRPr="00262910" w:rsidTr="00E4183A">
        <w:tc>
          <w:tcPr>
            <w:tcW w:w="2552" w:type="dxa"/>
            <w:shd w:val="clear" w:color="auto" w:fill="auto"/>
            <w:noWrap/>
            <w:hideMark/>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Soins de santé</w:t>
            </w:r>
          </w:p>
        </w:tc>
        <w:tc>
          <w:tcPr>
            <w:tcW w:w="584"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626"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626"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626"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879"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880"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880"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r>
      <w:tr w:rsidR="001771B8" w:rsidRPr="00262910" w:rsidTr="00E4183A">
        <w:tc>
          <w:tcPr>
            <w:tcW w:w="2552" w:type="dxa"/>
            <w:shd w:val="clear" w:color="auto" w:fill="auto"/>
            <w:noWrap/>
            <w:hideMark/>
          </w:tcPr>
          <w:p w:rsidR="001771B8" w:rsidRPr="00262910" w:rsidRDefault="001771B8" w:rsidP="001771B8">
            <w:pPr>
              <w:pStyle w:val="SingleTxtG"/>
              <w:suppressAutoHyphens w:val="0"/>
              <w:spacing w:before="40" w:after="40" w:line="220" w:lineRule="exact"/>
              <w:ind w:left="142" w:right="0"/>
              <w:jc w:val="left"/>
              <w:rPr>
                <w:sz w:val="18"/>
                <w:lang w:val="fr-FR"/>
              </w:rPr>
            </w:pPr>
            <w:r w:rsidRPr="00262910">
              <w:rPr>
                <w:sz w:val="18"/>
                <w:lang w:val="fr-FR"/>
              </w:rPr>
              <w:t>Services de soins de santé spécialisés (hôpitaux et autres)</w:t>
            </w:r>
          </w:p>
        </w:tc>
        <w:tc>
          <w:tcPr>
            <w:tcW w:w="584"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95</w:t>
            </w:r>
            <w:r>
              <w:rPr>
                <w:sz w:val="18"/>
                <w:lang w:val="fr-FR"/>
              </w:rPr>
              <w:t>,</w:t>
            </w:r>
            <w:r w:rsidRPr="00262910">
              <w:rPr>
                <w:sz w:val="18"/>
                <w:lang w:val="fr-FR"/>
              </w:rPr>
              <w:t>6</w:t>
            </w:r>
          </w:p>
        </w:tc>
        <w:tc>
          <w:tcPr>
            <w:tcW w:w="626"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116</w:t>
            </w:r>
            <w:r>
              <w:rPr>
                <w:sz w:val="18"/>
                <w:lang w:val="fr-FR"/>
              </w:rPr>
              <w:t>,</w:t>
            </w:r>
            <w:r w:rsidRPr="00262910">
              <w:rPr>
                <w:sz w:val="18"/>
                <w:lang w:val="fr-FR"/>
              </w:rPr>
              <w:t>8</w:t>
            </w:r>
          </w:p>
        </w:tc>
        <w:tc>
          <w:tcPr>
            <w:tcW w:w="626"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142</w:t>
            </w:r>
            <w:r>
              <w:rPr>
                <w:sz w:val="18"/>
                <w:lang w:val="fr-FR"/>
              </w:rPr>
              <w:t>,</w:t>
            </w:r>
            <w:r w:rsidRPr="00262910">
              <w:rPr>
                <w:sz w:val="18"/>
                <w:lang w:val="fr-FR"/>
              </w:rPr>
              <w:t>9</w:t>
            </w:r>
          </w:p>
        </w:tc>
        <w:tc>
          <w:tcPr>
            <w:tcW w:w="626"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149</w:t>
            </w:r>
            <w:r>
              <w:rPr>
                <w:sz w:val="18"/>
                <w:lang w:val="fr-FR"/>
              </w:rPr>
              <w:t>,</w:t>
            </w:r>
            <w:r w:rsidRPr="00262910">
              <w:rPr>
                <w:sz w:val="18"/>
                <w:lang w:val="fr-FR"/>
              </w:rPr>
              <w:t>6</w:t>
            </w:r>
          </w:p>
        </w:tc>
        <w:tc>
          <w:tcPr>
            <w:tcW w:w="879"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r>
              <w:rPr>
                <w:sz w:val="18"/>
                <w:lang w:val="fr-FR"/>
              </w:rPr>
              <w:t>,</w:t>
            </w:r>
            <w:r w:rsidRPr="00262910">
              <w:rPr>
                <w:sz w:val="18"/>
                <w:lang w:val="fr-FR"/>
              </w:rPr>
              <w:t>5</w:t>
            </w:r>
            <w:r w:rsidR="00E4183A">
              <w:rPr>
                <w:sz w:val="18"/>
                <w:lang w:val="fr-FR"/>
              </w:rPr>
              <w:t xml:space="preserve"> </w:t>
            </w:r>
            <w:r w:rsidRPr="00262910">
              <w:rPr>
                <w:sz w:val="18"/>
                <w:lang w:val="fr-FR"/>
              </w:rPr>
              <w:t>%</w:t>
            </w:r>
          </w:p>
        </w:tc>
        <w:tc>
          <w:tcPr>
            <w:tcW w:w="880"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w:t>
            </w:r>
            <w:r>
              <w:rPr>
                <w:sz w:val="18"/>
                <w:lang w:val="fr-FR"/>
              </w:rPr>
              <w:t>,</w:t>
            </w:r>
            <w:r w:rsidRPr="00262910">
              <w:rPr>
                <w:sz w:val="18"/>
                <w:lang w:val="fr-FR"/>
              </w:rPr>
              <w:t>6</w:t>
            </w:r>
            <w:r w:rsidR="00E4183A">
              <w:rPr>
                <w:sz w:val="18"/>
                <w:lang w:val="fr-FR"/>
              </w:rPr>
              <w:t xml:space="preserve"> </w:t>
            </w:r>
            <w:r w:rsidRPr="00262910">
              <w:rPr>
                <w:sz w:val="18"/>
                <w:lang w:val="fr-FR"/>
              </w:rPr>
              <w:t>%</w:t>
            </w:r>
          </w:p>
        </w:tc>
        <w:tc>
          <w:tcPr>
            <w:tcW w:w="880"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w:t>
            </w:r>
            <w:r>
              <w:rPr>
                <w:sz w:val="18"/>
                <w:lang w:val="fr-FR"/>
              </w:rPr>
              <w:t>,</w:t>
            </w:r>
            <w:r w:rsidRPr="00262910">
              <w:rPr>
                <w:sz w:val="18"/>
                <w:lang w:val="fr-FR"/>
              </w:rPr>
              <w:t>0</w:t>
            </w:r>
            <w:r w:rsidR="00E4183A">
              <w:rPr>
                <w:sz w:val="18"/>
                <w:lang w:val="fr-FR"/>
              </w:rPr>
              <w:t xml:space="preserve"> </w:t>
            </w:r>
            <w:r w:rsidRPr="00262910">
              <w:rPr>
                <w:sz w:val="18"/>
                <w:lang w:val="fr-FR"/>
              </w:rPr>
              <w:t>%</w:t>
            </w:r>
          </w:p>
        </w:tc>
      </w:tr>
      <w:tr w:rsidR="001771B8" w:rsidRPr="00262910" w:rsidTr="00E4183A">
        <w:tc>
          <w:tcPr>
            <w:tcW w:w="2552" w:type="dxa"/>
            <w:shd w:val="clear" w:color="auto" w:fill="auto"/>
            <w:noWrap/>
            <w:hideMark/>
          </w:tcPr>
          <w:p w:rsidR="001771B8" w:rsidRPr="00262910" w:rsidRDefault="001771B8" w:rsidP="001771B8">
            <w:pPr>
              <w:pStyle w:val="SingleTxtG"/>
              <w:suppressAutoHyphens w:val="0"/>
              <w:spacing w:before="40" w:after="40" w:line="220" w:lineRule="exact"/>
              <w:ind w:left="142" w:right="0"/>
              <w:jc w:val="left"/>
              <w:rPr>
                <w:sz w:val="18"/>
                <w:lang w:val="fr-FR"/>
              </w:rPr>
            </w:pPr>
            <w:r w:rsidRPr="00262910">
              <w:rPr>
                <w:sz w:val="18"/>
                <w:lang w:val="fr-FR"/>
              </w:rPr>
              <w:t>Autres fins médicales</w:t>
            </w:r>
          </w:p>
        </w:tc>
        <w:tc>
          <w:tcPr>
            <w:tcW w:w="584"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8</w:t>
            </w:r>
            <w:r>
              <w:rPr>
                <w:sz w:val="18"/>
                <w:lang w:val="fr-FR"/>
              </w:rPr>
              <w:t>,</w:t>
            </w:r>
            <w:r w:rsidRPr="00262910">
              <w:rPr>
                <w:sz w:val="18"/>
                <w:lang w:val="fr-FR"/>
              </w:rPr>
              <w:t>9</w:t>
            </w:r>
          </w:p>
        </w:tc>
        <w:tc>
          <w:tcPr>
            <w:tcW w:w="626"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10</w:t>
            </w:r>
            <w:r>
              <w:rPr>
                <w:sz w:val="18"/>
                <w:lang w:val="fr-FR"/>
              </w:rPr>
              <w:t>,</w:t>
            </w:r>
            <w:r w:rsidRPr="00262910">
              <w:rPr>
                <w:sz w:val="18"/>
                <w:lang w:val="fr-FR"/>
              </w:rPr>
              <w:t>7</w:t>
            </w:r>
          </w:p>
        </w:tc>
        <w:tc>
          <w:tcPr>
            <w:tcW w:w="626"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16</w:t>
            </w:r>
            <w:r>
              <w:rPr>
                <w:sz w:val="18"/>
                <w:lang w:val="fr-FR"/>
              </w:rPr>
              <w:t>,</w:t>
            </w:r>
            <w:r w:rsidRPr="00262910">
              <w:rPr>
                <w:sz w:val="18"/>
                <w:lang w:val="fr-FR"/>
              </w:rPr>
              <w:t>9</w:t>
            </w:r>
          </w:p>
        </w:tc>
        <w:tc>
          <w:tcPr>
            <w:tcW w:w="626"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17</w:t>
            </w:r>
            <w:r>
              <w:rPr>
                <w:sz w:val="18"/>
                <w:lang w:val="fr-FR"/>
              </w:rPr>
              <w:t>,</w:t>
            </w:r>
            <w:r w:rsidRPr="00262910">
              <w:rPr>
                <w:sz w:val="18"/>
                <w:lang w:val="fr-FR"/>
              </w:rPr>
              <w:t>9</w:t>
            </w:r>
          </w:p>
        </w:tc>
        <w:tc>
          <w:tcPr>
            <w:tcW w:w="879"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r>
              <w:rPr>
                <w:sz w:val="18"/>
                <w:lang w:val="fr-FR"/>
              </w:rPr>
              <w:t>,</w:t>
            </w:r>
            <w:r w:rsidRPr="00262910">
              <w:rPr>
                <w:sz w:val="18"/>
                <w:lang w:val="fr-FR"/>
              </w:rPr>
              <w:t>7</w:t>
            </w:r>
            <w:r w:rsidR="00E4183A">
              <w:rPr>
                <w:sz w:val="18"/>
                <w:lang w:val="fr-FR"/>
              </w:rPr>
              <w:t xml:space="preserve"> </w:t>
            </w:r>
            <w:r w:rsidRPr="00262910">
              <w:rPr>
                <w:sz w:val="18"/>
                <w:lang w:val="fr-FR"/>
              </w:rPr>
              <w:t>%</w:t>
            </w:r>
          </w:p>
        </w:tc>
        <w:tc>
          <w:tcPr>
            <w:tcW w:w="880"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9</w:t>
            </w:r>
            <w:r>
              <w:rPr>
                <w:sz w:val="18"/>
                <w:lang w:val="fr-FR"/>
              </w:rPr>
              <w:t>,</w:t>
            </w:r>
            <w:r w:rsidRPr="00262910">
              <w:rPr>
                <w:sz w:val="18"/>
                <w:lang w:val="fr-FR"/>
              </w:rPr>
              <w:t>2</w:t>
            </w:r>
            <w:r w:rsidR="00E4183A">
              <w:rPr>
                <w:sz w:val="18"/>
                <w:lang w:val="fr-FR"/>
              </w:rPr>
              <w:t xml:space="preserve"> </w:t>
            </w:r>
            <w:r w:rsidRPr="00262910">
              <w:rPr>
                <w:sz w:val="18"/>
                <w:lang w:val="fr-FR"/>
              </w:rPr>
              <w:t>%</w:t>
            </w:r>
          </w:p>
        </w:tc>
        <w:tc>
          <w:tcPr>
            <w:tcW w:w="880"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w:t>
            </w:r>
            <w:r>
              <w:rPr>
                <w:sz w:val="18"/>
                <w:lang w:val="fr-FR"/>
              </w:rPr>
              <w:t>,</w:t>
            </w:r>
            <w:r w:rsidRPr="00262910">
              <w:rPr>
                <w:sz w:val="18"/>
                <w:lang w:val="fr-FR"/>
              </w:rPr>
              <w:t>3</w:t>
            </w:r>
            <w:r w:rsidR="00E4183A">
              <w:rPr>
                <w:sz w:val="18"/>
                <w:lang w:val="fr-FR"/>
              </w:rPr>
              <w:t xml:space="preserve"> </w:t>
            </w:r>
            <w:r w:rsidRPr="00262910">
              <w:rPr>
                <w:sz w:val="18"/>
                <w:lang w:val="fr-FR"/>
              </w:rPr>
              <w:t>%</w:t>
            </w:r>
          </w:p>
        </w:tc>
      </w:tr>
      <w:tr w:rsidR="001771B8" w:rsidRPr="00262910" w:rsidTr="00E4183A">
        <w:tc>
          <w:tcPr>
            <w:tcW w:w="2552" w:type="dxa"/>
            <w:shd w:val="clear" w:color="auto" w:fill="auto"/>
            <w:noWrap/>
            <w:hideMark/>
          </w:tcPr>
          <w:p w:rsidR="001771B8" w:rsidRPr="00262910" w:rsidRDefault="001771B8" w:rsidP="001771B8">
            <w:pPr>
              <w:pStyle w:val="SingleTxtG"/>
              <w:suppressAutoHyphens w:val="0"/>
              <w:spacing w:before="40" w:after="40" w:line="220" w:lineRule="exact"/>
              <w:ind w:left="142" w:right="0"/>
              <w:jc w:val="left"/>
              <w:rPr>
                <w:sz w:val="18"/>
                <w:lang w:val="fr-FR"/>
              </w:rPr>
            </w:pPr>
            <w:r w:rsidRPr="00262910">
              <w:rPr>
                <w:sz w:val="18"/>
                <w:lang w:val="fr-FR"/>
              </w:rPr>
              <w:t>Enfants, famille et égalité</w:t>
            </w:r>
          </w:p>
        </w:tc>
        <w:tc>
          <w:tcPr>
            <w:tcW w:w="584"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23</w:t>
            </w:r>
            <w:r>
              <w:rPr>
                <w:sz w:val="18"/>
                <w:lang w:val="fr-FR"/>
              </w:rPr>
              <w:t>,</w:t>
            </w:r>
            <w:r w:rsidRPr="00262910">
              <w:rPr>
                <w:sz w:val="18"/>
                <w:lang w:val="fr-FR"/>
              </w:rPr>
              <w:t>0</w:t>
            </w:r>
          </w:p>
        </w:tc>
        <w:tc>
          <w:tcPr>
            <w:tcW w:w="626"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24</w:t>
            </w:r>
            <w:r>
              <w:rPr>
                <w:sz w:val="18"/>
                <w:lang w:val="fr-FR"/>
              </w:rPr>
              <w:t>,</w:t>
            </w:r>
            <w:r w:rsidRPr="00262910">
              <w:rPr>
                <w:sz w:val="18"/>
                <w:lang w:val="fr-FR"/>
              </w:rPr>
              <w:t>7</w:t>
            </w:r>
          </w:p>
        </w:tc>
        <w:tc>
          <w:tcPr>
            <w:tcW w:w="626"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26</w:t>
            </w:r>
            <w:r>
              <w:rPr>
                <w:sz w:val="18"/>
                <w:lang w:val="fr-FR"/>
              </w:rPr>
              <w:t>,</w:t>
            </w:r>
            <w:r w:rsidRPr="00262910">
              <w:rPr>
                <w:sz w:val="18"/>
                <w:lang w:val="fr-FR"/>
              </w:rPr>
              <w:t>7</w:t>
            </w:r>
          </w:p>
        </w:tc>
        <w:tc>
          <w:tcPr>
            <w:tcW w:w="626"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27</w:t>
            </w:r>
            <w:r>
              <w:rPr>
                <w:sz w:val="18"/>
                <w:lang w:val="fr-FR"/>
              </w:rPr>
              <w:t>,</w:t>
            </w:r>
            <w:r w:rsidRPr="00262910">
              <w:rPr>
                <w:sz w:val="18"/>
                <w:lang w:val="fr-FR"/>
              </w:rPr>
              <w:t>0</w:t>
            </w:r>
          </w:p>
        </w:tc>
        <w:tc>
          <w:tcPr>
            <w:tcW w:w="879"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-0</w:t>
            </w:r>
            <w:r>
              <w:rPr>
                <w:sz w:val="18"/>
                <w:lang w:val="fr-FR"/>
              </w:rPr>
              <w:t>,</w:t>
            </w:r>
            <w:r w:rsidRPr="00262910">
              <w:rPr>
                <w:sz w:val="18"/>
                <w:lang w:val="fr-FR"/>
              </w:rPr>
              <w:t>4</w:t>
            </w:r>
            <w:r w:rsidR="00E4183A">
              <w:rPr>
                <w:sz w:val="18"/>
                <w:lang w:val="fr-FR"/>
              </w:rPr>
              <w:t xml:space="preserve"> </w:t>
            </w:r>
            <w:r w:rsidRPr="00262910">
              <w:rPr>
                <w:sz w:val="18"/>
                <w:lang w:val="fr-FR"/>
              </w:rPr>
              <w:t>%</w:t>
            </w:r>
          </w:p>
        </w:tc>
        <w:tc>
          <w:tcPr>
            <w:tcW w:w="880"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-0</w:t>
            </w:r>
            <w:r>
              <w:rPr>
                <w:sz w:val="18"/>
                <w:lang w:val="fr-FR"/>
              </w:rPr>
              <w:t>,</w:t>
            </w:r>
            <w:r w:rsidRPr="00262910">
              <w:rPr>
                <w:sz w:val="18"/>
                <w:lang w:val="fr-FR"/>
              </w:rPr>
              <w:t>5</w:t>
            </w:r>
            <w:r w:rsidR="00E4183A">
              <w:rPr>
                <w:sz w:val="18"/>
                <w:lang w:val="fr-FR"/>
              </w:rPr>
              <w:t xml:space="preserve"> </w:t>
            </w:r>
            <w:r w:rsidRPr="00262910">
              <w:rPr>
                <w:sz w:val="18"/>
                <w:lang w:val="fr-FR"/>
              </w:rPr>
              <w:t>%</w:t>
            </w:r>
          </w:p>
        </w:tc>
        <w:tc>
          <w:tcPr>
            <w:tcW w:w="880"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-0</w:t>
            </w:r>
            <w:r>
              <w:rPr>
                <w:sz w:val="18"/>
                <w:lang w:val="fr-FR"/>
              </w:rPr>
              <w:t>,</w:t>
            </w:r>
            <w:r w:rsidRPr="00262910">
              <w:rPr>
                <w:sz w:val="18"/>
                <w:lang w:val="fr-FR"/>
              </w:rPr>
              <w:t>6</w:t>
            </w:r>
            <w:r w:rsidR="00E4183A">
              <w:rPr>
                <w:sz w:val="18"/>
                <w:lang w:val="fr-FR"/>
              </w:rPr>
              <w:t xml:space="preserve"> </w:t>
            </w:r>
            <w:r w:rsidRPr="00262910">
              <w:rPr>
                <w:sz w:val="18"/>
                <w:lang w:val="fr-FR"/>
              </w:rPr>
              <w:t>%</w:t>
            </w:r>
          </w:p>
        </w:tc>
      </w:tr>
      <w:tr w:rsidR="001771B8" w:rsidRPr="00262910" w:rsidTr="00E4183A">
        <w:tc>
          <w:tcPr>
            <w:tcW w:w="2552" w:type="dxa"/>
            <w:shd w:val="clear" w:color="auto" w:fill="auto"/>
            <w:noWrap/>
            <w:hideMark/>
          </w:tcPr>
          <w:p w:rsidR="001771B8" w:rsidRPr="00262910" w:rsidRDefault="001771B8" w:rsidP="001771B8">
            <w:pPr>
              <w:pStyle w:val="SingleTxtG"/>
              <w:suppressAutoHyphens w:val="0"/>
              <w:spacing w:before="40" w:after="40" w:line="220" w:lineRule="exact"/>
              <w:ind w:left="0" w:right="0"/>
              <w:jc w:val="left"/>
              <w:rPr>
                <w:i/>
                <w:iCs/>
                <w:sz w:val="18"/>
                <w:lang w:val="fr-FR"/>
              </w:rPr>
            </w:pPr>
            <w:r>
              <w:rPr>
                <w:iCs/>
                <w:sz w:val="18"/>
                <w:lang w:val="fr-FR"/>
              </w:rPr>
              <w:t>Pour mémoire</w:t>
            </w:r>
          </w:p>
        </w:tc>
        <w:tc>
          <w:tcPr>
            <w:tcW w:w="584"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i/>
                <w:iCs/>
                <w:sz w:val="18"/>
                <w:lang w:val="fr-FR"/>
              </w:rPr>
            </w:pPr>
          </w:p>
        </w:tc>
        <w:tc>
          <w:tcPr>
            <w:tcW w:w="626"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626"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626"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879"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880"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880"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r>
      <w:tr w:rsidR="001771B8" w:rsidRPr="00262910" w:rsidTr="00E4183A">
        <w:tc>
          <w:tcPr>
            <w:tcW w:w="2552" w:type="dxa"/>
            <w:tcBorders>
              <w:bottom w:val="single" w:sz="12" w:space="0" w:color="auto"/>
            </w:tcBorders>
            <w:shd w:val="clear" w:color="auto" w:fill="auto"/>
            <w:noWrap/>
            <w:hideMark/>
          </w:tcPr>
          <w:p w:rsidR="001771B8" w:rsidRPr="00262910" w:rsidRDefault="001771B8" w:rsidP="00E4183A">
            <w:pPr>
              <w:pStyle w:val="SingleTxtG"/>
              <w:suppressAutoHyphens w:val="0"/>
              <w:spacing w:before="40" w:after="40" w:line="220" w:lineRule="exact"/>
              <w:ind w:left="142" w:right="0"/>
              <w:jc w:val="left"/>
              <w:rPr>
                <w:sz w:val="18"/>
                <w:lang w:val="fr-FR"/>
              </w:rPr>
            </w:pPr>
            <w:r>
              <w:rPr>
                <w:sz w:val="18"/>
                <w:lang w:val="fr-FR"/>
              </w:rPr>
              <w:t xml:space="preserve">Régime </w:t>
            </w:r>
            <w:r w:rsidRPr="00262910">
              <w:rPr>
                <w:sz w:val="18"/>
                <w:lang w:val="fr-FR"/>
              </w:rPr>
              <w:t>d</w:t>
            </w:r>
            <w:r>
              <w:rPr>
                <w:sz w:val="18"/>
                <w:lang w:val="fr-FR"/>
              </w:rPr>
              <w:t>’</w:t>
            </w:r>
            <w:r w:rsidRPr="00262910">
              <w:rPr>
                <w:sz w:val="18"/>
                <w:lang w:val="fr-FR"/>
              </w:rPr>
              <w:t>assurance</w:t>
            </w:r>
            <w:r w:rsidR="00E4183A">
              <w:rPr>
                <w:sz w:val="18"/>
                <w:lang w:val="fr-FR"/>
              </w:rPr>
              <w:t xml:space="preserve"> </w:t>
            </w:r>
            <w:r w:rsidRPr="00262910">
              <w:rPr>
                <w:sz w:val="18"/>
                <w:lang w:val="fr-FR"/>
              </w:rPr>
              <w:t>national</w:t>
            </w:r>
            <w:r w:rsidRPr="00E4183A">
              <w:rPr>
                <w:lang w:val="fr-FR"/>
              </w:rPr>
              <w:t>**</w:t>
            </w:r>
          </w:p>
        </w:tc>
        <w:tc>
          <w:tcPr>
            <w:tcW w:w="584" w:type="dxa"/>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288</w:t>
            </w:r>
            <w:r>
              <w:rPr>
                <w:sz w:val="18"/>
                <w:lang w:val="fr-FR"/>
              </w:rPr>
              <w:t>,</w:t>
            </w:r>
            <w:r w:rsidRPr="00262910">
              <w:rPr>
                <w:sz w:val="18"/>
                <w:lang w:val="fr-FR"/>
              </w:rPr>
              <w:t>1</w:t>
            </w:r>
          </w:p>
        </w:tc>
        <w:tc>
          <w:tcPr>
            <w:tcW w:w="626" w:type="dxa"/>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365</w:t>
            </w:r>
            <w:r>
              <w:rPr>
                <w:sz w:val="18"/>
                <w:lang w:val="fr-FR"/>
              </w:rPr>
              <w:t>,</w:t>
            </w:r>
            <w:r w:rsidRPr="00262910">
              <w:rPr>
                <w:sz w:val="18"/>
                <w:lang w:val="fr-FR"/>
              </w:rPr>
              <w:t>0</w:t>
            </w:r>
          </w:p>
        </w:tc>
        <w:tc>
          <w:tcPr>
            <w:tcW w:w="626" w:type="dxa"/>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435</w:t>
            </w:r>
            <w:r>
              <w:rPr>
                <w:sz w:val="18"/>
                <w:lang w:val="fr-FR"/>
              </w:rPr>
              <w:t>,</w:t>
            </w:r>
            <w:r w:rsidRPr="00262910">
              <w:rPr>
                <w:sz w:val="18"/>
                <w:lang w:val="fr-FR"/>
              </w:rPr>
              <w:t>3</w:t>
            </w:r>
          </w:p>
        </w:tc>
        <w:tc>
          <w:tcPr>
            <w:tcW w:w="626" w:type="dxa"/>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457</w:t>
            </w:r>
            <w:r>
              <w:rPr>
                <w:sz w:val="18"/>
                <w:lang w:val="fr-FR"/>
              </w:rPr>
              <w:t>,</w:t>
            </w:r>
            <w:r w:rsidRPr="00262910">
              <w:rPr>
                <w:sz w:val="18"/>
                <w:lang w:val="fr-FR"/>
              </w:rPr>
              <w:t>0</w:t>
            </w:r>
          </w:p>
        </w:tc>
        <w:tc>
          <w:tcPr>
            <w:tcW w:w="879" w:type="dxa"/>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w:t>
            </w:r>
            <w:r>
              <w:rPr>
                <w:sz w:val="18"/>
                <w:lang w:val="fr-FR"/>
              </w:rPr>
              <w:t>,</w:t>
            </w:r>
            <w:r w:rsidRPr="00262910">
              <w:rPr>
                <w:sz w:val="18"/>
                <w:lang w:val="fr-FR"/>
              </w:rPr>
              <w:t>4</w:t>
            </w:r>
            <w:r w:rsidR="00E4183A">
              <w:rPr>
                <w:sz w:val="18"/>
                <w:lang w:val="fr-FR"/>
              </w:rPr>
              <w:t xml:space="preserve"> </w:t>
            </w:r>
            <w:r w:rsidRPr="00262910">
              <w:rPr>
                <w:sz w:val="18"/>
                <w:lang w:val="fr-FR"/>
              </w:rPr>
              <w:t>%</w:t>
            </w:r>
          </w:p>
        </w:tc>
        <w:tc>
          <w:tcPr>
            <w:tcW w:w="880" w:type="dxa"/>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w:t>
            </w:r>
            <w:r>
              <w:rPr>
                <w:sz w:val="18"/>
                <w:lang w:val="fr-FR"/>
              </w:rPr>
              <w:t>,</w:t>
            </w:r>
            <w:r w:rsidRPr="00262910">
              <w:rPr>
                <w:sz w:val="18"/>
                <w:lang w:val="fr-FR"/>
              </w:rPr>
              <w:t>2</w:t>
            </w:r>
            <w:r w:rsidR="00E4183A">
              <w:rPr>
                <w:sz w:val="18"/>
                <w:lang w:val="fr-FR"/>
              </w:rPr>
              <w:t xml:space="preserve"> </w:t>
            </w:r>
            <w:r w:rsidRPr="00262910">
              <w:rPr>
                <w:sz w:val="18"/>
                <w:lang w:val="fr-FR"/>
              </w:rPr>
              <w:t>%</w:t>
            </w:r>
          </w:p>
        </w:tc>
        <w:tc>
          <w:tcPr>
            <w:tcW w:w="880" w:type="dxa"/>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w:t>
            </w:r>
            <w:r>
              <w:rPr>
                <w:sz w:val="18"/>
                <w:lang w:val="fr-FR"/>
              </w:rPr>
              <w:t>,</w:t>
            </w:r>
            <w:r w:rsidRPr="00262910">
              <w:rPr>
                <w:sz w:val="18"/>
                <w:lang w:val="fr-FR"/>
              </w:rPr>
              <w:t>2</w:t>
            </w:r>
            <w:r w:rsidR="00E4183A">
              <w:rPr>
                <w:sz w:val="18"/>
                <w:lang w:val="fr-FR"/>
              </w:rPr>
              <w:t xml:space="preserve"> </w:t>
            </w:r>
            <w:r w:rsidRPr="00262910">
              <w:rPr>
                <w:sz w:val="18"/>
                <w:lang w:val="fr-FR"/>
              </w:rPr>
              <w:t>%</w:t>
            </w:r>
          </w:p>
        </w:tc>
      </w:tr>
    </w:tbl>
    <w:p w:rsidR="001771B8" w:rsidRPr="00262910" w:rsidRDefault="001771B8" w:rsidP="001771B8">
      <w:pPr>
        <w:pStyle w:val="SingleTxtG"/>
        <w:spacing w:before="120" w:after="0" w:line="220" w:lineRule="exact"/>
        <w:ind w:firstLine="170"/>
        <w:jc w:val="left"/>
        <w:rPr>
          <w:sz w:val="18"/>
          <w:lang w:val="fr-FR"/>
        </w:rPr>
      </w:pPr>
      <w:r w:rsidRPr="00824B81">
        <w:rPr>
          <w:lang w:val="fr-FR"/>
        </w:rPr>
        <w:t>*</w:t>
      </w:r>
      <w:r w:rsidRPr="00262910">
        <w:rPr>
          <w:sz w:val="18"/>
          <w:lang w:val="fr-FR"/>
        </w:rPr>
        <w:t xml:space="preserve"> </w:t>
      </w:r>
      <w:r w:rsidR="00824B81">
        <w:rPr>
          <w:sz w:val="18"/>
          <w:lang w:val="fr-FR"/>
        </w:rPr>
        <w:t xml:space="preserve"> </w:t>
      </w:r>
      <w:r>
        <w:rPr>
          <w:sz w:val="18"/>
          <w:lang w:val="fr-FR"/>
        </w:rPr>
        <w:t>Dépenses de fonc</w:t>
      </w:r>
      <w:r w:rsidRPr="00262910">
        <w:rPr>
          <w:sz w:val="18"/>
          <w:lang w:val="fr-FR"/>
        </w:rPr>
        <w:t>tionnement de l</w:t>
      </w:r>
      <w:r>
        <w:rPr>
          <w:sz w:val="18"/>
          <w:lang w:val="fr-FR"/>
        </w:rPr>
        <w:t>’</w:t>
      </w:r>
      <w:r w:rsidRPr="00262910">
        <w:rPr>
          <w:sz w:val="18"/>
          <w:lang w:val="fr-FR"/>
        </w:rPr>
        <w:t xml:space="preserve">Administration du travail et de la protection sociale, subventions pour </w:t>
      </w:r>
      <w:r w:rsidRPr="007229E6">
        <w:rPr>
          <w:sz w:val="18"/>
          <w:lang w:val="fr-FR"/>
        </w:rPr>
        <w:t>la Caisse de retraite de la fonction publique</w:t>
      </w:r>
      <w:r w:rsidRPr="00262910">
        <w:rPr>
          <w:sz w:val="18"/>
          <w:lang w:val="fr-FR"/>
        </w:rPr>
        <w:t xml:space="preserve">, mesures </w:t>
      </w:r>
      <w:r>
        <w:rPr>
          <w:sz w:val="18"/>
          <w:lang w:val="fr-FR"/>
        </w:rPr>
        <w:t xml:space="preserve">liées </w:t>
      </w:r>
      <w:r w:rsidRPr="00262910">
        <w:rPr>
          <w:sz w:val="18"/>
          <w:lang w:val="fr-FR"/>
        </w:rPr>
        <w:t xml:space="preserve">au marché du travail, </w:t>
      </w:r>
      <w:r>
        <w:rPr>
          <w:sz w:val="18"/>
          <w:lang w:val="fr-FR"/>
        </w:rPr>
        <w:t>etc.</w:t>
      </w:r>
    </w:p>
    <w:p w:rsidR="001771B8" w:rsidRPr="00262910" w:rsidRDefault="001771B8" w:rsidP="001771B8">
      <w:pPr>
        <w:pStyle w:val="SingleTxtG"/>
        <w:spacing w:after="0" w:line="220" w:lineRule="exact"/>
        <w:ind w:firstLine="170"/>
        <w:jc w:val="left"/>
        <w:rPr>
          <w:sz w:val="18"/>
          <w:lang w:val="fr-FR"/>
        </w:rPr>
      </w:pPr>
      <w:r w:rsidRPr="00824B81">
        <w:rPr>
          <w:lang w:val="fr-FR"/>
        </w:rPr>
        <w:t>**</w:t>
      </w:r>
      <w:r w:rsidRPr="00262910">
        <w:rPr>
          <w:sz w:val="18"/>
          <w:lang w:val="fr-FR"/>
        </w:rPr>
        <w:t xml:space="preserve"> </w:t>
      </w:r>
      <w:r w:rsidR="00824B81">
        <w:rPr>
          <w:sz w:val="18"/>
          <w:lang w:val="fr-FR"/>
        </w:rPr>
        <w:t xml:space="preserve"> </w:t>
      </w:r>
      <w:r w:rsidRPr="00262910">
        <w:rPr>
          <w:sz w:val="18"/>
          <w:lang w:val="fr-FR"/>
        </w:rPr>
        <w:t xml:space="preserve">Indemnité de maladie, </w:t>
      </w:r>
      <w:r w:rsidRPr="00B90435">
        <w:rPr>
          <w:sz w:val="18"/>
          <w:lang w:val="fr-FR"/>
        </w:rPr>
        <w:t>allocation de réadaptation à l</w:t>
      </w:r>
      <w:r>
        <w:rPr>
          <w:sz w:val="18"/>
          <w:lang w:val="fr-FR"/>
        </w:rPr>
        <w:t>’</w:t>
      </w:r>
      <w:r w:rsidRPr="00B90435">
        <w:rPr>
          <w:sz w:val="18"/>
          <w:lang w:val="fr-FR"/>
        </w:rPr>
        <w:t>emploi</w:t>
      </w:r>
      <w:r w:rsidRPr="00262910">
        <w:rPr>
          <w:sz w:val="18"/>
          <w:lang w:val="fr-FR"/>
        </w:rPr>
        <w:t>, allocation d</w:t>
      </w:r>
      <w:r>
        <w:rPr>
          <w:sz w:val="18"/>
          <w:lang w:val="fr-FR"/>
        </w:rPr>
        <w:t>’</w:t>
      </w:r>
      <w:r w:rsidRPr="00262910">
        <w:rPr>
          <w:sz w:val="18"/>
          <w:lang w:val="fr-FR"/>
        </w:rPr>
        <w:t xml:space="preserve">invalidité, pension de vieillesse, pension de réversion, allocation parentale, médicaments, </w:t>
      </w:r>
      <w:r>
        <w:rPr>
          <w:sz w:val="18"/>
          <w:lang w:val="fr-FR"/>
        </w:rPr>
        <w:t>etc., autres</w:t>
      </w:r>
      <w:r w:rsidR="00824B81">
        <w:rPr>
          <w:sz w:val="18"/>
          <w:lang w:val="fr-FR"/>
        </w:rPr>
        <w:t>.</w:t>
      </w:r>
    </w:p>
    <w:p w:rsidR="001771B8" w:rsidRPr="00262910" w:rsidRDefault="001771B8" w:rsidP="00824B81">
      <w:pPr>
        <w:pStyle w:val="H1G"/>
        <w:rPr>
          <w:lang w:val="fr-FR"/>
        </w:rPr>
      </w:pPr>
      <w:r w:rsidRPr="00262910">
        <w:rPr>
          <w:lang w:val="fr-FR"/>
        </w:rPr>
        <w:tab/>
      </w:r>
      <w:r w:rsidRPr="00262910">
        <w:rPr>
          <w:lang w:val="fr-FR"/>
        </w:rPr>
        <w:tab/>
        <w:t>Réponse au paragraphe 10 e) de la liste de points</w:t>
      </w:r>
    </w:p>
    <w:p w:rsidR="001771B8" w:rsidRPr="00262910" w:rsidRDefault="001771B8" w:rsidP="001771B8">
      <w:pPr>
        <w:pStyle w:val="SingleTxtG"/>
        <w:rPr>
          <w:lang w:val="fr-FR"/>
        </w:rPr>
      </w:pPr>
      <w:r w:rsidRPr="00262910">
        <w:rPr>
          <w:lang w:val="fr-FR"/>
        </w:rPr>
        <w:t>76.</w:t>
      </w:r>
      <w:r w:rsidRPr="00262910">
        <w:rPr>
          <w:lang w:val="fr-FR"/>
        </w:rPr>
        <w:tab/>
        <w:t>Niveau absolu</w:t>
      </w:r>
      <w:r>
        <w:rPr>
          <w:lang w:val="fr-FR"/>
        </w:rPr>
        <w:t>,</w:t>
      </w:r>
      <w:r w:rsidRPr="00262910">
        <w:rPr>
          <w:lang w:val="fr-FR"/>
        </w:rPr>
        <w:t xml:space="preserve"> corrigé de l</w:t>
      </w:r>
      <w:r>
        <w:rPr>
          <w:lang w:val="fr-FR"/>
        </w:rPr>
        <w:t>’</w:t>
      </w:r>
      <w:r w:rsidRPr="00262910">
        <w:rPr>
          <w:lang w:val="fr-FR"/>
        </w:rPr>
        <w:t>inflation, des dépenses sociales.</w:t>
      </w:r>
    </w:p>
    <w:p w:rsidR="001771B8" w:rsidRPr="00262910" w:rsidRDefault="00824B81" w:rsidP="00824B81">
      <w:pPr>
        <w:pStyle w:val="H23G"/>
        <w:rPr>
          <w:lang w:val="fr-FR"/>
        </w:rPr>
      </w:pPr>
      <w:r>
        <w:rPr>
          <w:lang w:val="fr-FR"/>
        </w:rPr>
        <w:tab/>
      </w:r>
      <w:r>
        <w:rPr>
          <w:lang w:val="fr-FR"/>
        </w:rPr>
        <w:tab/>
      </w:r>
      <w:r w:rsidR="001771B8" w:rsidRPr="00262910">
        <w:rPr>
          <w:lang w:val="fr-FR"/>
        </w:rPr>
        <w:t>P</w:t>
      </w:r>
      <w:r w:rsidR="001771B8">
        <w:rPr>
          <w:lang w:val="fr-FR"/>
        </w:rPr>
        <w:t xml:space="preserve">ourcentage </w:t>
      </w:r>
      <w:r w:rsidR="001771B8" w:rsidRPr="00262910">
        <w:rPr>
          <w:lang w:val="fr-FR"/>
        </w:rPr>
        <w:t xml:space="preserve">et niveau </w:t>
      </w:r>
      <w:r w:rsidR="001771B8">
        <w:rPr>
          <w:lang w:val="fr-FR"/>
        </w:rPr>
        <w:t>absolu r</w:t>
      </w:r>
      <w:r w:rsidR="001771B8" w:rsidRPr="00262910">
        <w:rPr>
          <w:lang w:val="fr-FR"/>
        </w:rPr>
        <w:t>éel</w:t>
      </w:r>
      <w:r w:rsidR="001771B8" w:rsidRPr="00C77B98">
        <w:rPr>
          <w:lang w:val="fr-FR"/>
        </w:rPr>
        <w:t xml:space="preserve"> </w:t>
      </w:r>
      <w:r w:rsidR="001771B8" w:rsidRPr="00262910">
        <w:rPr>
          <w:lang w:val="fr-FR"/>
        </w:rPr>
        <w:t>(</w:t>
      </w:r>
      <w:r w:rsidR="001771B8">
        <w:rPr>
          <w:lang w:val="fr-FR"/>
        </w:rPr>
        <w:t xml:space="preserve">en milliards de </w:t>
      </w:r>
      <w:r w:rsidR="003D5858" w:rsidRPr="003D5858">
        <w:rPr>
          <w:lang w:val="fr-FR"/>
        </w:rPr>
        <w:t>NKr</w:t>
      </w:r>
      <w:r w:rsidR="003D5858" w:rsidRPr="003D5858">
        <w:rPr>
          <w:lang w:val="fr-FR"/>
        </w:rPr>
        <w:t xml:space="preserve"> </w:t>
      </w:r>
      <w:r w:rsidR="001771B8">
        <w:rPr>
          <w:lang w:val="fr-FR"/>
        </w:rPr>
        <w:t>de 2018</w:t>
      </w:r>
      <w:r w:rsidR="001771B8" w:rsidRPr="00262910">
        <w:rPr>
          <w:lang w:val="fr-FR"/>
        </w:rPr>
        <w:t>)</w:t>
      </w:r>
      <w:r w:rsidR="001771B8">
        <w:rPr>
          <w:lang w:val="fr-FR"/>
        </w:rPr>
        <w:t xml:space="preserve"> </w:t>
      </w:r>
      <w:r w:rsidR="001771B8" w:rsidRPr="00B90435">
        <w:rPr>
          <w:lang w:val="fr-FR"/>
        </w:rPr>
        <w:t xml:space="preserve">des dépenses </w:t>
      </w:r>
      <w:r>
        <w:rPr>
          <w:lang w:val="fr-FR"/>
        </w:rPr>
        <w:br/>
      </w:r>
      <w:r w:rsidR="001771B8" w:rsidRPr="00B90435">
        <w:rPr>
          <w:lang w:val="fr-FR"/>
        </w:rPr>
        <w:t>hors pétrole de l</w:t>
      </w:r>
      <w:r w:rsidR="001771B8">
        <w:rPr>
          <w:lang w:val="fr-FR"/>
        </w:rPr>
        <w:t>’</w:t>
      </w:r>
      <w:r w:rsidR="001771B8" w:rsidRPr="00B90435">
        <w:rPr>
          <w:lang w:val="fr-FR"/>
        </w:rPr>
        <w:t xml:space="preserve">administration centrale </w:t>
      </w:r>
      <w:r w:rsidR="001771B8">
        <w:rPr>
          <w:lang w:val="fr-FR"/>
        </w:rPr>
        <w:t>dans certains secteurs</w:t>
      </w:r>
    </w:p>
    <w:tbl>
      <w:tblPr>
        <w:tblW w:w="7372" w:type="dxa"/>
        <w:tblInd w:w="1134" w:type="dxa"/>
        <w:tblLayout w:type="fixed"/>
        <w:tblCellMar>
          <w:left w:w="0" w:type="dxa"/>
          <w:right w:w="0" w:type="dxa"/>
        </w:tblCellMar>
        <w:tblLook w:val="04A0" w:firstRow="1" w:lastRow="0" w:firstColumn="1" w:lastColumn="0" w:noHBand="0" w:noVBand="1"/>
      </w:tblPr>
      <w:tblGrid>
        <w:gridCol w:w="2491"/>
        <w:gridCol w:w="644"/>
        <w:gridCol w:w="644"/>
        <w:gridCol w:w="644"/>
        <w:gridCol w:w="647"/>
        <w:gridCol w:w="575"/>
        <w:gridCol w:w="575"/>
        <w:gridCol w:w="575"/>
        <w:gridCol w:w="577"/>
      </w:tblGrid>
      <w:tr w:rsidR="001771B8" w:rsidRPr="00262910" w:rsidTr="00E03026">
        <w:trPr>
          <w:tblHeader/>
        </w:trPr>
        <w:tc>
          <w:tcPr>
            <w:tcW w:w="2552" w:type="dxa"/>
            <w:tcBorders>
              <w:top w:val="single" w:sz="4" w:space="0" w:color="auto"/>
            </w:tcBorders>
            <w:shd w:val="clear" w:color="auto" w:fill="auto"/>
            <w:noWrap/>
            <w:hideMark/>
          </w:tcPr>
          <w:p w:rsidR="001771B8" w:rsidRPr="00262910" w:rsidRDefault="001771B8" w:rsidP="001771B8">
            <w:pPr>
              <w:pStyle w:val="SingleTxtG"/>
              <w:suppressAutoHyphens w:val="0"/>
              <w:spacing w:before="80" w:after="80" w:line="200" w:lineRule="exact"/>
              <w:ind w:left="0" w:right="0"/>
              <w:jc w:val="left"/>
              <w:rPr>
                <w:i/>
                <w:spacing w:val="4"/>
                <w:w w:val="103"/>
                <w:kern w:val="14"/>
                <w:sz w:val="16"/>
                <w:lang w:val="fr-FR"/>
              </w:rPr>
            </w:pPr>
          </w:p>
        </w:tc>
        <w:tc>
          <w:tcPr>
            <w:tcW w:w="2638" w:type="dxa"/>
            <w:gridSpan w:val="4"/>
            <w:tcBorders>
              <w:top w:val="single" w:sz="4" w:space="0" w:color="auto"/>
              <w:bottom w:val="single" w:sz="4" w:space="0" w:color="auto"/>
              <w:right w:val="single" w:sz="24" w:space="0" w:color="FFFFFF" w:themeColor="background1"/>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center"/>
              <w:rPr>
                <w:i/>
                <w:spacing w:val="4"/>
                <w:w w:val="103"/>
                <w:kern w:val="14"/>
                <w:sz w:val="16"/>
                <w:lang w:val="fr-FR"/>
              </w:rPr>
            </w:pPr>
            <w:r>
              <w:rPr>
                <w:i/>
                <w:spacing w:val="4"/>
                <w:w w:val="103"/>
                <w:kern w:val="14"/>
                <w:sz w:val="16"/>
                <w:lang w:val="fr-FR"/>
              </w:rPr>
              <w:t>Pourcentage</w:t>
            </w:r>
          </w:p>
        </w:tc>
        <w:tc>
          <w:tcPr>
            <w:tcW w:w="2354" w:type="dxa"/>
            <w:gridSpan w:val="4"/>
            <w:tcBorders>
              <w:top w:val="single" w:sz="4" w:space="0" w:color="auto"/>
              <w:left w:val="single" w:sz="24" w:space="0" w:color="FFFFFF" w:themeColor="background1"/>
              <w:bottom w:val="single" w:sz="4"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center"/>
              <w:rPr>
                <w:i/>
                <w:spacing w:val="4"/>
                <w:w w:val="103"/>
                <w:kern w:val="14"/>
                <w:sz w:val="16"/>
                <w:lang w:val="fr-FR"/>
              </w:rPr>
            </w:pPr>
            <w:r w:rsidRPr="00262910">
              <w:rPr>
                <w:i/>
                <w:spacing w:val="4"/>
                <w:w w:val="103"/>
                <w:kern w:val="14"/>
                <w:sz w:val="16"/>
                <w:lang w:val="fr-FR"/>
              </w:rPr>
              <w:t>Niveau réel</w:t>
            </w:r>
          </w:p>
        </w:tc>
      </w:tr>
      <w:tr w:rsidR="001771B8" w:rsidRPr="00262910" w:rsidTr="00E03026">
        <w:trPr>
          <w:tblHeader/>
        </w:trPr>
        <w:tc>
          <w:tcPr>
            <w:tcW w:w="2552" w:type="dxa"/>
            <w:tcBorders>
              <w:bottom w:val="single" w:sz="12" w:space="0" w:color="auto"/>
            </w:tcBorders>
            <w:shd w:val="clear" w:color="auto" w:fill="auto"/>
            <w:noWrap/>
            <w:hideMark/>
          </w:tcPr>
          <w:p w:rsidR="001771B8" w:rsidRPr="00262910" w:rsidRDefault="001771B8" w:rsidP="001771B8">
            <w:pPr>
              <w:pStyle w:val="SingleTxtG"/>
              <w:suppressAutoHyphens w:val="0"/>
              <w:spacing w:before="80" w:after="80" w:line="200" w:lineRule="exact"/>
              <w:ind w:left="0" w:right="0"/>
              <w:jc w:val="left"/>
              <w:rPr>
                <w:bCs/>
                <w:i/>
                <w:spacing w:val="4"/>
                <w:w w:val="103"/>
                <w:kern w:val="14"/>
                <w:sz w:val="16"/>
                <w:lang w:val="fr-FR"/>
              </w:rPr>
            </w:pPr>
            <w:r w:rsidRPr="00262910">
              <w:rPr>
                <w:bCs/>
                <w:i/>
                <w:spacing w:val="4"/>
                <w:w w:val="103"/>
                <w:kern w:val="14"/>
                <w:sz w:val="16"/>
                <w:lang w:val="fr-FR"/>
              </w:rPr>
              <w:t>Dépenses de l</w:t>
            </w:r>
            <w:r>
              <w:rPr>
                <w:bCs/>
                <w:i/>
                <w:spacing w:val="4"/>
                <w:w w:val="103"/>
                <w:kern w:val="14"/>
                <w:sz w:val="16"/>
                <w:lang w:val="fr-FR"/>
              </w:rPr>
              <w:t>’</w:t>
            </w:r>
            <w:r w:rsidRPr="00262910">
              <w:rPr>
                <w:bCs/>
                <w:i/>
                <w:spacing w:val="4"/>
                <w:w w:val="103"/>
                <w:kern w:val="14"/>
                <w:sz w:val="16"/>
                <w:lang w:val="fr-FR"/>
              </w:rPr>
              <w:t>administration centrale</w:t>
            </w:r>
            <w:r>
              <w:rPr>
                <w:bCs/>
                <w:i/>
                <w:spacing w:val="4"/>
                <w:w w:val="103"/>
                <w:kern w:val="14"/>
                <w:sz w:val="16"/>
                <w:lang w:val="fr-FR"/>
              </w:rPr>
              <w:t xml:space="preserve"> dans certains secteurs</w:t>
            </w:r>
          </w:p>
        </w:tc>
        <w:tc>
          <w:tcPr>
            <w:tcW w:w="659" w:type="dxa"/>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i/>
                <w:spacing w:val="4"/>
                <w:w w:val="103"/>
                <w:kern w:val="14"/>
                <w:sz w:val="16"/>
                <w:lang w:val="fr-FR"/>
              </w:rPr>
            </w:pPr>
            <w:r w:rsidRPr="00262910">
              <w:rPr>
                <w:i/>
                <w:spacing w:val="4"/>
                <w:w w:val="103"/>
                <w:kern w:val="14"/>
                <w:sz w:val="16"/>
                <w:lang w:val="fr-FR"/>
              </w:rPr>
              <w:t>2009</w:t>
            </w:r>
          </w:p>
        </w:tc>
        <w:tc>
          <w:tcPr>
            <w:tcW w:w="659" w:type="dxa"/>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i/>
                <w:spacing w:val="4"/>
                <w:w w:val="103"/>
                <w:kern w:val="14"/>
                <w:sz w:val="16"/>
                <w:lang w:val="fr-FR"/>
              </w:rPr>
            </w:pPr>
            <w:r w:rsidRPr="00262910">
              <w:rPr>
                <w:i/>
                <w:spacing w:val="4"/>
                <w:w w:val="103"/>
                <w:kern w:val="14"/>
                <w:sz w:val="16"/>
                <w:lang w:val="fr-FR"/>
              </w:rPr>
              <w:t>2013</w:t>
            </w:r>
          </w:p>
        </w:tc>
        <w:tc>
          <w:tcPr>
            <w:tcW w:w="659" w:type="dxa"/>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i/>
                <w:spacing w:val="4"/>
                <w:w w:val="103"/>
                <w:kern w:val="14"/>
                <w:sz w:val="16"/>
                <w:lang w:val="fr-FR"/>
              </w:rPr>
            </w:pPr>
            <w:r w:rsidRPr="00262910">
              <w:rPr>
                <w:i/>
                <w:spacing w:val="4"/>
                <w:w w:val="103"/>
                <w:kern w:val="14"/>
                <w:sz w:val="16"/>
                <w:lang w:val="fr-FR"/>
              </w:rPr>
              <w:t>2017</w:t>
            </w:r>
          </w:p>
        </w:tc>
        <w:tc>
          <w:tcPr>
            <w:tcW w:w="661" w:type="dxa"/>
            <w:tcBorders>
              <w:top w:val="single" w:sz="4" w:space="0" w:color="auto"/>
              <w:bottom w:val="single" w:sz="12" w:space="0" w:color="auto"/>
              <w:right w:val="single" w:sz="24" w:space="0" w:color="FFFFFF" w:themeColor="background1"/>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i/>
                <w:spacing w:val="4"/>
                <w:w w:val="103"/>
                <w:kern w:val="14"/>
                <w:sz w:val="16"/>
                <w:lang w:val="fr-FR"/>
              </w:rPr>
            </w:pPr>
            <w:r w:rsidRPr="00262910">
              <w:rPr>
                <w:i/>
                <w:spacing w:val="4"/>
                <w:w w:val="103"/>
                <w:kern w:val="14"/>
                <w:sz w:val="16"/>
                <w:lang w:val="fr-FR"/>
              </w:rPr>
              <w:t>2018</w:t>
            </w:r>
          </w:p>
        </w:tc>
        <w:tc>
          <w:tcPr>
            <w:tcW w:w="588" w:type="dxa"/>
            <w:tcBorders>
              <w:top w:val="single" w:sz="4" w:space="0" w:color="auto"/>
              <w:left w:val="single" w:sz="24" w:space="0" w:color="FFFFFF" w:themeColor="background1"/>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i/>
                <w:spacing w:val="4"/>
                <w:w w:val="103"/>
                <w:kern w:val="14"/>
                <w:sz w:val="16"/>
                <w:lang w:val="fr-FR"/>
              </w:rPr>
            </w:pPr>
            <w:r w:rsidRPr="00262910">
              <w:rPr>
                <w:i/>
                <w:spacing w:val="4"/>
                <w:w w:val="103"/>
                <w:kern w:val="14"/>
                <w:sz w:val="16"/>
                <w:lang w:val="fr-FR"/>
              </w:rPr>
              <w:t>2009</w:t>
            </w:r>
          </w:p>
        </w:tc>
        <w:tc>
          <w:tcPr>
            <w:tcW w:w="588" w:type="dxa"/>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i/>
                <w:spacing w:val="4"/>
                <w:w w:val="103"/>
                <w:kern w:val="14"/>
                <w:sz w:val="16"/>
                <w:lang w:val="fr-FR"/>
              </w:rPr>
            </w:pPr>
            <w:r w:rsidRPr="00262910">
              <w:rPr>
                <w:i/>
                <w:spacing w:val="4"/>
                <w:w w:val="103"/>
                <w:kern w:val="14"/>
                <w:sz w:val="16"/>
                <w:lang w:val="fr-FR"/>
              </w:rPr>
              <w:t>2013</w:t>
            </w:r>
          </w:p>
        </w:tc>
        <w:tc>
          <w:tcPr>
            <w:tcW w:w="588" w:type="dxa"/>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i/>
                <w:spacing w:val="4"/>
                <w:w w:val="103"/>
                <w:kern w:val="14"/>
                <w:sz w:val="16"/>
                <w:lang w:val="fr-FR"/>
              </w:rPr>
            </w:pPr>
            <w:r w:rsidRPr="00262910">
              <w:rPr>
                <w:i/>
                <w:spacing w:val="4"/>
                <w:w w:val="103"/>
                <w:kern w:val="14"/>
                <w:sz w:val="16"/>
                <w:lang w:val="fr-FR"/>
              </w:rPr>
              <w:t>2017</w:t>
            </w:r>
          </w:p>
        </w:tc>
        <w:tc>
          <w:tcPr>
            <w:tcW w:w="590" w:type="dxa"/>
            <w:tcBorders>
              <w:top w:val="single" w:sz="4" w:space="0" w:color="auto"/>
              <w:bottom w:val="single" w:sz="12" w:space="0" w:color="auto"/>
            </w:tcBorders>
            <w:shd w:val="clear" w:color="auto" w:fill="auto"/>
            <w:noWrap/>
            <w:vAlign w:val="bottom"/>
            <w:hideMark/>
          </w:tcPr>
          <w:p w:rsidR="001771B8" w:rsidRPr="00262910" w:rsidRDefault="001771B8" w:rsidP="001771B8">
            <w:pPr>
              <w:pStyle w:val="SingleTxtG"/>
              <w:suppressAutoHyphens w:val="0"/>
              <w:spacing w:before="80" w:after="80" w:line="200" w:lineRule="exact"/>
              <w:ind w:left="0" w:right="0"/>
              <w:jc w:val="right"/>
              <w:rPr>
                <w:i/>
                <w:spacing w:val="4"/>
                <w:w w:val="103"/>
                <w:kern w:val="14"/>
                <w:sz w:val="16"/>
                <w:lang w:val="fr-FR"/>
              </w:rPr>
            </w:pPr>
            <w:r w:rsidRPr="00262910">
              <w:rPr>
                <w:i/>
                <w:spacing w:val="4"/>
                <w:w w:val="103"/>
                <w:kern w:val="14"/>
                <w:sz w:val="16"/>
                <w:lang w:val="fr-FR"/>
              </w:rPr>
              <w:t>2018</w:t>
            </w:r>
          </w:p>
        </w:tc>
      </w:tr>
      <w:tr w:rsidR="001771B8" w:rsidRPr="00262910" w:rsidTr="00E03026">
        <w:tc>
          <w:tcPr>
            <w:tcW w:w="2552" w:type="dxa"/>
            <w:tcBorders>
              <w:top w:val="single" w:sz="12" w:space="0" w:color="auto"/>
            </w:tcBorders>
            <w:shd w:val="clear" w:color="auto" w:fill="auto"/>
            <w:noWrap/>
            <w:hideMark/>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Éducation</w:t>
            </w:r>
          </w:p>
        </w:tc>
        <w:tc>
          <w:tcPr>
            <w:tcW w:w="659" w:type="dxa"/>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659" w:type="dxa"/>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659" w:type="dxa"/>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661" w:type="dxa"/>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588" w:type="dxa"/>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 xml:space="preserve"> </w:t>
            </w:r>
          </w:p>
        </w:tc>
        <w:tc>
          <w:tcPr>
            <w:tcW w:w="588" w:type="dxa"/>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588" w:type="dxa"/>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590" w:type="dxa"/>
            <w:tcBorders>
              <w:top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r>
      <w:tr w:rsidR="001771B8" w:rsidRPr="00262910" w:rsidTr="00E03026">
        <w:tc>
          <w:tcPr>
            <w:tcW w:w="2552" w:type="dxa"/>
            <w:shd w:val="clear" w:color="auto" w:fill="auto"/>
            <w:noWrap/>
            <w:hideMark/>
          </w:tcPr>
          <w:p w:rsidR="001771B8" w:rsidRPr="00262910" w:rsidRDefault="001771B8" w:rsidP="001771B8">
            <w:pPr>
              <w:pStyle w:val="SingleTxtG"/>
              <w:suppressAutoHyphens w:val="0"/>
              <w:spacing w:before="40" w:after="40" w:line="220" w:lineRule="exact"/>
              <w:ind w:left="142" w:right="0"/>
              <w:jc w:val="left"/>
              <w:rPr>
                <w:sz w:val="18"/>
                <w:lang w:val="fr-FR"/>
              </w:rPr>
            </w:pPr>
            <w:r w:rsidRPr="00262910">
              <w:rPr>
                <w:sz w:val="18"/>
                <w:lang w:val="fr-FR"/>
              </w:rPr>
              <w:t xml:space="preserve">Subventions </w:t>
            </w:r>
            <w:r>
              <w:rPr>
                <w:sz w:val="18"/>
                <w:lang w:val="fr-FR"/>
              </w:rPr>
              <w:t xml:space="preserve">à </w:t>
            </w:r>
            <w:r w:rsidRPr="00262910">
              <w:rPr>
                <w:sz w:val="18"/>
                <w:lang w:val="fr-FR"/>
              </w:rPr>
              <w:t xml:space="preserve">la formation </w:t>
            </w:r>
            <w:r>
              <w:rPr>
                <w:sz w:val="18"/>
                <w:lang w:val="fr-FR"/>
              </w:rPr>
              <w:t>et à l’éducation préscolaire</w:t>
            </w:r>
            <w:r w:rsidRPr="00262910">
              <w:rPr>
                <w:sz w:val="18"/>
                <w:lang w:val="fr-FR"/>
              </w:rPr>
              <w:t xml:space="preserve"> </w:t>
            </w:r>
          </w:p>
        </w:tc>
        <w:tc>
          <w:tcPr>
            <w:tcW w:w="659"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0</w:t>
            </w:r>
            <w:r>
              <w:rPr>
                <w:sz w:val="18"/>
                <w:lang w:val="fr-FR"/>
              </w:rPr>
              <w:t>,</w:t>
            </w:r>
            <w:r w:rsidRPr="00262910">
              <w:rPr>
                <w:sz w:val="18"/>
                <w:lang w:val="fr-FR"/>
              </w:rPr>
              <w:t>9</w:t>
            </w:r>
          </w:p>
        </w:tc>
        <w:tc>
          <w:tcPr>
            <w:tcW w:w="659"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0</w:t>
            </w:r>
            <w:r>
              <w:rPr>
                <w:sz w:val="18"/>
                <w:lang w:val="fr-FR"/>
              </w:rPr>
              <w:t>,</w:t>
            </w:r>
            <w:r w:rsidRPr="00262910">
              <w:rPr>
                <w:sz w:val="18"/>
                <w:lang w:val="fr-FR"/>
              </w:rPr>
              <w:t>9</w:t>
            </w:r>
          </w:p>
        </w:tc>
        <w:tc>
          <w:tcPr>
            <w:tcW w:w="659"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r>
              <w:rPr>
                <w:sz w:val="18"/>
                <w:lang w:val="fr-FR"/>
              </w:rPr>
              <w:t>,</w:t>
            </w:r>
            <w:r w:rsidRPr="00262910">
              <w:rPr>
                <w:sz w:val="18"/>
                <w:lang w:val="fr-FR"/>
              </w:rPr>
              <w:t>1</w:t>
            </w:r>
          </w:p>
        </w:tc>
        <w:tc>
          <w:tcPr>
            <w:tcW w:w="661"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r>
              <w:rPr>
                <w:sz w:val="18"/>
                <w:lang w:val="fr-FR"/>
              </w:rPr>
              <w:t>,</w:t>
            </w:r>
            <w:r w:rsidRPr="00262910">
              <w:rPr>
                <w:sz w:val="18"/>
                <w:lang w:val="fr-FR"/>
              </w:rPr>
              <w:t>1</w:t>
            </w:r>
          </w:p>
        </w:tc>
        <w:tc>
          <w:tcPr>
            <w:tcW w:w="588"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10</w:t>
            </w:r>
            <w:r>
              <w:rPr>
                <w:sz w:val="18"/>
                <w:lang w:val="fr-FR"/>
              </w:rPr>
              <w:t>,</w:t>
            </w:r>
            <w:r w:rsidRPr="00262910">
              <w:rPr>
                <w:sz w:val="18"/>
                <w:lang w:val="fr-FR"/>
              </w:rPr>
              <w:t>0</w:t>
            </w:r>
          </w:p>
        </w:tc>
        <w:tc>
          <w:tcPr>
            <w:tcW w:w="588"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10</w:t>
            </w:r>
            <w:r>
              <w:rPr>
                <w:sz w:val="18"/>
                <w:lang w:val="fr-FR"/>
              </w:rPr>
              <w:t>,</w:t>
            </w:r>
            <w:r w:rsidRPr="00262910">
              <w:rPr>
                <w:sz w:val="18"/>
                <w:lang w:val="fr-FR"/>
              </w:rPr>
              <w:t>9</w:t>
            </w:r>
          </w:p>
        </w:tc>
        <w:tc>
          <w:tcPr>
            <w:tcW w:w="588"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14</w:t>
            </w:r>
            <w:r>
              <w:rPr>
                <w:sz w:val="18"/>
                <w:lang w:val="fr-FR"/>
              </w:rPr>
              <w:t>,</w:t>
            </w:r>
            <w:r w:rsidRPr="00262910">
              <w:rPr>
                <w:sz w:val="18"/>
                <w:lang w:val="fr-FR"/>
              </w:rPr>
              <w:t>5</w:t>
            </w:r>
          </w:p>
        </w:tc>
        <w:tc>
          <w:tcPr>
            <w:tcW w:w="590"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14</w:t>
            </w:r>
            <w:r>
              <w:rPr>
                <w:sz w:val="18"/>
                <w:lang w:val="fr-FR"/>
              </w:rPr>
              <w:t>,</w:t>
            </w:r>
            <w:r w:rsidRPr="00262910">
              <w:rPr>
                <w:sz w:val="18"/>
                <w:lang w:val="fr-FR"/>
              </w:rPr>
              <w:t>3</w:t>
            </w:r>
          </w:p>
        </w:tc>
      </w:tr>
      <w:tr w:rsidR="001771B8" w:rsidRPr="00262910" w:rsidTr="00E03026">
        <w:tc>
          <w:tcPr>
            <w:tcW w:w="2552" w:type="dxa"/>
            <w:shd w:val="clear" w:color="auto" w:fill="auto"/>
            <w:noWrap/>
            <w:hideMark/>
          </w:tcPr>
          <w:p w:rsidR="001771B8" w:rsidRPr="00262910" w:rsidRDefault="001771B8" w:rsidP="001771B8">
            <w:pPr>
              <w:pStyle w:val="SingleTxtG"/>
              <w:suppressAutoHyphens w:val="0"/>
              <w:spacing w:before="40" w:after="40" w:line="220" w:lineRule="exact"/>
              <w:ind w:left="142" w:right="0"/>
              <w:jc w:val="left"/>
              <w:rPr>
                <w:sz w:val="18"/>
                <w:lang w:val="fr-FR"/>
              </w:rPr>
            </w:pPr>
            <w:r w:rsidRPr="00262910">
              <w:rPr>
                <w:sz w:val="18"/>
                <w:lang w:val="fr-FR"/>
              </w:rPr>
              <w:t>Enseignement supérieur et recherche</w:t>
            </w:r>
          </w:p>
        </w:tc>
        <w:tc>
          <w:tcPr>
            <w:tcW w:w="659"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4</w:t>
            </w:r>
            <w:r>
              <w:rPr>
                <w:sz w:val="18"/>
                <w:lang w:val="fr-FR"/>
              </w:rPr>
              <w:t>,</w:t>
            </w:r>
            <w:r w:rsidRPr="00262910">
              <w:rPr>
                <w:sz w:val="18"/>
                <w:lang w:val="fr-FR"/>
              </w:rPr>
              <w:t>6</w:t>
            </w:r>
          </w:p>
        </w:tc>
        <w:tc>
          <w:tcPr>
            <w:tcW w:w="659"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4</w:t>
            </w:r>
            <w:r>
              <w:rPr>
                <w:sz w:val="18"/>
                <w:lang w:val="fr-FR"/>
              </w:rPr>
              <w:t>,</w:t>
            </w:r>
            <w:r w:rsidRPr="00262910">
              <w:rPr>
                <w:sz w:val="18"/>
                <w:lang w:val="fr-FR"/>
              </w:rPr>
              <w:t>5</w:t>
            </w:r>
          </w:p>
        </w:tc>
        <w:tc>
          <w:tcPr>
            <w:tcW w:w="659"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4</w:t>
            </w:r>
            <w:r>
              <w:rPr>
                <w:sz w:val="18"/>
                <w:lang w:val="fr-FR"/>
              </w:rPr>
              <w:t>,</w:t>
            </w:r>
            <w:r w:rsidRPr="00262910">
              <w:rPr>
                <w:sz w:val="18"/>
                <w:lang w:val="fr-FR"/>
              </w:rPr>
              <w:t>5</w:t>
            </w:r>
          </w:p>
        </w:tc>
        <w:tc>
          <w:tcPr>
            <w:tcW w:w="661"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4</w:t>
            </w:r>
            <w:r>
              <w:rPr>
                <w:sz w:val="18"/>
                <w:lang w:val="fr-FR"/>
              </w:rPr>
              <w:t>,</w:t>
            </w:r>
            <w:r w:rsidRPr="00262910">
              <w:rPr>
                <w:sz w:val="18"/>
                <w:lang w:val="fr-FR"/>
              </w:rPr>
              <w:t>6</w:t>
            </w:r>
          </w:p>
        </w:tc>
        <w:tc>
          <w:tcPr>
            <w:tcW w:w="588"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49</w:t>
            </w:r>
            <w:r>
              <w:rPr>
                <w:sz w:val="18"/>
                <w:lang w:val="fr-FR"/>
              </w:rPr>
              <w:t>,</w:t>
            </w:r>
            <w:r w:rsidRPr="00262910">
              <w:rPr>
                <w:sz w:val="18"/>
                <w:lang w:val="fr-FR"/>
              </w:rPr>
              <w:t>4</w:t>
            </w:r>
          </w:p>
        </w:tc>
        <w:tc>
          <w:tcPr>
            <w:tcW w:w="588"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52</w:t>
            </w:r>
            <w:r>
              <w:rPr>
                <w:sz w:val="18"/>
                <w:lang w:val="fr-FR"/>
              </w:rPr>
              <w:t>,</w:t>
            </w:r>
            <w:r w:rsidRPr="00262910">
              <w:rPr>
                <w:sz w:val="18"/>
                <w:lang w:val="fr-FR"/>
              </w:rPr>
              <w:t>1</w:t>
            </w:r>
          </w:p>
        </w:tc>
        <w:tc>
          <w:tcPr>
            <w:tcW w:w="588"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57</w:t>
            </w:r>
            <w:r>
              <w:rPr>
                <w:sz w:val="18"/>
                <w:lang w:val="fr-FR"/>
              </w:rPr>
              <w:t>,</w:t>
            </w:r>
            <w:r w:rsidRPr="00262910">
              <w:rPr>
                <w:sz w:val="18"/>
                <w:lang w:val="fr-FR"/>
              </w:rPr>
              <w:t>3</w:t>
            </w:r>
          </w:p>
        </w:tc>
        <w:tc>
          <w:tcPr>
            <w:tcW w:w="590"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59</w:t>
            </w:r>
            <w:r>
              <w:rPr>
                <w:sz w:val="18"/>
                <w:lang w:val="fr-FR"/>
              </w:rPr>
              <w:t>,</w:t>
            </w:r>
            <w:r w:rsidRPr="00262910">
              <w:rPr>
                <w:sz w:val="18"/>
                <w:lang w:val="fr-FR"/>
              </w:rPr>
              <w:t>3</w:t>
            </w:r>
          </w:p>
        </w:tc>
      </w:tr>
      <w:tr w:rsidR="001771B8" w:rsidRPr="00262910" w:rsidTr="00E03026">
        <w:tc>
          <w:tcPr>
            <w:tcW w:w="2552" w:type="dxa"/>
            <w:shd w:val="clear" w:color="auto" w:fill="auto"/>
            <w:noWrap/>
            <w:hideMark/>
          </w:tcPr>
          <w:p w:rsidR="001771B8" w:rsidRPr="00262910" w:rsidRDefault="001771B8" w:rsidP="001771B8">
            <w:pPr>
              <w:pStyle w:val="SingleTxtG"/>
              <w:suppressAutoHyphens w:val="0"/>
              <w:spacing w:before="40" w:after="40" w:line="220" w:lineRule="exact"/>
              <w:ind w:left="142" w:right="0"/>
              <w:jc w:val="left"/>
              <w:rPr>
                <w:sz w:val="18"/>
                <w:lang w:val="fr-FR"/>
              </w:rPr>
            </w:pPr>
            <w:r w:rsidRPr="00262910">
              <w:rPr>
                <w:sz w:val="18"/>
                <w:lang w:val="fr-FR"/>
              </w:rPr>
              <w:t>Culture et confessions religieuses</w:t>
            </w:r>
          </w:p>
        </w:tc>
        <w:tc>
          <w:tcPr>
            <w:tcW w:w="659"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0</w:t>
            </w:r>
            <w:r>
              <w:rPr>
                <w:sz w:val="18"/>
                <w:lang w:val="fr-FR"/>
              </w:rPr>
              <w:t>,</w:t>
            </w:r>
            <w:r w:rsidRPr="00262910">
              <w:rPr>
                <w:sz w:val="18"/>
                <w:lang w:val="fr-FR"/>
              </w:rPr>
              <w:t>9</w:t>
            </w:r>
          </w:p>
        </w:tc>
        <w:tc>
          <w:tcPr>
            <w:tcW w:w="659"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r>
              <w:rPr>
                <w:sz w:val="18"/>
                <w:lang w:val="fr-FR"/>
              </w:rPr>
              <w:t>,</w:t>
            </w:r>
            <w:r w:rsidRPr="00262910">
              <w:rPr>
                <w:sz w:val="18"/>
                <w:lang w:val="fr-FR"/>
              </w:rPr>
              <w:t>0</w:t>
            </w:r>
          </w:p>
        </w:tc>
        <w:tc>
          <w:tcPr>
            <w:tcW w:w="659"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r>
              <w:rPr>
                <w:sz w:val="18"/>
                <w:lang w:val="fr-FR"/>
              </w:rPr>
              <w:t>,</w:t>
            </w:r>
            <w:r w:rsidRPr="00262910">
              <w:rPr>
                <w:sz w:val="18"/>
                <w:lang w:val="fr-FR"/>
              </w:rPr>
              <w:t>1</w:t>
            </w:r>
          </w:p>
        </w:tc>
        <w:tc>
          <w:tcPr>
            <w:tcW w:w="661"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r>
              <w:rPr>
                <w:sz w:val="18"/>
                <w:lang w:val="fr-FR"/>
              </w:rPr>
              <w:t>,</w:t>
            </w:r>
            <w:r w:rsidRPr="00262910">
              <w:rPr>
                <w:sz w:val="18"/>
                <w:lang w:val="fr-FR"/>
              </w:rPr>
              <w:t>1</w:t>
            </w:r>
          </w:p>
        </w:tc>
        <w:tc>
          <w:tcPr>
            <w:tcW w:w="588"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10</w:t>
            </w:r>
            <w:r>
              <w:rPr>
                <w:sz w:val="18"/>
                <w:lang w:val="fr-FR"/>
              </w:rPr>
              <w:t>,</w:t>
            </w:r>
            <w:r w:rsidRPr="00262910">
              <w:rPr>
                <w:sz w:val="18"/>
                <w:lang w:val="fr-FR"/>
              </w:rPr>
              <w:t>6</w:t>
            </w:r>
          </w:p>
        </w:tc>
        <w:tc>
          <w:tcPr>
            <w:tcW w:w="588"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12</w:t>
            </w:r>
            <w:r>
              <w:rPr>
                <w:sz w:val="18"/>
                <w:lang w:val="fr-FR"/>
              </w:rPr>
              <w:t>,</w:t>
            </w:r>
            <w:r w:rsidRPr="00262910">
              <w:rPr>
                <w:sz w:val="18"/>
                <w:lang w:val="fr-FR"/>
              </w:rPr>
              <w:t>2</w:t>
            </w:r>
          </w:p>
        </w:tc>
        <w:tc>
          <w:tcPr>
            <w:tcW w:w="588"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13,8</w:t>
            </w:r>
          </w:p>
        </w:tc>
        <w:tc>
          <w:tcPr>
            <w:tcW w:w="590"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13</w:t>
            </w:r>
            <w:r>
              <w:rPr>
                <w:sz w:val="18"/>
                <w:lang w:val="fr-FR"/>
              </w:rPr>
              <w:t>,</w:t>
            </w:r>
            <w:r w:rsidRPr="00262910">
              <w:rPr>
                <w:sz w:val="18"/>
                <w:lang w:val="fr-FR"/>
              </w:rPr>
              <w:t>8</w:t>
            </w:r>
          </w:p>
        </w:tc>
      </w:tr>
      <w:tr w:rsidR="001771B8" w:rsidRPr="00262910" w:rsidTr="00E03026">
        <w:tc>
          <w:tcPr>
            <w:tcW w:w="2552" w:type="dxa"/>
            <w:shd w:val="clear" w:color="auto" w:fill="auto"/>
            <w:noWrap/>
            <w:hideMark/>
          </w:tcPr>
          <w:p w:rsidR="001771B8" w:rsidRPr="00262910" w:rsidRDefault="001771B8" w:rsidP="001771B8">
            <w:pPr>
              <w:pStyle w:val="SingleTxtG"/>
              <w:suppressAutoHyphens w:val="0"/>
              <w:spacing w:before="40" w:after="40" w:line="220" w:lineRule="exact"/>
              <w:ind w:left="142" w:right="0"/>
              <w:jc w:val="left"/>
              <w:rPr>
                <w:sz w:val="18"/>
                <w:lang w:val="fr-FR"/>
              </w:rPr>
            </w:pPr>
            <w:r w:rsidRPr="00262910">
              <w:rPr>
                <w:sz w:val="18"/>
                <w:lang w:val="fr-FR"/>
              </w:rPr>
              <w:t>Travail et affaires sociales</w:t>
            </w:r>
            <w:r w:rsidRPr="00E03026">
              <w:rPr>
                <w:lang w:val="fr-FR"/>
              </w:rPr>
              <w:t>*</w:t>
            </w:r>
          </w:p>
        </w:tc>
        <w:tc>
          <w:tcPr>
            <w:tcW w:w="659"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w:t>
            </w:r>
            <w:r>
              <w:rPr>
                <w:sz w:val="18"/>
                <w:lang w:val="fr-FR"/>
              </w:rPr>
              <w:t>,</w:t>
            </w:r>
            <w:r w:rsidRPr="00262910">
              <w:rPr>
                <w:sz w:val="18"/>
                <w:lang w:val="fr-FR"/>
              </w:rPr>
              <w:t>1</w:t>
            </w:r>
          </w:p>
        </w:tc>
        <w:tc>
          <w:tcPr>
            <w:tcW w:w="659"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w:t>
            </w:r>
            <w:r>
              <w:rPr>
                <w:sz w:val="18"/>
                <w:lang w:val="fr-FR"/>
              </w:rPr>
              <w:t>,</w:t>
            </w:r>
            <w:r w:rsidRPr="00262910">
              <w:rPr>
                <w:sz w:val="18"/>
                <w:lang w:val="fr-FR"/>
              </w:rPr>
              <w:t>6</w:t>
            </w:r>
          </w:p>
        </w:tc>
        <w:tc>
          <w:tcPr>
            <w:tcW w:w="659"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w:t>
            </w:r>
            <w:r>
              <w:rPr>
                <w:sz w:val="18"/>
                <w:lang w:val="fr-FR"/>
              </w:rPr>
              <w:t>,</w:t>
            </w:r>
            <w:r w:rsidRPr="00262910">
              <w:rPr>
                <w:sz w:val="18"/>
                <w:lang w:val="fr-FR"/>
              </w:rPr>
              <w:t>5</w:t>
            </w:r>
          </w:p>
        </w:tc>
        <w:tc>
          <w:tcPr>
            <w:tcW w:w="661"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w:t>
            </w:r>
            <w:r>
              <w:rPr>
                <w:sz w:val="18"/>
                <w:lang w:val="fr-FR"/>
              </w:rPr>
              <w:t>,</w:t>
            </w:r>
            <w:r w:rsidRPr="00262910">
              <w:rPr>
                <w:sz w:val="18"/>
                <w:lang w:val="fr-FR"/>
              </w:rPr>
              <w:t>4</w:t>
            </w:r>
          </w:p>
        </w:tc>
        <w:tc>
          <w:tcPr>
            <w:tcW w:w="588"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34</w:t>
            </w:r>
            <w:r>
              <w:rPr>
                <w:sz w:val="18"/>
                <w:lang w:val="fr-FR"/>
              </w:rPr>
              <w:t>,</w:t>
            </w:r>
            <w:r w:rsidRPr="00262910">
              <w:rPr>
                <w:sz w:val="18"/>
                <w:lang w:val="fr-FR"/>
              </w:rPr>
              <w:t>0</w:t>
            </w:r>
          </w:p>
        </w:tc>
        <w:tc>
          <w:tcPr>
            <w:tcW w:w="588"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30</w:t>
            </w:r>
            <w:r>
              <w:rPr>
                <w:sz w:val="18"/>
                <w:lang w:val="fr-FR"/>
              </w:rPr>
              <w:t>,</w:t>
            </w:r>
            <w:r w:rsidRPr="00262910">
              <w:rPr>
                <w:sz w:val="18"/>
                <w:lang w:val="fr-FR"/>
              </w:rPr>
              <w:t>9</w:t>
            </w:r>
          </w:p>
        </w:tc>
        <w:tc>
          <w:tcPr>
            <w:tcW w:w="588"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32</w:t>
            </w:r>
            <w:r>
              <w:rPr>
                <w:sz w:val="18"/>
                <w:lang w:val="fr-FR"/>
              </w:rPr>
              <w:t>,</w:t>
            </w:r>
            <w:r w:rsidRPr="00262910">
              <w:rPr>
                <w:sz w:val="18"/>
                <w:lang w:val="fr-FR"/>
              </w:rPr>
              <w:t>4</w:t>
            </w:r>
          </w:p>
        </w:tc>
        <w:tc>
          <w:tcPr>
            <w:tcW w:w="590"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31</w:t>
            </w:r>
            <w:r>
              <w:rPr>
                <w:sz w:val="18"/>
                <w:lang w:val="fr-FR"/>
              </w:rPr>
              <w:t>,</w:t>
            </w:r>
            <w:r w:rsidRPr="00262910">
              <w:rPr>
                <w:sz w:val="18"/>
                <w:lang w:val="fr-FR"/>
              </w:rPr>
              <w:t>3</w:t>
            </w:r>
          </w:p>
        </w:tc>
      </w:tr>
      <w:tr w:rsidR="001771B8" w:rsidRPr="00262910" w:rsidTr="00E03026">
        <w:tc>
          <w:tcPr>
            <w:tcW w:w="2552" w:type="dxa"/>
            <w:shd w:val="clear" w:color="auto" w:fill="auto"/>
            <w:noWrap/>
            <w:hideMark/>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Soins de santé</w:t>
            </w:r>
          </w:p>
        </w:tc>
        <w:tc>
          <w:tcPr>
            <w:tcW w:w="659"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659"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659"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661"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588"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 xml:space="preserve"> </w:t>
            </w:r>
          </w:p>
        </w:tc>
        <w:tc>
          <w:tcPr>
            <w:tcW w:w="588"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588"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590"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r>
      <w:tr w:rsidR="001771B8" w:rsidRPr="00262910" w:rsidTr="00E03026">
        <w:tc>
          <w:tcPr>
            <w:tcW w:w="2552" w:type="dxa"/>
            <w:shd w:val="clear" w:color="auto" w:fill="auto"/>
            <w:noWrap/>
            <w:hideMark/>
          </w:tcPr>
          <w:p w:rsidR="001771B8" w:rsidRPr="00262910" w:rsidRDefault="001771B8" w:rsidP="001771B8">
            <w:pPr>
              <w:pStyle w:val="SingleTxtG"/>
              <w:suppressAutoHyphens w:val="0"/>
              <w:spacing w:before="40" w:after="40" w:line="220" w:lineRule="exact"/>
              <w:ind w:left="142" w:right="0"/>
              <w:jc w:val="left"/>
              <w:rPr>
                <w:sz w:val="18"/>
                <w:lang w:val="fr-FR"/>
              </w:rPr>
            </w:pPr>
            <w:r w:rsidRPr="00262910">
              <w:rPr>
                <w:sz w:val="18"/>
                <w:lang w:val="fr-FR"/>
              </w:rPr>
              <w:t xml:space="preserve">Services de santé spécialisés (hôpitaux et </w:t>
            </w:r>
            <w:r>
              <w:rPr>
                <w:sz w:val="18"/>
                <w:lang w:val="fr-FR"/>
              </w:rPr>
              <w:t>autres</w:t>
            </w:r>
            <w:r w:rsidRPr="00262910">
              <w:rPr>
                <w:sz w:val="18"/>
                <w:lang w:val="fr-FR"/>
              </w:rPr>
              <w:t>)</w:t>
            </w:r>
          </w:p>
        </w:tc>
        <w:tc>
          <w:tcPr>
            <w:tcW w:w="659"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11</w:t>
            </w:r>
            <w:r>
              <w:rPr>
                <w:sz w:val="18"/>
                <w:lang w:val="fr-FR"/>
              </w:rPr>
              <w:t>,</w:t>
            </w:r>
            <w:r w:rsidRPr="00262910">
              <w:rPr>
                <w:sz w:val="18"/>
                <w:lang w:val="fr-FR"/>
              </w:rPr>
              <w:t>3</w:t>
            </w:r>
          </w:p>
        </w:tc>
        <w:tc>
          <w:tcPr>
            <w:tcW w:w="659"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11</w:t>
            </w:r>
            <w:r>
              <w:rPr>
                <w:sz w:val="18"/>
                <w:lang w:val="fr-FR"/>
              </w:rPr>
              <w:t>,</w:t>
            </w:r>
            <w:r w:rsidRPr="00262910">
              <w:rPr>
                <w:sz w:val="18"/>
                <w:lang w:val="fr-FR"/>
              </w:rPr>
              <w:t>3</w:t>
            </w:r>
          </w:p>
        </w:tc>
        <w:tc>
          <w:tcPr>
            <w:tcW w:w="659"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11</w:t>
            </w:r>
            <w:r>
              <w:rPr>
                <w:sz w:val="18"/>
                <w:lang w:val="fr-FR"/>
              </w:rPr>
              <w:t>,</w:t>
            </w:r>
            <w:r w:rsidRPr="00262910">
              <w:rPr>
                <w:sz w:val="18"/>
                <w:lang w:val="fr-FR"/>
              </w:rPr>
              <w:t>4</w:t>
            </w:r>
          </w:p>
        </w:tc>
        <w:tc>
          <w:tcPr>
            <w:tcW w:w="661"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11</w:t>
            </w:r>
            <w:r>
              <w:rPr>
                <w:sz w:val="18"/>
                <w:lang w:val="fr-FR"/>
              </w:rPr>
              <w:t>,</w:t>
            </w:r>
            <w:r w:rsidRPr="00262910">
              <w:rPr>
                <w:sz w:val="18"/>
                <w:lang w:val="fr-FR"/>
              </w:rPr>
              <w:t>5</w:t>
            </w:r>
          </w:p>
        </w:tc>
        <w:tc>
          <w:tcPr>
            <w:tcW w:w="588"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124</w:t>
            </w:r>
            <w:r>
              <w:rPr>
                <w:sz w:val="18"/>
                <w:lang w:val="fr-FR"/>
              </w:rPr>
              <w:t>,</w:t>
            </w:r>
            <w:r w:rsidRPr="00262910">
              <w:rPr>
                <w:sz w:val="18"/>
                <w:lang w:val="fr-FR"/>
              </w:rPr>
              <w:t>8</w:t>
            </w:r>
          </w:p>
        </w:tc>
        <w:tc>
          <w:tcPr>
            <w:tcW w:w="588"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132</w:t>
            </w:r>
            <w:r>
              <w:rPr>
                <w:sz w:val="18"/>
                <w:lang w:val="fr-FR"/>
              </w:rPr>
              <w:t>,</w:t>
            </w:r>
            <w:r w:rsidRPr="00262910">
              <w:rPr>
                <w:sz w:val="18"/>
                <w:lang w:val="fr-FR"/>
              </w:rPr>
              <w:t>5</w:t>
            </w:r>
          </w:p>
        </w:tc>
        <w:tc>
          <w:tcPr>
            <w:tcW w:w="588"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146</w:t>
            </w:r>
            <w:r>
              <w:rPr>
                <w:sz w:val="18"/>
                <w:lang w:val="fr-FR"/>
              </w:rPr>
              <w:t>,</w:t>
            </w:r>
            <w:r w:rsidRPr="00262910">
              <w:rPr>
                <w:sz w:val="18"/>
                <w:lang w:val="fr-FR"/>
              </w:rPr>
              <w:t>7</w:t>
            </w:r>
          </w:p>
        </w:tc>
        <w:tc>
          <w:tcPr>
            <w:tcW w:w="590"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149</w:t>
            </w:r>
            <w:r>
              <w:rPr>
                <w:sz w:val="18"/>
                <w:lang w:val="fr-FR"/>
              </w:rPr>
              <w:t>,</w:t>
            </w:r>
            <w:r w:rsidRPr="00262910">
              <w:rPr>
                <w:sz w:val="18"/>
                <w:lang w:val="fr-FR"/>
              </w:rPr>
              <w:t>6</w:t>
            </w:r>
          </w:p>
        </w:tc>
      </w:tr>
      <w:tr w:rsidR="001771B8" w:rsidRPr="00262910" w:rsidTr="00E03026">
        <w:tc>
          <w:tcPr>
            <w:tcW w:w="2552" w:type="dxa"/>
            <w:shd w:val="clear" w:color="auto" w:fill="auto"/>
            <w:noWrap/>
            <w:hideMark/>
          </w:tcPr>
          <w:p w:rsidR="001771B8" w:rsidRPr="00262910" w:rsidRDefault="001771B8" w:rsidP="001771B8">
            <w:pPr>
              <w:pStyle w:val="SingleTxtG"/>
              <w:suppressAutoHyphens w:val="0"/>
              <w:spacing w:before="40" w:after="40" w:line="220" w:lineRule="exact"/>
              <w:ind w:left="142" w:right="0"/>
              <w:jc w:val="left"/>
              <w:rPr>
                <w:sz w:val="18"/>
                <w:lang w:val="fr-FR"/>
              </w:rPr>
            </w:pPr>
            <w:r w:rsidRPr="00262910">
              <w:rPr>
                <w:sz w:val="18"/>
                <w:lang w:val="fr-FR"/>
              </w:rPr>
              <w:t>Autres fins médicales</w:t>
            </w:r>
          </w:p>
        </w:tc>
        <w:tc>
          <w:tcPr>
            <w:tcW w:w="659"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r>
              <w:rPr>
                <w:sz w:val="18"/>
                <w:lang w:val="fr-FR"/>
              </w:rPr>
              <w:t>,</w:t>
            </w:r>
            <w:r w:rsidRPr="00262910">
              <w:rPr>
                <w:sz w:val="18"/>
                <w:lang w:val="fr-FR"/>
              </w:rPr>
              <w:t>1</w:t>
            </w:r>
          </w:p>
        </w:tc>
        <w:tc>
          <w:tcPr>
            <w:tcW w:w="659"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r>
              <w:rPr>
                <w:sz w:val="18"/>
                <w:lang w:val="fr-FR"/>
              </w:rPr>
              <w:t>,</w:t>
            </w:r>
            <w:r w:rsidRPr="00262910">
              <w:rPr>
                <w:sz w:val="18"/>
                <w:lang w:val="fr-FR"/>
              </w:rPr>
              <w:t>0</w:t>
            </w:r>
          </w:p>
        </w:tc>
        <w:tc>
          <w:tcPr>
            <w:tcW w:w="659"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r>
              <w:rPr>
                <w:sz w:val="18"/>
                <w:lang w:val="fr-FR"/>
              </w:rPr>
              <w:t>,</w:t>
            </w:r>
            <w:r w:rsidRPr="00262910">
              <w:rPr>
                <w:sz w:val="18"/>
                <w:lang w:val="fr-FR"/>
              </w:rPr>
              <w:t>3</w:t>
            </w:r>
          </w:p>
        </w:tc>
        <w:tc>
          <w:tcPr>
            <w:tcW w:w="661"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r>
              <w:rPr>
                <w:sz w:val="18"/>
                <w:lang w:val="fr-FR"/>
              </w:rPr>
              <w:t>,</w:t>
            </w:r>
            <w:r w:rsidRPr="00262910">
              <w:rPr>
                <w:sz w:val="18"/>
                <w:lang w:val="fr-FR"/>
              </w:rPr>
              <w:t>4</w:t>
            </w:r>
          </w:p>
        </w:tc>
        <w:tc>
          <w:tcPr>
            <w:tcW w:w="588"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11</w:t>
            </w:r>
            <w:r>
              <w:rPr>
                <w:sz w:val="18"/>
                <w:lang w:val="fr-FR"/>
              </w:rPr>
              <w:t>,</w:t>
            </w:r>
            <w:r w:rsidRPr="00262910">
              <w:rPr>
                <w:sz w:val="18"/>
                <w:lang w:val="fr-FR"/>
              </w:rPr>
              <w:t>4</w:t>
            </w:r>
          </w:p>
        </w:tc>
        <w:tc>
          <w:tcPr>
            <w:tcW w:w="588"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12</w:t>
            </w:r>
            <w:r>
              <w:rPr>
                <w:sz w:val="18"/>
                <w:lang w:val="fr-FR"/>
              </w:rPr>
              <w:t>,</w:t>
            </w:r>
            <w:r w:rsidRPr="00262910">
              <w:rPr>
                <w:sz w:val="18"/>
                <w:lang w:val="fr-FR"/>
              </w:rPr>
              <w:t>2</w:t>
            </w:r>
          </w:p>
        </w:tc>
        <w:tc>
          <w:tcPr>
            <w:tcW w:w="588"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17</w:t>
            </w:r>
            <w:r>
              <w:rPr>
                <w:sz w:val="18"/>
                <w:lang w:val="fr-FR"/>
              </w:rPr>
              <w:t>,</w:t>
            </w:r>
            <w:r w:rsidRPr="00262910">
              <w:rPr>
                <w:sz w:val="18"/>
                <w:lang w:val="fr-FR"/>
              </w:rPr>
              <w:t>3</w:t>
            </w:r>
          </w:p>
        </w:tc>
        <w:tc>
          <w:tcPr>
            <w:tcW w:w="590"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17</w:t>
            </w:r>
            <w:r>
              <w:rPr>
                <w:sz w:val="18"/>
                <w:lang w:val="fr-FR"/>
              </w:rPr>
              <w:t>,</w:t>
            </w:r>
            <w:r w:rsidRPr="00262910">
              <w:rPr>
                <w:sz w:val="18"/>
                <w:lang w:val="fr-FR"/>
              </w:rPr>
              <w:t>9</w:t>
            </w:r>
          </w:p>
        </w:tc>
      </w:tr>
      <w:tr w:rsidR="001771B8" w:rsidRPr="00262910" w:rsidTr="00E03026">
        <w:tc>
          <w:tcPr>
            <w:tcW w:w="2552" w:type="dxa"/>
            <w:shd w:val="clear" w:color="auto" w:fill="auto"/>
            <w:noWrap/>
            <w:hideMark/>
          </w:tcPr>
          <w:p w:rsidR="001771B8" w:rsidRPr="00262910" w:rsidRDefault="001771B8" w:rsidP="001771B8">
            <w:pPr>
              <w:pStyle w:val="SingleTxtG"/>
              <w:suppressAutoHyphens w:val="0"/>
              <w:spacing w:before="40" w:after="40" w:line="220" w:lineRule="exact"/>
              <w:ind w:left="142" w:right="0"/>
              <w:jc w:val="left"/>
              <w:rPr>
                <w:sz w:val="18"/>
                <w:lang w:val="fr-FR"/>
              </w:rPr>
            </w:pPr>
            <w:r w:rsidRPr="00262910">
              <w:rPr>
                <w:sz w:val="18"/>
                <w:lang w:val="fr-FR"/>
              </w:rPr>
              <w:t>Enfants, famille et égalité</w:t>
            </w:r>
          </w:p>
        </w:tc>
        <w:tc>
          <w:tcPr>
            <w:tcW w:w="659"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w:t>
            </w:r>
            <w:r>
              <w:rPr>
                <w:sz w:val="18"/>
                <w:lang w:val="fr-FR"/>
              </w:rPr>
              <w:t>,</w:t>
            </w:r>
            <w:r w:rsidRPr="00262910">
              <w:rPr>
                <w:sz w:val="18"/>
                <w:lang w:val="fr-FR"/>
              </w:rPr>
              <w:t>7</w:t>
            </w:r>
          </w:p>
        </w:tc>
        <w:tc>
          <w:tcPr>
            <w:tcW w:w="659"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w:t>
            </w:r>
            <w:r>
              <w:rPr>
                <w:sz w:val="18"/>
                <w:lang w:val="fr-FR"/>
              </w:rPr>
              <w:t>,</w:t>
            </w:r>
            <w:r w:rsidRPr="00262910">
              <w:rPr>
                <w:sz w:val="18"/>
                <w:lang w:val="fr-FR"/>
              </w:rPr>
              <w:t>4</w:t>
            </w:r>
          </w:p>
        </w:tc>
        <w:tc>
          <w:tcPr>
            <w:tcW w:w="659"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w:t>
            </w:r>
            <w:r>
              <w:rPr>
                <w:sz w:val="18"/>
                <w:lang w:val="fr-FR"/>
              </w:rPr>
              <w:t>,</w:t>
            </w:r>
            <w:r w:rsidRPr="00262910">
              <w:rPr>
                <w:sz w:val="18"/>
                <w:lang w:val="fr-FR"/>
              </w:rPr>
              <w:t>1</w:t>
            </w:r>
          </w:p>
        </w:tc>
        <w:tc>
          <w:tcPr>
            <w:tcW w:w="661"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w:t>
            </w:r>
            <w:r>
              <w:rPr>
                <w:sz w:val="18"/>
                <w:lang w:val="fr-FR"/>
              </w:rPr>
              <w:t>,</w:t>
            </w:r>
            <w:r w:rsidRPr="00262910">
              <w:rPr>
                <w:sz w:val="18"/>
                <w:lang w:val="fr-FR"/>
              </w:rPr>
              <w:t>1</w:t>
            </w:r>
          </w:p>
        </w:tc>
        <w:tc>
          <w:tcPr>
            <w:tcW w:w="588"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28</w:t>
            </w:r>
            <w:r>
              <w:rPr>
                <w:sz w:val="18"/>
                <w:lang w:val="fr-FR"/>
              </w:rPr>
              <w:t>,</w:t>
            </w:r>
            <w:r w:rsidRPr="00262910">
              <w:rPr>
                <w:sz w:val="18"/>
                <w:lang w:val="fr-FR"/>
              </w:rPr>
              <w:t>0</w:t>
            </w:r>
          </w:p>
        </w:tc>
        <w:tc>
          <w:tcPr>
            <w:tcW w:w="588"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27</w:t>
            </w:r>
            <w:r>
              <w:rPr>
                <w:sz w:val="18"/>
                <w:lang w:val="fr-FR"/>
              </w:rPr>
              <w:t>,</w:t>
            </w:r>
            <w:r w:rsidRPr="00262910">
              <w:rPr>
                <w:sz w:val="18"/>
                <w:lang w:val="fr-FR"/>
              </w:rPr>
              <w:t>6</w:t>
            </w:r>
          </w:p>
        </w:tc>
        <w:tc>
          <w:tcPr>
            <w:tcW w:w="588"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27</w:t>
            </w:r>
            <w:r>
              <w:rPr>
                <w:sz w:val="18"/>
                <w:lang w:val="fr-FR"/>
              </w:rPr>
              <w:t>,</w:t>
            </w:r>
            <w:r w:rsidRPr="00262910">
              <w:rPr>
                <w:sz w:val="18"/>
                <w:lang w:val="fr-FR"/>
              </w:rPr>
              <w:t>1</w:t>
            </w:r>
          </w:p>
        </w:tc>
        <w:tc>
          <w:tcPr>
            <w:tcW w:w="590"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27</w:t>
            </w:r>
            <w:r>
              <w:rPr>
                <w:sz w:val="18"/>
                <w:lang w:val="fr-FR"/>
              </w:rPr>
              <w:t>,</w:t>
            </w:r>
            <w:r w:rsidRPr="00262910">
              <w:rPr>
                <w:sz w:val="18"/>
                <w:lang w:val="fr-FR"/>
              </w:rPr>
              <w:t>0</w:t>
            </w:r>
          </w:p>
        </w:tc>
      </w:tr>
      <w:tr w:rsidR="001771B8" w:rsidRPr="00262910" w:rsidTr="00E03026">
        <w:tc>
          <w:tcPr>
            <w:tcW w:w="2552" w:type="dxa"/>
            <w:shd w:val="clear" w:color="auto" w:fill="auto"/>
            <w:noWrap/>
            <w:hideMark/>
          </w:tcPr>
          <w:p w:rsidR="001771B8" w:rsidRPr="00262910" w:rsidRDefault="001771B8" w:rsidP="001771B8">
            <w:pPr>
              <w:pStyle w:val="SingleTxtG"/>
              <w:suppressAutoHyphens w:val="0"/>
              <w:spacing w:before="40" w:after="40" w:line="220" w:lineRule="exact"/>
              <w:ind w:left="0" w:right="0"/>
              <w:jc w:val="left"/>
              <w:rPr>
                <w:i/>
                <w:sz w:val="18"/>
                <w:lang w:val="fr-FR"/>
              </w:rPr>
            </w:pPr>
            <w:r>
              <w:rPr>
                <w:sz w:val="18"/>
                <w:lang w:val="fr-FR"/>
              </w:rPr>
              <w:t>Pour mémoire</w:t>
            </w:r>
          </w:p>
        </w:tc>
        <w:tc>
          <w:tcPr>
            <w:tcW w:w="659"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i/>
                <w:sz w:val="18"/>
                <w:lang w:val="fr-FR"/>
              </w:rPr>
            </w:pPr>
          </w:p>
        </w:tc>
        <w:tc>
          <w:tcPr>
            <w:tcW w:w="659"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i/>
                <w:sz w:val="18"/>
                <w:lang w:val="fr-FR"/>
              </w:rPr>
            </w:pPr>
          </w:p>
        </w:tc>
        <w:tc>
          <w:tcPr>
            <w:tcW w:w="659"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i/>
                <w:sz w:val="18"/>
                <w:lang w:val="fr-FR"/>
              </w:rPr>
            </w:pPr>
          </w:p>
        </w:tc>
        <w:tc>
          <w:tcPr>
            <w:tcW w:w="661"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i/>
                <w:sz w:val="18"/>
                <w:lang w:val="fr-FR"/>
              </w:rPr>
            </w:pPr>
          </w:p>
        </w:tc>
        <w:tc>
          <w:tcPr>
            <w:tcW w:w="588"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i/>
                <w:sz w:val="18"/>
                <w:lang w:val="fr-FR"/>
              </w:rPr>
            </w:pPr>
          </w:p>
        </w:tc>
        <w:tc>
          <w:tcPr>
            <w:tcW w:w="588"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i/>
                <w:sz w:val="18"/>
                <w:lang w:val="fr-FR"/>
              </w:rPr>
            </w:pPr>
          </w:p>
        </w:tc>
        <w:tc>
          <w:tcPr>
            <w:tcW w:w="588"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i/>
                <w:sz w:val="18"/>
                <w:lang w:val="fr-FR"/>
              </w:rPr>
            </w:pPr>
          </w:p>
        </w:tc>
        <w:tc>
          <w:tcPr>
            <w:tcW w:w="590" w:type="dxa"/>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i/>
                <w:sz w:val="18"/>
                <w:lang w:val="fr-FR"/>
              </w:rPr>
            </w:pPr>
          </w:p>
        </w:tc>
      </w:tr>
      <w:tr w:rsidR="001771B8" w:rsidRPr="00262910" w:rsidTr="00E03026">
        <w:tc>
          <w:tcPr>
            <w:tcW w:w="2552" w:type="dxa"/>
            <w:tcBorders>
              <w:bottom w:val="single" w:sz="12" w:space="0" w:color="auto"/>
            </w:tcBorders>
            <w:shd w:val="clear" w:color="auto" w:fill="auto"/>
            <w:noWrap/>
            <w:hideMark/>
          </w:tcPr>
          <w:p w:rsidR="001771B8" w:rsidRPr="00262910" w:rsidRDefault="001771B8" w:rsidP="001771B8">
            <w:pPr>
              <w:pStyle w:val="SingleTxtG"/>
              <w:suppressAutoHyphens w:val="0"/>
              <w:spacing w:before="40" w:after="40" w:line="220" w:lineRule="exact"/>
              <w:ind w:left="142" w:right="0"/>
              <w:jc w:val="left"/>
              <w:rPr>
                <w:sz w:val="18"/>
                <w:lang w:val="fr-FR"/>
              </w:rPr>
            </w:pPr>
            <w:r w:rsidRPr="00262910">
              <w:rPr>
                <w:sz w:val="18"/>
                <w:lang w:val="fr-FR"/>
              </w:rPr>
              <w:t>Dépenses hors pétrole de l</w:t>
            </w:r>
            <w:r>
              <w:rPr>
                <w:sz w:val="18"/>
                <w:lang w:val="fr-FR"/>
              </w:rPr>
              <w:t>’</w:t>
            </w:r>
            <w:r w:rsidRPr="00262910">
              <w:rPr>
                <w:sz w:val="18"/>
                <w:lang w:val="fr-FR"/>
              </w:rPr>
              <w:t>administration centrale</w:t>
            </w:r>
          </w:p>
        </w:tc>
        <w:tc>
          <w:tcPr>
            <w:tcW w:w="659" w:type="dxa"/>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843</w:t>
            </w:r>
            <w:r>
              <w:rPr>
                <w:sz w:val="18"/>
                <w:lang w:val="fr-FR"/>
              </w:rPr>
              <w:t>,</w:t>
            </w:r>
            <w:r w:rsidRPr="00262910">
              <w:rPr>
                <w:sz w:val="18"/>
                <w:lang w:val="fr-FR"/>
              </w:rPr>
              <w:t>9</w:t>
            </w:r>
          </w:p>
        </w:tc>
        <w:tc>
          <w:tcPr>
            <w:tcW w:w="659" w:type="dxa"/>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r>
              <w:rPr>
                <w:sz w:val="18"/>
                <w:lang w:val="fr-FR"/>
              </w:rPr>
              <w:t xml:space="preserve"> </w:t>
            </w:r>
            <w:r w:rsidRPr="00262910">
              <w:rPr>
                <w:sz w:val="18"/>
                <w:lang w:val="fr-FR"/>
              </w:rPr>
              <w:t>029</w:t>
            </w:r>
            <w:r>
              <w:rPr>
                <w:sz w:val="18"/>
                <w:lang w:val="fr-FR"/>
              </w:rPr>
              <w:t>,</w:t>
            </w:r>
            <w:r w:rsidRPr="00262910">
              <w:rPr>
                <w:sz w:val="18"/>
                <w:lang w:val="fr-FR"/>
              </w:rPr>
              <w:t>5</w:t>
            </w:r>
          </w:p>
        </w:tc>
        <w:tc>
          <w:tcPr>
            <w:tcW w:w="659" w:type="dxa"/>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r>
              <w:rPr>
                <w:sz w:val="18"/>
                <w:lang w:val="fr-FR"/>
              </w:rPr>
              <w:t xml:space="preserve"> </w:t>
            </w:r>
            <w:r w:rsidRPr="00262910">
              <w:rPr>
                <w:sz w:val="18"/>
                <w:lang w:val="fr-FR"/>
              </w:rPr>
              <w:t>254</w:t>
            </w:r>
            <w:r>
              <w:rPr>
                <w:sz w:val="18"/>
                <w:lang w:val="fr-FR"/>
              </w:rPr>
              <w:t>,</w:t>
            </w:r>
            <w:r w:rsidRPr="00262910">
              <w:rPr>
                <w:sz w:val="18"/>
                <w:lang w:val="fr-FR"/>
              </w:rPr>
              <w:t>3</w:t>
            </w:r>
          </w:p>
        </w:tc>
        <w:tc>
          <w:tcPr>
            <w:tcW w:w="661" w:type="dxa"/>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r>
              <w:rPr>
                <w:sz w:val="18"/>
                <w:lang w:val="fr-FR"/>
              </w:rPr>
              <w:t xml:space="preserve"> </w:t>
            </w:r>
            <w:r w:rsidRPr="00262910">
              <w:rPr>
                <w:sz w:val="18"/>
                <w:lang w:val="fr-FR"/>
              </w:rPr>
              <w:t>295</w:t>
            </w:r>
            <w:r>
              <w:rPr>
                <w:sz w:val="18"/>
                <w:lang w:val="fr-FR"/>
              </w:rPr>
              <w:t>,</w:t>
            </w:r>
            <w:r w:rsidRPr="00262910">
              <w:rPr>
                <w:sz w:val="18"/>
                <w:lang w:val="fr-FR"/>
              </w:rPr>
              <w:t>6</w:t>
            </w:r>
          </w:p>
        </w:tc>
        <w:tc>
          <w:tcPr>
            <w:tcW w:w="588" w:type="dxa"/>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588" w:type="dxa"/>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588" w:type="dxa"/>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c>
          <w:tcPr>
            <w:tcW w:w="590" w:type="dxa"/>
            <w:tcBorders>
              <w:bottom w:val="single" w:sz="12" w:space="0" w:color="auto"/>
            </w:tcBorders>
            <w:shd w:val="clear" w:color="auto" w:fill="auto"/>
            <w:noWrap/>
            <w:vAlign w:val="bottom"/>
            <w:hideMark/>
          </w:tcPr>
          <w:p w:rsidR="001771B8" w:rsidRPr="00262910" w:rsidRDefault="001771B8" w:rsidP="001771B8">
            <w:pPr>
              <w:pStyle w:val="SingleTxtG"/>
              <w:suppressAutoHyphens w:val="0"/>
              <w:spacing w:before="40" w:after="40" w:line="220" w:lineRule="exact"/>
              <w:ind w:left="0" w:right="0"/>
              <w:jc w:val="right"/>
              <w:rPr>
                <w:sz w:val="18"/>
                <w:lang w:val="fr-FR"/>
              </w:rPr>
            </w:pPr>
          </w:p>
        </w:tc>
      </w:tr>
    </w:tbl>
    <w:p w:rsidR="001771B8" w:rsidRPr="00262910" w:rsidRDefault="001771B8" w:rsidP="0026657B">
      <w:pPr>
        <w:pStyle w:val="SingleTxtG"/>
        <w:tabs>
          <w:tab w:val="left" w:pos="1560"/>
        </w:tabs>
        <w:spacing w:before="120" w:after="0" w:line="220" w:lineRule="exact"/>
        <w:ind w:firstLine="170"/>
        <w:jc w:val="left"/>
        <w:rPr>
          <w:sz w:val="18"/>
          <w:lang w:val="fr-FR"/>
        </w:rPr>
      </w:pPr>
      <w:r w:rsidRPr="0026657B">
        <w:rPr>
          <w:lang w:val="fr-FR"/>
        </w:rPr>
        <w:t>*</w:t>
      </w:r>
      <w:r w:rsidR="0026657B">
        <w:rPr>
          <w:sz w:val="18"/>
          <w:lang w:val="fr-FR"/>
        </w:rPr>
        <w:t xml:space="preserve"> </w:t>
      </w:r>
      <w:r w:rsidRPr="00262910">
        <w:rPr>
          <w:sz w:val="18"/>
          <w:lang w:val="fr-FR"/>
        </w:rPr>
        <w:t xml:space="preserve"> </w:t>
      </w:r>
      <w:r>
        <w:rPr>
          <w:sz w:val="18"/>
          <w:lang w:val="fr-FR"/>
        </w:rPr>
        <w:t>Dépenses de f</w:t>
      </w:r>
      <w:r w:rsidRPr="00262910">
        <w:rPr>
          <w:sz w:val="18"/>
          <w:lang w:val="fr-FR"/>
        </w:rPr>
        <w:t>onctionnement de l</w:t>
      </w:r>
      <w:r>
        <w:rPr>
          <w:sz w:val="18"/>
          <w:lang w:val="fr-FR"/>
        </w:rPr>
        <w:t>’</w:t>
      </w:r>
      <w:r w:rsidRPr="00262910">
        <w:rPr>
          <w:sz w:val="18"/>
          <w:lang w:val="fr-FR"/>
        </w:rPr>
        <w:t xml:space="preserve">Administration du travail et de la protection sociale, subventions </w:t>
      </w:r>
      <w:r>
        <w:rPr>
          <w:sz w:val="18"/>
          <w:lang w:val="fr-FR"/>
        </w:rPr>
        <w:t xml:space="preserve">à </w:t>
      </w:r>
      <w:r w:rsidRPr="00262910">
        <w:rPr>
          <w:sz w:val="18"/>
          <w:lang w:val="fr-FR"/>
        </w:rPr>
        <w:t xml:space="preserve">la Caisse de retraite de la fonction publique, mesures </w:t>
      </w:r>
      <w:r>
        <w:rPr>
          <w:sz w:val="18"/>
          <w:lang w:val="fr-FR"/>
        </w:rPr>
        <w:t xml:space="preserve">liées </w:t>
      </w:r>
      <w:r w:rsidRPr="00262910">
        <w:rPr>
          <w:sz w:val="18"/>
          <w:lang w:val="fr-FR"/>
        </w:rPr>
        <w:t>au marché du travail et</w:t>
      </w:r>
      <w:r>
        <w:rPr>
          <w:sz w:val="18"/>
          <w:lang w:val="fr-FR"/>
        </w:rPr>
        <w:t xml:space="preserve"> autres</w:t>
      </w:r>
      <w:r w:rsidRPr="00262910">
        <w:rPr>
          <w:sz w:val="18"/>
          <w:lang w:val="fr-FR"/>
        </w:rPr>
        <w:t>.</w:t>
      </w:r>
    </w:p>
    <w:p w:rsidR="001771B8" w:rsidRPr="00262910" w:rsidRDefault="001771B8" w:rsidP="0026657B">
      <w:pPr>
        <w:pStyle w:val="H1G"/>
        <w:rPr>
          <w:lang w:val="fr-FR"/>
        </w:rPr>
      </w:pPr>
      <w:r w:rsidRPr="00262910">
        <w:rPr>
          <w:lang w:val="fr-FR"/>
        </w:rPr>
        <w:tab/>
      </w:r>
      <w:r w:rsidRPr="00262910">
        <w:rPr>
          <w:lang w:val="fr-FR"/>
        </w:rPr>
        <w:tab/>
        <w:t>Réponse au paragraphe 11 de la liste de points</w:t>
      </w:r>
    </w:p>
    <w:p w:rsidR="001771B8" w:rsidRPr="00262910" w:rsidRDefault="001771B8" w:rsidP="001771B8">
      <w:pPr>
        <w:pStyle w:val="SingleTxtG"/>
        <w:rPr>
          <w:lang w:val="fr-FR"/>
        </w:rPr>
      </w:pPr>
      <w:r w:rsidRPr="00262910">
        <w:rPr>
          <w:lang w:val="fr-FR"/>
        </w:rPr>
        <w:t>77.</w:t>
      </w:r>
      <w:r w:rsidRPr="00262910">
        <w:rPr>
          <w:lang w:val="fr-FR"/>
        </w:rPr>
        <w:tab/>
      </w:r>
      <w:r w:rsidRPr="001537AF">
        <w:rPr>
          <w:lang w:val="fr-FR"/>
        </w:rPr>
        <w:t>En vue d</w:t>
      </w:r>
      <w:r>
        <w:rPr>
          <w:lang w:val="fr-FR"/>
        </w:rPr>
        <w:t>’</w:t>
      </w:r>
      <w:r w:rsidR="0026657B" w:rsidRPr="001537AF">
        <w:rPr>
          <w:lang w:val="fr-FR"/>
        </w:rPr>
        <w:t>a</w:t>
      </w:r>
      <w:r w:rsidR="0026657B">
        <w:rPr>
          <w:lang w:val="fr-FR"/>
        </w:rPr>
        <w:t>ccroître</w:t>
      </w:r>
      <w:r>
        <w:rPr>
          <w:lang w:val="fr-FR"/>
        </w:rPr>
        <w:t xml:space="preserve"> </w:t>
      </w:r>
      <w:r w:rsidRPr="00262910">
        <w:rPr>
          <w:lang w:val="fr-FR"/>
        </w:rPr>
        <w:t>l</w:t>
      </w:r>
      <w:r>
        <w:rPr>
          <w:lang w:val="fr-FR"/>
        </w:rPr>
        <w:t>’</w:t>
      </w:r>
      <w:r w:rsidRPr="00262910">
        <w:rPr>
          <w:lang w:val="fr-FR"/>
        </w:rPr>
        <w:t xml:space="preserve">efficacité de son aide publique au développement, </w:t>
      </w:r>
      <w:r>
        <w:rPr>
          <w:lang w:val="fr-FR"/>
        </w:rPr>
        <w:t>l</w:t>
      </w:r>
      <w:r w:rsidRPr="00C77B98">
        <w:rPr>
          <w:lang w:val="fr-FR"/>
        </w:rPr>
        <w:t xml:space="preserve">a Norvège a adopté une approche stratégique </w:t>
      </w:r>
      <w:r>
        <w:rPr>
          <w:lang w:val="fr-FR"/>
        </w:rPr>
        <w:t xml:space="preserve">axée sur </w:t>
      </w:r>
      <w:r w:rsidRPr="00262910">
        <w:rPr>
          <w:lang w:val="fr-FR"/>
        </w:rPr>
        <w:t xml:space="preserve">des mesures systémiques et organisationnelles </w:t>
      </w:r>
      <w:r>
        <w:rPr>
          <w:lang w:val="fr-FR"/>
        </w:rPr>
        <w:t xml:space="preserve">tendant </w:t>
      </w:r>
      <w:r w:rsidRPr="00262910">
        <w:rPr>
          <w:lang w:val="fr-FR"/>
        </w:rPr>
        <w:t>à renforcer la transparence et la gestion stratégique.</w:t>
      </w:r>
    </w:p>
    <w:p w:rsidR="001771B8" w:rsidRPr="00262910" w:rsidRDefault="001771B8" w:rsidP="001771B8">
      <w:pPr>
        <w:pStyle w:val="SingleTxtG"/>
        <w:rPr>
          <w:lang w:val="fr-FR"/>
        </w:rPr>
      </w:pPr>
      <w:r w:rsidRPr="00262910">
        <w:rPr>
          <w:lang w:val="fr-FR"/>
        </w:rPr>
        <w:t>78.</w:t>
      </w:r>
      <w:r w:rsidRPr="00262910">
        <w:rPr>
          <w:lang w:val="fr-FR"/>
        </w:rPr>
        <w:tab/>
        <w:t xml:space="preserve">Une nouvelle structure budgétaire </w:t>
      </w:r>
      <w:r>
        <w:rPr>
          <w:lang w:val="fr-FR"/>
        </w:rPr>
        <w:t xml:space="preserve">a été mise </w:t>
      </w:r>
      <w:r w:rsidRPr="00262910">
        <w:rPr>
          <w:lang w:val="fr-FR"/>
        </w:rPr>
        <w:t>en place pour assurer la clarté stratégique des objectifs, y compris les objectifs de développement durable. Les règles du régime de subventions ont été révisées afin d</w:t>
      </w:r>
      <w:r>
        <w:rPr>
          <w:lang w:val="fr-FR"/>
        </w:rPr>
        <w:t xml:space="preserve">’insister </w:t>
      </w:r>
      <w:r w:rsidRPr="00262910">
        <w:rPr>
          <w:lang w:val="fr-FR"/>
        </w:rPr>
        <w:t xml:space="preserve">sur les résultats et de simplifier les exigences en matière de rapports. Le portail numérique </w:t>
      </w:r>
      <w:r>
        <w:rPr>
          <w:lang w:val="fr-FR"/>
        </w:rPr>
        <w:t xml:space="preserve">relatif aux </w:t>
      </w:r>
      <w:r w:rsidRPr="00262910">
        <w:rPr>
          <w:lang w:val="fr-FR"/>
        </w:rPr>
        <w:t xml:space="preserve">subventions </w:t>
      </w:r>
      <w:r>
        <w:rPr>
          <w:lang w:val="fr-FR"/>
        </w:rPr>
        <w:t xml:space="preserve">renforcera </w:t>
      </w:r>
      <w:r w:rsidRPr="00262910">
        <w:rPr>
          <w:lang w:val="fr-FR"/>
        </w:rPr>
        <w:t>encore sensiblement l</w:t>
      </w:r>
      <w:r>
        <w:rPr>
          <w:lang w:val="fr-FR"/>
        </w:rPr>
        <w:t>’</w:t>
      </w:r>
      <w:r w:rsidRPr="00262910">
        <w:rPr>
          <w:lang w:val="fr-FR"/>
        </w:rPr>
        <w:t>efficacité pour toutes les parties prenantes concernées.</w:t>
      </w:r>
    </w:p>
    <w:p w:rsidR="001771B8" w:rsidRPr="00262910" w:rsidRDefault="001771B8" w:rsidP="001771B8">
      <w:pPr>
        <w:pStyle w:val="SingleTxtG"/>
        <w:rPr>
          <w:lang w:val="fr-FR"/>
        </w:rPr>
      </w:pPr>
      <w:r w:rsidRPr="00262910">
        <w:rPr>
          <w:lang w:val="fr-FR"/>
        </w:rPr>
        <w:t>79.</w:t>
      </w:r>
      <w:r w:rsidRPr="00262910">
        <w:rPr>
          <w:lang w:val="fr-FR"/>
        </w:rPr>
        <w:tab/>
      </w:r>
      <w:r>
        <w:rPr>
          <w:lang w:val="fr-FR"/>
        </w:rPr>
        <w:t xml:space="preserve">En </w:t>
      </w:r>
      <w:r w:rsidRPr="005972B2">
        <w:rPr>
          <w:lang w:val="fr-FR"/>
        </w:rPr>
        <w:t>clarifi</w:t>
      </w:r>
      <w:r>
        <w:rPr>
          <w:lang w:val="fr-FR"/>
        </w:rPr>
        <w:t xml:space="preserve">ant </w:t>
      </w:r>
      <w:r w:rsidRPr="005972B2">
        <w:rPr>
          <w:lang w:val="fr-FR"/>
        </w:rPr>
        <w:t>les responsabilités</w:t>
      </w:r>
      <w:r>
        <w:rPr>
          <w:lang w:val="fr-FR"/>
        </w:rPr>
        <w:t xml:space="preserve">, </w:t>
      </w:r>
      <w:r w:rsidRPr="001D40A2">
        <w:rPr>
          <w:lang w:val="fr-FR"/>
        </w:rPr>
        <w:t xml:space="preserve">la réorganisation </w:t>
      </w:r>
      <w:r w:rsidRPr="00262910">
        <w:rPr>
          <w:lang w:val="fr-FR"/>
        </w:rPr>
        <w:t>de l</w:t>
      </w:r>
      <w:r>
        <w:rPr>
          <w:lang w:val="fr-FR"/>
        </w:rPr>
        <w:t>’</w:t>
      </w:r>
      <w:r w:rsidRPr="00262910">
        <w:rPr>
          <w:lang w:val="fr-FR"/>
        </w:rPr>
        <w:t>administration norvégienne de l</w:t>
      </w:r>
      <w:r>
        <w:rPr>
          <w:lang w:val="fr-FR"/>
        </w:rPr>
        <w:t>’</w:t>
      </w:r>
      <w:r w:rsidRPr="00262910">
        <w:rPr>
          <w:lang w:val="fr-FR"/>
        </w:rPr>
        <w:t xml:space="preserve">aide </w:t>
      </w:r>
      <w:r>
        <w:rPr>
          <w:lang w:val="fr-FR"/>
        </w:rPr>
        <w:t xml:space="preserve">renforcera le dispositif de prestation de </w:t>
      </w:r>
      <w:r w:rsidRPr="00262910">
        <w:rPr>
          <w:lang w:val="fr-FR"/>
        </w:rPr>
        <w:t>l</w:t>
      </w:r>
      <w:r>
        <w:rPr>
          <w:lang w:val="fr-FR"/>
        </w:rPr>
        <w:t>’</w:t>
      </w:r>
      <w:r w:rsidRPr="00262910">
        <w:rPr>
          <w:lang w:val="fr-FR"/>
        </w:rPr>
        <w:t xml:space="preserve">APD et </w:t>
      </w:r>
      <w:r>
        <w:rPr>
          <w:lang w:val="fr-FR"/>
        </w:rPr>
        <w:t xml:space="preserve">en améliorera la </w:t>
      </w:r>
      <w:r w:rsidRPr="00262910">
        <w:rPr>
          <w:lang w:val="fr-FR"/>
        </w:rPr>
        <w:t>qualité.</w:t>
      </w:r>
    </w:p>
    <w:p w:rsidR="001771B8" w:rsidRPr="00262910" w:rsidRDefault="001771B8" w:rsidP="001771B8">
      <w:pPr>
        <w:pStyle w:val="SingleTxtG"/>
        <w:rPr>
          <w:lang w:val="fr-FR"/>
        </w:rPr>
      </w:pPr>
      <w:r w:rsidRPr="00262910">
        <w:rPr>
          <w:lang w:val="fr-FR"/>
        </w:rPr>
        <w:t>80.</w:t>
      </w:r>
      <w:r w:rsidRPr="00262910">
        <w:rPr>
          <w:lang w:val="fr-FR"/>
        </w:rPr>
        <w:tab/>
        <w:t xml:space="preserve">La prévisibilité </w:t>
      </w:r>
      <w:r>
        <w:rPr>
          <w:lang w:val="fr-FR"/>
        </w:rPr>
        <w:t xml:space="preserve">pour les </w:t>
      </w:r>
      <w:r w:rsidRPr="00262910">
        <w:rPr>
          <w:lang w:val="fr-FR"/>
        </w:rPr>
        <w:t xml:space="preserve">pays partenaires a été </w:t>
      </w:r>
      <w:r>
        <w:rPr>
          <w:lang w:val="fr-FR"/>
        </w:rPr>
        <w:t xml:space="preserve">accrue en concluant </w:t>
      </w:r>
      <w:r w:rsidRPr="00262910">
        <w:rPr>
          <w:lang w:val="fr-FR"/>
        </w:rPr>
        <w:t xml:space="preserve">des accords pluriannuels avec </w:t>
      </w:r>
      <w:r>
        <w:rPr>
          <w:lang w:val="fr-FR"/>
        </w:rPr>
        <w:t>d</w:t>
      </w:r>
      <w:r w:rsidRPr="00262910">
        <w:rPr>
          <w:lang w:val="fr-FR"/>
        </w:rPr>
        <w:t xml:space="preserve">es organisations de la société civile, </w:t>
      </w:r>
      <w:r>
        <w:rPr>
          <w:lang w:val="fr-FR"/>
        </w:rPr>
        <w:t>d</w:t>
      </w:r>
      <w:r w:rsidRPr="00262910">
        <w:rPr>
          <w:lang w:val="fr-FR"/>
        </w:rPr>
        <w:t xml:space="preserve">es partenaires humanitaires et </w:t>
      </w:r>
      <w:r>
        <w:rPr>
          <w:lang w:val="fr-FR"/>
        </w:rPr>
        <w:t>d</w:t>
      </w:r>
      <w:r w:rsidRPr="00262910">
        <w:rPr>
          <w:lang w:val="fr-FR"/>
        </w:rPr>
        <w:t xml:space="preserve">es </w:t>
      </w:r>
      <w:r>
        <w:rPr>
          <w:lang w:val="fr-FR"/>
        </w:rPr>
        <w:t xml:space="preserve">organismes </w:t>
      </w:r>
      <w:r w:rsidRPr="00262910">
        <w:rPr>
          <w:lang w:val="fr-FR"/>
        </w:rPr>
        <w:t xml:space="preserve">des Nations </w:t>
      </w:r>
      <w:r w:rsidR="0026657B" w:rsidRPr="00262910">
        <w:rPr>
          <w:lang w:val="fr-FR"/>
        </w:rPr>
        <w:t>U</w:t>
      </w:r>
      <w:r w:rsidRPr="00262910">
        <w:rPr>
          <w:lang w:val="fr-FR"/>
        </w:rPr>
        <w:t>nies, ainsi qu</w:t>
      </w:r>
      <w:r>
        <w:rPr>
          <w:lang w:val="fr-FR"/>
        </w:rPr>
        <w:t xml:space="preserve">’en adoptant </w:t>
      </w:r>
      <w:r w:rsidRPr="00262910">
        <w:rPr>
          <w:lang w:val="fr-FR"/>
        </w:rPr>
        <w:t>de</w:t>
      </w:r>
      <w:r>
        <w:rPr>
          <w:lang w:val="fr-FR"/>
        </w:rPr>
        <w:t>s</w:t>
      </w:r>
      <w:r w:rsidRPr="00262910">
        <w:rPr>
          <w:lang w:val="fr-FR"/>
        </w:rPr>
        <w:t xml:space="preserve"> stratégies </w:t>
      </w:r>
      <w:r>
        <w:rPr>
          <w:lang w:val="fr-FR"/>
        </w:rPr>
        <w:t xml:space="preserve">de pays </w:t>
      </w:r>
      <w:r w:rsidRPr="00262910">
        <w:rPr>
          <w:lang w:val="fr-FR"/>
        </w:rPr>
        <w:t xml:space="preserve">pluriannuelles pour les 16 pays partenaires de la Norvège. </w:t>
      </w:r>
    </w:p>
    <w:p w:rsidR="001771B8" w:rsidRPr="00262910" w:rsidRDefault="001771B8" w:rsidP="001771B8">
      <w:pPr>
        <w:pStyle w:val="SingleTxtG"/>
        <w:rPr>
          <w:lang w:val="fr-FR"/>
        </w:rPr>
      </w:pPr>
      <w:r w:rsidRPr="00262910">
        <w:rPr>
          <w:lang w:val="fr-FR"/>
        </w:rPr>
        <w:t>81.</w:t>
      </w:r>
      <w:r w:rsidRPr="00262910">
        <w:rPr>
          <w:lang w:val="fr-FR"/>
        </w:rPr>
        <w:tab/>
      </w:r>
      <w:r w:rsidRPr="000664C3">
        <w:rPr>
          <w:lang w:val="fr-FR"/>
        </w:rPr>
        <w:t>La Norvège a renforcé</w:t>
      </w:r>
      <w:r w:rsidRPr="00262910">
        <w:rPr>
          <w:lang w:val="fr-FR"/>
        </w:rPr>
        <w:t xml:space="preserve"> la coordination </w:t>
      </w:r>
      <w:r>
        <w:rPr>
          <w:lang w:val="fr-FR"/>
        </w:rPr>
        <w:t xml:space="preserve">avec les autres </w:t>
      </w:r>
      <w:r w:rsidRPr="00262910">
        <w:rPr>
          <w:lang w:val="fr-FR"/>
        </w:rPr>
        <w:t xml:space="preserve">donateurs conformément </w:t>
      </w:r>
      <w:r>
        <w:rPr>
          <w:lang w:val="fr-FR"/>
        </w:rPr>
        <w:t xml:space="preserve">à ses </w:t>
      </w:r>
      <w:r w:rsidRPr="00262910">
        <w:rPr>
          <w:lang w:val="fr-FR"/>
        </w:rPr>
        <w:t xml:space="preserve">engagements internationaux, </w:t>
      </w:r>
      <w:r>
        <w:rPr>
          <w:lang w:val="fr-FR"/>
        </w:rPr>
        <w:t xml:space="preserve">dont </w:t>
      </w:r>
      <w:r w:rsidRPr="00262910">
        <w:rPr>
          <w:lang w:val="fr-FR"/>
        </w:rPr>
        <w:t xml:space="preserve">le Grand Compromis. </w:t>
      </w:r>
      <w:r>
        <w:rPr>
          <w:lang w:val="fr-FR"/>
        </w:rPr>
        <w:t xml:space="preserve">Elle </w:t>
      </w:r>
      <w:r w:rsidRPr="00262910">
        <w:rPr>
          <w:lang w:val="fr-FR"/>
        </w:rPr>
        <w:t>coordonne s</w:t>
      </w:r>
      <w:r>
        <w:rPr>
          <w:lang w:val="fr-FR"/>
        </w:rPr>
        <w:t xml:space="preserve">a collaboration </w:t>
      </w:r>
      <w:r w:rsidRPr="00262910">
        <w:rPr>
          <w:lang w:val="fr-FR"/>
        </w:rPr>
        <w:t>avec l</w:t>
      </w:r>
      <w:r>
        <w:rPr>
          <w:lang w:val="fr-FR"/>
        </w:rPr>
        <w:t>’</w:t>
      </w:r>
      <w:r w:rsidRPr="00262910">
        <w:rPr>
          <w:lang w:val="fr-FR"/>
        </w:rPr>
        <w:t xml:space="preserve">ONU </w:t>
      </w:r>
      <w:r>
        <w:rPr>
          <w:lang w:val="fr-FR"/>
        </w:rPr>
        <w:t xml:space="preserve">grâce à </w:t>
      </w:r>
      <w:r w:rsidRPr="00262910">
        <w:rPr>
          <w:lang w:val="fr-FR"/>
        </w:rPr>
        <w:t>un dialogue régulier et con</w:t>
      </w:r>
      <w:r>
        <w:rPr>
          <w:lang w:val="fr-FR"/>
        </w:rPr>
        <w:t xml:space="preserve">court </w:t>
      </w:r>
      <w:r w:rsidRPr="00262910">
        <w:rPr>
          <w:lang w:val="fr-FR"/>
        </w:rPr>
        <w:t>à l</w:t>
      </w:r>
      <w:r>
        <w:rPr>
          <w:lang w:val="fr-FR"/>
        </w:rPr>
        <w:t>’</w:t>
      </w:r>
      <w:r w:rsidRPr="00262910">
        <w:rPr>
          <w:lang w:val="fr-FR"/>
        </w:rPr>
        <w:t>élaboration de nouvelles initiatives conjointes dans les secteurs prioritaires.</w:t>
      </w:r>
    </w:p>
    <w:p w:rsidR="001771B8" w:rsidRPr="00262910" w:rsidRDefault="001771B8" w:rsidP="001771B8">
      <w:pPr>
        <w:pStyle w:val="SingleTxtG"/>
        <w:rPr>
          <w:lang w:val="fr-FR"/>
        </w:rPr>
      </w:pPr>
      <w:r w:rsidRPr="00262910">
        <w:rPr>
          <w:lang w:val="fr-FR"/>
        </w:rPr>
        <w:t>82.</w:t>
      </w:r>
      <w:r w:rsidRPr="00262910">
        <w:rPr>
          <w:lang w:val="fr-FR"/>
        </w:rPr>
        <w:tab/>
      </w:r>
      <w:r w:rsidRPr="000664C3">
        <w:rPr>
          <w:lang w:val="fr-FR"/>
        </w:rPr>
        <w:t>Le système</w:t>
      </w:r>
      <w:r w:rsidRPr="00262910">
        <w:rPr>
          <w:lang w:val="fr-FR"/>
        </w:rPr>
        <w:t xml:space="preserve"> d</w:t>
      </w:r>
      <w:r>
        <w:rPr>
          <w:lang w:val="fr-FR"/>
        </w:rPr>
        <w:t>’</w:t>
      </w:r>
      <w:r w:rsidRPr="00262910">
        <w:rPr>
          <w:lang w:val="fr-FR"/>
        </w:rPr>
        <w:t>évaluation de la Norvège est conforme aux principes d</w:t>
      </w:r>
      <w:r>
        <w:rPr>
          <w:lang w:val="fr-FR"/>
        </w:rPr>
        <w:t>’</w:t>
      </w:r>
      <w:r w:rsidRPr="00262910">
        <w:rPr>
          <w:lang w:val="fr-FR"/>
        </w:rPr>
        <w:t>évaluation du C</w:t>
      </w:r>
      <w:r>
        <w:rPr>
          <w:lang w:val="fr-FR"/>
        </w:rPr>
        <w:t>omité de l’aide au développement (CAD) de l’OCDE</w:t>
      </w:r>
      <w:r w:rsidRPr="00262910">
        <w:rPr>
          <w:lang w:val="fr-FR"/>
        </w:rPr>
        <w:t>. Le Département de l</w:t>
      </w:r>
      <w:r>
        <w:rPr>
          <w:lang w:val="fr-FR"/>
        </w:rPr>
        <w:t>’</w:t>
      </w:r>
      <w:r w:rsidRPr="00262910">
        <w:rPr>
          <w:lang w:val="fr-FR"/>
        </w:rPr>
        <w:t xml:space="preserve">évaluation procède </w:t>
      </w:r>
      <w:r>
        <w:rPr>
          <w:lang w:val="fr-FR"/>
        </w:rPr>
        <w:t xml:space="preserve">toujours </w:t>
      </w:r>
      <w:r w:rsidRPr="00262910">
        <w:rPr>
          <w:lang w:val="fr-FR"/>
        </w:rPr>
        <w:t xml:space="preserve">plus souvent à des évaluations conjointes avec </w:t>
      </w:r>
      <w:r>
        <w:rPr>
          <w:lang w:val="fr-FR"/>
        </w:rPr>
        <w:t xml:space="preserve">les </w:t>
      </w:r>
      <w:r w:rsidRPr="00262910">
        <w:rPr>
          <w:lang w:val="fr-FR"/>
        </w:rPr>
        <w:t>autres donateurs</w:t>
      </w:r>
      <w:r>
        <w:rPr>
          <w:lang w:val="fr-FR"/>
        </w:rPr>
        <w:t xml:space="preserve"> et les </w:t>
      </w:r>
      <w:r w:rsidRPr="00262910">
        <w:rPr>
          <w:lang w:val="fr-FR"/>
        </w:rPr>
        <w:t xml:space="preserve">organisations et pays partenaires. </w:t>
      </w:r>
      <w:r>
        <w:rPr>
          <w:lang w:val="fr-FR"/>
        </w:rPr>
        <w:t xml:space="preserve">Elle a pour </w:t>
      </w:r>
      <w:r w:rsidRPr="00262910">
        <w:rPr>
          <w:lang w:val="fr-FR"/>
        </w:rPr>
        <w:t>politique d</w:t>
      </w:r>
      <w:r>
        <w:rPr>
          <w:lang w:val="fr-FR"/>
        </w:rPr>
        <w:t xml:space="preserve">’éviter toute duplication des </w:t>
      </w:r>
      <w:r w:rsidRPr="00262910">
        <w:rPr>
          <w:lang w:val="fr-FR"/>
        </w:rPr>
        <w:t xml:space="preserve">structures ou </w:t>
      </w:r>
      <w:r>
        <w:rPr>
          <w:lang w:val="fr-FR"/>
        </w:rPr>
        <w:t xml:space="preserve">ajout de </w:t>
      </w:r>
      <w:r w:rsidRPr="00262910">
        <w:rPr>
          <w:lang w:val="fr-FR"/>
        </w:rPr>
        <w:t>processus administratifs.</w:t>
      </w:r>
    </w:p>
    <w:p w:rsidR="001771B8" w:rsidRPr="00262910" w:rsidRDefault="001771B8" w:rsidP="001771B8">
      <w:pPr>
        <w:pStyle w:val="SingleTxtG"/>
        <w:rPr>
          <w:lang w:val="fr-FR"/>
        </w:rPr>
      </w:pPr>
      <w:r w:rsidRPr="00262910">
        <w:rPr>
          <w:lang w:val="fr-FR"/>
        </w:rPr>
        <w:t>83.</w:t>
      </w:r>
      <w:r w:rsidRPr="00262910">
        <w:rPr>
          <w:lang w:val="fr-FR"/>
        </w:rPr>
        <w:tab/>
      </w:r>
      <w:r>
        <w:rPr>
          <w:lang w:val="fr-FR"/>
        </w:rPr>
        <w:t>L</w:t>
      </w:r>
      <w:r w:rsidRPr="001537AF">
        <w:rPr>
          <w:lang w:val="fr-FR"/>
        </w:rPr>
        <w:t xml:space="preserve">e tableau ci-après indique </w:t>
      </w:r>
      <w:r>
        <w:rPr>
          <w:lang w:val="fr-FR"/>
        </w:rPr>
        <w:t xml:space="preserve">le pourcentage </w:t>
      </w:r>
      <w:r w:rsidRPr="001537AF">
        <w:rPr>
          <w:lang w:val="fr-FR"/>
        </w:rPr>
        <w:t xml:space="preserve">de son APD que représentent </w:t>
      </w:r>
      <w:r>
        <w:rPr>
          <w:lang w:val="fr-FR"/>
        </w:rPr>
        <w:t xml:space="preserve">les coûts supportés par la Norvège pour l’accueil de réfugiés sur son territoire au cours de la </w:t>
      </w:r>
      <w:r w:rsidRPr="00262910">
        <w:rPr>
          <w:lang w:val="fr-FR"/>
        </w:rPr>
        <w:t>période 2013-2018. La Norvège a donné suite aux nouvelles clarifications du CAD</w:t>
      </w:r>
      <w:r>
        <w:rPr>
          <w:lang w:val="fr-FR"/>
        </w:rPr>
        <w:t xml:space="preserve"> relatives aux dépenses pouvant être comptabilisées comme coûts afférents à l’accueil de réfugiés dans le pays donateur</w:t>
      </w:r>
      <w:r w:rsidRPr="00262910">
        <w:rPr>
          <w:lang w:val="fr-FR"/>
        </w:rPr>
        <w:t xml:space="preserve"> et </w:t>
      </w:r>
      <w:r>
        <w:rPr>
          <w:lang w:val="fr-FR"/>
        </w:rPr>
        <w:t xml:space="preserve">en 2020 la Norvège communiquera des données relatives au </w:t>
      </w:r>
      <w:r w:rsidRPr="00262910">
        <w:rPr>
          <w:lang w:val="fr-FR"/>
        </w:rPr>
        <w:t>budget 2019</w:t>
      </w:r>
      <w:r>
        <w:rPr>
          <w:lang w:val="fr-FR"/>
        </w:rPr>
        <w:t xml:space="preserve"> reposant sur ces nouvelles dispositions.</w:t>
      </w:r>
    </w:p>
    <w:p w:rsidR="001771B8" w:rsidRPr="00E359E3" w:rsidRDefault="0026657B" w:rsidP="003D5858">
      <w:pPr>
        <w:pStyle w:val="H23G"/>
        <w:rPr>
          <w:lang w:val="fr-FR"/>
        </w:rPr>
      </w:pPr>
      <w:r>
        <w:rPr>
          <w:lang w:val="fr-FR"/>
        </w:rPr>
        <w:tab/>
      </w:r>
      <w:r>
        <w:rPr>
          <w:lang w:val="fr-FR"/>
        </w:rPr>
        <w:tab/>
      </w:r>
      <w:r w:rsidR="001771B8" w:rsidRPr="00E359E3">
        <w:rPr>
          <w:lang w:val="fr-FR"/>
        </w:rPr>
        <w:t>Coûts de l</w:t>
      </w:r>
      <w:r w:rsidR="001771B8">
        <w:rPr>
          <w:lang w:val="fr-FR"/>
        </w:rPr>
        <w:t>’</w:t>
      </w:r>
      <w:r w:rsidR="001771B8" w:rsidRPr="00E359E3">
        <w:rPr>
          <w:lang w:val="fr-FR"/>
        </w:rPr>
        <w:t>accueil de réfugiés dans le pays donateur imputés sur l</w:t>
      </w:r>
      <w:r w:rsidR="001771B8">
        <w:rPr>
          <w:lang w:val="fr-FR"/>
        </w:rPr>
        <w:t>’</w:t>
      </w:r>
      <w:r w:rsidR="001771B8" w:rsidRPr="00E359E3">
        <w:rPr>
          <w:lang w:val="fr-FR"/>
        </w:rPr>
        <w:t xml:space="preserve">aide publique </w:t>
      </w:r>
      <w:r>
        <w:rPr>
          <w:lang w:val="fr-FR"/>
        </w:rPr>
        <w:br/>
      </w:r>
      <w:r w:rsidR="001771B8" w:rsidRPr="00E359E3">
        <w:rPr>
          <w:lang w:val="fr-FR"/>
        </w:rPr>
        <w:t>au développement (APD), 2013-2018</w:t>
      </w:r>
      <w:r w:rsidR="00942E04">
        <w:rPr>
          <w:lang w:val="fr-FR"/>
        </w:rPr>
        <w:t xml:space="preserve">, </w:t>
      </w:r>
      <w:r w:rsidR="00972B25">
        <w:rPr>
          <w:lang w:val="fr-FR"/>
        </w:rPr>
        <w:t>e</w:t>
      </w:r>
      <w:r w:rsidR="001771B8" w:rsidRPr="00E359E3">
        <w:rPr>
          <w:lang w:val="fr-FR"/>
        </w:rPr>
        <w:t>n million</w:t>
      </w:r>
      <w:r w:rsidR="001771B8" w:rsidRPr="00972B25">
        <w:rPr>
          <w:lang w:val="fr-FR"/>
        </w:rPr>
        <w:t xml:space="preserve">s de </w:t>
      </w:r>
      <w:r w:rsidR="003D5858" w:rsidRPr="00972B25">
        <w:rPr>
          <w:lang w:val="fr-FR"/>
        </w:rPr>
        <w:t>NKr</w:t>
      </w:r>
      <w:r w:rsidR="001771B8" w:rsidRPr="00972B25">
        <w:rPr>
          <w:lang w:val="fr-FR"/>
        </w:rPr>
        <w:t xml:space="preserve"> et</w:t>
      </w:r>
      <w:r w:rsidR="001771B8" w:rsidRPr="00E359E3">
        <w:rPr>
          <w:lang w:val="fr-FR"/>
        </w:rPr>
        <w:t xml:space="preserve"> en pourcentage </w:t>
      </w:r>
      <w:r w:rsidR="00942E04">
        <w:rPr>
          <w:lang w:val="fr-FR"/>
        </w:rPr>
        <w:br/>
      </w:r>
      <w:r w:rsidR="001771B8" w:rsidRPr="00E359E3">
        <w:rPr>
          <w:lang w:val="fr-FR"/>
        </w:rPr>
        <w:t>du total de l</w:t>
      </w:r>
      <w:r w:rsidR="001771B8">
        <w:rPr>
          <w:lang w:val="fr-FR"/>
        </w:rPr>
        <w:t>’</w:t>
      </w:r>
      <w:r w:rsidR="001771B8" w:rsidRPr="00E359E3">
        <w:rPr>
          <w:lang w:val="fr-FR"/>
        </w:rPr>
        <w:t>APD de la Norvège</w:t>
      </w:r>
    </w:p>
    <w:tbl>
      <w:tblPr>
        <w:tblW w:w="7370" w:type="dxa"/>
        <w:tblInd w:w="1134" w:type="dxa"/>
        <w:tblLayout w:type="fixed"/>
        <w:tblCellMar>
          <w:left w:w="0" w:type="dxa"/>
          <w:right w:w="0" w:type="dxa"/>
        </w:tblCellMar>
        <w:tblLook w:val="04A0" w:firstRow="1" w:lastRow="0" w:firstColumn="1" w:lastColumn="0" w:noHBand="0" w:noVBand="1"/>
      </w:tblPr>
      <w:tblGrid>
        <w:gridCol w:w="3215"/>
        <w:gridCol w:w="693"/>
        <w:gridCol w:w="692"/>
        <w:gridCol w:w="693"/>
        <w:gridCol w:w="692"/>
        <w:gridCol w:w="692"/>
        <w:gridCol w:w="693"/>
      </w:tblGrid>
      <w:tr w:rsidR="001771B8" w:rsidRPr="00262910" w:rsidTr="00942E04">
        <w:tc>
          <w:tcPr>
            <w:tcW w:w="3289" w:type="dxa"/>
            <w:tcBorders>
              <w:top w:val="single" w:sz="4" w:space="0" w:color="auto"/>
              <w:bottom w:val="single" w:sz="12" w:space="0" w:color="auto"/>
            </w:tcBorders>
            <w:shd w:val="clear" w:color="auto" w:fill="auto"/>
            <w:noWrap/>
          </w:tcPr>
          <w:p w:rsidR="001771B8" w:rsidRPr="00262910" w:rsidRDefault="001771B8" w:rsidP="001771B8">
            <w:pPr>
              <w:pStyle w:val="SingleTxtG"/>
              <w:suppressAutoHyphens w:val="0"/>
              <w:spacing w:before="80" w:after="80" w:line="200" w:lineRule="exact"/>
              <w:ind w:left="0" w:right="0"/>
              <w:jc w:val="left"/>
              <w:rPr>
                <w:i/>
                <w:iCs/>
                <w:spacing w:val="4"/>
                <w:w w:val="103"/>
                <w:kern w:val="14"/>
                <w:sz w:val="16"/>
                <w:lang w:val="fr-FR"/>
              </w:rPr>
            </w:pPr>
            <w:r w:rsidRPr="00262910">
              <w:rPr>
                <w:i/>
                <w:iCs/>
                <w:spacing w:val="4"/>
                <w:w w:val="103"/>
                <w:kern w:val="14"/>
                <w:sz w:val="16"/>
                <w:lang w:val="fr-FR"/>
              </w:rPr>
              <w:t xml:space="preserve">CAD </w:t>
            </w:r>
            <w:r>
              <w:rPr>
                <w:i/>
                <w:iCs/>
                <w:spacing w:val="4"/>
                <w:w w:val="103"/>
                <w:kern w:val="14"/>
                <w:sz w:val="16"/>
                <w:lang w:val="fr-FR"/>
              </w:rPr>
              <w:t>Poste</w:t>
            </w:r>
            <w:r w:rsidRPr="00262910">
              <w:rPr>
                <w:i/>
                <w:iCs/>
                <w:spacing w:val="4"/>
                <w:w w:val="103"/>
                <w:kern w:val="14"/>
                <w:sz w:val="16"/>
                <w:lang w:val="fr-FR"/>
              </w:rPr>
              <w:t xml:space="preserve"> principal (code</w:t>
            </w:r>
            <w:r>
              <w:rPr>
                <w:i/>
                <w:iCs/>
                <w:spacing w:val="4"/>
                <w:w w:val="103"/>
                <w:kern w:val="14"/>
                <w:sz w:val="16"/>
                <w:lang w:val="fr-FR"/>
              </w:rPr>
              <w:t xml:space="preserve"> </w:t>
            </w:r>
            <w:r w:rsidRPr="00262910">
              <w:rPr>
                <w:i/>
                <w:iCs/>
                <w:spacing w:val="4"/>
                <w:w w:val="103"/>
                <w:kern w:val="14"/>
                <w:sz w:val="16"/>
                <w:lang w:val="fr-FR"/>
              </w:rPr>
              <w:t>+</w:t>
            </w:r>
            <w:r>
              <w:rPr>
                <w:i/>
                <w:iCs/>
                <w:spacing w:val="4"/>
                <w:w w:val="103"/>
                <w:kern w:val="14"/>
                <w:sz w:val="16"/>
                <w:lang w:val="fr-FR"/>
              </w:rPr>
              <w:t xml:space="preserve"> </w:t>
            </w:r>
            <w:r w:rsidRPr="00262910">
              <w:rPr>
                <w:i/>
                <w:iCs/>
                <w:spacing w:val="4"/>
                <w:w w:val="103"/>
                <w:kern w:val="14"/>
                <w:sz w:val="16"/>
                <w:lang w:val="fr-FR"/>
              </w:rPr>
              <w:t>nom)</w:t>
            </w:r>
          </w:p>
        </w:tc>
        <w:tc>
          <w:tcPr>
            <w:tcW w:w="708" w:type="dxa"/>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2013</w:t>
            </w:r>
          </w:p>
        </w:tc>
        <w:tc>
          <w:tcPr>
            <w:tcW w:w="708" w:type="dxa"/>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2014</w:t>
            </w:r>
          </w:p>
        </w:tc>
        <w:tc>
          <w:tcPr>
            <w:tcW w:w="709" w:type="dxa"/>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2015</w:t>
            </w:r>
          </w:p>
        </w:tc>
        <w:tc>
          <w:tcPr>
            <w:tcW w:w="708" w:type="dxa"/>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2016</w:t>
            </w:r>
          </w:p>
        </w:tc>
        <w:tc>
          <w:tcPr>
            <w:tcW w:w="708" w:type="dxa"/>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2017</w:t>
            </w:r>
          </w:p>
        </w:tc>
        <w:tc>
          <w:tcPr>
            <w:tcW w:w="709" w:type="dxa"/>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2018</w:t>
            </w:r>
          </w:p>
        </w:tc>
      </w:tr>
      <w:tr w:rsidR="001771B8" w:rsidRPr="00262910" w:rsidTr="00942E04">
        <w:tc>
          <w:tcPr>
            <w:tcW w:w="3289" w:type="dxa"/>
            <w:tcBorders>
              <w:top w:val="single" w:sz="12" w:space="0" w:color="auto"/>
              <w:bottom w:val="single" w:sz="4" w:space="0" w:color="auto"/>
            </w:tcBorders>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iCs/>
                <w:sz w:val="18"/>
                <w:lang w:val="fr-FR"/>
              </w:rPr>
              <w:t xml:space="preserve">930 </w:t>
            </w:r>
            <w:r w:rsidR="00942E04">
              <w:rPr>
                <w:iCs/>
                <w:sz w:val="18"/>
                <w:lang w:val="fr-FR"/>
              </w:rPr>
              <w:t>−</w:t>
            </w:r>
            <w:r w:rsidRPr="00262910">
              <w:rPr>
                <w:iCs/>
                <w:sz w:val="18"/>
                <w:lang w:val="fr-FR"/>
              </w:rPr>
              <w:t xml:space="preserve"> </w:t>
            </w:r>
            <w:r>
              <w:rPr>
                <w:iCs/>
                <w:sz w:val="18"/>
                <w:lang w:val="fr-FR"/>
              </w:rPr>
              <w:t>Accueil de r</w:t>
            </w:r>
            <w:r w:rsidRPr="00262910">
              <w:rPr>
                <w:iCs/>
                <w:sz w:val="18"/>
                <w:lang w:val="fr-FR"/>
              </w:rPr>
              <w:t>éfugiés dans le pays donateur</w:t>
            </w:r>
          </w:p>
        </w:tc>
        <w:tc>
          <w:tcPr>
            <w:tcW w:w="708" w:type="dxa"/>
            <w:tcBorders>
              <w:top w:val="single" w:sz="12" w:space="0" w:color="auto"/>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1 587</w:t>
            </w:r>
          </w:p>
        </w:tc>
        <w:tc>
          <w:tcPr>
            <w:tcW w:w="708" w:type="dxa"/>
            <w:tcBorders>
              <w:top w:val="single" w:sz="12" w:space="0" w:color="auto"/>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1 757</w:t>
            </w:r>
          </w:p>
        </w:tc>
        <w:tc>
          <w:tcPr>
            <w:tcW w:w="709" w:type="dxa"/>
            <w:tcBorders>
              <w:top w:val="single" w:sz="12" w:space="0" w:color="auto"/>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3 733</w:t>
            </w:r>
          </w:p>
        </w:tc>
        <w:tc>
          <w:tcPr>
            <w:tcW w:w="708" w:type="dxa"/>
            <w:tcBorders>
              <w:top w:val="single" w:sz="12" w:space="0" w:color="auto"/>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6 720</w:t>
            </w:r>
          </w:p>
        </w:tc>
        <w:tc>
          <w:tcPr>
            <w:tcW w:w="708" w:type="dxa"/>
            <w:tcBorders>
              <w:top w:val="single" w:sz="12" w:space="0" w:color="auto"/>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1 240</w:t>
            </w:r>
          </w:p>
        </w:tc>
        <w:tc>
          <w:tcPr>
            <w:tcW w:w="709" w:type="dxa"/>
            <w:tcBorders>
              <w:top w:val="single" w:sz="12" w:space="0" w:color="auto"/>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827</w:t>
            </w:r>
          </w:p>
        </w:tc>
      </w:tr>
      <w:tr w:rsidR="001771B8" w:rsidRPr="00262910" w:rsidTr="00942E04">
        <w:tc>
          <w:tcPr>
            <w:tcW w:w="3289" w:type="dxa"/>
            <w:tcBorders>
              <w:top w:val="single" w:sz="4" w:space="0" w:color="auto"/>
              <w:bottom w:val="single" w:sz="12" w:space="0" w:color="auto"/>
            </w:tcBorders>
            <w:shd w:val="clear" w:color="auto" w:fill="auto"/>
            <w:noWrap/>
          </w:tcPr>
          <w:p w:rsidR="001771B8" w:rsidRPr="00262910" w:rsidRDefault="001771B8" w:rsidP="001771B8">
            <w:pPr>
              <w:pStyle w:val="SingleTxtG"/>
              <w:suppressAutoHyphens w:val="0"/>
              <w:spacing w:before="80" w:after="80" w:line="220" w:lineRule="exact"/>
              <w:ind w:left="283" w:right="0"/>
              <w:jc w:val="left"/>
              <w:rPr>
                <w:b/>
                <w:iCs/>
                <w:sz w:val="18"/>
                <w:lang w:val="fr-FR"/>
              </w:rPr>
            </w:pPr>
            <w:r>
              <w:rPr>
                <w:b/>
                <w:iCs/>
                <w:sz w:val="18"/>
                <w:lang w:val="fr-FR"/>
              </w:rPr>
              <w:t>Montant total de l’</w:t>
            </w:r>
            <w:r w:rsidRPr="00262910">
              <w:rPr>
                <w:b/>
                <w:iCs/>
                <w:sz w:val="18"/>
                <w:lang w:val="fr-FR"/>
              </w:rPr>
              <w:t xml:space="preserve">APD </w:t>
            </w:r>
            <w:r>
              <w:rPr>
                <w:b/>
                <w:iCs/>
                <w:sz w:val="18"/>
                <w:lang w:val="fr-FR"/>
              </w:rPr>
              <w:t>de la N</w:t>
            </w:r>
            <w:r w:rsidRPr="00262910">
              <w:rPr>
                <w:b/>
                <w:iCs/>
                <w:sz w:val="18"/>
                <w:lang w:val="fr-FR"/>
              </w:rPr>
              <w:t>orv</w:t>
            </w:r>
            <w:r>
              <w:rPr>
                <w:b/>
                <w:iCs/>
                <w:sz w:val="18"/>
                <w:lang w:val="fr-FR"/>
              </w:rPr>
              <w:t>ège</w:t>
            </w:r>
          </w:p>
        </w:tc>
        <w:tc>
          <w:tcPr>
            <w:tcW w:w="708" w:type="dxa"/>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bCs/>
                <w:sz w:val="18"/>
                <w:lang w:val="fr-FR"/>
              </w:rPr>
            </w:pPr>
            <w:r w:rsidRPr="00262910">
              <w:rPr>
                <w:b/>
                <w:bCs/>
                <w:sz w:val="18"/>
                <w:lang w:val="fr-FR"/>
              </w:rPr>
              <w:t>32 800</w:t>
            </w:r>
          </w:p>
        </w:tc>
        <w:tc>
          <w:tcPr>
            <w:tcW w:w="708" w:type="dxa"/>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bCs/>
                <w:sz w:val="18"/>
                <w:lang w:val="fr-FR"/>
              </w:rPr>
            </w:pPr>
            <w:r w:rsidRPr="00262910">
              <w:rPr>
                <w:b/>
                <w:bCs/>
                <w:sz w:val="18"/>
                <w:lang w:val="fr-FR"/>
              </w:rPr>
              <w:t>32 046</w:t>
            </w:r>
          </w:p>
        </w:tc>
        <w:tc>
          <w:tcPr>
            <w:tcW w:w="709" w:type="dxa"/>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bCs/>
                <w:sz w:val="18"/>
                <w:lang w:val="fr-FR"/>
              </w:rPr>
            </w:pPr>
            <w:r w:rsidRPr="00262910">
              <w:rPr>
                <w:b/>
                <w:bCs/>
                <w:sz w:val="18"/>
                <w:lang w:val="fr-FR"/>
              </w:rPr>
              <w:t>34 486</w:t>
            </w:r>
          </w:p>
        </w:tc>
        <w:tc>
          <w:tcPr>
            <w:tcW w:w="708" w:type="dxa"/>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bCs/>
                <w:sz w:val="18"/>
                <w:lang w:val="fr-FR"/>
              </w:rPr>
            </w:pPr>
            <w:r w:rsidRPr="00262910">
              <w:rPr>
                <w:b/>
                <w:bCs/>
                <w:sz w:val="18"/>
                <w:lang w:val="fr-FR"/>
              </w:rPr>
              <w:t>36 791</w:t>
            </w:r>
          </w:p>
        </w:tc>
        <w:tc>
          <w:tcPr>
            <w:tcW w:w="708" w:type="dxa"/>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bCs/>
                <w:sz w:val="18"/>
                <w:lang w:val="fr-FR"/>
              </w:rPr>
            </w:pPr>
            <w:r w:rsidRPr="00262910">
              <w:rPr>
                <w:b/>
                <w:bCs/>
                <w:sz w:val="18"/>
                <w:lang w:val="fr-FR"/>
              </w:rPr>
              <w:t>34 118</w:t>
            </w:r>
          </w:p>
        </w:tc>
        <w:tc>
          <w:tcPr>
            <w:tcW w:w="709" w:type="dxa"/>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bCs/>
                <w:sz w:val="18"/>
                <w:lang w:val="fr-FR"/>
              </w:rPr>
            </w:pPr>
            <w:r w:rsidRPr="00262910">
              <w:rPr>
                <w:b/>
                <w:bCs/>
                <w:sz w:val="18"/>
                <w:lang w:val="fr-FR"/>
              </w:rPr>
              <w:t>34 632</w:t>
            </w:r>
          </w:p>
        </w:tc>
      </w:tr>
      <w:tr w:rsidR="001771B8" w:rsidRPr="00262910" w:rsidTr="00942E04">
        <w:tc>
          <w:tcPr>
            <w:tcW w:w="3289" w:type="dxa"/>
            <w:tcBorders>
              <w:top w:val="single" w:sz="12" w:space="0" w:color="auto"/>
              <w:bottom w:val="single" w:sz="12" w:space="0" w:color="auto"/>
            </w:tcBorders>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0439A5">
              <w:rPr>
                <w:iCs/>
                <w:sz w:val="18"/>
                <w:lang w:val="fr-FR"/>
              </w:rPr>
              <w:t xml:space="preserve">Coûts </w:t>
            </w:r>
            <w:r>
              <w:rPr>
                <w:iCs/>
                <w:sz w:val="18"/>
                <w:lang w:val="fr-FR"/>
              </w:rPr>
              <w:t xml:space="preserve">de </w:t>
            </w:r>
            <w:r w:rsidRPr="000439A5">
              <w:rPr>
                <w:iCs/>
                <w:sz w:val="18"/>
                <w:lang w:val="fr-FR"/>
              </w:rPr>
              <w:t>l</w:t>
            </w:r>
            <w:r>
              <w:rPr>
                <w:iCs/>
                <w:sz w:val="18"/>
                <w:lang w:val="fr-FR"/>
              </w:rPr>
              <w:t>’</w:t>
            </w:r>
            <w:r w:rsidRPr="000439A5">
              <w:rPr>
                <w:iCs/>
                <w:sz w:val="18"/>
                <w:lang w:val="fr-FR"/>
              </w:rPr>
              <w:t xml:space="preserve">accueil de réfugiés </w:t>
            </w:r>
            <w:r>
              <w:rPr>
                <w:iCs/>
                <w:sz w:val="18"/>
                <w:lang w:val="fr-FR"/>
              </w:rPr>
              <w:t xml:space="preserve">en Norvège </w:t>
            </w:r>
            <w:r w:rsidRPr="00262910">
              <w:rPr>
                <w:iCs/>
                <w:sz w:val="18"/>
                <w:lang w:val="fr-FR"/>
              </w:rPr>
              <w:t xml:space="preserve">en pourcentage du total de </w:t>
            </w:r>
            <w:r>
              <w:rPr>
                <w:iCs/>
                <w:sz w:val="18"/>
                <w:lang w:val="fr-FR"/>
              </w:rPr>
              <w:t>l’</w:t>
            </w:r>
            <w:r w:rsidRPr="00262910">
              <w:rPr>
                <w:iCs/>
                <w:sz w:val="18"/>
                <w:lang w:val="fr-FR"/>
              </w:rPr>
              <w:t>APD</w:t>
            </w:r>
          </w:p>
        </w:tc>
        <w:tc>
          <w:tcPr>
            <w:tcW w:w="708" w:type="dxa"/>
            <w:tcBorders>
              <w:top w:val="single" w:sz="12"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4</w:t>
            </w:r>
            <w:r>
              <w:rPr>
                <w:bCs/>
                <w:sz w:val="18"/>
                <w:lang w:val="fr-FR"/>
              </w:rPr>
              <w:t>,</w:t>
            </w:r>
            <w:r w:rsidRPr="00262910">
              <w:rPr>
                <w:bCs/>
                <w:sz w:val="18"/>
                <w:lang w:val="fr-FR"/>
              </w:rPr>
              <w:t>8</w:t>
            </w:r>
          </w:p>
        </w:tc>
        <w:tc>
          <w:tcPr>
            <w:tcW w:w="708" w:type="dxa"/>
            <w:tcBorders>
              <w:top w:val="single" w:sz="12"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5</w:t>
            </w:r>
            <w:r>
              <w:rPr>
                <w:bCs/>
                <w:sz w:val="18"/>
                <w:lang w:val="fr-FR"/>
              </w:rPr>
              <w:t>,</w:t>
            </w:r>
            <w:r w:rsidRPr="00262910">
              <w:rPr>
                <w:bCs/>
                <w:sz w:val="18"/>
                <w:lang w:val="fr-FR"/>
              </w:rPr>
              <w:t>5</w:t>
            </w:r>
          </w:p>
        </w:tc>
        <w:tc>
          <w:tcPr>
            <w:tcW w:w="709" w:type="dxa"/>
            <w:tcBorders>
              <w:top w:val="single" w:sz="12"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10</w:t>
            </w:r>
            <w:r>
              <w:rPr>
                <w:bCs/>
                <w:sz w:val="18"/>
                <w:lang w:val="fr-FR"/>
              </w:rPr>
              <w:t>,</w:t>
            </w:r>
            <w:r w:rsidRPr="00262910">
              <w:rPr>
                <w:bCs/>
                <w:sz w:val="18"/>
                <w:lang w:val="fr-FR"/>
              </w:rPr>
              <w:t>8</w:t>
            </w:r>
          </w:p>
        </w:tc>
        <w:tc>
          <w:tcPr>
            <w:tcW w:w="708" w:type="dxa"/>
            <w:tcBorders>
              <w:top w:val="single" w:sz="12"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18</w:t>
            </w:r>
            <w:r>
              <w:rPr>
                <w:bCs/>
                <w:sz w:val="18"/>
                <w:lang w:val="fr-FR"/>
              </w:rPr>
              <w:t>,</w:t>
            </w:r>
            <w:r w:rsidRPr="00262910">
              <w:rPr>
                <w:bCs/>
                <w:sz w:val="18"/>
                <w:lang w:val="fr-FR"/>
              </w:rPr>
              <w:t>3</w:t>
            </w:r>
          </w:p>
        </w:tc>
        <w:tc>
          <w:tcPr>
            <w:tcW w:w="708" w:type="dxa"/>
            <w:tcBorders>
              <w:top w:val="single" w:sz="12"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3</w:t>
            </w:r>
            <w:r>
              <w:rPr>
                <w:bCs/>
                <w:sz w:val="18"/>
                <w:lang w:val="fr-FR"/>
              </w:rPr>
              <w:t>,</w:t>
            </w:r>
            <w:r w:rsidRPr="00262910">
              <w:rPr>
                <w:bCs/>
                <w:sz w:val="18"/>
                <w:lang w:val="fr-FR"/>
              </w:rPr>
              <w:t>6</w:t>
            </w:r>
          </w:p>
        </w:tc>
        <w:tc>
          <w:tcPr>
            <w:tcW w:w="709" w:type="dxa"/>
            <w:tcBorders>
              <w:top w:val="single" w:sz="12"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2</w:t>
            </w:r>
            <w:r>
              <w:rPr>
                <w:bCs/>
                <w:sz w:val="18"/>
                <w:lang w:val="fr-FR"/>
              </w:rPr>
              <w:t>,</w:t>
            </w:r>
            <w:r w:rsidRPr="00262910">
              <w:rPr>
                <w:bCs/>
                <w:sz w:val="18"/>
                <w:lang w:val="fr-FR"/>
              </w:rPr>
              <w:t>4</w:t>
            </w:r>
          </w:p>
        </w:tc>
      </w:tr>
    </w:tbl>
    <w:p w:rsidR="001771B8" w:rsidRPr="00262910" w:rsidRDefault="001771B8" w:rsidP="00942E04">
      <w:pPr>
        <w:pStyle w:val="H1G"/>
        <w:rPr>
          <w:lang w:val="fr-FR"/>
        </w:rPr>
      </w:pPr>
      <w:r w:rsidRPr="00262910">
        <w:rPr>
          <w:lang w:val="fr-FR"/>
        </w:rPr>
        <w:tab/>
      </w:r>
      <w:r w:rsidRPr="00262910">
        <w:rPr>
          <w:lang w:val="fr-FR"/>
        </w:rPr>
        <w:tab/>
        <w:t xml:space="preserve">Réponse au paragraphe 12 de la liste de points </w:t>
      </w:r>
    </w:p>
    <w:p w:rsidR="001771B8" w:rsidRPr="00262910" w:rsidRDefault="001771B8" w:rsidP="001771B8">
      <w:pPr>
        <w:pStyle w:val="SingleTxtG"/>
        <w:rPr>
          <w:lang w:val="fr-FR"/>
        </w:rPr>
      </w:pPr>
      <w:r w:rsidRPr="00262910">
        <w:rPr>
          <w:lang w:val="fr-FR"/>
        </w:rPr>
        <w:t>84.</w:t>
      </w:r>
      <w:r w:rsidRPr="00262910">
        <w:rPr>
          <w:lang w:val="fr-FR"/>
        </w:rPr>
        <w:tab/>
        <w:t>La loi sur l</w:t>
      </w:r>
      <w:r>
        <w:rPr>
          <w:lang w:val="fr-FR"/>
        </w:rPr>
        <w:t>’</w:t>
      </w:r>
      <w:r w:rsidRPr="00262910">
        <w:rPr>
          <w:lang w:val="fr-FR"/>
        </w:rPr>
        <w:t xml:space="preserve">égalité et la lutte contre la discrimination interdit la discrimination fondée sur le </w:t>
      </w:r>
      <w:r>
        <w:rPr>
          <w:lang w:val="fr-FR"/>
        </w:rPr>
        <w:t>genre,</w:t>
      </w:r>
      <w:r w:rsidRPr="00262910">
        <w:rPr>
          <w:lang w:val="fr-FR"/>
        </w:rPr>
        <w:t xml:space="preserve"> la grossesse et </w:t>
      </w:r>
      <w:r>
        <w:rPr>
          <w:lang w:val="fr-FR"/>
        </w:rPr>
        <w:t xml:space="preserve">le </w:t>
      </w:r>
      <w:r w:rsidRPr="00262910">
        <w:rPr>
          <w:lang w:val="fr-FR"/>
        </w:rPr>
        <w:t>congé pour la naissance ou l</w:t>
      </w:r>
      <w:r>
        <w:rPr>
          <w:lang w:val="fr-FR"/>
        </w:rPr>
        <w:t>’</w:t>
      </w:r>
      <w:r w:rsidRPr="00262910">
        <w:rPr>
          <w:lang w:val="fr-FR"/>
        </w:rPr>
        <w:t>adoption d</w:t>
      </w:r>
      <w:r>
        <w:rPr>
          <w:lang w:val="fr-FR"/>
        </w:rPr>
        <w:t>’</w:t>
      </w:r>
      <w:r w:rsidRPr="00262910">
        <w:rPr>
          <w:lang w:val="fr-FR"/>
        </w:rPr>
        <w:t xml:space="preserve">un enfant, les </w:t>
      </w:r>
      <w:r>
        <w:rPr>
          <w:lang w:val="fr-FR"/>
        </w:rPr>
        <w:t xml:space="preserve">charges </w:t>
      </w:r>
      <w:r w:rsidRPr="00262910">
        <w:rPr>
          <w:lang w:val="fr-FR"/>
        </w:rPr>
        <w:t>familiales, l</w:t>
      </w:r>
      <w:r>
        <w:rPr>
          <w:lang w:val="fr-FR"/>
        </w:rPr>
        <w:t>’</w:t>
      </w:r>
      <w:r w:rsidRPr="00262910">
        <w:rPr>
          <w:lang w:val="fr-FR"/>
        </w:rPr>
        <w:t>appartenance ethnique, la religion, la conviction, le handicap, l</w:t>
      </w:r>
      <w:r>
        <w:rPr>
          <w:lang w:val="fr-FR"/>
        </w:rPr>
        <w:t>’</w:t>
      </w:r>
      <w:r w:rsidRPr="00262910">
        <w:rPr>
          <w:lang w:val="fr-FR"/>
        </w:rPr>
        <w:t>orientation sexuelle, l</w:t>
      </w:r>
      <w:r>
        <w:rPr>
          <w:lang w:val="fr-FR"/>
        </w:rPr>
        <w:t>’</w:t>
      </w:r>
      <w:r w:rsidRPr="00262910">
        <w:rPr>
          <w:lang w:val="fr-FR"/>
        </w:rPr>
        <w:t xml:space="preserve">identité </w:t>
      </w:r>
      <w:r>
        <w:rPr>
          <w:lang w:val="fr-FR"/>
        </w:rPr>
        <w:t>de genre</w:t>
      </w:r>
      <w:r w:rsidRPr="00262910">
        <w:rPr>
          <w:lang w:val="fr-FR"/>
        </w:rPr>
        <w:t>, l</w:t>
      </w:r>
      <w:r>
        <w:rPr>
          <w:lang w:val="fr-FR"/>
        </w:rPr>
        <w:t>’</w:t>
      </w:r>
      <w:r w:rsidRPr="00262910">
        <w:rPr>
          <w:lang w:val="fr-FR"/>
        </w:rPr>
        <w:t xml:space="preserve">expression </w:t>
      </w:r>
      <w:r>
        <w:rPr>
          <w:lang w:val="fr-FR"/>
        </w:rPr>
        <w:t>du genre</w:t>
      </w:r>
      <w:r w:rsidRPr="00262910">
        <w:rPr>
          <w:lang w:val="fr-FR"/>
        </w:rPr>
        <w:t>, l</w:t>
      </w:r>
      <w:r>
        <w:rPr>
          <w:lang w:val="fr-FR"/>
        </w:rPr>
        <w:t>’</w:t>
      </w:r>
      <w:r w:rsidRPr="00262910">
        <w:rPr>
          <w:lang w:val="fr-FR"/>
        </w:rPr>
        <w:t>âge ou toute combinaison de ces facteurs. L</w:t>
      </w:r>
      <w:r>
        <w:rPr>
          <w:lang w:val="fr-FR"/>
        </w:rPr>
        <w:t>’</w:t>
      </w:r>
      <w:r w:rsidRPr="00262910">
        <w:rPr>
          <w:lang w:val="fr-FR"/>
        </w:rPr>
        <w:t>« appartenance ethnique » co</w:t>
      </w:r>
      <w:r>
        <w:rPr>
          <w:lang w:val="fr-FR"/>
        </w:rPr>
        <w:t xml:space="preserve">uvre </w:t>
      </w:r>
      <w:r w:rsidRPr="00262910">
        <w:rPr>
          <w:lang w:val="fr-FR"/>
        </w:rPr>
        <w:t>l</w:t>
      </w:r>
      <w:r>
        <w:rPr>
          <w:lang w:val="fr-FR"/>
        </w:rPr>
        <w:t>’</w:t>
      </w:r>
      <w:r w:rsidRPr="00262910">
        <w:rPr>
          <w:lang w:val="fr-FR"/>
        </w:rPr>
        <w:t>origine nationale, l</w:t>
      </w:r>
      <w:r>
        <w:rPr>
          <w:lang w:val="fr-FR"/>
        </w:rPr>
        <w:t>’</w:t>
      </w:r>
      <w:r w:rsidRPr="00262910">
        <w:rPr>
          <w:lang w:val="fr-FR"/>
        </w:rPr>
        <w:t>ascendance, la couleur de la peau et la langue. La loi sur le milieu de travail interdit la discrimination fondée sur les opinions politiques, l</w:t>
      </w:r>
      <w:r>
        <w:rPr>
          <w:lang w:val="fr-FR"/>
        </w:rPr>
        <w:t>’</w:t>
      </w:r>
      <w:r w:rsidRPr="00262910">
        <w:rPr>
          <w:lang w:val="fr-FR"/>
        </w:rPr>
        <w:t>appartenance à un syndicat</w:t>
      </w:r>
      <w:r>
        <w:rPr>
          <w:lang w:val="fr-FR"/>
        </w:rPr>
        <w:t xml:space="preserve">, </w:t>
      </w:r>
      <w:r w:rsidRPr="00262910">
        <w:rPr>
          <w:lang w:val="fr-FR"/>
        </w:rPr>
        <w:t>l</w:t>
      </w:r>
      <w:r>
        <w:rPr>
          <w:lang w:val="fr-FR"/>
        </w:rPr>
        <w:t>’</w:t>
      </w:r>
      <w:r w:rsidRPr="00262910">
        <w:rPr>
          <w:lang w:val="fr-FR"/>
        </w:rPr>
        <w:t>âge ou l</w:t>
      </w:r>
      <w:r>
        <w:rPr>
          <w:lang w:val="fr-FR"/>
        </w:rPr>
        <w:t>’</w:t>
      </w:r>
      <w:r w:rsidRPr="00262910">
        <w:rPr>
          <w:lang w:val="fr-FR"/>
        </w:rPr>
        <w:t xml:space="preserve">emploi temporaire ou partiel. </w:t>
      </w:r>
    </w:p>
    <w:p w:rsidR="001771B8" w:rsidRPr="00262910" w:rsidRDefault="001771B8" w:rsidP="00942E04">
      <w:pPr>
        <w:pStyle w:val="H1G"/>
        <w:rPr>
          <w:lang w:val="fr-FR"/>
        </w:rPr>
      </w:pPr>
      <w:r w:rsidRPr="00262910">
        <w:rPr>
          <w:lang w:val="fr-FR"/>
        </w:rPr>
        <w:tab/>
      </w:r>
      <w:r w:rsidRPr="00262910">
        <w:rPr>
          <w:lang w:val="fr-FR"/>
        </w:rPr>
        <w:tab/>
        <w:t>Réponse au paragraphe 13 a) de la liste de points</w:t>
      </w:r>
    </w:p>
    <w:p w:rsidR="001771B8" w:rsidRPr="00262910" w:rsidRDefault="001771B8" w:rsidP="001771B8">
      <w:pPr>
        <w:pStyle w:val="SingleTxtG"/>
        <w:rPr>
          <w:lang w:val="fr-FR"/>
        </w:rPr>
      </w:pPr>
      <w:r w:rsidRPr="00262910">
        <w:rPr>
          <w:lang w:val="fr-FR"/>
        </w:rPr>
        <w:t>85.</w:t>
      </w:r>
      <w:r w:rsidRPr="00262910">
        <w:rPr>
          <w:lang w:val="fr-FR"/>
        </w:rPr>
        <w:tab/>
      </w:r>
      <w:r w:rsidRPr="00DE41A0">
        <w:rPr>
          <w:lang w:val="fr-FR"/>
        </w:rPr>
        <w:t>Avant 2018</w:t>
      </w:r>
      <w:bookmarkStart w:id="5" w:name="_Hlk29455072"/>
      <w:r w:rsidRPr="00DE41A0">
        <w:rPr>
          <w:lang w:val="fr-FR"/>
        </w:rPr>
        <w:t xml:space="preserve">, </w:t>
      </w:r>
      <w:bookmarkStart w:id="6" w:name="_Hlk29453663"/>
      <w:r w:rsidRPr="00DE41A0">
        <w:rPr>
          <w:lang w:val="fr-FR"/>
        </w:rPr>
        <w:t>le Médiateur</w:t>
      </w:r>
      <w:r w:rsidRPr="00262910">
        <w:rPr>
          <w:lang w:val="fr-FR"/>
        </w:rPr>
        <w:t xml:space="preserve"> </w:t>
      </w:r>
      <w:r>
        <w:rPr>
          <w:lang w:val="fr-FR"/>
        </w:rPr>
        <w:t xml:space="preserve">pour l’égalité et la lutte contre la discrimination </w:t>
      </w:r>
      <w:bookmarkEnd w:id="5"/>
      <w:bookmarkEnd w:id="6"/>
      <w:r>
        <w:rPr>
          <w:lang w:val="fr-FR"/>
        </w:rPr>
        <w:t>traitait les plaintes ainsi que les demandes d’avis</w:t>
      </w:r>
      <w:r w:rsidRPr="00262910">
        <w:rPr>
          <w:lang w:val="fr-FR"/>
        </w:rPr>
        <w:t xml:space="preserve">. </w:t>
      </w:r>
      <w:r>
        <w:rPr>
          <w:lang w:val="fr-FR"/>
        </w:rPr>
        <w:t xml:space="preserve">Suite à la </w:t>
      </w:r>
      <w:r w:rsidRPr="00D33A4A">
        <w:rPr>
          <w:lang w:val="fr-FR"/>
        </w:rPr>
        <w:t xml:space="preserve">réorganisation </w:t>
      </w:r>
      <w:bookmarkStart w:id="7" w:name="_Hlk29876773"/>
      <w:r>
        <w:rPr>
          <w:lang w:val="fr-FR"/>
        </w:rPr>
        <w:t xml:space="preserve">du </w:t>
      </w:r>
      <w:r w:rsidRPr="008A0B30">
        <w:rPr>
          <w:lang w:val="fr-FR"/>
        </w:rPr>
        <w:t>dispositif de lutte contre la discrimination</w:t>
      </w:r>
      <w:bookmarkEnd w:id="7"/>
      <w:r>
        <w:rPr>
          <w:lang w:val="fr-FR"/>
        </w:rPr>
        <w:t xml:space="preserve"> effectuée en 2018,</w:t>
      </w:r>
      <w:r w:rsidRPr="00262910">
        <w:rPr>
          <w:lang w:val="fr-FR"/>
        </w:rPr>
        <w:t xml:space="preserve"> le traitement des plaintes </w:t>
      </w:r>
      <w:r>
        <w:rPr>
          <w:lang w:val="fr-FR"/>
        </w:rPr>
        <w:t xml:space="preserve">a été </w:t>
      </w:r>
      <w:r w:rsidRPr="00262910">
        <w:rPr>
          <w:lang w:val="fr-FR"/>
        </w:rPr>
        <w:t>transféré du Médiateur au Tribunal</w:t>
      </w:r>
      <w:r>
        <w:rPr>
          <w:lang w:val="fr-FR"/>
        </w:rPr>
        <w:t xml:space="preserve"> contre la discrimination</w:t>
      </w:r>
      <w:r w:rsidRPr="00262910">
        <w:rPr>
          <w:lang w:val="fr-FR"/>
        </w:rPr>
        <w:t>. Ce</w:t>
      </w:r>
      <w:r>
        <w:rPr>
          <w:lang w:val="fr-FR"/>
        </w:rPr>
        <w:t xml:space="preserve">tte modification a </w:t>
      </w:r>
      <w:r w:rsidRPr="00262910">
        <w:rPr>
          <w:lang w:val="fr-FR"/>
        </w:rPr>
        <w:t>renforcé le rôle du Médiateur en tant qu</w:t>
      </w:r>
      <w:r>
        <w:rPr>
          <w:lang w:val="fr-FR"/>
        </w:rPr>
        <w:t>’</w:t>
      </w:r>
      <w:r w:rsidRPr="00262910">
        <w:rPr>
          <w:lang w:val="fr-FR"/>
        </w:rPr>
        <w:t>agent proactif de l</w:t>
      </w:r>
      <w:r>
        <w:rPr>
          <w:lang w:val="fr-FR"/>
        </w:rPr>
        <w:t>’</w:t>
      </w:r>
      <w:r w:rsidRPr="00262910">
        <w:rPr>
          <w:lang w:val="fr-FR"/>
        </w:rPr>
        <w:t xml:space="preserve">égalité des chances. Le Tribunal a été </w:t>
      </w:r>
      <w:r>
        <w:rPr>
          <w:lang w:val="fr-FR"/>
        </w:rPr>
        <w:t xml:space="preserve">habilité à </w:t>
      </w:r>
      <w:r w:rsidRPr="00262910">
        <w:rPr>
          <w:lang w:val="fr-FR"/>
        </w:rPr>
        <w:t xml:space="preserve">accorder </w:t>
      </w:r>
      <w:r>
        <w:rPr>
          <w:lang w:val="fr-FR"/>
        </w:rPr>
        <w:t xml:space="preserve">une </w:t>
      </w:r>
      <w:r w:rsidRPr="00262910">
        <w:rPr>
          <w:lang w:val="fr-FR"/>
        </w:rPr>
        <w:t xml:space="preserve">réparation dans les affaires </w:t>
      </w:r>
      <w:r>
        <w:rPr>
          <w:lang w:val="fr-FR"/>
        </w:rPr>
        <w:t xml:space="preserve">simples </w:t>
      </w:r>
      <w:r w:rsidRPr="00262910">
        <w:rPr>
          <w:lang w:val="fr-FR"/>
        </w:rPr>
        <w:t xml:space="preserve">de discrimination </w:t>
      </w:r>
      <w:r>
        <w:rPr>
          <w:lang w:val="fr-FR"/>
        </w:rPr>
        <w:t xml:space="preserve">en matière de </w:t>
      </w:r>
      <w:r w:rsidRPr="00262910">
        <w:rPr>
          <w:lang w:val="fr-FR"/>
        </w:rPr>
        <w:t xml:space="preserve">vie professionnelle et </w:t>
      </w:r>
      <w:r>
        <w:rPr>
          <w:lang w:val="fr-FR"/>
        </w:rPr>
        <w:t>de r</w:t>
      </w:r>
      <w:r w:rsidRPr="00262910">
        <w:rPr>
          <w:lang w:val="fr-FR"/>
        </w:rPr>
        <w:t xml:space="preserve">émunération. Ni le Médiateur ni le Tribunal ne </w:t>
      </w:r>
      <w:r>
        <w:rPr>
          <w:lang w:val="fr-FR"/>
        </w:rPr>
        <w:t xml:space="preserve">peuvent saisir les juridictions </w:t>
      </w:r>
      <w:bookmarkStart w:id="8" w:name="_Hlk30157098"/>
      <w:r>
        <w:rPr>
          <w:lang w:val="fr-FR"/>
        </w:rPr>
        <w:t>judiciaires</w:t>
      </w:r>
      <w:bookmarkEnd w:id="8"/>
      <w:r w:rsidRPr="00262910">
        <w:rPr>
          <w:lang w:val="fr-FR"/>
        </w:rPr>
        <w:t>.</w:t>
      </w:r>
    </w:p>
    <w:p w:rsidR="001771B8" w:rsidRPr="00262910" w:rsidRDefault="001771B8" w:rsidP="001771B8">
      <w:pPr>
        <w:pStyle w:val="SingleTxtG"/>
        <w:rPr>
          <w:lang w:val="fr-FR"/>
        </w:rPr>
      </w:pPr>
      <w:r w:rsidRPr="00262910">
        <w:rPr>
          <w:lang w:val="fr-FR"/>
        </w:rPr>
        <w:t>86.</w:t>
      </w:r>
      <w:r w:rsidRPr="00262910">
        <w:rPr>
          <w:lang w:val="fr-FR"/>
        </w:rPr>
        <w:tab/>
      </w:r>
      <w:r w:rsidRPr="006D4FBD">
        <w:rPr>
          <w:lang w:val="fr-FR"/>
        </w:rPr>
        <w:t>En octobre 2018, le</w:t>
      </w:r>
      <w:r w:rsidRPr="00262910">
        <w:rPr>
          <w:lang w:val="fr-FR"/>
        </w:rPr>
        <w:t xml:space="preserve"> Gouvernement a </w:t>
      </w:r>
      <w:r>
        <w:rPr>
          <w:lang w:val="fr-FR"/>
        </w:rPr>
        <w:t xml:space="preserve">chargé </w:t>
      </w:r>
      <w:r w:rsidRPr="00262910">
        <w:rPr>
          <w:lang w:val="fr-FR"/>
        </w:rPr>
        <w:t>un comité public d</w:t>
      </w:r>
      <w:r>
        <w:rPr>
          <w:lang w:val="fr-FR"/>
        </w:rPr>
        <w:t>’</w:t>
      </w:r>
      <w:r w:rsidRPr="00262910">
        <w:rPr>
          <w:lang w:val="fr-FR"/>
        </w:rPr>
        <w:t>examiner le système d</w:t>
      </w:r>
      <w:r>
        <w:rPr>
          <w:lang w:val="fr-FR"/>
        </w:rPr>
        <w:t>’</w:t>
      </w:r>
      <w:r w:rsidRPr="00262910">
        <w:rPr>
          <w:lang w:val="fr-FR"/>
        </w:rPr>
        <w:t>aide juridictionnelle. Le comité</w:t>
      </w:r>
      <w:r>
        <w:rPr>
          <w:lang w:val="fr-FR"/>
        </w:rPr>
        <w:t xml:space="preserve">, qui achèvera </w:t>
      </w:r>
      <w:r w:rsidRPr="00262910">
        <w:rPr>
          <w:lang w:val="fr-FR"/>
        </w:rPr>
        <w:t>ses travaux en mai 2020</w:t>
      </w:r>
      <w:r>
        <w:rPr>
          <w:lang w:val="fr-FR"/>
        </w:rPr>
        <w:t>, s’attache à déterminer</w:t>
      </w:r>
      <w:r w:rsidRPr="00FA35C9">
        <w:rPr>
          <w:lang w:val="fr-FR"/>
        </w:rPr>
        <w:t>, entre autres questions,</w:t>
      </w:r>
      <w:r>
        <w:rPr>
          <w:lang w:val="fr-FR"/>
        </w:rPr>
        <w:t xml:space="preserve"> </w:t>
      </w:r>
      <w:r w:rsidRPr="00262910">
        <w:rPr>
          <w:lang w:val="fr-FR"/>
        </w:rPr>
        <w:t>s</w:t>
      </w:r>
      <w:r>
        <w:rPr>
          <w:lang w:val="fr-FR"/>
        </w:rPr>
        <w:t>’</w:t>
      </w:r>
      <w:r w:rsidRPr="00262910">
        <w:rPr>
          <w:lang w:val="fr-FR"/>
        </w:rPr>
        <w:t xml:space="preserve">il </w:t>
      </w:r>
      <w:r>
        <w:rPr>
          <w:lang w:val="fr-FR"/>
        </w:rPr>
        <w:t xml:space="preserve">convient de fixer </w:t>
      </w:r>
      <w:r w:rsidRPr="00262910">
        <w:rPr>
          <w:lang w:val="fr-FR"/>
        </w:rPr>
        <w:t>des règles spéciales pour l</w:t>
      </w:r>
      <w:r>
        <w:rPr>
          <w:lang w:val="fr-FR"/>
        </w:rPr>
        <w:t>’accès à l’</w:t>
      </w:r>
      <w:r w:rsidRPr="00262910">
        <w:rPr>
          <w:lang w:val="fr-FR"/>
        </w:rPr>
        <w:t xml:space="preserve">aide juridictionnelle gratuite dans les affaires </w:t>
      </w:r>
      <w:r>
        <w:rPr>
          <w:lang w:val="fr-FR"/>
        </w:rPr>
        <w:t xml:space="preserve">concernant </w:t>
      </w:r>
      <w:r w:rsidRPr="00262910">
        <w:rPr>
          <w:lang w:val="fr-FR"/>
        </w:rPr>
        <w:t>l</w:t>
      </w:r>
      <w:r>
        <w:rPr>
          <w:lang w:val="fr-FR"/>
        </w:rPr>
        <w:t>’</w:t>
      </w:r>
      <w:r w:rsidRPr="00262910">
        <w:rPr>
          <w:lang w:val="fr-FR"/>
        </w:rPr>
        <w:t xml:space="preserve">égalité et la discrimination. </w:t>
      </w:r>
      <w:r>
        <w:rPr>
          <w:lang w:val="fr-FR"/>
        </w:rPr>
        <w:t>I</w:t>
      </w:r>
      <w:r w:rsidRPr="00262910">
        <w:rPr>
          <w:lang w:val="fr-FR"/>
        </w:rPr>
        <w:t>l n</w:t>
      </w:r>
      <w:r>
        <w:rPr>
          <w:lang w:val="fr-FR"/>
        </w:rPr>
        <w:t>’</w:t>
      </w:r>
      <w:r w:rsidRPr="00262910">
        <w:rPr>
          <w:lang w:val="fr-FR"/>
        </w:rPr>
        <w:t xml:space="preserve">existe pas de règles spéciales </w:t>
      </w:r>
      <w:r>
        <w:rPr>
          <w:lang w:val="fr-FR"/>
        </w:rPr>
        <w:t xml:space="preserve">en la matière actuellement </w:t>
      </w:r>
      <w:r w:rsidRPr="00262910">
        <w:rPr>
          <w:lang w:val="fr-FR"/>
        </w:rPr>
        <w:t xml:space="preserve">et </w:t>
      </w:r>
      <w:r>
        <w:rPr>
          <w:lang w:val="fr-FR"/>
        </w:rPr>
        <w:t xml:space="preserve">la Norvège ne </w:t>
      </w:r>
      <w:r w:rsidRPr="00262910">
        <w:rPr>
          <w:lang w:val="fr-FR"/>
        </w:rPr>
        <w:t>dispos</w:t>
      </w:r>
      <w:r>
        <w:rPr>
          <w:lang w:val="fr-FR"/>
        </w:rPr>
        <w:t>e d</w:t>
      </w:r>
      <w:r w:rsidRPr="00262910">
        <w:rPr>
          <w:lang w:val="fr-FR"/>
        </w:rPr>
        <w:t xml:space="preserve">onc pas de données statistiques </w:t>
      </w:r>
      <w:r>
        <w:rPr>
          <w:lang w:val="fr-FR"/>
        </w:rPr>
        <w:t>à ce sujet</w:t>
      </w:r>
      <w:r w:rsidRPr="00262910">
        <w:rPr>
          <w:lang w:val="fr-FR"/>
        </w:rPr>
        <w:t xml:space="preserve">. </w:t>
      </w:r>
      <w:r>
        <w:rPr>
          <w:lang w:val="fr-FR"/>
        </w:rPr>
        <w:t xml:space="preserve">Cela étant, </w:t>
      </w:r>
      <w:r w:rsidRPr="00262910">
        <w:rPr>
          <w:lang w:val="fr-FR"/>
        </w:rPr>
        <w:t>les règles relatives à l</w:t>
      </w:r>
      <w:r>
        <w:rPr>
          <w:lang w:val="fr-FR"/>
        </w:rPr>
        <w:t>’</w:t>
      </w:r>
      <w:r w:rsidRPr="00262910">
        <w:rPr>
          <w:lang w:val="fr-FR"/>
        </w:rPr>
        <w:t>aide juridictionnelle gratuite</w:t>
      </w:r>
      <w:r>
        <w:rPr>
          <w:lang w:val="fr-FR"/>
        </w:rPr>
        <w:t xml:space="preserve"> peuvent s’appliquer à des affaires de </w:t>
      </w:r>
      <w:r w:rsidRPr="00262910">
        <w:rPr>
          <w:lang w:val="fr-FR"/>
        </w:rPr>
        <w:t>discrimination</w:t>
      </w:r>
      <w:r>
        <w:rPr>
          <w:lang w:val="fr-FR"/>
        </w:rPr>
        <w:t xml:space="preserve"> quand les conditions générales sont remplies</w:t>
      </w:r>
      <w:r w:rsidRPr="00262910">
        <w:rPr>
          <w:lang w:val="fr-FR"/>
        </w:rPr>
        <w:t>. La loi sur l</w:t>
      </w:r>
      <w:r>
        <w:rPr>
          <w:lang w:val="fr-FR"/>
        </w:rPr>
        <w:t>’</w:t>
      </w:r>
      <w:r w:rsidRPr="00262910">
        <w:rPr>
          <w:lang w:val="fr-FR"/>
        </w:rPr>
        <w:t>aide juridictionnelle couvr</w:t>
      </w:r>
      <w:r>
        <w:rPr>
          <w:lang w:val="fr-FR"/>
        </w:rPr>
        <w:t xml:space="preserve">e </w:t>
      </w:r>
      <w:r w:rsidRPr="00262910">
        <w:rPr>
          <w:lang w:val="fr-FR"/>
        </w:rPr>
        <w:t>certains types d</w:t>
      </w:r>
      <w:r>
        <w:rPr>
          <w:lang w:val="fr-FR"/>
        </w:rPr>
        <w:t>’</w:t>
      </w:r>
      <w:r w:rsidRPr="00262910">
        <w:rPr>
          <w:lang w:val="fr-FR"/>
        </w:rPr>
        <w:t>affaires, par exemple les ordonnances de prise en charge dans les affaires de protection de l</w:t>
      </w:r>
      <w:r>
        <w:rPr>
          <w:lang w:val="fr-FR"/>
        </w:rPr>
        <w:t>’</w:t>
      </w:r>
      <w:r w:rsidRPr="00262910">
        <w:rPr>
          <w:lang w:val="fr-FR"/>
        </w:rPr>
        <w:t xml:space="preserve">enfance, les expulsions </w:t>
      </w:r>
      <w:r>
        <w:rPr>
          <w:lang w:val="fr-FR"/>
        </w:rPr>
        <w:t>locatives</w:t>
      </w:r>
      <w:r w:rsidRPr="00262910">
        <w:rPr>
          <w:lang w:val="fr-FR"/>
        </w:rPr>
        <w:t xml:space="preserve"> et les licenciements, qui </w:t>
      </w:r>
      <w:r>
        <w:rPr>
          <w:lang w:val="fr-FR"/>
        </w:rPr>
        <w:t xml:space="preserve">sont toutes susceptibles de donner lieu à des </w:t>
      </w:r>
      <w:r w:rsidRPr="00262910">
        <w:rPr>
          <w:lang w:val="fr-FR"/>
        </w:rPr>
        <w:t>allégations de discrimination</w:t>
      </w:r>
      <w:r w:rsidRPr="00C03D20">
        <w:rPr>
          <w:lang w:val="fr-FR"/>
        </w:rPr>
        <w:t>. Outre les cas expressément</w:t>
      </w:r>
      <w:r>
        <w:rPr>
          <w:lang w:val="fr-FR"/>
        </w:rPr>
        <w:t xml:space="preserve"> </w:t>
      </w:r>
      <w:r w:rsidRPr="00262910">
        <w:rPr>
          <w:lang w:val="fr-FR"/>
        </w:rPr>
        <w:t>mentionnés dans la loi</w:t>
      </w:r>
      <w:r>
        <w:rPr>
          <w:lang w:val="fr-FR"/>
        </w:rPr>
        <w:t xml:space="preserve"> précitée</w:t>
      </w:r>
      <w:r w:rsidRPr="00262910">
        <w:rPr>
          <w:lang w:val="fr-FR"/>
        </w:rPr>
        <w:t xml:space="preserve">, </w:t>
      </w:r>
      <w:r>
        <w:rPr>
          <w:lang w:val="fr-FR"/>
        </w:rPr>
        <w:t xml:space="preserve">l’aide </w:t>
      </w:r>
      <w:r w:rsidRPr="00262910">
        <w:rPr>
          <w:lang w:val="fr-FR"/>
        </w:rPr>
        <w:t>juridi</w:t>
      </w:r>
      <w:r>
        <w:rPr>
          <w:lang w:val="fr-FR"/>
        </w:rPr>
        <w:t xml:space="preserve">ctionnelle </w:t>
      </w:r>
      <w:r w:rsidRPr="00262910">
        <w:rPr>
          <w:lang w:val="fr-FR"/>
        </w:rPr>
        <w:t>gratuite peut être accordée si l</w:t>
      </w:r>
      <w:r>
        <w:rPr>
          <w:lang w:val="fr-FR"/>
        </w:rPr>
        <w:t xml:space="preserve">e cas est, </w:t>
      </w:r>
      <w:r w:rsidRPr="00262910">
        <w:rPr>
          <w:lang w:val="fr-FR"/>
        </w:rPr>
        <w:t>objecti</w:t>
      </w:r>
      <w:r>
        <w:rPr>
          <w:lang w:val="fr-FR"/>
        </w:rPr>
        <w:t>vement</w:t>
      </w:r>
      <w:r w:rsidRPr="00262910">
        <w:rPr>
          <w:lang w:val="fr-FR"/>
        </w:rPr>
        <w:t>, particulièrement</w:t>
      </w:r>
      <w:r>
        <w:rPr>
          <w:lang w:val="fr-FR"/>
        </w:rPr>
        <w:t xml:space="preserve"> pressant </w:t>
      </w:r>
      <w:r w:rsidRPr="00262910">
        <w:rPr>
          <w:lang w:val="fr-FR"/>
        </w:rPr>
        <w:t>pour le demandeur. L</w:t>
      </w:r>
      <w:r>
        <w:rPr>
          <w:lang w:val="fr-FR"/>
        </w:rPr>
        <w:t>’État apporte en outre un soutien f</w:t>
      </w:r>
      <w:r w:rsidRPr="00262910">
        <w:rPr>
          <w:lang w:val="fr-FR"/>
        </w:rPr>
        <w:t>inan</w:t>
      </w:r>
      <w:r>
        <w:rPr>
          <w:lang w:val="fr-FR"/>
        </w:rPr>
        <w:t xml:space="preserve">cier à des </w:t>
      </w:r>
      <w:r w:rsidRPr="00262910">
        <w:rPr>
          <w:lang w:val="fr-FR"/>
        </w:rPr>
        <w:t>services d</w:t>
      </w:r>
      <w:r>
        <w:rPr>
          <w:lang w:val="fr-FR"/>
        </w:rPr>
        <w:t>’</w:t>
      </w:r>
      <w:r w:rsidRPr="00262910">
        <w:rPr>
          <w:lang w:val="fr-FR"/>
        </w:rPr>
        <w:t>a</w:t>
      </w:r>
      <w:r>
        <w:rPr>
          <w:lang w:val="fr-FR"/>
        </w:rPr>
        <w:t xml:space="preserve">ide juridictionnelle spéciale </w:t>
      </w:r>
      <w:r w:rsidRPr="00262910">
        <w:rPr>
          <w:lang w:val="fr-FR"/>
        </w:rPr>
        <w:t xml:space="preserve">en </w:t>
      </w:r>
      <w:r>
        <w:rPr>
          <w:lang w:val="fr-FR"/>
        </w:rPr>
        <w:t>subventionnant d</w:t>
      </w:r>
      <w:r w:rsidRPr="00262910">
        <w:rPr>
          <w:lang w:val="fr-FR"/>
        </w:rPr>
        <w:t xml:space="preserve">es organisations spécialisées </w:t>
      </w:r>
      <w:r>
        <w:rPr>
          <w:lang w:val="fr-FR"/>
        </w:rPr>
        <w:t xml:space="preserve">qui fournissent gratuitement une telle aide à des </w:t>
      </w:r>
      <w:r w:rsidRPr="00262910">
        <w:rPr>
          <w:lang w:val="fr-FR"/>
        </w:rPr>
        <w:t>personnes en situation de vulnérabilité.</w:t>
      </w:r>
    </w:p>
    <w:p w:rsidR="001771B8" w:rsidRPr="00262910" w:rsidRDefault="001771B8" w:rsidP="009C430D">
      <w:pPr>
        <w:pStyle w:val="H1G"/>
        <w:rPr>
          <w:lang w:val="fr-FR"/>
        </w:rPr>
      </w:pPr>
      <w:r w:rsidRPr="00262910">
        <w:rPr>
          <w:lang w:val="fr-FR"/>
        </w:rPr>
        <w:tab/>
      </w:r>
      <w:r w:rsidRPr="00262910">
        <w:rPr>
          <w:lang w:val="fr-FR"/>
        </w:rPr>
        <w:tab/>
        <w:t>Réponse au paragraphe 13 b) de la liste de points</w:t>
      </w:r>
    </w:p>
    <w:p w:rsidR="001771B8" w:rsidRPr="00262910" w:rsidRDefault="001771B8" w:rsidP="001771B8">
      <w:pPr>
        <w:pStyle w:val="SingleTxtG"/>
        <w:rPr>
          <w:lang w:val="fr-FR"/>
        </w:rPr>
      </w:pPr>
      <w:r w:rsidRPr="00262910">
        <w:rPr>
          <w:lang w:val="fr-FR"/>
        </w:rPr>
        <w:t>87.</w:t>
      </w:r>
      <w:r w:rsidRPr="00262910">
        <w:rPr>
          <w:lang w:val="fr-FR"/>
        </w:rPr>
        <w:tab/>
        <w:t xml:space="preserve">Le Médiateur </w:t>
      </w:r>
      <w:r w:rsidRPr="006D4FBD">
        <w:rPr>
          <w:lang w:val="fr-FR"/>
        </w:rPr>
        <w:t>pour l</w:t>
      </w:r>
      <w:r>
        <w:rPr>
          <w:lang w:val="fr-FR"/>
        </w:rPr>
        <w:t>’</w:t>
      </w:r>
      <w:r w:rsidRPr="006D4FBD">
        <w:rPr>
          <w:lang w:val="fr-FR"/>
        </w:rPr>
        <w:t xml:space="preserve">égalité et </w:t>
      </w:r>
      <w:r>
        <w:rPr>
          <w:lang w:val="fr-FR"/>
        </w:rPr>
        <w:t xml:space="preserve">la lutte </w:t>
      </w:r>
      <w:r w:rsidRPr="006D4FBD">
        <w:rPr>
          <w:lang w:val="fr-FR"/>
        </w:rPr>
        <w:t xml:space="preserve">contre la discrimination </w:t>
      </w:r>
      <w:r w:rsidRPr="00262910">
        <w:rPr>
          <w:lang w:val="fr-FR"/>
        </w:rPr>
        <w:t>peut être contacté par téléphone</w:t>
      </w:r>
      <w:r>
        <w:rPr>
          <w:lang w:val="fr-FR"/>
        </w:rPr>
        <w:t xml:space="preserve">, </w:t>
      </w:r>
      <w:r w:rsidRPr="00262910">
        <w:rPr>
          <w:lang w:val="fr-FR"/>
        </w:rPr>
        <w:t xml:space="preserve">par </w:t>
      </w:r>
      <w:r>
        <w:rPr>
          <w:lang w:val="fr-FR"/>
        </w:rPr>
        <w:t xml:space="preserve">le canal </w:t>
      </w:r>
      <w:r w:rsidRPr="00262910">
        <w:rPr>
          <w:lang w:val="fr-FR"/>
        </w:rPr>
        <w:t xml:space="preserve">de son site Web ou en se rendant </w:t>
      </w:r>
      <w:r>
        <w:rPr>
          <w:lang w:val="fr-FR"/>
        </w:rPr>
        <w:t xml:space="preserve">à son Bureau, </w:t>
      </w:r>
      <w:r w:rsidRPr="00262910">
        <w:rPr>
          <w:lang w:val="fr-FR"/>
        </w:rPr>
        <w:t>dans le centre d</w:t>
      </w:r>
      <w:r>
        <w:rPr>
          <w:lang w:val="fr-FR"/>
        </w:rPr>
        <w:t>’</w:t>
      </w:r>
      <w:r w:rsidRPr="00262910">
        <w:rPr>
          <w:lang w:val="fr-FR"/>
        </w:rPr>
        <w:t xml:space="preserve">Oslo. Le site Web contient des informations en anglais. Le Médiateur peut </w:t>
      </w:r>
      <w:r>
        <w:rPr>
          <w:lang w:val="fr-FR"/>
        </w:rPr>
        <w:t xml:space="preserve">en outre assurer des </w:t>
      </w:r>
      <w:r w:rsidRPr="00262910">
        <w:rPr>
          <w:lang w:val="fr-FR"/>
        </w:rPr>
        <w:t>services d</w:t>
      </w:r>
      <w:r>
        <w:rPr>
          <w:lang w:val="fr-FR"/>
        </w:rPr>
        <w:t>’</w:t>
      </w:r>
      <w:r w:rsidRPr="00262910">
        <w:rPr>
          <w:lang w:val="fr-FR"/>
        </w:rPr>
        <w:t xml:space="preserve">interprétation </w:t>
      </w:r>
      <w:r>
        <w:rPr>
          <w:lang w:val="fr-FR"/>
        </w:rPr>
        <w:t xml:space="preserve">pour les </w:t>
      </w:r>
      <w:r w:rsidRPr="00262910">
        <w:rPr>
          <w:lang w:val="fr-FR"/>
        </w:rPr>
        <w:t>personnes dont</w:t>
      </w:r>
      <w:r>
        <w:rPr>
          <w:lang w:val="fr-FR"/>
        </w:rPr>
        <w:t xml:space="preserve"> le norvégien n’est pas </w:t>
      </w:r>
      <w:r w:rsidRPr="00262910">
        <w:rPr>
          <w:lang w:val="fr-FR"/>
        </w:rPr>
        <w:t xml:space="preserve">la langue maternelle. </w:t>
      </w:r>
    </w:p>
    <w:p w:rsidR="001771B8" w:rsidRPr="00262910" w:rsidRDefault="001771B8" w:rsidP="001771B8">
      <w:pPr>
        <w:pStyle w:val="H1G"/>
        <w:rPr>
          <w:lang w:val="fr-FR"/>
        </w:rPr>
      </w:pPr>
      <w:r w:rsidRPr="00262910">
        <w:rPr>
          <w:lang w:val="fr-FR"/>
        </w:rPr>
        <w:tab/>
      </w:r>
      <w:r w:rsidRPr="00262910">
        <w:rPr>
          <w:lang w:val="fr-FR"/>
        </w:rPr>
        <w:tab/>
        <w:t>Réponse au paragraphe 13 c) de la liste de points</w:t>
      </w:r>
    </w:p>
    <w:p w:rsidR="001771B8" w:rsidRPr="00262910" w:rsidRDefault="001771B8" w:rsidP="001771B8">
      <w:pPr>
        <w:pStyle w:val="SingleTxtG"/>
        <w:rPr>
          <w:lang w:val="fr-FR"/>
        </w:rPr>
      </w:pPr>
      <w:r w:rsidRPr="00262910">
        <w:rPr>
          <w:lang w:val="fr-FR"/>
        </w:rPr>
        <w:t>88.</w:t>
      </w:r>
      <w:r w:rsidRPr="00262910">
        <w:rPr>
          <w:lang w:val="fr-FR"/>
        </w:rPr>
        <w:tab/>
      </w:r>
      <w:r>
        <w:rPr>
          <w:lang w:val="fr-FR"/>
        </w:rPr>
        <w:t xml:space="preserve">Sur </w:t>
      </w:r>
      <w:r w:rsidRPr="00262910">
        <w:rPr>
          <w:lang w:val="fr-FR"/>
        </w:rPr>
        <w:t>la période 2014-2017, le Médiateur a traité un total de 778 plaintes</w:t>
      </w:r>
      <w:r>
        <w:rPr>
          <w:lang w:val="fr-FR"/>
        </w:rPr>
        <w:t>, se répartissant comme indiqué dans le tableau ci-après.</w:t>
      </w:r>
      <w:r w:rsidRPr="00262910">
        <w:rPr>
          <w:lang w:val="fr-FR"/>
        </w:rPr>
        <w:t xml:space="preserve"> </w:t>
      </w:r>
    </w:p>
    <w:tbl>
      <w:tblPr>
        <w:tblW w:w="7370" w:type="dxa"/>
        <w:tblInd w:w="1134" w:type="dxa"/>
        <w:tblLayout w:type="fixed"/>
        <w:tblCellMar>
          <w:left w:w="0" w:type="dxa"/>
          <w:right w:w="0" w:type="dxa"/>
        </w:tblCellMar>
        <w:tblLook w:val="04A0" w:firstRow="1" w:lastRow="0" w:firstColumn="1" w:lastColumn="0" w:noHBand="0" w:noVBand="1"/>
      </w:tblPr>
      <w:tblGrid>
        <w:gridCol w:w="2269"/>
        <w:gridCol w:w="1370"/>
        <w:gridCol w:w="1369"/>
        <w:gridCol w:w="1371"/>
        <w:gridCol w:w="991"/>
      </w:tblGrid>
      <w:tr w:rsidR="001771B8" w:rsidRPr="00262910" w:rsidTr="00560E3E">
        <w:trPr>
          <w:tblHeader/>
        </w:trPr>
        <w:tc>
          <w:tcPr>
            <w:tcW w:w="1539" w:type="pct"/>
            <w:tcBorders>
              <w:top w:val="single" w:sz="4" w:space="0" w:color="auto"/>
              <w:bottom w:val="single" w:sz="12" w:space="0" w:color="auto"/>
            </w:tcBorders>
            <w:shd w:val="clear" w:color="auto" w:fill="auto"/>
            <w:noWrap/>
            <w:vAlign w:val="bottom"/>
          </w:tcPr>
          <w:p w:rsidR="001771B8" w:rsidRPr="00262910" w:rsidRDefault="001771B8" w:rsidP="00560E3E">
            <w:pPr>
              <w:pStyle w:val="SingleTxtG"/>
              <w:suppressAutoHyphens w:val="0"/>
              <w:spacing w:before="80" w:after="80" w:line="200" w:lineRule="exact"/>
              <w:ind w:left="0" w:right="0"/>
              <w:jc w:val="left"/>
              <w:rPr>
                <w:i/>
                <w:iCs/>
                <w:sz w:val="16"/>
                <w:lang w:val="fr-FR"/>
              </w:rPr>
            </w:pPr>
            <w:r>
              <w:rPr>
                <w:i/>
                <w:iCs/>
                <w:sz w:val="16"/>
                <w:lang w:val="fr-FR"/>
              </w:rPr>
              <w:t xml:space="preserve">Motif </w:t>
            </w:r>
            <w:r w:rsidRPr="00262910">
              <w:rPr>
                <w:i/>
                <w:iCs/>
                <w:sz w:val="16"/>
                <w:lang w:val="fr-FR"/>
              </w:rPr>
              <w:t>juridique</w:t>
            </w:r>
          </w:p>
        </w:tc>
        <w:tc>
          <w:tcPr>
            <w:tcW w:w="929" w:type="pct"/>
            <w:tcBorders>
              <w:top w:val="single" w:sz="4" w:space="0" w:color="auto"/>
              <w:bottom w:val="single" w:sz="12" w:space="0" w:color="auto"/>
            </w:tcBorders>
            <w:shd w:val="clear" w:color="auto" w:fill="auto"/>
            <w:noWrap/>
            <w:vAlign w:val="bottom"/>
          </w:tcPr>
          <w:p w:rsidR="001771B8" w:rsidRPr="00262910" w:rsidRDefault="001771B8" w:rsidP="00560E3E">
            <w:pPr>
              <w:pStyle w:val="SingleTxtG"/>
              <w:suppressAutoHyphens w:val="0"/>
              <w:spacing w:before="80" w:after="80" w:line="200" w:lineRule="exact"/>
              <w:ind w:left="0" w:right="0"/>
              <w:jc w:val="right"/>
              <w:rPr>
                <w:bCs/>
                <w:i/>
                <w:sz w:val="16"/>
                <w:lang w:val="fr-FR"/>
              </w:rPr>
            </w:pPr>
            <w:r w:rsidRPr="00262910">
              <w:rPr>
                <w:bCs/>
                <w:i/>
                <w:sz w:val="16"/>
                <w:lang w:val="fr-FR"/>
              </w:rPr>
              <w:t>Violation de la loi</w:t>
            </w:r>
          </w:p>
        </w:tc>
        <w:tc>
          <w:tcPr>
            <w:tcW w:w="929" w:type="pct"/>
            <w:tcBorders>
              <w:top w:val="single" w:sz="4" w:space="0" w:color="auto"/>
              <w:bottom w:val="single" w:sz="12" w:space="0" w:color="auto"/>
            </w:tcBorders>
            <w:shd w:val="clear" w:color="auto" w:fill="auto"/>
            <w:noWrap/>
            <w:vAlign w:val="bottom"/>
          </w:tcPr>
          <w:p w:rsidR="001771B8" w:rsidRPr="00262910" w:rsidRDefault="001771B8" w:rsidP="00560E3E">
            <w:pPr>
              <w:pStyle w:val="SingleTxtG"/>
              <w:suppressAutoHyphens w:val="0"/>
              <w:spacing w:before="80" w:after="80" w:line="200" w:lineRule="exact"/>
              <w:ind w:left="0" w:right="0"/>
              <w:jc w:val="right"/>
              <w:rPr>
                <w:bCs/>
                <w:i/>
                <w:sz w:val="16"/>
                <w:lang w:val="fr-FR"/>
              </w:rPr>
            </w:pPr>
            <w:r w:rsidRPr="00262910">
              <w:rPr>
                <w:bCs/>
                <w:i/>
                <w:sz w:val="16"/>
                <w:lang w:val="fr-FR"/>
              </w:rPr>
              <w:t xml:space="preserve">Non violation </w:t>
            </w:r>
            <w:r w:rsidR="00560E3E">
              <w:rPr>
                <w:bCs/>
                <w:i/>
                <w:sz w:val="16"/>
                <w:lang w:val="fr-FR"/>
              </w:rPr>
              <w:br/>
            </w:r>
            <w:r w:rsidRPr="00262910">
              <w:rPr>
                <w:bCs/>
                <w:i/>
                <w:sz w:val="16"/>
                <w:lang w:val="fr-FR"/>
              </w:rPr>
              <w:t>de la loi</w:t>
            </w:r>
          </w:p>
        </w:tc>
        <w:tc>
          <w:tcPr>
            <w:tcW w:w="930" w:type="pct"/>
            <w:tcBorders>
              <w:top w:val="single" w:sz="4" w:space="0" w:color="auto"/>
              <w:bottom w:val="single" w:sz="12" w:space="0" w:color="auto"/>
            </w:tcBorders>
            <w:shd w:val="clear" w:color="auto" w:fill="auto"/>
            <w:noWrap/>
            <w:vAlign w:val="bottom"/>
          </w:tcPr>
          <w:p w:rsidR="001771B8" w:rsidRPr="00262910" w:rsidRDefault="001771B8" w:rsidP="00560E3E">
            <w:pPr>
              <w:pStyle w:val="SingleTxtG"/>
              <w:suppressAutoHyphens w:val="0"/>
              <w:spacing w:before="80" w:after="80" w:line="200" w:lineRule="exact"/>
              <w:ind w:left="0" w:right="0"/>
              <w:jc w:val="right"/>
              <w:rPr>
                <w:bCs/>
                <w:i/>
                <w:sz w:val="16"/>
                <w:lang w:val="fr-FR"/>
              </w:rPr>
            </w:pPr>
            <w:r w:rsidRPr="00262910">
              <w:rPr>
                <w:bCs/>
                <w:i/>
                <w:sz w:val="16"/>
                <w:lang w:val="fr-FR"/>
              </w:rPr>
              <w:t>Rejets</w:t>
            </w:r>
            <w:r>
              <w:rPr>
                <w:bCs/>
                <w:i/>
                <w:sz w:val="16"/>
                <w:lang w:val="fr-FR"/>
              </w:rPr>
              <w:t xml:space="preserve"> et </w:t>
            </w:r>
            <w:r w:rsidR="00560E3E">
              <w:rPr>
                <w:bCs/>
                <w:i/>
                <w:sz w:val="16"/>
                <w:lang w:val="fr-FR"/>
              </w:rPr>
              <w:br/>
            </w:r>
            <w:r>
              <w:rPr>
                <w:bCs/>
                <w:i/>
                <w:sz w:val="16"/>
                <w:lang w:val="fr-FR"/>
              </w:rPr>
              <w:t xml:space="preserve">classements </w:t>
            </w:r>
          </w:p>
        </w:tc>
        <w:tc>
          <w:tcPr>
            <w:tcW w:w="672" w:type="pct"/>
            <w:tcBorders>
              <w:top w:val="single" w:sz="4" w:space="0" w:color="auto"/>
              <w:bottom w:val="single" w:sz="12" w:space="0" w:color="auto"/>
            </w:tcBorders>
            <w:shd w:val="clear" w:color="auto" w:fill="auto"/>
            <w:noWrap/>
            <w:vAlign w:val="bottom"/>
          </w:tcPr>
          <w:p w:rsidR="001771B8" w:rsidRPr="00262910" w:rsidRDefault="001771B8" w:rsidP="00560E3E">
            <w:pPr>
              <w:pStyle w:val="SingleTxtG"/>
              <w:suppressAutoHyphens w:val="0"/>
              <w:spacing w:before="80" w:after="80" w:line="200" w:lineRule="exact"/>
              <w:ind w:left="0" w:right="0"/>
              <w:jc w:val="right"/>
              <w:rPr>
                <w:bCs/>
                <w:i/>
                <w:sz w:val="16"/>
                <w:lang w:val="fr-FR"/>
              </w:rPr>
            </w:pPr>
            <w:r w:rsidRPr="00262910">
              <w:rPr>
                <w:bCs/>
                <w:i/>
                <w:sz w:val="16"/>
                <w:lang w:val="fr-FR"/>
              </w:rPr>
              <w:t>Total</w:t>
            </w:r>
          </w:p>
        </w:tc>
      </w:tr>
      <w:tr w:rsidR="001771B8" w:rsidRPr="00262910" w:rsidTr="001771B8">
        <w:tc>
          <w:tcPr>
            <w:tcW w:w="1539" w:type="pct"/>
            <w:tcBorders>
              <w:top w:val="single" w:sz="12" w:space="0" w:color="auto"/>
            </w:tcBorders>
            <w:shd w:val="clear" w:color="auto" w:fill="auto"/>
            <w:noWrap/>
          </w:tcPr>
          <w:p w:rsidR="001771B8" w:rsidRPr="00262910" w:rsidRDefault="001771B8" w:rsidP="001771B8">
            <w:pPr>
              <w:pStyle w:val="SingleTxtG"/>
              <w:suppressAutoHyphens w:val="0"/>
              <w:spacing w:before="40" w:after="40" w:line="220" w:lineRule="exact"/>
              <w:ind w:left="0" w:right="0"/>
              <w:jc w:val="left"/>
              <w:rPr>
                <w:b/>
                <w:iCs/>
                <w:sz w:val="18"/>
                <w:lang w:val="fr-FR"/>
              </w:rPr>
            </w:pPr>
            <w:r w:rsidRPr="00262910">
              <w:rPr>
                <w:b/>
                <w:iCs/>
                <w:sz w:val="18"/>
                <w:lang w:val="fr-FR"/>
              </w:rPr>
              <w:t>Handicap</w:t>
            </w:r>
          </w:p>
        </w:tc>
        <w:tc>
          <w:tcPr>
            <w:tcW w:w="929"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70</w:t>
            </w:r>
          </w:p>
        </w:tc>
        <w:tc>
          <w:tcPr>
            <w:tcW w:w="929"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152</w:t>
            </w:r>
          </w:p>
        </w:tc>
        <w:tc>
          <w:tcPr>
            <w:tcW w:w="930"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56</w:t>
            </w:r>
          </w:p>
        </w:tc>
        <w:tc>
          <w:tcPr>
            <w:tcW w:w="672"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278</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262910">
              <w:rPr>
                <w:iCs/>
                <w:sz w:val="18"/>
                <w:lang w:val="fr-FR"/>
              </w:rPr>
              <w:t>Biens et services</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25</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58</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24</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107</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377AFC">
              <w:rPr>
                <w:iCs/>
                <w:sz w:val="18"/>
                <w:lang w:val="fr-FR"/>
              </w:rPr>
              <w:t>En lien avec le travail</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19</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37</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13</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69</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262910">
              <w:rPr>
                <w:iCs/>
                <w:sz w:val="18"/>
                <w:lang w:val="fr-FR"/>
              </w:rPr>
              <w:t>Enseignement</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11</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20</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6</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37</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262910">
              <w:rPr>
                <w:iCs/>
                <w:sz w:val="18"/>
                <w:lang w:val="fr-FR"/>
              </w:rPr>
              <w:t>Administration publique</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6</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14</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4</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24</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0" w:right="0"/>
              <w:jc w:val="left"/>
              <w:rPr>
                <w:b/>
                <w:iCs/>
                <w:sz w:val="18"/>
                <w:lang w:val="fr-FR"/>
              </w:rPr>
            </w:pPr>
            <w:r w:rsidRPr="00262910">
              <w:rPr>
                <w:b/>
                <w:iCs/>
                <w:sz w:val="18"/>
                <w:lang w:val="fr-FR"/>
              </w:rPr>
              <w:t>Logement</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4</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12</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3</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19</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262910">
              <w:rPr>
                <w:iCs/>
                <w:sz w:val="18"/>
                <w:lang w:val="fr-FR"/>
              </w:rPr>
              <w:t xml:space="preserve">Autres </w:t>
            </w:r>
            <w:r>
              <w:rPr>
                <w:iCs/>
                <w:sz w:val="18"/>
                <w:lang w:val="fr-FR"/>
              </w:rPr>
              <w:t>domaines</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4</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10</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4</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18</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377AFC">
              <w:rPr>
                <w:iCs/>
                <w:sz w:val="18"/>
                <w:lang w:val="fr-FR"/>
              </w:rPr>
              <w:t>Police et justice</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2</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4</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0" w:right="0"/>
              <w:jc w:val="left"/>
              <w:rPr>
                <w:b/>
                <w:iCs/>
                <w:sz w:val="18"/>
                <w:lang w:val="fr-FR"/>
              </w:rPr>
            </w:pPr>
            <w:r w:rsidRPr="00262910">
              <w:rPr>
                <w:b/>
                <w:iCs/>
                <w:sz w:val="18"/>
                <w:lang w:val="fr-FR"/>
              </w:rPr>
              <w:t>Genre</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84</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80</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27</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191</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377AFC">
              <w:rPr>
                <w:iCs/>
                <w:sz w:val="18"/>
                <w:lang w:val="fr-FR"/>
              </w:rPr>
              <w:t>En lien avec le travail</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76</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64</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20</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160</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262910">
              <w:rPr>
                <w:iCs/>
                <w:sz w:val="18"/>
                <w:lang w:val="fr-FR"/>
              </w:rPr>
              <w:t>Administrations publiques</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5</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4</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10</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262910">
              <w:rPr>
                <w:iCs/>
                <w:sz w:val="18"/>
                <w:lang w:val="fr-FR"/>
              </w:rPr>
              <w:t>Enseignement</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3</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4</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8</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262910">
              <w:rPr>
                <w:iCs/>
                <w:sz w:val="18"/>
                <w:lang w:val="fr-FR"/>
              </w:rPr>
              <w:t>Biens et services</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6</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7</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8</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21</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262910">
              <w:rPr>
                <w:iCs/>
                <w:sz w:val="18"/>
                <w:lang w:val="fr-FR"/>
              </w:rPr>
              <w:t xml:space="preserve">Autres </w:t>
            </w:r>
            <w:r>
              <w:rPr>
                <w:iCs/>
                <w:sz w:val="18"/>
                <w:lang w:val="fr-FR"/>
              </w:rPr>
              <w:t>domaines</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2</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2</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4</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377AFC">
              <w:rPr>
                <w:iCs/>
                <w:sz w:val="18"/>
                <w:lang w:val="fr-FR"/>
              </w:rPr>
              <w:t>Police et justice</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2</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3</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0" w:right="0"/>
              <w:jc w:val="left"/>
              <w:rPr>
                <w:b/>
                <w:iCs/>
                <w:sz w:val="18"/>
                <w:lang w:val="fr-FR"/>
              </w:rPr>
            </w:pPr>
            <w:r>
              <w:rPr>
                <w:b/>
                <w:iCs/>
                <w:sz w:val="18"/>
                <w:lang w:val="fr-FR"/>
              </w:rPr>
              <w:t>Appartenance e</w:t>
            </w:r>
            <w:r w:rsidRPr="00262910">
              <w:rPr>
                <w:b/>
                <w:iCs/>
                <w:sz w:val="18"/>
                <w:lang w:val="fr-FR"/>
              </w:rPr>
              <w:t>thni</w:t>
            </w:r>
            <w:r>
              <w:rPr>
                <w:b/>
                <w:iCs/>
                <w:sz w:val="18"/>
                <w:lang w:val="fr-FR"/>
              </w:rPr>
              <w:t>qu</w:t>
            </w:r>
            <w:r w:rsidRPr="00262910">
              <w:rPr>
                <w:b/>
                <w:iCs/>
                <w:sz w:val="18"/>
                <w:lang w:val="fr-FR"/>
              </w:rPr>
              <w:t>e</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20</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66</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20</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106</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377AFC">
              <w:rPr>
                <w:iCs/>
                <w:sz w:val="18"/>
                <w:lang w:val="fr-FR"/>
              </w:rPr>
              <w:t>En lien avec le travail</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8</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36</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7</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51</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262910">
              <w:rPr>
                <w:iCs/>
                <w:sz w:val="18"/>
                <w:lang w:val="fr-FR"/>
              </w:rPr>
              <w:t>Biens et services</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6</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7</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8</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21</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262910">
              <w:rPr>
                <w:iCs/>
                <w:sz w:val="18"/>
                <w:lang w:val="fr-FR"/>
              </w:rPr>
              <w:t>Administration publique</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10</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12</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377AFC">
              <w:rPr>
                <w:iCs/>
                <w:sz w:val="18"/>
                <w:lang w:val="fr-FR"/>
              </w:rPr>
              <w:t>Police et justice</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5</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3</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9</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262910">
              <w:rPr>
                <w:iCs/>
                <w:sz w:val="18"/>
                <w:lang w:val="fr-FR"/>
              </w:rPr>
              <w:t xml:space="preserve">Autres </w:t>
            </w:r>
            <w:r>
              <w:rPr>
                <w:iCs/>
                <w:sz w:val="18"/>
                <w:lang w:val="fr-FR"/>
              </w:rPr>
              <w:t>domaines</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2</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5</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7</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262910">
              <w:rPr>
                <w:iCs/>
                <w:sz w:val="18"/>
                <w:lang w:val="fr-FR"/>
              </w:rPr>
              <w:t>Enseignement</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3</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5</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262910">
              <w:rPr>
                <w:iCs/>
                <w:sz w:val="18"/>
                <w:lang w:val="fr-FR"/>
              </w:rPr>
              <w:t>Logement</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0" w:right="0"/>
              <w:jc w:val="left"/>
              <w:rPr>
                <w:b/>
                <w:iCs/>
                <w:sz w:val="18"/>
                <w:lang w:val="fr-FR"/>
              </w:rPr>
            </w:pPr>
            <w:r w:rsidRPr="00262910">
              <w:rPr>
                <w:b/>
                <w:iCs/>
                <w:sz w:val="18"/>
                <w:lang w:val="fr-FR"/>
              </w:rPr>
              <w:t>Âge</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20</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43</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5</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68</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7A617A">
              <w:rPr>
                <w:iCs/>
                <w:sz w:val="18"/>
                <w:lang w:val="fr-FR"/>
              </w:rPr>
              <w:t>En lien avec le travail</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20</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43</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4</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67</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262910">
              <w:rPr>
                <w:iCs/>
                <w:sz w:val="18"/>
                <w:lang w:val="fr-FR"/>
              </w:rPr>
              <w:t>Biens et services</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0" w:right="0"/>
              <w:jc w:val="left"/>
              <w:rPr>
                <w:b/>
                <w:iCs/>
                <w:sz w:val="18"/>
                <w:lang w:val="fr-FR"/>
              </w:rPr>
            </w:pPr>
            <w:r w:rsidRPr="00262910">
              <w:rPr>
                <w:b/>
                <w:iCs/>
                <w:sz w:val="18"/>
                <w:lang w:val="fr-FR"/>
              </w:rPr>
              <w:t>Multiple</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14</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21</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7</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42</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7A617A">
              <w:rPr>
                <w:iCs/>
                <w:sz w:val="18"/>
                <w:lang w:val="fr-FR"/>
              </w:rPr>
              <w:t>En lien avec le travail</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13</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16</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3</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32</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377AFC">
              <w:rPr>
                <w:iCs/>
                <w:sz w:val="18"/>
                <w:lang w:val="fr-FR"/>
              </w:rPr>
              <w:t>Police et justice</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2</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262910">
              <w:rPr>
                <w:iCs/>
                <w:sz w:val="18"/>
                <w:lang w:val="fr-FR"/>
              </w:rPr>
              <w:t>Autres zones</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2</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262910">
              <w:rPr>
                <w:iCs/>
                <w:sz w:val="18"/>
                <w:lang w:val="fr-FR"/>
              </w:rPr>
              <w:t>Enseignement</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2</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262910">
              <w:rPr>
                <w:iCs/>
                <w:sz w:val="18"/>
                <w:lang w:val="fr-FR"/>
              </w:rPr>
              <w:t>Biens et services</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2</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2</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262910">
              <w:rPr>
                <w:iCs/>
                <w:sz w:val="18"/>
                <w:lang w:val="fr-FR"/>
              </w:rPr>
              <w:t>Logement</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262910">
              <w:rPr>
                <w:iCs/>
                <w:sz w:val="18"/>
                <w:lang w:val="fr-FR"/>
              </w:rPr>
              <w:t>Administration publique</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0" w:right="0"/>
              <w:jc w:val="left"/>
              <w:rPr>
                <w:b/>
                <w:iCs/>
                <w:sz w:val="18"/>
                <w:lang w:val="fr-FR"/>
              </w:rPr>
            </w:pPr>
            <w:r>
              <w:rPr>
                <w:b/>
                <w:iCs/>
                <w:sz w:val="18"/>
                <w:lang w:val="fr-FR"/>
              </w:rPr>
              <w:t xml:space="preserve">Autres motifs </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1</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12</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12</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25</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b/>
                <w:iCs/>
                <w:sz w:val="18"/>
                <w:lang w:val="fr-FR"/>
              </w:rPr>
            </w:pPr>
            <w:r w:rsidRPr="007A617A">
              <w:rPr>
                <w:iCs/>
                <w:sz w:val="18"/>
                <w:lang w:val="fr-FR"/>
              </w:rPr>
              <w:t>En lien avec le travail</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9</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5</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15</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262910">
              <w:rPr>
                <w:iCs/>
                <w:sz w:val="18"/>
                <w:lang w:val="fr-FR"/>
              </w:rPr>
              <w:t xml:space="preserve">Autres </w:t>
            </w:r>
            <w:r>
              <w:rPr>
                <w:iCs/>
                <w:sz w:val="18"/>
                <w:lang w:val="fr-FR"/>
              </w:rPr>
              <w:t>domaines</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2</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2</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4</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262910">
              <w:rPr>
                <w:iCs/>
                <w:sz w:val="18"/>
                <w:lang w:val="fr-FR"/>
              </w:rPr>
              <w:t>Biens et services</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2</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2</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Pr>
                <w:iCs/>
                <w:sz w:val="18"/>
                <w:lang w:val="fr-FR"/>
              </w:rPr>
              <w:t xml:space="preserve">Police et </w:t>
            </w:r>
            <w:r w:rsidRPr="00262910">
              <w:rPr>
                <w:iCs/>
                <w:sz w:val="18"/>
                <w:lang w:val="fr-FR"/>
              </w:rPr>
              <w:t>ju</w:t>
            </w:r>
            <w:r>
              <w:rPr>
                <w:iCs/>
                <w:sz w:val="18"/>
                <w:lang w:val="fr-FR"/>
              </w:rPr>
              <w:t>stice</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2</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262910">
              <w:rPr>
                <w:iCs/>
                <w:sz w:val="18"/>
                <w:lang w:val="fr-FR"/>
              </w:rPr>
              <w:t>Enseignement</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262910">
              <w:rPr>
                <w:iCs/>
                <w:sz w:val="18"/>
                <w:lang w:val="fr-FR"/>
              </w:rPr>
              <w:t>Administration publique</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0" w:right="0"/>
              <w:jc w:val="left"/>
              <w:rPr>
                <w:b/>
                <w:iCs/>
                <w:sz w:val="18"/>
                <w:lang w:val="fr-FR"/>
              </w:rPr>
            </w:pPr>
            <w:r w:rsidRPr="00262910">
              <w:rPr>
                <w:b/>
                <w:iCs/>
                <w:sz w:val="18"/>
                <w:lang w:val="fr-FR"/>
              </w:rPr>
              <w:t>Langu</w:t>
            </w:r>
            <w:r>
              <w:rPr>
                <w:b/>
                <w:iCs/>
                <w:sz w:val="18"/>
                <w:lang w:val="fr-FR"/>
              </w:rPr>
              <w:t>e</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9</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11</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4</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24</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7A617A">
              <w:rPr>
                <w:iCs/>
                <w:sz w:val="18"/>
                <w:lang w:val="fr-FR"/>
              </w:rPr>
              <w:t>En lien avec le travail</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9</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6</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3</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18</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262910">
              <w:rPr>
                <w:iCs/>
                <w:sz w:val="18"/>
                <w:lang w:val="fr-FR"/>
              </w:rPr>
              <w:t>Enseignement</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2</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2</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262910">
              <w:rPr>
                <w:iCs/>
                <w:sz w:val="18"/>
                <w:lang w:val="fr-FR"/>
              </w:rPr>
              <w:t xml:space="preserve">Autres </w:t>
            </w:r>
            <w:r>
              <w:rPr>
                <w:iCs/>
                <w:sz w:val="18"/>
                <w:lang w:val="fr-FR"/>
              </w:rPr>
              <w:t>domaines</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2</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2</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262910">
              <w:rPr>
                <w:iCs/>
                <w:sz w:val="18"/>
                <w:lang w:val="fr-FR"/>
              </w:rPr>
              <w:t>Biens et services</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262910">
              <w:rPr>
                <w:iCs/>
                <w:sz w:val="18"/>
                <w:lang w:val="fr-FR"/>
              </w:rPr>
              <w:t>Logement</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0" w:right="0"/>
              <w:jc w:val="left"/>
              <w:rPr>
                <w:b/>
                <w:iCs/>
                <w:sz w:val="18"/>
                <w:lang w:val="fr-FR"/>
              </w:rPr>
            </w:pPr>
            <w:r w:rsidRPr="00262910">
              <w:rPr>
                <w:b/>
                <w:iCs/>
                <w:sz w:val="18"/>
                <w:lang w:val="fr-FR"/>
              </w:rPr>
              <w:t>Religion</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9</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6</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4</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19</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7A617A">
              <w:rPr>
                <w:iCs/>
                <w:sz w:val="18"/>
                <w:lang w:val="fr-FR"/>
              </w:rPr>
              <w:t>En lien avec le travail</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6</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2</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8</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Pr>
                <w:iCs/>
                <w:sz w:val="18"/>
                <w:lang w:val="fr-FR"/>
              </w:rPr>
              <w:t>Biens et services</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2</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4</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262910">
              <w:rPr>
                <w:iCs/>
                <w:sz w:val="18"/>
                <w:lang w:val="fr-FR"/>
              </w:rPr>
              <w:t xml:space="preserve">Autres </w:t>
            </w:r>
            <w:r>
              <w:rPr>
                <w:iCs/>
                <w:sz w:val="18"/>
                <w:lang w:val="fr-FR"/>
              </w:rPr>
              <w:t>domaines</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3</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3</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262910">
              <w:rPr>
                <w:iCs/>
                <w:sz w:val="18"/>
                <w:lang w:val="fr-FR"/>
              </w:rPr>
              <w:t>Administration publique</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2</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3</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262910">
              <w:rPr>
                <w:iCs/>
                <w:sz w:val="18"/>
                <w:lang w:val="fr-FR"/>
              </w:rPr>
              <w:t>Enseignement</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0" w:right="0"/>
              <w:jc w:val="left"/>
              <w:rPr>
                <w:b/>
                <w:iCs/>
                <w:sz w:val="18"/>
                <w:lang w:val="fr-FR"/>
              </w:rPr>
            </w:pPr>
            <w:r w:rsidRPr="00262910">
              <w:rPr>
                <w:b/>
                <w:iCs/>
                <w:sz w:val="18"/>
                <w:lang w:val="fr-FR"/>
              </w:rPr>
              <w:t>Identité de genre</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4</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8</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4</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16</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262910">
              <w:rPr>
                <w:iCs/>
                <w:sz w:val="18"/>
                <w:lang w:val="fr-FR"/>
              </w:rPr>
              <w:t>Biens et services</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2</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5</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7</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262910">
              <w:rPr>
                <w:iCs/>
                <w:sz w:val="18"/>
                <w:lang w:val="fr-FR"/>
              </w:rPr>
              <w:t>Administration publique</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2</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3</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6</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7A617A">
              <w:rPr>
                <w:iCs/>
                <w:sz w:val="18"/>
                <w:lang w:val="fr-FR"/>
              </w:rPr>
              <w:t>En lien avec le travail</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2</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Pr>
                <w:iCs/>
                <w:sz w:val="18"/>
                <w:lang w:val="fr-FR"/>
              </w:rPr>
              <w:t>Enseignement</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0" w:right="0"/>
              <w:jc w:val="left"/>
              <w:rPr>
                <w:b/>
                <w:iCs/>
                <w:sz w:val="18"/>
                <w:lang w:val="fr-FR"/>
              </w:rPr>
            </w:pPr>
            <w:r w:rsidRPr="00262910">
              <w:rPr>
                <w:b/>
                <w:iCs/>
                <w:sz w:val="18"/>
                <w:lang w:val="fr-FR"/>
              </w:rPr>
              <w:t>Orientation sexuelle</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1</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6</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2</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b/>
                <w:bCs/>
                <w:sz w:val="18"/>
                <w:lang w:val="fr-FR"/>
              </w:rPr>
              <w:t>9</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262910">
              <w:rPr>
                <w:iCs/>
                <w:sz w:val="18"/>
                <w:lang w:val="fr-FR"/>
              </w:rPr>
              <w:t>Administration publique</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3</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3</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Pr>
                <w:iCs/>
                <w:sz w:val="18"/>
                <w:lang w:val="fr-FR"/>
              </w:rPr>
              <w:t xml:space="preserve">En lien avec le </w:t>
            </w:r>
            <w:r w:rsidRPr="00262910">
              <w:rPr>
                <w:iCs/>
                <w:sz w:val="18"/>
                <w:lang w:val="fr-FR"/>
              </w:rPr>
              <w:t>travail</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2</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262910">
              <w:rPr>
                <w:iCs/>
                <w:sz w:val="18"/>
                <w:lang w:val="fr-FR"/>
              </w:rPr>
              <w:t xml:space="preserve">Autres </w:t>
            </w:r>
            <w:r>
              <w:rPr>
                <w:iCs/>
                <w:sz w:val="18"/>
                <w:lang w:val="fr-FR"/>
              </w:rPr>
              <w:t xml:space="preserve">domaines </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2</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2</w:t>
            </w:r>
          </w:p>
        </w:tc>
      </w:tr>
      <w:tr w:rsidR="001771B8" w:rsidRPr="00262910" w:rsidTr="001771B8">
        <w:tc>
          <w:tcPr>
            <w:tcW w:w="1539" w:type="pct"/>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sidRPr="00262910">
              <w:rPr>
                <w:iCs/>
                <w:sz w:val="18"/>
                <w:lang w:val="fr-FR"/>
              </w:rPr>
              <w:t>Biens et services</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92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c>
          <w:tcPr>
            <w:tcW w:w="93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67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r>
      <w:tr w:rsidR="001771B8" w:rsidRPr="00262910" w:rsidTr="001771B8">
        <w:tc>
          <w:tcPr>
            <w:tcW w:w="1539" w:type="pct"/>
            <w:tcBorders>
              <w:bottom w:val="single" w:sz="4" w:space="0" w:color="auto"/>
            </w:tcBorders>
            <w:shd w:val="clear" w:color="auto" w:fill="auto"/>
            <w:noWrap/>
          </w:tcPr>
          <w:p w:rsidR="001771B8" w:rsidRPr="00262910" w:rsidRDefault="001771B8" w:rsidP="001771B8">
            <w:pPr>
              <w:pStyle w:val="SingleTxtG"/>
              <w:suppressAutoHyphens w:val="0"/>
              <w:spacing w:before="40" w:after="40" w:line="220" w:lineRule="exact"/>
              <w:ind w:left="142" w:right="0"/>
              <w:jc w:val="left"/>
              <w:rPr>
                <w:iCs/>
                <w:sz w:val="18"/>
                <w:lang w:val="fr-FR"/>
              </w:rPr>
            </w:pPr>
            <w:r>
              <w:rPr>
                <w:iCs/>
                <w:sz w:val="18"/>
                <w:lang w:val="fr-FR"/>
              </w:rPr>
              <w:t>Police et justice</w:t>
            </w:r>
          </w:p>
        </w:tc>
        <w:tc>
          <w:tcPr>
            <w:tcW w:w="929"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929"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w:t>
            </w:r>
          </w:p>
        </w:tc>
        <w:tc>
          <w:tcPr>
            <w:tcW w:w="930"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c>
          <w:tcPr>
            <w:tcW w:w="672"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r>
      <w:tr w:rsidR="001771B8" w:rsidRPr="00262910" w:rsidTr="001771B8">
        <w:tc>
          <w:tcPr>
            <w:tcW w:w="1539" w:type="pct"/>
            <w:tcBorders>
              <w:top w:val="single" w:sz="4" w:space="0" w:color="auto"/>
              <w:bottom w:val="single" w:sz="12" w:space="0" w:color="auto"/>
            </w:tcBorders>
            <w:shd w:val="clear" w:color="auto" w:fill="auto"/>
            <w:noWrap/>
          </w:tcPr>
          <w:p w:rsidR="001771B8" w:rsidRPr="00262910" w:rsidRDefault="001771B8" w:rsidP="001771B8">
            <w:pPr>
              <w:pStyle w:val="SingleTxtG"/>
              <w:suppressAutoHyphens w:val="0"/>
              <w:spacing w:before="80" w:after="80" w:line="220" w:lineRule="exact"/>
              <w:ind w:left="142" w:right="0"/>
              <w:jc w:val="left"/>
              <w:rPr>
                <w:b/>
                <w:iCs/>
                <w:sz w:val="18"/>
                <w:lang w:val="fr-FR"/>
              </w:rPr>
            </w:pPr>
            <w:r w:rsidRPr="00262910">
              <w:rPr>
                <w:b/>
                <w:iCs/>
                <w:sz w:val="18"/>
                <w:lang w:val="fr-FR"/>
              </w:rPr>
              <w:t>Total</w:t>
            </w:r>
          </w:p>
        </w:tc>
        <w:tc>
          <w:tcPr>
            <w:tcW w:w="92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bCs/>
                <w:sz w:val="18"/>
                <w:lang w:val="fr-FR"/>
              </w:rPr>
            </w:pPr>
            <w:r w:rsidRPr="00262910">
              <w:rPr>
                <w:b/>
                <w:bCs/>
                <w:sz w:val="18"/>
                <w:lang w:val="fr-FR"/>
              </w:rPr>
              <w:t>232</w:t>
            </w:r>
          </w:p>
        </w:tc>
        <w:tc>
          <w:tcPr>
            <w:tcW w:w="92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bCs/>
                <w:sz w:val="18"/>
                <w:lang w:val="fr-FR"/>
              </w:rPr>
            </w:pPr>
            <w:r w:rsidRPr="00262910">
              <w:rPr>
                <w:b/>
                <w:bCs/>
                <w:sz w:val="18"/>
                <w:lang w:val="fr-FR"/>
              </w:rPr>
              <w:t>405</w:t>
            </w:r>
          </w:p>
        </w:tc>
        <w:tc>
          <w:tcPr>
            <w:tcW w:w="93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bCs/>
                <w:sz w:val="18"/>
                <w:lang w:val="fr-FR"/>
              </w:rPr>
            </w:pPr>
            <w:r w:rsidRPr="00262910">
              <w:rPr>
                <w:b/>
                <w:bCs/>
                <w:sz w:val="18"/>
                <w:lang w:val="fr-FR"/>
              </w:rPr>
              <w:t>141</w:t>
            </w:r>
          </w:p>
        </w:tc>
        <w:tc>
          <w:tcPr>
            <w:tcW w:w="672"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bCs/>
                <w:sz w:val="18"/>
                <w:lang w:val="fr-FR"/>
              </w:rPr>
            </w:pPr>
            <w:r w:rsidRPr="00262910">
              <w:rPr>
                <w:b/>
                <w:bCs/>
                <w:sz w:val="18"/>
                <w:lang w:val="fr-FR"/>
              </w:rPr>
              <w:t>778</w:t>
            </w:r>
          </w:p>
        </w:tc>
      </w:tr>
    </w:tbl>
    <w:p w:rsidR="001771B8" w:rsidRPr="00262910" w:rsidRDefault="001771B8" w:rsidP="001771B8">
      <w:pPr>
        <w:pStyle w:val="SingleTxtG"/>
        <w:spacing w:before="240"/>
        <w:rPr>
          <w:lang w:val="fr-FR"/>
        </w:rPr>
      </w:pPr>
      <w:r w:rsidRPr="00262910">
        <w:rPr>
          <w:lang w:val="fr-FR"/>
        </w:rPr>
        <w:t>89.</w:t>
      </w:r>
      <w:r w:rsidRPr="00262910">
        <w:rPr>
          <w:lang w:val="fr-FR"/>
        </w:rPr>
        <w:tab/>
      </w:r>
      <w:r>
        <w:rPr>
          <w:lang w:val="fr-FR"/>
        </w:rPr>
        <w:t xml:space="preserve">La Norvège ne </w:t>
      </w:r>
      <w:r w:rsidRPr="00262910">
        <w:rPr>
          <w:lang w:val="fr-FR"/>
        </w:rPr>
        <w:t>dispos</w:t>
      </w:r>
      <w:r>
        <w:rPr>
          <w:lang w:val="fr-FR"/>
        </w:rPr>
        <w:t xml:space="preserve">e </w:t>
      </w:r>
      <w:r w:rsidRPr="00262910">
        <w:rPr>
          <w:lang w:val="fr-FR"/>
        </w:rPr>
        <w:t>pas encore de statistiques suffisantes sur les affaires traitées par le Tribunal</w:t>
      </w:r>
      <w:r>
        <w:rPr>
          <w:lang w:val="fr-FR"/>
        </w:rPr>
        <w:t xml:space="preserve"> contre la discrimination</w:t>
      </w:r>
      <w:r w:rsidRPr="00262910">
        <w:rPr>
          <w:lang w:val="fr-FR"/>
        </w:rPr>
        <w:t>.</w:t>
      </w:r>
    </w:p>
    <w:p w:rsidR="001771B8" w:rsidRPr="00262910" w:rsidRDefault="001771B8" w:rsidP="001771B8">
      <w:pPr>
        <w:pStyle w:val="H1G"/>
        <w:rPr>
          <w:lang w:val="fr-FR"/>
        </w:rPr>
      </w:pPr>
      <w:r w:rsidRPr="00262910">
        <w:rPr>
          <w:lang w:val="fr-FR"/>
        </w:rPr>
        <w:tab/>
      </w:r>
      <w:r w:rsidRPr="00262910">
        <w:rPr>
          <w:lang w:val="fr-FR"/>
        </w:rPr>
        <w:tab/>
      </w:r>
      <w:r w:rsidRPr="000C19EC">
        <w:rPr>
          <w:lang w:val="fr-FR"/>
        </w:rPr>
        <w:t>Réponse au</w:t>
      </w:r>
      <w:r w:rsidRPr="00262910">
        <w:rPr>
          <w:lang w:val="fr-FR"/>
        </w:rPr>
        <w:t xml:space="preserve"> paragraphe 13 d) de la liste de points</w:t>
      </w:r>
    </w:p>
    <w:p w:rsidR="001771B8" w:rsidRPr="00262910" w:rsidRDefault="001771B8" w:rsidP="003D5858">
      <w:pPr>
        <w:pStyle w:val="SingleTxtG"/>
        <w:rPr>
          <w:lang w:val="fr-FR"/>
        </w:rPr>
      </w:pPr>
      <w:r w:rsidRPr="00262910">
        <w:rPr>
          <w:lang w:val="fr-FR"/>
        </w:rPr>
        <w:t>90.</w:t>
      </w:r>
      <w:r w:rsidRPr="00262910">
        <w:rPr>
          <w:lang w:val="fr-FR"/>
        </w:rPr>
        <w:tab/>
      </w:r>
      <w:r>
        <w:rPr>
          <w:lang w:val="fr-FR"/>
        </w:rPr>
        <w:t>B</w:t>
      </w:r>
      <w:r w:rsidRPr="00262910">
        <w:rPr>
          <w:lang w:val="fr-FR"/>
        </w:rPr>
        <w:t>udget</w:t>
      </w:r>
      <w:r>
        <w:rPr>
          <w:lang w:val="fr-FR"/>
        </w:rPr>
        <w:t>s</w:t>
      </w:r>
      <w:r w:rsidRPr="00262910">
        <w:rPr>
          <w:lang w:val="fr-FR"/>
        </w:rPr>
        <w:t xml:space="preserve"> </w:t>
      </w:r>
      <w:r>
        <w:rPr>
          <w:lang w:val="fr-FR"/>
        </w:rPr>
        <w:t xml:space="preserve">annuels </w:t>
      </w:r>
      <w:r w:rsidRPr="00262910">
        <w:rPr>
          <w:lang w:val="fr-FR"/>
        </w:rPr>
        <w:t>alloué</w:t>
      </w:r>
      <w:r>
        <w:rPr>
          <w:lang w:val="fr-FR"/>
        </w:rPr>
        <w:t>s respectivement au</w:t>
      </w:r>
      <w:r w:rsidRPr="00603C3C">
        <w:rPr>
          <w:lang w:val="fr-FR"/>
        </w:rPr>
        <w:t xml:space="preserve"> Médiateur pour l</w:t>
      </w:r>
      <w:r>
        <w:rPr>
          <w:lang w:val="fr-FR"/>
        </w:rPr>
        <w:t>’</w:t>
      </w:r>
      <w:r w:rsidRPr="00603C3C">
        <w:rPr>
          <w:lang w:val="fr-FR"/>
        </w:rPr>
        <w:t xml:space="preserve">égalité et contre la </w:t>
      </w:r>
      <w:r w:rsidRPr="003D5858">
        <w:rPr>
          <w:lang w:val="fr-FR"/>
        </w:rPr>
        <w:t>discrimination et au Tribunal contre la discrimination pendant la période considérée (en</w:t>
      </w:r>
      <w:r w:rsidR="003D5858">
        <w:rPr>
          <w:lang w:val="fr-FR"/>
        </w:rPr>
        <w:t> </w:t>
      </w:r>
      <w:r w:rsidR="003D5858" w:rsidRPr="003D5858">
        <w:rPr>
          <w:lang w:val="fr-FR"/>
        </w:rPr>
        <w:t>NKr</w:t>
      </w:r>
      <w:r w:rsidRPr="00262910">
        <w:rPr>
          <w:lang w:val="fr-FR"/>
        </w:rPr>
        <w:t>)</w:t>
      </w:r>
      <w:r w:rsidR="00B37C1E">
        <w:rPr>
          <w:lang w:val="fr-FR"/>
        </w:rPr>
        <w:t> </w:t>
      </w:r>
      <w:r w:rsidRPr="00262910">
        <w:rPr>
          <w:lang w:val="fr-FR"/>
        </w:rPr>
        <w:t>:</w:t>
      </w:r>
    </w:p>
    <w:tbl>
      <w:tblPr>
        <w:tblW w:w="7370" w:type="dxa"/>
        <w:tblInd w:w="1134" w:type="dxa"/>
        <w:tblLayout w:type="fixed"/>
        <w:tblCellMar>
          <w:left w:w="0" w:type="dxa"/>
          <w:right w:w="0" w:type="dxa"/>
        </w:tblCellMar>
        <w:tblLook w:val="04A0" w:firstRow="1" w:lastRow="0" w:firstColumn="1" w:lastColumn="0" w:noHBand="0" w:noVBand="1"/>
      </w:tblPr>
      <w:tblGrid>
        <w:gridCol w:w="1274"/>
        <w:gridCol w:w="1016"/>
        <w:gridCol w:w="1016"/>
        <w:gridCol w:w="1016"/>
        <w:gridCol w:w="1016"/>
        <w:gridCol w:w="1016"/>
        <w:gridCol w:w="1016"/>
      </w:tblGrid>
      <w:tr w:rsidR="001771B8" w:rsidRPr="00262910" w:rsidTr="001771B8">
        <w:trPr>
          <w:tblHeader/>
        </w:trPr>
        <w:tc>
          <w:tcPr>
            <w:tcW w:w="864"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left"/>
              <w:rPr>
                <w:i/>
                <w:iCs/>
                <w:sz w:val="16"/>
                <w:lang w:val="fr-FR"/>
              </w:rPr>
            </w:pPr>
          </w:p>
        </w:tc>
        <w:tc>
          <w:tcPr>
            <w:tcW w:w="68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2014</w:t>
            </w:r>
          </w:p>
        </w:tc>
        <w:tc>
          <w:tcPr>
            <w:tcW w:w="68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2015</w:t>
            </w:r>
          </w:p>
        </w:tc>
        <w:tc>
          <w:tcPr>
            <w:tcW w:w="68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2016</w:t>
            </w:r>
          </w:p>
        </w:tc>
        <w:tc>
          <w:tcPr>
            <w:tcW w:w="68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2017</w:t>
            </w:r>
          </w:p>
        </w:tc>
        <w:tc>
          <w:tcPr>
            <w:tcW w:w="68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2018</w:t>
            </w:r>
          </w:p>
        </w:tc>
        <w:tc>
          <w:tcPr>
            <w:tcW w:w="68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2019</w:t>
            </w:r>
          </w:p>
        </w:tc>
      </w:tr>
      <w:tr w:rsidR="001771B8" w:rsidRPr="00262910" w:rsidTr="001771B8">
        <w:tc>
          <w:tcPr>
            <w:tcW w:w="864" w:type="pct"/>
            <w:tcBorders>
              <w:top w:val="single" w:sz="12" w:space="0" w:color="auto"/>
            </w:tcBorders>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iCs/>
                <w:sz w:val="18"/>
                <w:lang w:val="fr-FR"/>
              </w:rPr>
              <w:t>Tribunal</w:t>
            </w:r>
          </w:p>
        </w:tc>
        <w:tc>
          <w:tcPr>
            <w:tcW w:w="689"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4 891 000</w:t>
            </w:r>
          </w:p>
        </w:tc>
        <w:tc>
          <w:tcPr>
            <w:tcW w:w="689"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5 859 000</w:t>
            </w:r>
          </w:p>
        </w:tc>
        <w:tc>
          <w:tcPr>
            <w:tcW w:w="689"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5 935 000</w:t>
            </w:r>
          </w:p>
        </w:tc>
        <w:tc>
          <w:tcPr>
            <w:tcW w:w="689"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6 447 000</w:t>
            </w:r>
          </w:p>
        </w:tc>
        <w:tc>
          <w:tcPr>
            <w:tcW w:w="689"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18 902 000</w:t>
            </w:r>
          </w:p>
        </w:tc>
        <w:tc>
          <w:tcPr>
            <w:tcW w:w="689"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19 006 000</w:t>
            </w:r>
          </w:p>
        </w:tc>
      </w:tr>
      <w:tr w:rsidR="001771B8" w:rsidRPr="00262910" w:rsidTr="001771B8">
        <w:tc>
          <w:tcPr>
            <w:tcW w:w="864" w:type="pct"/>
            <w:tcBorders>
              <w:bottom w:val="single" w:sz="12" w:space="0" w:color="auto"/>
            </w:tcBorders>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iCs/>
                <w:sz w:val="18"/>
                <w:lang w:val="fr-FR"/>
              </w:rPr>
              <w:t>Médiateur</w:t>
            </w:r>
          </w:p>
        </w:tc>
        <w:tc>
          <w:tcPr>
            <w:tcW w:w="689" w:type="pct"/>
            <w:tcBorders>
              <w:bottom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54 035 000</w:t>
            </w:r>
          </w:p>
        </w:tc>
        <w:tc>
          <w:tcPr>
            <w:tcW w:w="689" w:type="pct"/>
            <w:tcBorders>
              <w:bottom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53 981 000</w:t>
            </w:r>
          </w:p>
        </w:tc>
        <w:tc>
          <w:tcPr>
            <w:tcW w:w="689" w:type="pct"/>
            <w:tcBorders>
              <w:bottom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52 856 000</w:t>
            </w:r>
          </w:p>
        </w:tc>
        <w:tc>
          <w:tcPr>
            <w:tcW w:w="689" w:type="pct"/>
            <w:tcBorders>
              <w:bottom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55 107 000</w:t>
            </w:r>
          </w:p>
        </w:tc>
        <w:tc>
          <w:tcPr>
            <w:tcW w:w="689" w:type="pct"/>
            <w:tcBorders>
              <w:bottom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42 821 000</w:t>
            </w:r>
          </w:p>
        </w:tc>
        <w:tc>
          <w:tcPr>
            <w:tcW w:w="689" w:type="pct"/>
            <w:tcBorders>
              <w:bottom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43 843 000</w:t>
            </w:r>
          </w:p>
        </w:tc>
      </w:tr>
    </w:tbl>
    <w:p w:rsidR="001771B8" w:rsidRPr="00262910" w:rsidRDefault="001771B8" w:rsidP="001771B8">
      <w:pPr>
        <w:pStyle w:val="H1G"/>
        <w:rPr>
          <w:lang w:val="fr-FR"/>
        </w:rPr>
      </w:pPr>
      <w:r w:rsidRPr="00262910">
        <w:rPr>
          <w:lang w:val="fr-FR"/>
        </w:rPr>
        <w:tab/>
      </w:r>
      <w:r w:rsidRPr="00262910">
        <w:rPr>
          <w:lang w:val="fr-FR"/>
        </w:rPr>
        <w:tab/>
        <w:t xml:space="preserve">Réponse au paragraphe 14 de la liste de points </w:t>
      </w:r>
    </w:p>
    <w:p w:rsidR="001771B8" w:rsidRPr="00262910" w:rsidRDefault="001771B8" w:rsidP="001771B8">
      <w:pPr>
        <w:pStyle w:val="SingleTxtG"/>
        <w:rPr>
          <w:lang w:val="fr-FR"/>
        </w:rPr>
      </w:pPr>
      <w:r w:rsidRPr="00262910">
        <w:rPr>
          <w:lang w:val="fr-FR"/>
        </w:rPr>
        <w:t>91.</w:t>
      </w:r>
      <w:r w:rsidRPr="00262910">
        <w:rPr>
          <w:lang w:val="fr-FR"/>
        </w:rPr>
        <w:tab/>
      </w:r>
      <w:r w:rsidRPr="00780D1C">
        <w:rPr>
          <w:lang w:val="fr-FR"/>
        </w:rPr>
        <w:t>Le Ministère de l</w:t>
      </w:r>
      <w:r>
        <w:rPr>
          <w:lang w:val="fr-FR"/>
        </w:rPr>
        <w:t>’</w:t>
      </w:r>
      <w:r w:rsidRPr="00780D1C">
        <w:rPr>
          <w:lang w:val="fr-FR"/>
        </w:rPr>
        <w:t>administration</w:t>
      </w:r>
      <w:r w:rsidRPr="00262910">
        <w:rPr>
          <w:lang w:val="fr-FR"/>
        </w:rPr>
        <w:t xml:space="preserve"> locale et de la modernisation assure le suivi du Rapport officiel norvégien (NOU 2015: 7) Assimilation et résistance</w:t>
      </w:r>
      <w:r>
        <w:rPr>
          <w:lang w:val="fr-FR"/>
        </w:rPr>
        <w:t>, ainsi que des résultats des consultations publiques auxquelles il a donné lieu</w:t>
      </w:r>
      <w:r w:rsidRPr="00262910">
        <w:rPr>
          <w:lang w:val="fr-FR"/>
        </w:rPr>
        <w:t xml:space="preserve">. Des représentants du peuple tater/romani </w:t>
      </w:r>
      <w:r>
        <w:rPr>
          <w:lang w:val="fr-FR"/>
        </w:rPr>
        <w:t xml:space="preserve">y </w:t>
      </w:r>
      <w:r w:rsidRPr="00262910">
        <w:rPr>
          <w:lang w:val="fr-FR"/>
        </w:rPr>
        <w:t xml:space="preserve">sont </w:t>
      </w:r>
      <w:r>
        <w:rPr>
          <w:lang w:val="fr-FR"/>
        </w:rPr>
        <w:t xml:space="preserve">associés au sein </w:t>
      </w:r>
      <w:r w:rsidRPr="00262910">
        <w:rPr>
          <w:lang w:val="fr-FR"/>
        </w:rPr>
        <w:t>d</w:t>
      </w:r>
      <w:r>
        <w:rPr>
          <w:lang w:val="fr-FR"/>
        </w:rPr>
        <w:t>’</w:t>
      </w:r>
      <w:r w:rsidRPr="00262910">
        <w:rPr>
          <w:lang w:val="fr-FR"/>
        </w:rPr>
        <w:t xml:space="preserve">un groupe de travail. </w:t>
      </w:r>
      <w:r>
        <w:rPr>
          <w:lang w:val="fr-FR"/>
        </w:rPr>
        <w:t xml:space="preserve">Les conclusions de ce rapport seront consignées dans </w:t>
      </w:r>
      <w:r w:rsidRPr="00262910">
        <w:rPr>
          <w:lang w:val="fr-FR"/>
        </w:rPr>
        <w:t xml:space="preserve">un rapport </w:t>
      </w:r>
      <w:r>
        <w:rPr>
          <w:lang w:val="fr-FR"/>
        </w:rPr>
        <w:t>sur</w:t>
      </w:r>
      <w:r w:rsidRPr="00262910">
        <w:rPr>
          <w:lang w:val="fr-FR"/>
        </w:rPr>
        <w:t xml:space="preserve"> les minorités nationales</w:t>
      </w:r>
      <w:r w:rsidRPr="00E560C2">
        <w:rPr>
          <w:lang w:val="fr-FR"/>
        </w:rPr>
        <w:t xml:space="preserve"> </w:t>
      </w:r>
      <w:r>
        <w:rPr>
          <w:lang w:val="fr-FR"/>
        </w:rPr>
        <w:t xml:space="preserve">à l’intention du </w:t>
      </w:r>
      <w:r w:rsidRPr="00E560C2">
        <w:rPr>
          <w:lang w:val="fr-FR"/>
        </w:rPr>
        <w:t>Storting</w:t>
      </w:r>
      <w:r w:rsidRPr="00262910">
        <w:rPr>
          <w:lang w:val="fr-FR"/>
        </w:rPr>
        <w:t xml:space="preserve">, qui sera </w:t>
      </w:r>
      <w:r>
        <w:rPr>
          <w:lang w:val="fr-FR"/>
        </w:rPr>
        <w:t xml:space="preserve">soumis </w:t>
      </w:r>
      <w:r w:rsidRPr="00262910">
        <w:rPr>
          <w:lang w:val="fr-FR"/>
        </w:rPr>
        <w:t>en 2020.</w:t>
      </w:r>
    </w:p>
    <w:p w:rsidR="001771B8" w:rsidRPr="00FA60B0" w:rsidRDefault="001771B8" w:rsidP="001771B8">
      <w:pPr>
        <w:pStyle w:val="SingleTxtG"/>
        <w:rPr>
          <w:lang w:val="fr-FR"/>
        </w:rPr>
      </w:pPr>
      <w:r w:rsidRPr="00FA60B0">
        <w:rPr>
          <w:lang w:val="fr-FR"/>
        </w:rPr>
        <w:t>92.</w:t>
      </w:r>
      <w:r w:rsidRPr="00FA60B0">
        <w:rPr>
          <w:lang w:val="fr-FR"/>
        </w:rPr>
        <w:tab/>
      </w:r>
      <w:r w:rsidRPr="00262910">
        <w:rPr>
          <w:lang w:val="fr-FR"/>
        </w:rPr>
        <w:t>Le Ministère n</w:t>
      </w:r>
      <w:r>
        <w:rPr>
          <w:lang w:val="fr-FR"/>
        </w:rPr>
        <w:t>’</w:t>
      </w:r>
      <w:r w:rsidRPr="00262910">
        <w:rPr>
          <w:lang w:val="fr-FR"/>
        </w:rPr>
        <w:t>a connaissance d</w:t>
      </w:r>
      <w:r>
        <w:rPr>
          <w:lang w:val="fr-FR"/>
        </w:rPr>
        <w:t>’</w:t>
      </w:r>
      <w:r w:rsidRPr="00262910">
        <w:rPr>
          <w:lang w:val="fr-FR"/>
        </w:rPr>
        <w:t>aucun</w:t>
      </w:r>
      <w:r>
        <w:rPr>
          <w:lang w:val="fr-FR"/>
        </w:rPr>
        <w:t>e</w:t>
      </w:r>
      <w:r w:rsidRPr="00262910">
        <w:rPr>
          <w:lang w:val="fr-FR"/>
        </w:rPr>
        <w:t xml:space="preserve"> </w:t>
      </w:r>
      <w:r>
        <w:rPr>
          <w:lang w:val="fr-FR"/>
        </w:rPr>
        <w:t xml:space="preserve">corrélation </w:t>
      </w:r>
      <w:r w:rsidRPr="00262910">
        <w:rPr>
          <w:lang w:val="fr-FR"/>
        </w:rPr>
        <w:t>entre l</w:t>
      </w:r>
      <w:r>
        <w:rPr>
          <w:lang w:val="fr-FR"/>
        </w:rPr>
        <w:t>’</w:t>
      </w:r>
      <w:r w:rsidRPr="00262910">
        <w:rPr>
          <w:lang w:val="fr-FR"/>
        </w:rPr>
        <w:t>origine ethnique et le nombre d</w:t>
      </w:r>
      <w:r>
        <w:rPr>
          <w:lang w:val="fr-FR"/>
        </w:rPr>
        <w:t>’</w:t>
      </w:r>
      <w:r w:rsidRPr="00262910">
        <w:rPr>
          <w:lang w:val="fr-FR"/>
        </w:rPr>
        <w:t xml:space="preserve">ordonnances de prise en charge </w:t>
      </w:r>
      <w:r>
        <w:rPr>
          <w:lang w:val="fr-FR"/>
        </w:rPr>
        <w:t>émises</w:t>
      </w:r>
      <w:r w:rsidRPr="00262910">
        <w:rPr>
          <w:lang w:val="fr-FR"/>
        </w:rPr>
        <w:t xml:space="preserve">. Les statistiques officielles norvégiennes </w:t>
      </w:r>
      <w:r>
        <w:rPr>
          <w:lang w:val="fr-FR"/>
        </w:rPr>
        <w:t xml:space="preserve">reposent </w:t>
      </w:r>
      <w:r w:rsidRPr="00262910">
        <w:rPr>
          <w:lang w:val="fr-FR"/>
        </w:rPr>
        <w:t>sur l</w:t>
      </w:r>
      <w:r>
        <w:rPr>
          <w:lang w:val="fr-FR"/>
        </w:rPr>
        <w:t>’</w:t>
      </w:r>
      <w:r w:rsidRPr="00262910">
        <w:rPr>
          <w:lang w:val="fr-FR"/>
        </w:rPr>
        <w:t>origine nationale et non l</w:t>
      </w:r>
      <w:r>
        <w:rPr>
          <w:lang w:val="fr-FR"/>
        </w:rPr>
        <w:t>’</w:t>
      </w:r>
      <w:r w:rsidRPr="00262910">
        <w:rPr>
          <w:lang w:val="fr-FR"/>
        </w:rPr>
        <w:t>appartenance ethnique</w:t>
      </w:r>
      <w:r>
        <w:rPr>
          <w:lang w:val="fr-FR"/>
        </w:rPr>
        <w:t xml:space="preserve"> et </w:t>
      </w:r>
      <w:r w:rsidRPr="00262910">
        <w:rPr>
          <w:lang w:val="fr-FR"/>
        </w:rPr>
        <w:t>il n</w:t>
      </w:r>
      <w:r>
        <w:rPr>
          <w:lang w:val="fr-FR"/>
        </w:rPr>
        <w:t>’</w:t>
      </w:r>
      <w:r w:rsidRPr="00262910">
        <w:rPr>
          <w:lang w:val="fr-FR"/>
        </w:rPr>
        <w:t xml:space="preserve">existe </w:t>
      </w:r>
      <w:r>
        <w:rPr>
          <w:lang w:val="fr-FR"/>
        </w:rPr>
        <w:t xml:space="preserve">donc </w:t>
      </w:r>
      <w:r w:rsidRPr="00262910">
        <w:rPr>
          <w:lang w:val="fr-FR"/>
        </w:rPr>
        <w:t xml:space="preserve">pas de </w:t>
      </w:r>
      <w:r w:rsidRPr="00FA60B0">
        <w:rPr>
          <w:lang w:val="fr-FR"/>
        </w:rPr>
        <w:t>statistiques spécifiques aux personnes d</w:t>
      </w:r>
      <w:r>
        <w:rPr>
          <w:lang w:val="fr-FR"/>
        </w:rPr>
        <w:t>’</w:t>
      </w:r>
      <w:r w:rsidRPr="00FA60B0">
        <w:rPr>
          <w:lang w:val="fr-FR"/>
        </w:rPr>
        <w:t xml:space="preserve">origine rom. </w:t>
      </w:r>
    </w:p>
    <w:p w:rsidR="001771B8" w:rsidRPr="00262910" w:rsidRDefault="001771B8" w:rsidP="001771B8">
      <w:pPr>
        <w:pStyle w:val="SingleTxtG"/>
        <w:rPr>
          <w:lang w:val="fr-FR"/>
        </w:rPr>
      </w:pPr>
      <w:r w:rsidRPr="00262910">
        <w:rPr>
          <w:lang w:val="fr-FR"/>
        </w:rPr>
        <w:t>93.</w:t>
      </w:r>
      <w:r w:rsidRPr="00262910">
        <w:rPr>
          <w:lang w:val="fr-FR"/>
        </w:rPr>
        <w:tab/>
      </w:r>
      <w:r w:rsidRPr="00FA60B0">
        <w:rPr>
          <w:lang w:val="fr-FR"/>
        </w:rPr>
        <w:t xml:space="preserve">La plupart des enfants qui ne peuvent pas vivre avec leurs parents sont placés </w:t>
      </w:r>
      <w:r>
        <w:rPr>
          <w:lang w:val="fr-FR"/>
        </w:rPr>
        <w:t xml:space="preserve">en </w:t>
      </w:r>
      <w:r w:rsidRPr="00FA60B0">
        <w:rPr>
          <w:lang w:val="fr-FR"/>
        </w:rPr>
        <w:t>famille d</w:t>
      </w:r>
      <w:r>
        <w:rPr>
          <w:lang w:val="fr-FR"/>
        </w:rPr>
        <w:t>’</w:t>
      </w:r>
      <w:r w:rsidRPr="00FA60B0">
        <w:rPr>
          <w:lang w:val="fr-FR"/>
        </w:rPr>
        <w:t>accueil. Le service</w:t>
      </w:r>
      <w:r w:rsidRPr="00262910">
        <w:rPr>
          <w:lang w:val="fr-FR"/>
        </w:rPr>
        <w:t xml:space="preserve"> de protection de l</w:t>
      </w:r>
      <w:r>
        <w:rPr>
          <w:lang w:val="fr-FR"/>
        </w:rPr>
        <w:t>’</w:t>
      </w:r>
      <w:r w:rsidRPr="00262910">
        <w:rPr>
          <w:lang w:val="fr-FR"/>
        </w:rPr>
        <w:t>enfance chois</w:t>
      </w:r>
      <w:r>
        <w:rPr>
          <w:lang w:val="fr-FR"/>
        </w:rPr>
        <w:t xml:space="preserve">it la famille </w:t>
      </w:r>
      <w:r w:rsidRPr="00262910">
        <w:rPr>
          <w:lang w:val="fr-FR"/>
        </w:rPr>
        <w:t>d</w:t>
      </w:r>
      <w:r>
        <w:rPr>
          <w:lang w:val="fr-FR"/>
        </w:rPr>
        <w:t>’</w:t>
      </w:r>
      <w:r w:rsidRPr="00262910">
        <w:rPr>
          <w:lang w:val="fr-FR"/>
        </w:rPr>
        <w:t xml:space="preserve">accueil en fonction des </w:t>
      </w:r>
      <w:r>
        <w:rPr>
          <w:lang w:val="fr-FR"/>
        </w:rPr>
        <w:t xml:space="preserve">traits </w:t>
      </w:r>
      <w:r w:rsidRPr="00262910">
        <w:rPr>
          <w:lang w:val="fr-FR"/>
        </w:rPr>
        <w:t>distincti</w:t>
      </w:r>
      <w:r>
        <w:rPr>
          <w:lang w:val="fr-FR"/>
        </w:rPr>
        <w:t xml:space="preserve">fs </w:t>
      </w:r>
      <w:r w:rsidRPr="00262910">
        <w:rPr>
          <w:lang w:val="fr-FR"/>
        </w:rPr>
        <w:t>de l</w:t>
      </w:r>
      <w:r>
        <w:rPr>
          <w:lang w:val="fr-FR"/>
        </w:rPr>
        <w:t>’</w:t>
      </w:r>
      <w:r w:rsidRPr="00262910">
        <w:rPr>
          <w:lang w:val="fr-FR"/>
        </w:rPr>
        <w:t xml:space="preserve">enfant et de ses besoins </w:t>
      </w:r>
      <w:r>
        <w:rPr>
          <w:lang w:val="fr-FR"/>
        </w:rPr>
        <w:t>particuliers</w:t>
      </w:r>
      <w:r w:rsidRPr="00262910">
        <w:rPr>
          <w:lang w:val="fr-FR"/>
        </w:rPr>
        <w:t xml:space="preserve">. Il est dûment tenu compte de </w:t>
      </w:r>
      <w:r>
        <w:rPr>
          <w:lang w:val="fr-FR"/>
        </w:rPr>
        <w:t xml:space="preserve">la nécessité d’assurer </w:t>
      </w:r>
      <w:r w:rsidRPr="00262910">
        <w:rPr>
          <w:lang w:val="fr-FR"/>
        </w:rPr>
        <w:t>la continuité de l</w:t>
      </w:r>
      <w:r>
        <w:rPr>
          <w:lang w:val="fr-FR"/>
        </w:rPr>
        <w:t>’</w:t>
      </w:r>
      <w:r w:rsidRPr="00262910">
        <w:rPr>
          <w:lang w:val="fr-FR"/>
        </w:rPr>
        <w:t>éducation de l</w:t>
      </w:r>
      <w:r>
        <w:rPr>
          <w:lang w:val="fr-FR"/>
        </w:rPr>
        <w:t>’</w:t>
      </w:r>
      <w:r w:rsidRPr="00262910">
        <w:rPr>
          <w:lang w:val="fr-FR"/>
        </w:rPr>
        <w:t>enfant</w:t>
      </w:r>
      <w:r>
        <w:rPr>
          <w:lang w:val="fr-FR"/>
        </w:rPr>
        <w:t xml:space="preserve">, ainsi que </w:t>
      </w:r>
      <w:r w:rsidRPr="00262910">
        <w:rPr>
          <w:lang w:val="fr-FR"/>
        </w:rPr>
        <w:t xml:space="preserve">de son </w:t>
      </w:r>
      <w:r>
        <w:rPr>
          <w:lang w:val="fr-FR"/>
        </w:rPr>
        <w:t xml:space="preserve">origine </w:t>
      </w:r>
      <w:r w:rsidRPr="00262910">
        <w:rPr>
          <w:lang w:val="fr-FR"/>
        </w:rPr>
        <w:t>religieu</w:t>
      </w:r>
      <w:r>
        <w:rPr>
          <w:lang w:val="fr-FR"/>
        </w:rPr>
        <w:t>se,</w:t>
      </w:r>
      <w:r w:rsidRPr="00262910">
        <w:rPr>
          <w:lang w:val="fr-FR"/>
        </w:rPr>
        <w:t xml:space="preserve"> culture</w:t>
      </w:r>
      <w:r>
        <w:rPr>
          <w:lang w:val="fr-FR"/>
        </w:rPr>
        <w:t>l</w:t>
      </w:r>
      <w:r w:rsidRPr="00262910">
        <w:rPr>
          <w:lang w:val="fr-FR"/>
        </w:rPr>
        <w:t>l</w:t>
      </w:r>
      <w:r>
        <w:rPr>
          <w:lang w:val="fr-FR"/>
        </w:rPr>
        <w:t>e</w:t>
      </w:r>
      <w:r w:rsidRPr="00262910">
        <w:rPr>
          <w:lang w:val="fr-FR"/>
        </w:rPr>
        <w:t xml:space="preserve"> et linguistique. Le </w:t>
      </w:r>
      <w:r>
        <w:rPr>
          <w:lang w:val="fr-FR"/>
        </w:rPr>
        <w:t>S</w:t>
      </w:r>
      <w:r w:rsidRPr="00262910">
        <w:rPr>
          <w:lang w:val="fr-FR"/>
        </w:rPr>
        <w:t>ervice n</w:t>
      </w:r>
      <w:r>
        <w:rPr>
          <w:lang w:val="fr-FR"/>
        </w:rPr>
        <w:t>ational d</w:t>
      </w:r>
      <w:r w:rsidRPr="00262910">
        <w:rPr>
          <w:lang w:val="fr-FR"/>
        </w:rPr>
        <w:t>e protection de l</w:t>
      </w:r>
      <w:r>
        <w:rPr>
          <w:lang w:val="fr-FR"/>
        </w:rPr>
        <w:t>’</w:t>
      </w:r>
      <w:r w:rsidRPr="00262910">
        <w:rPr>
          <w:lang w:val="fr-FR"/>
        </w:rPr>
        <w:t xml:space="preserve">enfance </w:t>
      </w:r>
      <w:r>
        <w:rPr>
          <w:lang w:val="fr-FR"/>
        </w:rPr>
        <w:t xml:space="preserve">connaît </w:t>
      </w:r>
      <w:r w:rsidRPr="00262910">
        <w:rPr>
          <w:lang w:val="fr-FR"/>
        </w:rPr>
        <w:t>l</w:t>
      </w:r>
      <w:r>
        <w:rPr>
          <w:lang w:val="fr-FR"/>
        </w:rPr>
        <w:t>’</w:t>
      </w:r>
      <w:r w:rsidRPr="00262910">
        <w:rPr>
          <w:lang w:val="fr-FR"/>
        </w:rPr>
        <w:t>importance des liens familiaux et est tenu d</w:t>
      </w:r>
      <w:r>
        <w:rPr>
          <w:lang w:val="fr-FR"/>
        </w:rPr>
        <w:t xml:space="preserve">e déterminer </w:t>
      </w:r>
      <w:r w:rsidRPr="00262910">
        <w:rPr>
          <w:lang w:val="fr-FR"/>
        </w:rPr>
        <w:t>si un membre de la famille de l</w:t>
      </w:r>
      <w:r>
        <w:rPr>
          <w:lang w:val="fr-FR"/>
        </w:rPr>
        <w:t>’</w:t>
      </w:r>
      <w:r w:rsidRPr="00262910">
        <w:rPr>
          <w:lang w:val="fr-FR"/>
        </w:rPr>
        <w:t xml:space="preserve">enfant ou </w:t>
      </w:r>
      <w:r>
        <w:rPr>
          <w:lang w:val="fr-FR"/>
        </w:rPr>
        <w:t xml:space="preserve">de son entourage proche </w:t>
      </w:r>
      <w:r w:rsidRPr="00262910">
        <w:rPr>
          <w:lang w:val="fr-FR"/>
        </w:rPr>
        <w:t xml:space="preserve">peut être désigné comme parent nourricier. </w:t>
      </w:r>
    </w:p>
    <w:p w:rsidR="001771B8" w:rsidRPr="00262910" w:rsidRDefault="001771B8" w:rsidP="001771B8">
      <w:pPr>
        <w:pStyle w:val="SingleTxtG"/>
        <w:rPr>
          <w:lang w:val="fr-FR"/>
        </w:rPr>
      </w:pPr>
      <w:r w:rsidRPr="00262910">
        <w:rPr>
          <w:lang w:val="fr-FR"/>
        </w:rPr>
        <w:t>94.</w:t>
      </w:r>
      <w:r w:rsidRPr="00262910">
        <w:rPr>
          <w:lang w:val="fr-FR"/>
        </w:rPr>
        <w:tab/>
      </w:r>
      <w:r w:rsidRPr="007D6031">
        <w:rPr>
          <w:lang w:val="fr-FR"/>
        </w:rPr>
        <w:t xml:space="preserve">Un avant-projet </w:t>
      </w:r>
      <w:r>
        <w:rPr>
          <w:lang w:val="fr-FR"/>
        </w:rPr>
        <w:t xml:space="preserve">de </w:t>
      </w:r>
      <w:r w:rsidRPr="007D6031">
        <w:rPr>
          <w:lang w:val="fr-FR"/>
        </w:rPr>
        <w:t>nouvelle loi sur la protection de l</w:t>
      </w:r>
      <w:r>
        <w:rPr>
          <w:lang w:val="fr-FR"/>
        </w:rPr>
        <w:t>’</w:t>
      </w:r>
      <w:r w:rsidRPr="007D6031">
        <w:rPr>
          <w:lang w:val="fr-FR"/>
        </w:rPr>
        <w:t>enfance a été d</w:t>
      </w:r>
      <w:r>
        <w:rPr>
          <w:lang w:val="fr-FR"/>
        </w:rPr>
        <w:t xml:space="preserve">iffusé </w:t>
      </w:r>
      <w:r w:rsidRPr="007D6031">
        <w:rPr>
          <w:lang w:val="fr-FR"/>
        </w:rPr>
        <w:t>pour consultation</w:t>
      </w:r>
      <w:r w:rsidRPr="00262910">
        <w:rPr>
          <w:lang w:val="fr-FR"/>
        </w:rPr>
        <w:t xml:space="preserve"> publique. </w:t>
      </w:r>
      <w:r>
        <w:rPr>
          <w:lang w:val="fr-FR"/>
        </w:rPr>
        <w:t xml:space="preserve">Son texte prévoit </w:t>
      </w:r>
      <w:r w:rsidRPr="00262910">
        <w:rPr>
          <w:lang w:val="fr-FR"/>
        </w:rPr>
        <w:t xml:space="preserve">des modifications </w:t>
      </w:r>
      <w:r>
        <w:rPr>
          <w:lang w:val="fr-FR"/>
        </w:rPr>
        <w:t xml:space="preserve">tendant </w:t>
      </w:r>
      <w:r w:rsidRPr="00262910">
        <w:rPr>
          <w:lang w:val="fr-FR"/>
        </w:rPr>
        <w:t>à renforcer la prise en co</w:t>
      </w:r>
      <w:r>
        <w:rPr>
          <w:lang w:val="fr-FR"/>
        </w:rPr>
        <w:t>nsidération p</w:t>
      </w:r>
      <w:r w:rsidRPr="00262910">
        <w:rPr>
          <w:lang w:val="fr-FR"/>
        </w:rPr>
        <w:t>ar les services de protection de l</w:t>
      </w:r>
      <w:r>
        <w:rPr>
          <w:lang w:val="fr-FR"/>
        </w:rPr>
        <w:t>’</w:t>
      </w:r>
      <w:r w:rsidRPr="00262910">
        <w:rPr>
          <w:lang w:val="fr-FR"/>
        </w:rPr>
        <w:t>enfance de l</w:t>
      </w:r>
      <w:r>
        <w:rPr>
          <w:lang w:val="fr-FR"/>
        </w:rPr>
        <w:t>’</w:t>
      </w:r>
      <w:r w:rsidRPr="00262910">
        <w:rPr>
          <w:lang w:val="fr-FR"/>
        </w:rPr>
        <w:t>origine religieuse, culturelle et linguistique de l</w:t>
      </w:r>
      <w:r>
        <w:rPr>
          <w:lang w:val="fr-FR"/>
        </w:rPr>
        <w:t>’</w:t>
      </w:r>
      <w:r w:rsidRPr="00262910">
        <w:rPr>
          <w:lang w:val="fr-FR"/>
        </w:rPr>
        <w:t xml:space="preserve">enfant. </w:t>
      </w:r>
      <w:r>
        <w:rPr>
          <w:lang w:val="fr-FR"/>
        </w:rPr>
        <w:t xml:space="preserve">Ce texte </w:t>
      </w:r>
      <w:r w:rsidRPr="00262910">
        <w:rPr>
          <w:lang w:val="fr-FR"/>
        </w:rPr>
        <w:t xml:space="preserve">propose </w:t>
      </w:r>
      <w:r>
        <w:rPr>
          <w:lang w:val="fr-FR"/>
        </w:rPr>
        <w:t xml:space="preserve">en outre des </w:t>
      </w:r>
      <w:r w:rsidRPr="00262910">
        <w:rPr>
          <w:lang w:val="fr-FR"/>
        </w:rPr>
        <w:t xml:space="preserve">modifications </w:t>
      </w:r>
      <w:r>
        <w:rPr>
          <w:lang w:val="fr-FR"/>
        </w:rPr>
        <w:t>concernant le d</w:t>
      </w:r>
      <w:r w:rsidRPr="00262910">
        <w:rPr>
          <w:lang w:val="fr-FR"/>
        </w:rPr>
        <w:t xml:space="preserve">roit de visite </w:t>
      </w:r>
      <w:r>
        <w:rPr>
          <w:lang w:val="fr-FR"/>
        </w:rPr>
        <w:t xml:space="preserve">destinées à </w:t>
      </w:r>
      <w:r w:rsidRPr="00262910">
        <w:rPr>
          <w:lang w:val="fr-FR"/>
        </w:rPr>
        <w:t>renforcer</w:t>
      </w:r>
      <w:r>
        <w:rPr>
          <w:lang w:val="fr-FR"/>
        </w:rPr>
        <w:t xml:space="preserve"> </w:t>
      </w:r>
      <w:r w:rsidRPr="00262910">
        <w:rPr>
          <w:lang w:val="fr-FR"/>
        </w:rPr>
        <w:t>le droit de l</w:t>
      </w:r>
      <w:r>
        <w:rPr>
          <w:lang w:val="fr-FR"/>
        </w:rPr>
        <w:t>’</w:t>
      </w:r>
      <w:r w:rsidRPr="00262910">
        <w:rPr>
          <w:lang w:val="fr-FR"/>
        </w:rPr>
        <w:t>enfant d</w:t>
      </w:r>
      <w:r>
        <w:rPr>
          <w:lang w:val="fr-FR"/>
        </w:rPr>
        <w:t>’</w:t>
      </w:r>
      <w:r w:rsidRPr="00262910">
        <w:rPr>
          <w:lang w:val="fr-FR"/>
        </w:rPr>
        <w:t xml:space="preserve">avoir des contacts avec sa famille. </w:t>
      </w:r>
    </w:p>
    <w:p w:rsidR="001771B8" w:rsidRPr="00262910" w:rsidRDefault="001771B8" w:rsidP="001771B8">
      <w:pPr>
        <w:pStyle w:val="SingleTxtG"/>
        <w:rPr>
          <w:lang w:val="fr-FR"/>
        </w:rPr>
      </w:pPr>
      <w:r w:rsidRPr="00262910">
        <w:rPr>
          <w:lang w:val="fr-FR"/>
        </w:rPr>
        <w:t>95.</w:t>
      </w:r>
      <w:r w:rsidRPr="00262910">
        <w:rPr>
          <w:lang w:val="fr-FR"/>
        </w:rPr>
        <w:tab/>
      </w:r>
      <w:r>
        <w:rPr>
          <w:lang w:val="fr-FR"/>
        </w:rPr>
        <w:t>La S</w:t>
      </w:r>
      <w:r w:rsidRPr="00262910">
        <w:rPr>
          <w:lang w:val="fr-FR"/>
        </w:rPr>
        <w:t>tratégie pour le renforcement des compétences des services municipaux de protection de l</w:t>
      </w:r>
      <w:r>
        <w:rPr>
          <w:lang w:val="fr-FR"/>
        </w:rPr>
        <w:t>’</w:t>
      </w:r>
      <w:r w:rsidRPr="00262910">
        <w:rPr>
          <w:lang w:val="fr-FR"/>
        </w:rPr>
        <w:t>enfance (2018-2024)</w:t>
      </w:r>
      <w:r>
        <w:rPr>
          <w:lang w:val="fr-FR"/>
        </w:rPr>
        <w:t xml:space="preserve">, en cours </w:t>
      </w:r>
      <w:r w:rsidRPr="00FA60B0">
        <w:rPr>
          <w:lang w:val="fr-FR"/>
        </w:rPr>
        <w:t>de mise en œuvre</w:t>
      </w:r>
      <w:r>
        <w:rPr>
          <w:lang w:val="fr-FR"/>
        </w:rPr>
        <w:t xml:space="preserve">, prend </w:t>
      </w:r>
      <w:r w:rsidRPr="00262910">
        <w:rPr>
          <w:lang w:val="fr-FR"/>
        </w:rPr>
        <w:t xml:space="preserve">notamment </w:t>
      </w:r>
      <w:r>
        <w:rPr>
          <w:lang w:val="fr-FR"/>
        </w:rPr>
        <w:t xml:space="preserve">la forme </w:t>
      </w:r>
      <w:r w:rsidRPr="00262910">
        <w:rPr>
          <w:lang w:val="fr-FR"/>
        </w:rPr>
        <w:t xml:space="preserve">de nouveaux programmes éducatifs </w:t>
      </w:r>
      <w:r>
        <w:rPr>
          <w:lang w:val="fr-FR"/>
        </w:rPr>
        <w:t xml:space="preserve">destinés </w:t>
      </w:r>
      <w:r w:rsidRPr="00262910">
        <w:rPr>
          <w:lang w:val="fr-FR"/>
        </w:rPr>
        <w:t xml:space="preserve">à </w:t>
      </w:r>
      <w:r>
        <w:rPr>
          <w:lang w:val="fr-FR"/>
        </w:rPr>
        <w:t xml:space="preserve">favoriser </w:t>
      </w:r>
      <w:r w:rsidRPr="00262910">
        <w:rPr>
          <w:lang w:val="fr-FR"/>
        </w:rPr>
        <w:t>une meilleure compréhension et une plus grande sensibilité dans le suivi des enfants et des familles issus de minorités.</w:t>
      </w:r>
    </w:p>
    <w:p w:rsidR="001771B8" w:rsidRPr="00262910" w:rsidRDefault="001771B8" w:rsidP="001771B8">
      <w:pPr>
        <w:pStyle w:val="SingleTxtG"/>
        <w:rPr>
          <w:lang w:val="fr-FR"/>
        </w:rPr>
      </w:pPr>
      <w:r w:rsidRPr="00262910">
        <w:rPr>
          <w:lang w:val="fr-FR"/>
        </w:rPr>
        <w:t>96.</w:t>
      </w:r>
      <w:r w:rsidRPr="00262910">
        <w:rPr>
          <w:lang w:val="fr-FR"/>
        </w:rPr>
        <w:tab/>
        <w:t>Le Storting a constitué une commission Vérité et réconciliation chargée d</w:t>
      </w:r>
      <w:r>
        <w:rPr>
          <w:lang w:val="fr-FR"/>
        </w:rPr>
        <w:t>’</w:t>
      </w:r>
      <w:r w:rsidRPr="00262910">
        <w:rPr>
          <w:lang w:val="fr-FR"/>
        </w:rPr>
        <w:t>examiner la politique d</w:t>
      </w:r>
      <w:r>
        <w:rPr>
          <w:lang w:val="fr-FR"/>
        </w:rPr>
        <w:t>’</w:t>
      </w:r>
      <w:r w:rsidRPr="00262910">
        <w:rPr>
          <w:lang w:val="fr-FR"/>
        </w:rPr>
        <w:t>assimilation et d</w:t>
      </w:r>
      <w:r>
        <w:rPr>
          <w:lang w:val="fr-FR"/>
        </w:rPr>
        <w:t>’</w:t>
      </w:r>
      <w:r w:rsidRPr="00262910">
        <w:rPr>
          <w:lang w:val="fr-FR"/>
        </w:rPr>
        <w:t xml:space="preserve">enquêter sur les injustices perpétrées </w:t>
      </w:r>
      <w:r>
        <w:rPr>
          <w:lang w:val="fr-FR"/>
        </w:rPr>
        <w:t>envers les Sâme</w:t>
      </w:r>
      <w:r w:rsidRPr="00262910">
        <w:rPr>
          <w:lang w:val="fr-FR"/>
        </w:rPr>
        <w:t xml:space="preserve">s et </w:t>
      </w:r>
      <w:r>
        <w:rPr>
          <w:lang w:val="fr-FR"/>
        </w:rPr>
        <w:t xml:space="preserve">les </w:t>
      </w:r>
      <w:r w:rsidRPr="00262910">
        <w:rPr>
          <w:lang w:val="fr-FR"/>
        </w:rPr>
        <w:t>Kvènes/Finns norv</w:t>
      </w:r>
      <w:r>
        <w:rPr>
          <w:lang w:val="fr-FR"/>
        </w:rPr>
        <w:t>é</w:t>
      </w:r>
      <w:r w:rsidRPr="00262910">
        <w:rPr>
          <w:lang w:val="fr-FR"/>
        </w:rPr>
        <w:t xml:space="preserve">giens. Les travaux préparatoires du Storting ont été menés en étroite collaboration avec le </w:t>
      </w:r>
      <w:r w:rsidRPr="00497E57">
        <w:rPr>
          <w:lang w:val="fr-FR"/>
        </w:rPr>
        <w:t>Sámediggi</w:t>
      </w:r>
      <w:r w:rsidRPr="00262910">
        <w:rPr>
          <w:lang w:val="fr-FR"/>
        </w:rPr>
        <w:t xml:space="preserve"> et les organisations de Kvènes/Finns</w:t>
      </w:r>
      <w:r>
        <w:rPr>
          <w:lang w:val="fr-FR"/>
        </w:rPr>
        <w:t xml:space="preserve"> </w:t>
      </w:r>
      <w:r w:rsidRPr="00262910">
        <w:rPr>
          <w:lang w:val="fr-FR"/>
        </w:rPr>
        <w:t>norv</w:t>
      </w:r>
      <w:r>
        <w:rPr>
          <w:lang w:val="fr-FR"/>
        </w:rPr>
        <w:t>é</w:t>
      </w:r>
      <w:r w:rsidRPr="00262910">
        <w:rPr>
          <w:lang w:val="fr-FR"/>
        </w:rPr>
        <w:t xml:space="preserve">giens. La commission doit </w:t>
      </w:r>
      <w:r>
        <w:rPr>
          <w:lang w:val="fr-FR"/>
        </w:rPr>
        <w:t xml:space="preserve">présenter </w:t>
      </w:r>
      <w:r w:rsidRPr="00262910">
        <w:rPr>
          <w:lang w:val="fr-FR"/>
        </w:rPr>
        <w:t>son rapport au Storting</w:t>
      </w:r>
      <w:r>
        <w:rPr>
          <w:lang w:val="fr-FR"/>
        </w:rPr>
        <w:t xml:space="preserve"> le 1</w:t>
      </w:r>
      <w:r w:rsidRPr="00497E57">
        <w:rPr>
          <w:vertAlign w:val="superscript"/>
          <w:lang w:val="fr-FR"/>
        </w:rPr>
        <w:t>er</w:t>
      </w:r>
      <w:r>
        <w:rPr>
          <w:lang w:val="fr-FR"/>
        </w:rPr>
        <w:t xml:space="preserve"> </w:t>
      </w:r>
      <w:r w:rsidRPr="00262910">
        <w:rPr>
          <w:lang w:val="fr-FR"/>
        </w:rPr>
        <w:t>septembre 2022 au plus tard.</w:t>
      </w:r>
    </w:p>
    <w:p w:rsidR="001771B8" w:rsidRPr="00262910" w:rsidRDefault="001771B8" w:rsidP="001771B8">
      <w:pPr>
        <w:pStyle w:val="H1G"/>
        <w:rPr>
          <w:lang w:val="fr-FR"/>
        </w:rPr>
      </w:pPr>
      <w:r w:rsidRPr="00262910">
        <w:rPr>
          <w:lang w:val="fr-FR"/>
        </w:rPr>
        <w:tab/>
      </w:r>
      <w:r w:rsidRPr="00262910">
        <w:rPr>
          <w:lang w:val="fr-FR"/>
        </w:rPr>
        <w:tab/>
      </w:r>
      <w:r w:rsidRPr="00B20C01">
        <w:rPr>
          <w:lang w:val="fr-FR"/>
        </w:rPr>
        <w:t>Réponse au paragraphe</w:t>
      </w:r>
      <w:r w:rsidRPr="00262910">
        <w:rPr>
          <w:lang w:val="fr-FR"/>
        </w:rPr>
        <w:t xml:space="preserve"> 15 a) de la liste de points</w:t>
      </w:r>
    </w:p>
    <w:p w:rsidR="001771B8" w:rsidRPr="00262910" w:rsidRDefault="00C43C2C" w:rsidP="00C43C2C">
      <w:pPr>
        <w:pStyle w:val="H23G"/>
        <w:rPr>
          <w:lang w:val="fr-FR"/>
        </w:rPr>
      </w:pPr>
      <w:r>
        <w:rPr>
          <w:lang w:val="fr-FR"/>
        </w:rPr>
        <w:tab/>
      </w:r>
      <w:r>
        <w:rPr>
          <w:lang w:val="fr-FR"/>
        </w:rPr>
        <w:tab/>
      </w:r>
      <w:r w:rsidR="001771B8" w:rsidRPr="00262910">
        <w:rPr>
          <w:lang w:val="fr-FR"/>
        </w:rPr>
        <w:t>Demandes d</w:t>
      </w:r>
      <w:r w:rsidR="001771B8">
        <w:rPr>
          <w:lang w:val="fr-FR"/>
        </w:rPr>
        <w:t>’</w:t>
      </w:r>
      <w:r w:rsidR="001771B8" w:rsidRPr="00262910">
        <w:rPr>
          <w:lang w:val="fr-FR"/>
        </w:rPr>
        <w:t xml:space="preserve">asile </w:t>
      </w:r>
      <w:r w:rsidR="001771B8">
        <w:rPr>
          <w:lang w:val="fr-FR"/>
        </w:rPr>
        <w:t xml:space="preserve">déposées </w:t>
      </w:r>
      <w:r>
        <w:rPr>
          <w:lang w:val="fr-FR"/>
        </w:rPr>
        <w:t>−</w:t>
      </w:r>
      <w:r w:rsidR="001771B8" w:rsidRPr="00262910">
        <w:rPr>
          <w:lang w:val="fr-FR"/>
        </w:rPr>
        <w:t xml:space="preserve"> total</w:t>
      </w:r>
    </w:p>
    <w:tbl>
      <w:tblPr>
        <w:tblW w:w="7370" w:type="dxa"/>
        <w:tblInd w:w="1134" w:type="dxa"/>
        <w:tblLayout w:type="fixed"/>
        <w:tblCellMar>
          <w:left w:w="0" w:type="dxa"/>
          <w:right w:w="0" w:type="dxa"/>
        </w:tblCellMar>
        <w:tblLook w:val="04A0" w:firstRow="1" w:lastRow="0" w:firstColumn="1" w:lastColumn="0" w:noHBand="0" w:noVBand="1"/>
      </w:tblPr>
      <w:tblGrid>
        <w:gridCol w:w="1270"/>
        <w:gridCol w:w="1016"/>
        <w:gridCol w:w="1017"/>
        <w:gridCol w:w="1017"/>
        <w:gridCol w:w="1016"/>
        <w:gridCol w:w="1017"/>
        <w:gridCol w:w="1017"/>
      </w:tblGrid>
      <w:tr w:rsidR="001771B8" w:rsidRPr="00262910" w:rsidTr="001771B8">
        <w:trPr>
          <w:tblHeader/>
        </w:trPr>
        <w:tc>
          <w:tcPr>
            <w:tcW w:w="862" w:type="pct"/>
            <w:tcBorders>
              <w:top w:val="single" w:sz="4" w:space="0" w:color="auto"/>
              <w:bottom w:val="single" w:sz="12" w:space="0" w:color="auto"/>
            </w:tcBorders>
            <w:shd w:val="clear" w:color="auto" w:fill="auto"/>
            <w:noWrap/>
          </w:tcPr>
          <w:p w:rsidR="001771B8" w:rsidRPr="00262910" w:rsidRDefault="001771B8" w:rsidP="001771B8">
            <w:pPr>
              <w:pStyle w:val="SingleTxtG"/>
              <w:suppressAutoHyphens w:val="0"/>
              <w:spacing w:before="80" w:after="80" w:line="200" w:lineRule="exact"/>
              <w:ind w:left="0" w:right="0"/>
              <w:jc w:val="left"/>
              <w:rPr>
                <w:i/>
                <w:iCs/>
                <w:spacing w:val="4"/>
                <w:w w:val="103"/>
                <w:kern w:val="14"/>
                <w:sz w:val="16"/>
                <w:lang w:val="fr-FR"/>
              </w:rPr>
            </w:pPr>
          </w:p>
        </w:tc>
        <w:tc>
          <w:tcPr>
            <w:tcW w:w="68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2014</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2015</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2016</w:t>
            </w:r>
          </w:p>
        </w:tc>
        <w:tc>
          <w:tcPr>
            <w:tcW w:w="68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2017</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2018</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2019</w:t>
            </w:r>
            <w:r w:rsidRPr="008F64E5">
              <w:rPr>
                <w:bCs/>
                <w:iCs/>
                <w:spacing w:val="4"/>
                <w:w w:val="103"/>
                <w:kern w:val="14"/>
                <w:sz w:val="18"/>
                <w:szCs w:val="18"/>
                <w:lang w:val="fr-FR"/>
              </w:rPr>
              <w:t>*</w:t>
            </w:r>
          </w:p>
        </w:tc>
      </w:tr>
      <w:tr w:rsidR="001771B8" w:rsidRPr="00262910" w:rsidTr="001771B8">
        <w:tc>
          <w:tcPr>
            <w:tcW w:w="862" w:type="pct"/>
            <w:tcBorders>
              <w:top w:val="single" w:sz="12" w:space="0" w:color="auto"/>
            </w:tcBorders>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Turquie</w:t>
            </w:r>
          </w:p>
        </w:tc>
        <w:tc>
          <w:tcPr>
            <w:tcW w:w="689"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52</w:t>
            </w:r>
          </w:p>
        </w:tc>
        <w:tc>
          <w:tcPr>
            <w:tcW w:w="690"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89</w:t>
            </w:r>
          </w:p>
        </w:tc>
        <w:tc>
          <w:tcPr>
            <w:tcW w:w="690"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89</w:t>
            </w:r>
          </w:p>
        </w:tc>
        <w:tc>
          <w:tcPr>
            <w:tcW w:w="689"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164</w:t>
            </w:r>
          </w:p>
        </w:tc>
        <w:tc>
          <w:tcPr>
            <w:tcW w:w="690"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765</w:t>
            </w:r>
          </w:p>
        </w:tc>
        <w:tc>
          <w:tcPr>
            <w:tcW w:w="690"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82</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Syrie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1 999</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10 536</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529</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1 017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419</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145</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Érythrée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2 882</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2 947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586</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869</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241</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45</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Iran</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100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1 342</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132</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89</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119</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32</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Iraq</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186</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2 991</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215</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148</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104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24</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Afghanistan</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579</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6 987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373</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133</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91</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28</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Apatrides</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800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1 130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158</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139</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80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43</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Albanie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204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431</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130</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87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65</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30</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Russie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227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123</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76</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58</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60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27</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Somalie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837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561</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154</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51</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48</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11</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Éthiopie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375</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681</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158</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91</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16</w:t>
            </w:r>
          </w:p>
        </w:tc>
      </w:tr>
      <w:tr w:rsidR="001771B8" w:rsidRPr="00262910" w:rsidTr="001771B8">
        <w:tc>
          <w:tcPr>
            <w:tcW w:w="862" w:type="pct"/>
            <w:tcBorders>
              <w:bottom w:val="single" w:sz="4" w:space="0" w:color="auto"/>
            </w:tcBorders>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Autres</w:t>
            </w:r>
          </w:p>
        </w:tc>
        <w:tc>
          <w:tcPr>
            <w:tcW w:w="689"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3 239</w:t>
            </w:r>
          </w:p>
        </w:tc>
        <w:tc>
          <w:tcPr>
            <w:tcW w:w="690"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3 327</w:t>
            </w:r>
          </w:p>
        </w:tc>
        <w:tc>
          <w:tcPr>
            <w:tcW w:w="690"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860</w:t>
            </w:r>
          </w:p>
        </w:tc>
        <w:tc>
          <w:tcPr>
            <w:tcW w:w="689"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714</w:t>
            </w:r>
          </w:p>
        </w:tc>
        <w:tc>
          <w:tcPr>
            <w:tcW w:w="690"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619</w:t>
            </w:r>
          </w:p>
        </w:tc>
        <w:tc>
          <w:tcPr>
            <w:tcW w:w="690"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184</w:t>
            </w:r>
          </w:p>
        </w:tc>
      </w:tr>
      <w:tr w:rsidR="001771B8" w:rsidRPr="00262910" w:rsidTr="001771B8">
        <w:tc>
          <w:tcPr>
            <w:tcW w:w="862" w:type="pct"/>
            <w:tcBorders>
              <w:top w:val="single" w:sz="4" w:space="0" w:color="auto"/>
              <w:bottom w:val="single" w:sz="12" w:space="0" w:color="auto"/>
            </w:tcBorders>
            <w:shd w:val="clear" w:color="auto" w:fill="auto"/>
            <w:noWrap/>
          </w:tcPr>
          <w:p w:rsidR="001771B8" w:rsidRPr="00262910" w:rsidRDefault="001771B8" w:rsidP="001771B8">
            <w:pPr>
              <w:pStyle w:val="SingleTxtG"/>
              <w:suppressAutoHyphens w:val="0"/>
              <w:spacing w:before="80" w:after="80" w:line="220" w:lineRule="exact"/>
              <w:ind w:left="283" w:right="0"/>
              <w:jc w:val="left"/>
              <w:rPr>
                <w:b/>
                <w:iCs/>
                <w:sz w:val="18"/>
                <w:lang w:val="fr-FR"/>
              </w:rPr>
            </w:pPr>
            <w:r w:rsidRPr="00262910">
              <w:rPr>
                <w:b/>
                <w:bCs/>
                <w:sz w:val="18"/>
                <w:lang w:val="fr-FR"/>
              </w:rPr>
              <w:t>Total</w:t>
            </w:r>
          </w:p>
        </w:tc>
        <w:tc>
          <w:tcPr>
            <w:tcW w:w="68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bCs/>
                <w:sz w:val="18"/>
                <w:lang w:val="fr-FR"/>
              </w:rPr>
            </w:pPr>
            <w:r w:rsidRPr="00262910">
              <w:rPr>
                <w:b/>
                <w:bCs/>
                <w:sz w:val="18"/>
                <w:lang w:val="fr-FR"/>
              </w:rPr>
              <w:t>11 480</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bCs/>
                <w:sz w:val="18"/>
                <w:lang w:val="fr-FR"/>
              </w:rPr>
            </w:pPr>
            <w:r w:rsidRPr="00262910">
              <w:rPr>
                <w:b/>
                <w:bCs/>
                <w:sz w:val="18"/>
                <w:lang w:val="fr-FR"/>
              </w:rPr>
              <w:t>31 145</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bCs/>
                <w:sz w:val="18"/>
                <w:lang w:val="fr-FR"/>
              </w:rPr>
            </w:pPr>
            <w:r w:rsidRPr="00262910">
              <w:rPr>
                <w:b/>
                <w:bCs/>
                <w:sz w:val="18"/>
                <w:lang w:val="fr-FR"/>
              </w:rPr>
              <w:t>3 460</w:t>
            </w:r>
          </w:p>
        </w:tc>
        <w:tc>
          <w:tcPr>
            <w:tcW w:w="68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bCs/>
                <w:sz w:val="18"/>
                <w:lang w:val="fr-FR"/>
              </w:rPr>
            </w:pPr>
            <w:r w:rsidRPr="00262910">
              <w:rPr>
                <w:b/>
                <w:bCs/>
                <w:sz w:val="18"/>
                <w:lang w:val="fr-FR"/>
              </w:rPr>
              <w:t>3 560</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bCs/>
                <w:sz w:val="18"/>
                <w:lang w:val="fr-FR"/>
              </w:rPr>
            </w:pPr>
            <w:r w:rsidRPr="00262910">
              <w:rPr>
                <w:b/>
                <w:bCs/>
                <w:sz w:val="18"/>
                <w:lang w:val="fr-FR"/>
              </w:rPr>
              <w:t>2 655</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bCs/>
                <w:sz w:val="18"/>
                <w:lang w:val="fr-FR"/>
              </w:rPr>
            </w:pPr>
            <w:r w:rsidRPr="00262910">
              <w:rPr>
                <w:b/>
                <w:bCs/>
                <w:sz w:val="18"/>
                <w:lang w:val="fr-FR"/>
              </w:rPr>
              <w:t>667</w:t>
            </w:r>
          </w:p>
        </w:tc>
      </w:tr>
    </w:tbl>
    <w:p w:rsidR="008F64E5" w:rsidRDefault="008F64E5" w:rsidP="008F64E5">
      <w:pPr>
        <w:pStyle w:val="H23G"/>
        <w:rPr>
          <w:lang w:val="fr-FR"/>
        </w:rPr>
      </w:pPr>
    </w:p>
    <w:p w:rsidR="001771B8" w:rsidRPr="00262910" w:rsidRDefault="008F64E5" w:rsidP="008F64E5">
      <w:pPr>
        <w:pStyle w:val="H23G"/>
        <w:rPr>
          <w:lang w:val="fr-FR"/>
        </w:rPr>
      </w:pPr>
      <w:r>
        <w:rPr>
          <w:lang w:val="fr-FR"/>
        </w:rPr>
        <w:br w:type="page"/>
      </w:r>
      <w:r>
        <w:rPr>
          <w:lang w:val="fr-FR"/>
        </w:rPr>
        <w:tab/>
      </w:r>
      <w:r>
        <w:rPr>
          <w:lang w:val="fr-FR"/>
        </w:rPr>
        <w:tab/>
      </w:r>
      <w:r w:rsidR="001771B8" w:rsidRPr="00262910">
        <w:rPr>
          <w:lang w:val="fr-FR"/>
        </w:rPr>
        <w:t>Demandes d</w:t>
      </w:r>
      <w:r w:rsidR="001771B8">
        <w:rPr>
          <w:lang w:val="fr-FR"/>
        </w:rPr>
        <w:t>’</w:t>
      </w:r>
      <w:r w:rsidR="001771B8" w:rsidRPr="00262910">
        <w:rPr>
          <w:lang w:val="fr-FR"/>
        </w:rPr>
        <w:t>asile</w:t>
      </w:r>
      <w:r w:rsidR="001771B8">
        <w:rPr>
          <w:lang w:val="fr-FR"/>
        </w:rPr>
        <w:t xml:space="preserve"> déposées</w:t>
      </w:r>
      <w:r w:rsidR="001771B8" w:rsidRPr="00262910">
        <w:rPr>
          <w:lang w:val="fr-FR"/>
        </w:rPr>
        <w:t xml:space="preserve"> </w:t>
      </w:r>
      <w:r>
        <w:rPr>
          <w:lang w:val="fr-FR"/>
        </w:rPr>
        <w:t>−</w:t>
      </w:r>
      <w:r w:rsidR="001771B8" w:rsidRPr="00262910">
        <w:rPr>
          <w:lang w:val="fr-FR"/>
        </w:rPr>
        <w:t xml:space="preserve"> hommes</w:t>
      </w:r>
    </w:p>
    <w:tbl>
      <w:tblPr>
        <w:tblW w:w="7370" w:type="dxa"/>
        <w:tblInd w:w="1134" w:type="dxa"/>
        <w:tblLayout w:type="fixed"/>
        <w:tblCellMar>
          <w:left w:w="0" w:type="dxa"/>
          <w:right w:w="0" w:type="dxa"/>
        </w:tblCellMar>
        <w:tblLook w:val="04A0" w:firstRow="1" w:lastRow="0" w:firstColumn="1" w:lastColumn="0" w:noHBand="0" w:noVBand="1"/>
      </w:tblPr>
      <w:tblGrid>
        <w:gridCol w:w="1270"/>
        <w:gridCol w:w="1016"/>
        <w:gridCol w:w="1017"/>
        <w:gridCol w:w="1017"/>
        <w:gridCol w:w="1016"/>
        <w:gridCol w:w="1017"/>
        <w:gridCol w:w="1017"/>
      </w:tblGrid>
      <w:tr w:rsidR="001771B8" w:rsidRPr="00262910" w:rsidTr="001771B8">
        <w:tc>
          <w:tcPr>
            <w:tcW w:w="862" w:type="pct"/>
            <w:tcBorders>
              <w:top w:val="single" w:sz="4" w:space="0" w:color="auto"/>
              <w:bottom w:val="single" w:sz="12" w:space="0" w:color="auto"/>
            </w:tcBorders>
            <w:shd w:val="clear" w:color="auto" w:fill="auto"/>
            <w:noWrap/>
          </w:tcPr>
          <w:p w:rsidR="001771B8" w:rsidRPr="00262910" w:rsidRDefault="001771B8" w:rsidP="001771B8">
            <w:pPr>
              <w:pStyle w:val="SingleTxtG"/>
              <w:suppressAutoHyphens w:val="0"/>
              <w:spacing w:before="80" w:after="80" w:line="200" w:lineRule="exact"/>
              <w:ind w:left="0" w:right="0"/>
              <w:jc w:val="left"/>
              <w:rPr>
                <w:i/>
                <w:iCs/>
                <w:spacing w:val="4"/>
                <w:w w:val="103"/>
                <w:kern w:val="14"/>
                <w:sz w:val="16"/>
                <w:lang w:val="fr-FR"/>
              </w:rPr>
            </w:pPr>
          </w:p>
        </w:tc>
        <w:tc>
          <w:tcPr>
            <w:tcW w:w="68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2014</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2015</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2016</w:t>
            </w:r>
          </w:p>
        </w:tc>
        <w:tc>
          <w:tcPr>
            <w:tcW w:w="68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2017</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2018</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2019</w:t>
            </w:r>
            <w:r w:rsidRPr="008F64E5">
              <w:rPr>
                <w:bCs/>
                <w:iCs/>
                <w:spacing w:val="4"/>
                <w:w w:val="103"/>
                <w:kern w:val="14"/>
                <w:sz w:val="18"/>
                <w:szCs w:val="18"/>
                <w:lang w:val="fr-FR"/>
              </w:rPr>
              <w:t>*</w:t>
            </w:r>
          </w:p>
        </w:tc>
      </w:tr>
      <w:tr w:rsidR="001771B8" w:rsidRPr="00262910" w:rsidTr="001771B8">
        <w:tc>
          <w:tcPr>
            <w:tcW w:w="862" w:type="pct"/>
            <w:tcBorders>
              <w:top w:val="single" w:sz="12" w:space="0" w:color="auto"/>
            </w:tcBorders>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Turquie</w:t>
            </w:r>
          </w:p>
        </w:tc>
        <w:tc>
          <w:tcPr>
            <w:tcW w:w="689"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37</w:t>
            </w:r>
          </w:p>
        </w:tc>
        <w:tc>
          <w:tcPr>
            <w:tcW w:w="690"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57</w:t>
            </w:r>
          </w:p>
        </w:tc>
        <w:tc>
          <w:tcPr>
            <w:tcW w:w="690"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60</w:t>
            </w:r>
          </w:p>
        </w:tc>
        <w:tc>
          <w:tcPr>
            <w:tcW w:w="689"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93</w:t>
            </w:r>
          </w:p>
        </w:tc>
        <w:tc>
          <w:tcPr>
            <w:tcW w:w="690"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445</w:t>
            </w:r>
          </w:p>
        </w:tc>
        <w:tc>
          <w:tcPr>
            <w:tcW w:w="690"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58</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Syrie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1 660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7 882</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273</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553</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209</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73</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Érythrée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2 196</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2 138</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347</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516</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125</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17</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Iran</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62</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940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74</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68</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20</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Iraq</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119</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2 258</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136</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88</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51</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14</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Afghanistan</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454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5 913</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260</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80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67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24</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Apatrides</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577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804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76</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82</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26</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Albanie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125</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283</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87</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21</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Russie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118</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71</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42</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31</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36</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14</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Somalie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510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366</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79</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8</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Éthiopie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225</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487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86</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w:t>
            </w:r>
          </w:p>
        </w:tc>
      </w:tr>
      <w:tr w:rsidR="001771B8" w:rsidRPr="00262910" w:rsidTr="001771B8">
        <w:tc>
          <w:tcPr>
            <w:tcW w:w="862" w:type="pct"/>
            <w:tcBorders>
              <w:bottom w:val="single" w:sz="4" w:space="0" w:color="auto"/>
            </w:tcBorders>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Autres</w:t>
            </w:r>
          </w:p>
        </w:tc>
        <w:tc>
          <w:tcPr>
            <w:tcW w:w="689"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2 540</w:t>
            </w:r>
          </w:p>
        </w:tc>
        <w:tc>
          <w:tcPr>
            <w:tcW w:w="690"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2 731</w:t>
            </w:r>
          </w:p>
        </w:tc>
        <w:tc>
          <w:tcPr>
            <w:tcW w:w="690"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623</w:t>
            </w:r>
          </w:p>
        </w:tc>
        <w:tc>
          <w:tcPr>
            <w:tcW w:w="689"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470</w:t>
            </w:r>
          </w:p>
        </w:tc>
        <w:tc>
          <w:tcPr>
            <w:tcW w:w="690"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422</w:t>
            </w:r>
          </w:p>
        </w:tc>
        <w:tc>
          <w:tcPr>
            <w:tcW w:w="690"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113</w:t>
            </w:r>
          </w:p>
        </w:tc>
      </w:tr>
      <w:tr w:rsidR="001771B8" w:rsidRPr="00262910" w:rsidTr="001771B8">
        <w:tc>
          <w:tcPr>
            <w:tcW w:w="862" w:type="pct"/>
            <w:tcBorders>
              <w:top w:val="single" w:sz="4" w:space="0" w:color="auto"/>
              <w:bottom w:val="single" w:sz="12" w:space="0" w:color="auto"/>
            </w:tcBorders>
            <w:shd w:val="clear" w:color="auto" w:fill="auto"/>
            <w:noWrap/>
          </w:tcPr>
          <w:p w:rsidR="001771B8" w:rsidRPr="00262910" w:rsidRDefault="001771B8" w:rsidP="001771B8">
            <w:pPr>
              <w:pStyle w:val="SingleTxtG"/>
              <w:suppressAutoHyphens w:val="0"/>
              <w:spacing w:before="80" w:after="80" w:line="220" w:lineRule="exact"/>
              <w:ind w:left="283" w:right="0"/>
              <w:jc w:val="left"/>
              <w:rPr>
                <w:b/>
                <w:iCs/>
                <w:sz w:val="18"/>
                <w:lang w:val="fr-FR"/>
              </w:rPr>
            </w:pPr>
            <w:r w:rsidRPr="00262910">
              <w:rPr>
                <w:b/>
                <w:bCs/>
                <w:sz w:val="18"/>
                <w:lang w:val="fr-FR"/>
              </w:rPr>
              <w:t>Total</w:t>
            </w:r>
          </w:p>
        </w:tc>
        <w:tc>
          <w:tcPr>
            <w:tcW w:w="68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bCs/>
                <w:sz w:val="18"/>
                <w:lang w:val="fr-FR"/>
              </w:rPr>
            </w:pPr>
            <w:r w:rsidRPr="00262910">
              <w:rPr>
                <w:b/>
                <w:bCs/>
                <w:sz w:val="18"/>
                <w:lang w:val="fr-FR"/>
              </w:rPr>
              <w:t>8 623</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bCs/>
                <w:sz w:val="18"/>
                <w:lang w:val="fr-FR"/>
              </w:rPr>
            </w:pPr>
            <w:r w:rsidRPr="00262910">
              <w:rPr>
                <w:b/>
                <w:bCs/>
                <w:sz w:val="18"/>
                <w:lang w:val="fr-FR"/>
              </w:rPr>
              <w:t>23 930</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bCs/>
                <w:sz w:val="18"/>
                <w:lang w:val="fr-FR"/>
              </w:rPr>
            </w:pPr>
            <w:r w:rsidRPr="00262910">
              <w:rPr>
                <w:b/>
                <w:bCs/>
                <w:sz w:val="18"/>
                <w:lang w:val="fr-FR"/>
              </w:rPr>
              <w:t>2 143</w:t>
            </w:r>
          </w:p>
        </w:tc>
        <w:tc>
          <w:tcPr>
            <w:tcW w:w="68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bCs/>
                <w:sz w:val="18"/>
                <w:lang w:val="fr-FR"/>
              </w:rPr>
            </w:pPr>
            <w:r w:rsidRPr="00262910">
              <w:rPr>
                <w:b/>
                <w:bCs/>
                <w:sz w:val="18"/>
                <w:lang w:val="fr-FR"/>
              </w:rPr>
              <w:t>2 091</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bCs/>
                <w:sz w:val="18"/>
                <w:lang w:val="fr-FR"/>
              </w:rPr>
            </w:pPr>
            <w:r w:rsidRPr="00262910">
              <w:rPr>
                <w:b/>
                <w:bCs/>
                <w:sz w:val="18"/>
                <w:lang w:val="fr-FR"/>
              </w:rPr>
              <w:t>1 565</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bCs/>
                <w:sz w:val="18"/>
                <w:lang w:val="fr-FR"/>
              </w:rPr>
            </w:pPr>
            <w:r w:rsidRPr="00262910">
              <w:rPr>
                <w:b/>
                <w:bCs/>
                <w:sz w:val="18"/>
                <w:lang w:val="fr-FR"/>
              </w:rPr>
              <w:t>390</w:t>
            </w:r>
          </w:p>
        </w:tc>
      </w:tr>
    </w:tbl>
    <w:p w:rsidR="001771B8" w:rsidRPr="00262910" w:rsidRDefault="008F64E5" w:rsidP="008F64E5">
      <w:pPr>
        <w:pStyle w:val="H23G"/>
        <w:rPr>
          <w:lang w:val="fr-FR"/>
        </w:rPr>
      </w:pPr>
      <w:r>
        <w:rPr>
          <w:lang w:val="fr-FR"/>
        </w:rPr>
        <w:tab/>
      </w:r>
      <w:r>
        <w:rPr>
          <w:lang w:val="fr-FR"/>
        </w:rPr>
        <w:tab/>
      </w:r>
      <w:r w:rsidR="001771B8" w:rsidRPr="00262910">
        <w:rPr>
          <w:lang w:val="fr-FR"/>
        </w:rPr>
        <w:t>Demandes d</w:t>
      </w:r>
      <w:r w:rsidR="001771B8">
        <w:rPr>
          <w:lang w:val="fr-FR"/>
        </w:rPr>
        <w:t>’</w:t>
      </w:r>
      <w:r w:rsidR="001771B8" w:rsidRPr="00262910">
        <w:rPr>
          <w:lang w:val="fr-FR"/>
        </w:rPr>
        <w:t>asile</w:t>
      </w:r>
      <w:r w:rsidR="001771B8">
        <w:rPr>
          <w:lang w:val="fr-FR"/>
        </w:rPr>
        <w:t xml:space="preserve"> déposées</w:t>
      </w:r>
      <w:r w:rsidR="001771B8" w:rsidRPr="00262910">
        <w:rPr>
          <w:lang w:val="fr-FR"/>
        </w:rPr>
        <w:t xml:space="preserve"> </w:t>
      </w:r>
      <w:r>
        <w:rPr>
          <w:lang w:val="fr-FR"/>
        </w:rPr>
        <w:t>−</w:t>
      </w:r>
      <w:r w:rsidR="001771B8" w:rsidRPr="00262910">
        <w:rPr>
          <w:lang w:val="fr-FR"/>
        </w:rPr>
        <w:t xml:space="preserve"> femmes</w:t>
      </w:r>
    </w:p>
    <w:tbl>
      <w:tblPr>
        <w:tblW w:w="7370" w:type="dxa"/>
        <w:tblInd w:w="1134" w:type="dxa"/>
        <w:tblLayout w:type="fixed"/>
        <w:tblCellMar>
          <w:left w:w="0" w:type="dxa"/>
          <w:right w:w="0" w:type="dxa"/>
        </w:tblCellMar>
        <w:tblLook w:val="04A0" w:firstRow="1" w:lastRow="0" w:firstColumn="1" w:lastColumn="0" w:noHBand="0" w:noVBand="1"/>
      </w:tblPr>
      <w:tblGrid>
        <w:gridCol w:w="1270"/>
        <w:gridCol w:w="1016"/>
        <w:gridCol w:w="1017"/>
        <w:gridCol w:w="1017"/>
        <w:gridCol w:w="1016"/>
        <w:gridCol w:w="1017"/>
        <w:gridCol w:w="1017"/>
      </w:tblGrid>
      <w:tr w:rsidR="001771B8" w:rsidRPr="00262910" w:rsidTr="001771B8">
        <w:tc>
          <w:tcPr>
            <w:tcW w:w="862" w:type="pct"/>
            <w:tcBorders>
              <w:top w:val="single" w:sz="4" w:space="0" w:color="auto"/>
              <w:bottom w:val="single" w:sz="12" w:space="0" w:color="auto"/>
            </w:tcBorders>
            <w:shd w:val="clear" w:color="auto" w:fill="auto"/>
            <w:noWrap/>
          </w:tcPr>
          <w:p w:rsidR="001771B8" w:rsidRPr="00262910" w:rsidRDefault="001771B8" w:rsidP="001771B8">
            <w:pPr>
              <w:pStyle w:val="SingleTxtG"/>
              <w:suppressAutoHyphens w:val="0"/>
              <w:spacing w:before="80" w:after="80" w:line="200" w:lineRule="exact"/>
              <w:ind w:left="0" w:right="0"/>
              <w:jc w:val="left"/>
              <w:rPr>
                <w:i/>
                <w:iCs/>
                <w:spacing w:val="4"/>
                <w:w w:val="103"/>
                <w:kern w:val="14"/>
                <w:sz w:val="16"/>
                <w:lang w:val="fr-FR"/>
              </w:rPr>
            </w:pPr>
          </w:p>
        </w:tc>
        <w:tc>
          <w:tcPr>
            <w:tcW w:w="68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2014</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2015</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2016</w:t>
            </w:r>
          </w:p>
        </w:tc>
        <w:tc>
          <w:tcPr>
            <w:tcW w:w="68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2017</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2018</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2019</w:t>
            </w:r>
            <w:r w:rsidRPr="008F64E5">
              <w:rPr>
                <w:bCs/>
                <w:iCs/>
                <w:spacing w:val="4"/>
                <w:w w:val="103"/>
                <w:kern w:val="14"/>
                <w:sz w:val="18"/>
                <w:szCs w:val="18"/>
                <w:lang w:val="fr-FR"/>
              </w:rPr>
              <w:t>*</w:t>
            </w:r>
          </w:p>
        </w:tc>
      </w:tr>
      <w:tr w:rsidR="001771B8" w:rsidRPr="00262910" w:rsidTr="001771B8">
        <w:tc>
          <w:tcPr>
            <w:tcW w:w="862" w:type="pct"/>
            <w:tcBorders>
              <w:top w:val="single" w:sz="12" w:space="0" w:color="auto"/>
            </w:tcBorders>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Turquie</w:t>
            </w:r>
          </w:p>
        </w:tc>
        <w:tc>
          <w:tcPr>
            <w:tcW w:w="689"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15</w:t>
            </w:r>
          </w:p>
        </w:tc>
        <w:tc>
          <w:tcPr>
            <w:tcW w:w="690"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32</w:t>
            </w:r>
          </w:p>
        </w:tc>
        <w:tc>
          <w:tcPr>
            <w:tcW w:w="690"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29</w:t>
            </w:r>
          </w:p>
        </w:tc>
        <w:tc>
          <w:tcPr>
            <w:tcW w:w="689"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71</w:t>
            </w:r>
          </w:p>
        </w:tc>
        <w:tc>
          <w:tcPr>
            <w:tcW w:w="690"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320</w:t>
            </w:r>
          </w:p>
        </w:tc>
        <w:tc>
          <w:tcPr>
            <w:tcW w:w="690"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24</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Syrie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339</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2 654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256</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464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210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72</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Érythrée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686</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809</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239</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353</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116</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28</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Iran</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38</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402</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58</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39</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51</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12</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Iraq</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67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733</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79</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60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53</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10</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Afghanistan</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125</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1 074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113</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53</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Apatrides</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223</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326</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82</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36</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17</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Albanie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79</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148</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43</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21</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9</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Russie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109</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52</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34</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13</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Somalie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327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195</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75</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18</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Éthiopie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150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194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72</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14</w:t>
            </w:r>
          </w:p>
        </w:tc>
      </w:tr>
      <w:tr w:rsidR="001771B8" w:rsidRPr="00262910" w:rsidTr="001771B8">
        <w:tc>
          <w:tcPr>
            <w:tcW w:w="862" w:type="pct"/>
            <w:tcBorders>
              <w:bottom w:val="single" w:sz="4" w:space="0" w:color="auto"/>
            </w:tcBorders>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Autres</w:t>
            </w:r>
          </w:p>
        </w:tc>
        <w:tc>
          <w:tcPr>
            <w:tcW w:w="689"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699</w:t>
            </w:r>
          </w:p>
        </w:tc>
        <w:tc>
          <w:tcPr>
            <w:tcW w:w="690"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596</w:t>
            </w:r>
          </w:p>
        </w:tc>
        <w:tc>
          <w:tcPr>
            <w:tcW w:w="690"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237</w:t>
            </w:r>
          </w:p>
        </w:tc>
        <w:tc>
          <w:tcPr>
            <w:tcW w:w="689"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244</w:t>
            </w:r>
          </w:p>
        </w:tc>
        <w:tc>
          <w:tcPr>
            <w:tcW w:w="690"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197</w:t>
            </w:r>
          </w:p>
        </w:tc>
        <w:tc>
          <w:tcPr>
            <w:tcW w:w="690"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71</w:t>
            </w:r>
          </w:p>
        </w:tc>
      </w:tr>
      <w:tr w:rsidR="001771B8" w:rsidRPr="00262910" w:rsidTr="001771B8">
        <w:tc>
          <w:tcPr>
            <w:tcW w:w="862" w:type="pct"/>
            <w:tcBorders>
              <w:top w:val="single" w:sz="4" w:space="0" w:color="auto"/>
              <w:bottom w:val="single" w:sz="12" w:space="0" w:color="auto"/>
            </w:tcBorders>
            <w:shd w:val="clear" w:color="auto" w:fill="auto"/>
            <w:noWrap/>
          </w:tcPr>
          <w:p w:rsidR="001771B8" w:rsidRPr="00262910" w:rsidRDefault="001771B8" w:rsidP="001771B8">
            <w:pPr>
              <w:pStyle w:val="SingleTxtG"/>
              <w:suppressAutoHyphens w:val="0"/>
              <w:spacing w:before="80" w:after="80" w:line="220" w:lineRule="exact"/>
              <w:ind w:left="283" w:right="0"/>
              <w:jc w:val="left"/>
              <w:rPr>
                <w:b/>
                <w:iCs/>
                <w:sz w:val="18"/>
                <w:lang w:val="fr-FR"/>
              </w:rPr>
            </w:pPr>
            <w:r w:rsidRPr="00262910">
              <w:rPr>
                <w:b/>
                <w:bCs/>
                <w:sz w:val="18"/>
                <w:lang w:val="fr-FR"/>
              </w:rPr>
              <w:t>Total</w:t>
            </w:r>
          </w:p>
        </w:tc>
        <w:tc>
          <w:tcPr>
            <w:tcW w:w="68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bCs/>
                <w:sz w:val="18"/>
                <w:lang w:val="fr-FR"/>
              </w:rPr>
            </w:pPr>
            <w:r w:rsidRPr="00262910">
              <w:rPr>
                <w:b/>
                <w:bCs/>
                <w:sz w:val="18"/>
                <w:lang w:val="fr-FR"/>
              </w:rPr>
              <w:t>2 857</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bCs/>
                <w:sz w:val="18"/>
                <w:lang w:val="fr-FR"/>
              </w:rPr>
            </w:pPr>
            <w:r w:rsidRPr="00262910">
              <w:rPr>
                <w:b/>
                <w:bCs/>
                <w:sz w:val="18"/>
                <w:lang w:val="fr-FR"/>
              </w:rPr>
              <w:t>7 215</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bCs/>
                <w:sz w:val="18"/>
                <w:lang w:val="fr-FR"/>
              </w:rPr>
            </w:pPr>
            <w:r w:rsidRPr="00262910">
              <w:rPr>
                <w:b/>
                <w:bCs/>
                <w:sz w:val="18"/>
                <w:lang w:val="fr-FR"/>
              </w:rPr>
              <w:t>1 317</w:t>
            </w:r>
          </w:p>
        </w:tc>
        <w:tc>
          <w:tcPr>
            <w:tcW w:w="68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bCs/>
                <w:sz w:val="18"/>
                <w:lang w:val="fr-FR"/>
              </w:rPr>
            </w:pPr>
            <w:r w:rsidRPr="00262910">
              <w:rPr>
                <w:b/>
                <w:bCs/>
                <w:sz w:val="18"/>
                <w:lang w:val="fr-FR"/>
              </w:rPr>
              <w:t>1 469</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bCs/>
                <w:sz w:val="18"/>
                <w:lang w:val="fr-FR"/>
              </w:rPr>
            </w:pPr>
            <w:r w:rsidRPr="00262910">
              <w:rPr>
                <w:b/>
                <w:bCs/>
                <w:sz w:val="18"/>
                <w:lang w:val="fr-FR"/>
              </w:rPr>
              <w:t>1 090</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bCs/>
                <w:sz w:val="18"/>
                <w:lang w:val="fr-FR"/>
              </w:rPr>
            </w:pPr>
            <w:r w:rsidRPr="00262910">
              <w:rPr>
                <w:b/>
                <w:bCs/>
                <w:sz w:val="18"/>
                <w:lang w:val="fr-FR"/>
              </w:rPr>
              <w:t>277</w:t>
            </w:r>
          </w:p>
        </w:tc>
      </w:tr>
    </w:tbl>
    <w:p w:rsidR="001771B8" w:rsidRPr="00262910" w:rsidRDefault="005E215C" w:rsidP="005E215C">
      <w:pPr>
        <w:pStyle w:val="H23G"/>
        <w:rPr>
          <w:lang w:val="fr-FR"/>
        </w:rPr>
      </w:pPr>
      <w:r>
        <w:rPr>
          <w:lang w:val="fr-FR"/>
        </w:rPr>
        <w:tab/>
      </w:r>
      <w:r>
        <w:rPr>
          <w:lang w:val="fr-FR"/>
        </w:rPr>
        <w:tab/>
      </w:r>
      <w:r w:rsidR="001771B8" w:rsidRPr="00262910">
        <w:rPr>
          <w:lang w:val="fr-FR"/>
        </w:rPr>
        <w:t>Demandes d</w:t>
      </w:r>
      <w:r w:rsidR="001771B8">
        <w:rPr>
          <w:lang w:val="fr-FR"/>
        </w:rPr>
        <w:t>’</w:t>
      </w:r>
      <w:r w:rsidR="001771B8" w:rsidRPr="00262910">
        <w:rPr>
          <w:lang w:val="fr-FR"/>
        </w:rPr>
        <w:t xml:space="preserve">asile accordées </w:t>
      </w:r>
      <w:r>
        <w:rPr>
          <w:lang w:val="fr-FR"/>
        </w:rPr>
        <w:t>−</w:t>
      </w:r>
      <w:r w:rsidR="001771B8" w:rsidRPr="00262910">
        <w:rPr>
          <w:lang w:val="fr-FR"/>
        </w:rPr>
        <w:t xml:space="preserve"> total</w:t>
      </w:r>
    </w:p>
    <w:tbl>
      <w:tblPr>
        <w:tblW w:w="7370" w:type="dxa"/>
        <w:tblInd w:w="1134" w:type="dxa"/>
        <w:tblLayout w:type="fixed"/>
        <w:tblCellMar>
          <w:left w:w="0" w:type="dxa"/>
          <w:right w:w="0" w:type="dxa"/>
        </w:tblCellMar>
        <w:tblLook w:val="04A0" w:firstRow="1" w:lastRow="0" w:firstColumn="1" w:lastColumn="0" w:noHBand="0" w:noVBand="1"/>
      </w:tblPr>
      <w:tblGrid>
        <w:gridCol w:w="1270"/>
        <w:gridCol w:w="1016"/>
        <w:gridCol w:w="1017"/>
        <w:gridCol w:w="1017"/>
        <w:gridCol w:w="1016"/>
        <w:gridCol w:w="1017"/>
        <w:gridCol w:w="1017"/>
      </w:tblGrid>
      <w:tr w:rsidR="001771B8" w:rsidRPr="00262910" w:rsidTr="001771B8">
        <w:trPr>
          <w:tblHeader/>
        </w:trPr>
        <w:tc>
          <w:tcPr>
            <w:tcW w:w="862" w:type="pct"/>
            <w:tcBorders>
              <w:top w:val="single" w:sz="4" w:space="0" w:color="auto"/>
              <w:bottom w:val="single" w:sz="12" w:space="0" w:color="auto"/>
            </w:tcBorders>
            <w:shd w:val="clear" w:color="auto" w:fill="auto"/>
            <w:noWrap/>
          </w:tcPr>
          <w:p w:rsidR="001771B8" w:rsidRPr="00262910" w:rsidRDefault="001771B8" w:rsidP="001771B8">
            <w:pPr>
              <w:pStyle w:val="SingleTxtG"/>
              <w:suppressAutoHyphens w:val="0"/>
              <w:spacing w:before="80" w:after="80" w:line="200" w:lineRule="exact"/>
              <w:ind w:left="0" w:right="0"/>
              <w:jc w:val="left"/>
              <w:rPr>
                <w:bCs/>
                <w:i/>
                <w:spacing w:val="4"/>
                <w:w w:val="103"/>
                <w:kern w:val="14"/>
                <w:sz w:val="16"/>
                <w:lang w:val="fr-FR"/>
              </w:rPr>
            </w:pPr>
          </w:p>
        </w:tc>
        <w:tc>
          <w:tcPr>
            <w:tcW w:w="68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2014</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2015</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2016</w:t>
            </w:r>
          </w:p>
        </w:tc>
        <w:tc>
          <w:tcPr>
            <w:tcW w:w="68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2017</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2018</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2019</w:t>
            </w:r>
            <w:r w:rsidRPr="005E215C">
              <w:rPr>
                <w:bCs/>
                <w:iCs/>
                <w:spacing w:val="4"/>
                <w:w w:val="103"/>
                <w:kern w:val="14"/>
                <w:sz w:val="18"/>
                <w:szCs w:val="18"/>
                <w:lang w:val="fr-FR"/>
              </w:rPr>
              <w:t>*</w:t>
            </w:r>
          </w:p>
        </w:tc>
      </w:tr>
      <w:tr w:rsidR="001771B8" w:rsidRPr="00262910" w:rsidTr="001771B8">
        <w:tc>
          <w:tcPr>
            <w:tcW w:w="862" w:type="pct"/>
            <w:tcBorders>
              <w:top w:val="single" w:sz="12" w:space="0" w:color="auto"/>
            </w:tcBorders>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Turquie</w:t>
            </w:r>
          </w:p>
        </w:tc>
        <w:tc>
          <w:tcPr>
            <w:tcW w:w="689"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10</w:t>
            </w:r>
          </w:p>
        </w:tc>
        <w:tc>
          <w:tcPr>
            <w:tcW w:w="690"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13</w:t>
            </w:r>
          </w:p>
        </w:tc>
        <w:tc>
          <w:tcPr>
            <w:tcW w:w="690"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w:t>
            </w:r>
          </w:p>
        </w:tc>
        <w:tc>
          <w:tcPr>
            <w:tcW w:w="689"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129</w:t>
            </w:r>
          </w:p>
        </w:tc>
        <w:tc>
          <w:tcPr>
            <w:tcW w:w="690"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70</w:t>
            </w:r>
          </w:p>
        </w:tc>
        <w:tc>
          <w:tcPr>
            <w:tcW w:w="690"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232</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Syrie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1 247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1 551</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7 414</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1 869</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577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126</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Érythrée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1 912</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2 615</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1 636</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779</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496</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56</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Iran</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46</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505</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218</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6</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Iraq</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26</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249</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427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26</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8</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Afghanistan</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301</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606</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1 494</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753</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70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20</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Apatrides</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410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442</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540</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237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15</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Albanie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0</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Russie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15</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13</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9</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8</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Somalie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492</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190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103</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69</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23</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Éthiopie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155</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215</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245</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73</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28</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w:t>
            </w:r>
          </w:p>
        </w:tc>
      </w:tr>
      <w:tr w:rsidR="001771B8" w:rsidRPr="00262910" w:rsidTr="001771B8">
        <w:tc>
          <w:tcPr>
            <w:tcW w:w="862" w:type="pct"/>
            <w:tcBorders>
              <w:bottom w:val="single" w:sz="4" w:space="0" w:color="auto"/>
            </w:tcBorders>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Autres</w:t>
            </w:r>
          </w:p>
        </w:tc>
        <w:tc>
          <w:tcPr>
            <w:tcW w:w="689"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314</w:t>
            </w:r>
          </w:p>
        </w:tc>
        <w:tc>
          <w:tcPr>
            <w:tcW w:w="690"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546</w:t>
            </w:r>
          </w:p>
        </w:tc>
        <w:tc>
          <w:tcPr>
            <w:tcW w:w="690"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575</w:t>
            </w:r>
          </w:p>
        </w:tc>
        <w:tc>
          <w:tcPr>
            <w:tcW w:w="689"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186</w:t>
            </w:r>
          </w:p>
        </w:tc>
        <w:tc>
          <w:tcPr>
            <w:tcW w:w="690"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60</w:t>
            </w:r>
          </w:p>
        </w:tc>
        <w:tc>
          <w:tcPr>
            <w:tcW w:w="690"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36</w:t>
            </w:r>
          </w:p>
        </w:tc>
      </w:tr>
      <w:tr w:rsidR="001771B8" w:rsidRPr="00262910" w:rsidTr="001771B8">
        <w:tc>
          <w:tcPr>
            <w:tcW w:w="862" w:type="pct"/>
            <w:tcBorders>
              <w:top w:val="single" w:sz="4" w:space="0" w:color="auto"/>
              <w:bottom w:val="single" w:sz="12" w:space="0" w:color="auto"/>
            </w:tcBorders>
            <w:shd w:val="clear" w:color="auto" w:fill="auto"/>
            <w:noWrap/>
          </w:tcPr>
          <w:p w:rsidR="001771B8" w:rsidRPr="00262910" w:rsidRDefault="001771B8" w:rsidP="001771B8">
            <w:pPr>
              <w:pStyle w:val="SingleTxtG"/>
              <w:suppressAutoHyphens w:val="0"/>
              <w:spacing w:before="80" w:after="80" w:line="220" w:lineRule="exact"/>
              <w:ind w:left="283" w:right="0"/>
              <w:jc w:val="left"/>
              <w:rPr>
                <w:b/>
                <w:bCs/>
                <w:sz w:val="18"/>
                <w:lang w:val="fr-FR"/>
              </w:rPr>
            </w:pPr>
            <w:r w:rsidRPr="00262910">
              <w:rPr>
                <w:b/>
                <w:bCs/>
                <w:sz w:val="18"/>
                <w:lang w:val="fr-FR"/>
              </w:rPr>
              <w:t>Total</w:t>
            </w:r>
          </w:p>
        </w:tc>
        <w:tc>
          <w:tcPr>
            <w:tcW w:w="68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bCs/>
                <w:sz w:val="18"/>
                <w:lang w:val="fr-FR"/>
              </w:rPr>
            </w:pPr>
            <w:r w:rsidRPr="00262910">
              <w:rPr>
                <w:b/>
                <w:bCs/>
                <w:sz w:val="18"/>
                <w:lang w:val="fr-FR"/>
              </w:rPr>
              <w:t>4 929</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bCs/>
                <w:sz w:val="18"/>
                <w:lang w:val="fr-FR"/>
              </w:rPr>
            </w:pPr>
            <w:r w:rsidRPr="00262910">
              <w:rPr>
                <w:b/>
                <w:bCs/>
                <w:sz w:val="18"/>
                <w:lang w:val="fr-FR"/>
              </w:rPr>
              <w:t>6 267</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bCs/>
                <w:sz w:val="18"/>
                <w:lang w:val="fr-FR"/>
              </w:rPr>
            </w:pPr>
            <w:r w:rsidRPr="00262910">
              <w:rPr>
                <w:b/>
                <w:bCs/>
                <w:sz w:val="18"/>
                <w:lang w:val="fr-FR"/>
              </w:rPr>
              <w:t>12 771</w:t>
            </w:r>
          </w:p>
        </w:tc>
        <w:tc>
          <w:tcPr>
            <w:tcW w:w="68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bCs/>
                <w:sz w:val="18"/>
                <w:lang w:val="fr-FR"/>
              </w:rPr>
            </w:pPr>
            <w:r w:rsidRPr="00262910">
              <w:rPr>
                <w:b/>
                <w:bCs/>
                <w:sz w:val="18"/>
                <w:lang w:val="fr-FR"/>
              </w:rPr>
              <w:t>4 754</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bCs/>
                <w:sz w:val="18"/>
                <w:lang w:val="fr-FR"/>
              </w:rPr>
            </w:pPr>
            <w:r w:rsidRPr="00262910">
              <w:rPr>
                <w:b/>
                <w:bCs/>
                <w:sz w:val="18"/>
                <w:lang w:val="fr-FR"/>
              </w:rPr>
              <w:t>1 459</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bCs/>
                <w:sz w:val="18"/>
                <w:lang w:val="fr-FR"/>
              </w:rPr>
            </w:pPr>
            <w:r w:rsidRPr="00262910">
              <w:rPr>
                <w:b/>
                <w:bCs/>
                <w:sz w:val="18"/>
                <w:lang w:val="fr-FR"/>
              </w:rPr>
              <w:t>511</w:t>
            </w:r>
          </w:p>
        </w:tc>
      </w:tr>
    </w:tbl>
    <w:p w:rsidR="001771B8" w:rsidRPr="00262910" w:rsidRDefault="005E215C" w:rsidP="005E215C">
      <w:pPr>
        <w:pStyle w:val="H23G"/>
        <w:rPr>
          <w:lang w:val="fr-FR"/>
        </w:rPr>
      </w:pPr>
      <w:r>
        <w:rPr>
          <w:lang w:val="fr-FR"/>
        </w:rPr>
        <w:tab/>
      </w:r>
      <w:r>
        <w:rPr>
          <w:lang w:val="fr-FR"/>
        </w:rPr>
        <w:tab/>
      </w:r>
      <w:r w:rsidR="001771B8" w:rsidRPr="00262910">
        <w:rPr>
          <w:lang w:val="fr-FR"/>
        </w:rPr>
        <w:t>Demande</w:t>
      </w:r>
      <w:r w:rsidR="001771B8">
        <w:rPr>
          <w:lang w:val="fr-FR"/>
        </w:rPr>
        <w:t>s</w:t>
      </w:r>
      <w:r w:rsidR="001771B8" w:rsidRPr="00262910">
        <w:rPr>
          <w:lang w:val="fr-FR"/>
        </w:rPr>
        <w:t xml:space="preserve"> d</w:t>
      </w:r>
      <w:r w:rsidR="001771B8">
        <w:rPr>
          <w:lang w:val="fr-FR"/>
        </w:rPr>
        <w:t>’</w:t>
      </w:r>
      <w:r w:rsidR="001771B8" w:rsidRPr="00262910">
        <w:rPr>
          <w:lang w:val="fr-FR"/>
        </w:rPr>
        <w:t>asile accordée</w:t>
      </w:r>
      <w:r w:rsidR="001771B8">
        <w:rPr>
          <w:lang w:val="fr-FR"/>
        </w:rPr>
        <w:t>s</w:t>
      </w:r>
      <w:r w:rsidR="001771B8" w:rsidRPr="00262910">
        <w:rPr>
          <w:lang w:val="fr-FR"/>
        </w:rPr>
        <w:t xml:space="preserve"> </w:t>
      </w:r>
      <w:r>
        <w:rPr>
          <w:lang w:val="fr-FR"/>
        </w:rPr>
        <w:t>−</w:t>
      </w:r>
      <w:r w:rsidR="001771B8" w:rsidRPr="00262910">
        <w:rPr>
          <w:lang w:val="fr-FR"/>
        </w:rPr>
        <w:t xml:space="preserve"> homme</w:t>
      </w:r>
      <w:r w:rsidR="001771B8">
        <w:rPr>
          <w:lang w:val="fr-FR"/>
        </w:rPr>
        <w:t>s</w:t>
      </w:r>
    </w:p>
    <w:tbl>
      <w:tblPr>
        <w:tblW w:w="7370" w:type="dxa"/>
        <w:tblInd w:w="1134" w:type="dxa"/>
        <w:tblLayout w:type="fixed"/>
        <w:tblCellMar>
          <w:left w:w="0" w:type="dxa"/>
          <w:right w:w="0" w:type="dxa"/>
        </w:tblCellMar>
        <w:tblLook w:val="04A0" w:firstRow="1" w:lastRow="0" w:firstColumn="1" w:lastColumn="0" w:noHBand="0" w:noVBand="1"/>
      </w:tblPr>
      <w:tblGrid>
        <w:gridCol w:w="1270"/>
        <w:gridCol w:w="1016"/>
        <w:gridCol w:w="1017"/>
        <w:gridCol w:w="1017"/>
        <w:gridCol w:w="1016"/>
        <w:gridCol w:w="1017"/>
        <w:gridCol w:w="1017"/>
      </w:tblGrid>
      <w:tr w:rsidR="001771B8" w:rsidRPr="00262910" w:rsidTr="001771B8">
        <w:tc>
          <w:tcPr>
            <w:tcW w:w="862" w:type="pct"/>
            <w:tcBorders>
              <w:top w:val="single" w:sz="4" w:space="0" w:color="auto"/>
              <w:bottom w:val="single" w:sz="12" w:space="0" w:color="auto"/>
            </w:tcBorders>
            <w:shd w:val="clear" w:color="auto" w:fill="auto"/>
            <w:noWrap/>
          </w:tcPr>
          <w:p w:rsidR="001771B8" w:rsidRPr="00262910" w:rsidRDefault="001771B8" w:rsidP="001771B8">
            <w:pPr>
              <w:pStyle w:val="SingleTxtG"/>
              <w:suppressAutoHyphens w:val="0"/>
              <w:spacing w:before="80" w:after="80" w:line="200" w:lineRule="exact"/>
              <w:ind w:left="0" w:right="0"/>
              <w:jc w:val="left"/>
              <w:rPr>
                <w:bCs/>
                <w:i/>
                <w:spacing w:val="4"/>
                <w:w w:val="103"/>
                <w:kern w:val="14"/>
                <w:sz w:val="16"/>
                <w:lang w:val="fr-FR"/>
              </w:rPr>
            </w:pPr>
          </w:p>
        </w:tc>
        <w:tc>
          <w:tcPr>
            <w:tcW w:w="68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2014</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2015</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2016</w:t>
            </w:r>
          </w:p>
        </w:tc>
        <w:tc>
          <w:tcPr>
            <w:tcW w:w="68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2017</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2018</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2019</w:t>
            </w:r>
            <w:r w:rsidRPr="005E215C">
              <w:rPr>
                <w:bCs/>
                <w:iCs/>
                <w:spacing w:val="4"/>
                <w:w w:val="103"/>
                <w:kern w:val="14"/>
                <w:sz w:val="18"/>
                <w:szCs w:val="18"/>
                <w:lang w:val="fr-FR"/>
              </w:rPr>
              <w:t>*</w:t>
            </w:r>
          </w:p>
        </w:tc>
      </w:tr>
      <w:tr w:rsidR="001771B8" w:rsidRPr="00262910" w:rsidTr="001771B8">
        <w:tc>
          <w:tcPr>
            <w:tcW w:w="862" w:type="pct"/>
            <w:tcBorders>
              <w:top w:val="single" w:sz="12" w:space="0" w:color="auto"/>
            </w:tcBorders>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Turquie</w:t>
            </w:r>
          </w:p>
        </w:tc>
        <w:tc>
          <w:tcPr>
            <w:tcW w:w="689"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w:t>
            </w:r>
          </w:p>
        </w:tc>
        <w:tc>
          <w:tcPr>
            <w:tcW w:w="690"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w:t>
            </w:r>
          </w:p>
        </w:tc>
        <w:tc>
          <w:tcPr>
            <w:tcW w:w="690"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w:t>
            </w:r>
          </w:p>
        </w:tc>
        <w:tc>
          <w:tcPr>
            <w:tcW w:w="689"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72</w:t>
            </w:r>
          </w:p>
        </w:tc>
        <w:tc>
          <w:tcPr>
            <w:tcW w:w="690"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44</w:t>
            </w:r>
          </w:p>
        </w:tc>
        <w:tc>
          <w:tcPr>
            <w:tcW w:w="690"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138</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Syrie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1 004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1 279</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5 402</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1 315</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284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58</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Érythrée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1 496</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1 948</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1 146</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465</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275</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31</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Iran</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29</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337</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149</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23</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Iraq</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18</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16</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167</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284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12</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Afghanistan</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220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548</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1 359</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678</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55</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17</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Apatrides</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296</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295</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342</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142</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10</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Albanie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0</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Russie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6</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6</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Somalie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277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96</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48</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39</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Éthiopie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80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138</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161</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33</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w:t>
            </w:r>
          </w:p>
        </w:tc>
      </w:tr>
      <w:tr w:rsidR="001771B8" w:rsidRPr="00262910" w:rsidTr="001771B8">
        <w:tc>
          <w:tcPr>
            <w:tcW w:w="862" w:type="pct"/>
            <w:tcBorders>
              <w:bottom w:val="single" w:sz="4" w:space="0" w:color="auto"/>
            </w:tcBorders>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Autres</w:t>
            </w:r>
          </w:p>
        </w:tc>
        <w:tc>
          <w:tcPr>
            <w:tcW w:w="689"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203</w:t>
            </w:r>
          </w:p>
        </w:tc>
        <w:tc>
          <w:tcPr>
            <w:tcW w:w="690"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430</w:t>
            </w:r>
          </w:p>
        </w:tc>
        <w:tc>
          <w:tcPr>
            <w:tcW w:w="690"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445</w:t>
            </w:r>
          </w:p>
        </w:tc>
        <w:tc>
          <w:tcPr>
            <w:tcW w:w="689"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112</w:t>
            </w:r>
          </w:p>
        </w:tc>
        <w:tc>
          <w:tcPr>
            <w:tcW w:w="690"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27</w:t>
            </w:r>
          </w:p>
        </w:tc>
        <w:tc>
          <w:tcPr>
            <w:tcW w:w="690"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15</w:t>
            </w:r>
          </w:p>
        </w:tc>
      </w:tr>
      <w:tr w:rsidR="001771B8" w:rsidRPr="00262910" w:rsidTr="001771B8">
        <w:tc>
          <w:tcPr>
            <w:tcW w:w="862" w:type="pct"/>
            <w:tcBorders>
              <w:top w:val="single" w:sz="4" w:space="0" w:color="auto"/>
              <w:bottom w:val="single" w:sz="12" w:space="0" w:color="auto"/>
            </w:tcBorders>
            <w:shd w:val="clear" w:color="auto" w:fill="auto"/>
            <w:noWrap/>
          </w:tcPr>
          <w:p w:rsidR="001771B8" w:rsidRPr="00262910" w:rsidRDefault="001771B8" w:rsidP="001771B8">
            <w:pPr>
              <w:pStyle w:val="SingleTxtG"/>
              <w:suppressAutoHyphens w:val="0"/>
              <w:spacing w:before="80" w:after="80" w:line="220" w:lineRule="exact"/>
              <w:ind w:left="283" w:right="0"/>
              <w:jc w:val="left"/>
              <w:rPr>
                <w:b/>
                <w:bCs/>
                <w:sz w:val="18"/>
                <w:lang w:val="fr-FR"/>
              </w:rPr>
            </w:pPr>
            <w:r w:rsidRPr="00262910">
              <w:rPr>
                <w:b/>
                <w:bCs/>
                <w:sz w:val="18"/>
                <w:lang w:val="fr-FR"/>
              </w:rPr>
              <w:t>Total</w:t>
            </w:r>
          </w:p>
        </w:tc>
        <w:tc>
          <w:tcPr>
            <w:tcW w:w="68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bCs/>
                <w:sz w:val="18"/>
                <w:lang w:val="fr-FR"/>
              </w:rPr>
            </w:pPr>
            <w:r w:rsidRPr="00262910">
              <w:rPr>
                <w:b/>
                <w:bCs/>
                <w:sz w:val="18"/>
                <w:lang w:val="fr-FR"/>
              </w:rPr>
              <w:t>3 635</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bCs/>
                <w:sz w:val="18"/>
                <w:lang w:val="fr-FR"/>
              </w:rPr>
            </w:pPr>
            <w:r w:rsidRPr="00262910">
              <w:rPr>
                <w:b/>
                <w:bCs/>
                <w:sz w:val="18"/>
                <w:lang w:val="fr-FR"/>
              </w:rPr>
              <w:t>4 787</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bCs/>
                <w:sz w:val="18"/>
                <w:lang w:val="fr-FR"/>
              </w:rPr>
            </w:pPr>
            <w:r w:rsidRPr="00262910">
              <w:rPr>
                <w:b/>
                <w:bCs/>
                <w:sz w:val="18"/>
                <w:lang w:val="fr-FR"/>
              </w:rPr>
              <w:t>9 413</w:t>
            </w:r>
          </w:p>
        </w:tc>
        <w:tc>
          <w:tcPr>
            <w:tcW w:w="68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bCs/>
                <w:sz w:val="18"/>
                <w:lang w:val="fr-FR"/>
              </w:rPr>
            </w:pPr>
            <w:r w:rsidRPr="00262910">
              <w:rPr>
                <w:b/>
                <w:bCs/>
                <w:sz w:val="18"/>
                <w:lang w:val="fr-FR"/>
              </w:rPr>
              <w:t>3 294</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bCs/>
                <w:sz w:val="18"/>
                <w:lang w:val="fr-FR"/>
              </w:rPr>
            </w:pPr>
            <w:r w:rsidRPr="00262910">
              <w:rPr>
                <w:b/>
                <w:bCs/>
                <w:sz w:val="18"/>
                <w:lang w:val="fr-FR"/>
              </w:rPr>
              <w:t>768</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bCs/>
                <w:sz w:val="18"/>
                <w:lang w:val="fr-FR"/>
              </w:rPr>
            </w:pPr>
            <w:r w:rsidRPr="00262910">
              <w:rPr>
                <w:b/>
                <w:bCs/>
                <w:sz w:val="18"/>
                <w:lang w:val="fr-FR"/>
              </w:rPr>
              <w:t>282</w:t>
            </w:r>
          </w:p>
        </w:tc>
      </w:tr>
    </w:tbl>
    <w:p w:rsidR="001771B8" w:rsidRPr="00262910" w:rsidRDefault="005E215C" w:rsidP="005E215C">
      <w:pPr>
        <w:pStyle w:val="H23G"/>
        <w:rPr>
          <w:lang w:val="fr-FR"/>
        </w:rPr>
      </w:pPr>
      <w:r>
        <w:rPr>
          <w:lang w:val="fr-FR"/>
        </w:rPr>
        <w:tab/>
      </w:r>
      <w:r>
        <w:rPr>
          <w:lang w:val="fr-FR"/>
        </w:rPr>
        <w:tab/>
      </w:r>
      <w:r w:rsidR="001771B8" w:rsidRPr="00262910">
        <w:rPr>
          <w:lang w:val="fr-FR"/>
        </w:rPr>
        <w:t>Demande</w:t>
      </w:r>
      <w:r w:rsidR="001771B8">
        <w:rPr>
          <w:lang w:val="fr-FR"/>
        </w:rPr>
        <w:t>s</w:t>
      </w:r>
      <w:r w:rsidR="001771B8" w:rsidRPr="00262910">
        <w:rPr>
          <w:lang w:val="fr-FR"/>
        </w:rPr>
        <w:t xml:space="preserve"> d</w:t>
      </w:r>
      <w:r w:rsidR="001771B8">
        <w:rPr>
          <w:lang w:val="fr-FR"/>
        </w:rPr>
        <w:t>’</w:t>
      </w:r>
      <w:r w:rsidR="001771B8" w:rsidRPr="00262910">
        <w:rPr>
          <w:lang w:val="fr-FR"/>
        </w:rPr>
        <w:t>asile accordée</w:t>
      </w:r>
      <w:r w:rsidR="001771B8">
        <w:rPr>
          <w:lang w:val="fr-FR"/>
        </w:rPr>
        <w:t>s</w:t>
      </w:r>
      <w:r w:rsidR="001771B8" w:rsidRPr="00262910">
        <w:rPr>
          <w:lang w:val="fr-FR"/>
        </w:rPr>
        <w:t xml:space="preserve"> </w:t>
      </w:r>
      <w:r>
        <w:rPr>
          <w:lang w:val="fr-FR"/>
        </w:rPr>
        <w:t>−</w:t>
      </w:r>
      <w:r w:rsidR="001771B8" w:rsidRPr="00262910">
        <w:rPr>
          <w:lang w:val="fr-FR"/>
        </w:rPr>
        <w:t xml:space="preserve"> femme</w:t>
      </w:r>
      <w:r w:rsidR="001771B8">
        <w:rPr>
          <w:lang w:val="fr-FR"/>
        </w:rPr>
        <w:t>s</w:t>
      </w:r>
    </w:p>
    <w:tbl>
      <w:tblPr>
        <w:tblW w:w="7370" w:type="dxa"/>
        <w:tblInd w:w="1134" w:type="dxa"/>
        <w:tblLayout w:type="fixed"/>
        <w:tblCellMar>
          <w:left w:w="0" w:type="dxa"/>
          <w:right w:w="0" w:type="dxa"/>
        </w:tblCellMar>
        <w:tblLook w:val="04A0" w:firstRow="1" w:lastRow="0" w:firstColumn="1" w:lastColumn="0" w:noHBand="0" w:noVBand="1"/>
      </w:tblPr>
      <w:tblGrid>
        <w:gridCol w:w="1270"/>
        <w:gridCol w:w="1016"/>
        <w:gridCol w:w="1017"/>
        <w:gridCol w:w="1017"/>
        <w:gridCol w:w="1016"/>
        <w:gridCol w:w="1017"/>
        <w:gridCol w:w="1017"/>
      </w:tblGrid>
      <w:tr w:rsidR="001771B8" w:rsidRPr="00262910" w:rsidTr="001771B8">
        <w:tc>
          <w:tcPr>
            <w:tcW w:w="862" w:type="pct"/>
            <w:tcBorders>
              <w:top w:val="single" w:sz="4" w:space="0" w:color="auto"/>
              <w:bottom w:val="single" w:sz="12" w:space="0" w:color="auto"/>
            </w:tcBorders>
            <w:shd w:val="clear" w:color="auto" w:fill="auto"/>
            <w:noWrap/>
          </w:tcPr>
          <w:p w:rsidR="001771B8" w:rsidRPr="00262910" w:rsidRDefault="001771B8" w:rsidP="001771B8">
            <w:pPr>
              <w:pStyle w:val="SingleTxtG"/>
              <w:suppressAutoHyphens w:val="0"/>
              <w:spacing w:before="80" w:after="80" w:line="200" w:lineRule="exact"/>
              <w:ind w:left="0" w:right="0"/>
              <w:jc w:val="left"/>
              <w:rPr>
                <w:bCs/>
                <w:i/>
                <w:spacing w:val="4"/>
                <w:w w:val="103"/>
                <w:kern w:val="14"/>
                <w:sz w:val="16"/>
                <w:lang w:val="fr-FR"/>
              </w:rPr>
            </w:pPr>
          </w:p>
        </w:tc>
        <w:tc>
          <w:tcPr>
            <w:tcW w:w="68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2014</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2015</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2016</w:t>
            </w:r>
          </w:p>
        </w:tc>
        <w:tc>
          <w:tcPr>
            <w:tcW w:w="68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2017</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2018</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2019</w:t>
            </w:r>
            <w:r w:rsidRPr="005E215C">
              <w:rPr>
                <w:bCs/>
                <w:iCs/>
                <w:spacing w:val="4"/>
                <w:w w:val="103"/>
                <w:kern w:val="14"/>
                <w:sz w:val="18"/>
                <w:szCs w:val="18"/>
                <w:lang w:val="fr-FR"/>
              </w:rPr>
              <w:t>*</w:t>
            </w:r>
          </w:p>
        </w:tc>
      </w:tr>
      <w:tr w:rsidR="001771B8" w:rsidRPr="00262910" w:rsidTr="001771B8">
        <w:tc>
          <w:tcPr>
            <w:tcW w:w="862" w:type="pct"/>
            <w:tcBorders>
              <w:top w:val="single" w:sz="12" w:space="0" w:color="auto"/>
            </w:tcBorders>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Turquie</w:t>
            </w:r>
          </w:p>
        </w:tc>
        <w:tc>
          <w:tcPr>
            <w:tcW w:w="689"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w:t>
            </w:r>
          </w:p>
        </w:tc>
        <w:tc>
          <w:tcPr>
            <w:tcW w:w="690"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11</w:t>
            </w:r>
          </w:p>
        </w:tc>
        <w:tc>
          <w:tcPr>
            <w:tcW w:w="690"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w:t>
            </w:r>
          </w:p>
        </w:tc>
        <w:tc>
          <w:tcPr>
            <w:tcW w:w="689"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57</w:t>
            </w:r>
          </w:p>
        </w:tc>
        <w:tc>
          <w:tcPr>
            <w:tcW w:w="690"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26</w:t>
            </w:r>
          </w:p>
        </w:tc>
        <w:tc>
          <w:tcPr>
            <w:tcW w:w="690"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94</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Syrie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243</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272</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2 012</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554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293</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68</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Érythrée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416</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667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490</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314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221</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25</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Iran</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168</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69</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21</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Iraq</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8</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82</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143</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Afghanistan</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81</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58</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135</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75</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15</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Apatrides</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114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147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198</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95</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Albanie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0</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Russie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9</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Somalie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215</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94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55</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16</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Éthiopie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75</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77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84</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18</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w:t>
            </w:r>
          </w:p>
        </w:tc>
      </w:tr>
      <w:tr w:rsidR="001771B8" w:rsidRPr="00262910" w:rsidTr="001771B8">
        <w:tc>
          <w:tcPr>
            <w:tcW w:w="862" w:type="pct"/>
            <w:tcBorders>
              <w:bottom w:val="single" w:sz="4" w:space="0" w:color="auto"/>
            </w:tcBorders>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Autres</w:t>
            </w:r>
          </w:p>
        </w:tc>
        <w:tc>
          <w:tcPr>
            <w:tcW w:w="689"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111</w:t>
            </w:r>
          </w:p>
        </w:tc>
        <w:tc>
          <w:tcPr>
            <w:tcW w:w="690"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116</w:t>
            </w:r>
          </w:p>
        </w:tc>
        <w:tc>
          <w:tcPr>
            <w:tcW w:w="690"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130</w:t>
            </w:r>
          </w:p>
        </w:tc>
        <w:tc>
          <w:tcPr>
            <w:tcW w:w="689"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74</w:t>
            </w:r>
          </w:p>
        </w:tc>
        <w:tc>
          <w:tcPr>
            <w:tcW w:w="690"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33</w:t>
            </w:r>
          </w:p>
        </w:tc>
        <w:tc>
          <w:tcPr>
            <w:tcW w:w="690"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21</w:t>
            </w:r>
          </w:p>
        </w:tc>
      </w:tr>
      <w:tr w:rsidR="001771B8" w:rsidRPr="00262910" w:rsidTr="001771B8">
        <w:tc>
          <w:tcPr>
            <w:tcW w:w="862" w:type="pct"/>
            <w:tcBorders>
              <w:top w:val="single" w:sz="4" w:space="0" w:color="auto"/>
              <w:bottom w:val="single" w:sz="12" w:space="0" w:color="auto"/>
            </w:tcBorders>
            <w:shd w:val="clear" w:color="auto" w:fill="auto"/>
            <w:noWrap/>
          </w:tcPr>
          <w:p w:rsidR="001771B8" w:rsidRPr="00262910" w:rsidRDefault="001771B8" w:rsidP="001771B8">
            <w:pPr>
              <w:pStyle w:val="SingleTxtG"/>
              <w:suppressAutoHyphens w:val="0"/>
              <w:spacing w:before="80" w:after="80" w:line="220" w:lineRule="exact"/>
              <w:ind w:left="283" w:right="0"/>
              <w:jc w:val="left"/>
              <w:rPr>
                <w:b/>
                <w:sz w:val="18"/>
                <w:lang w:val="fr-FR"/>
              </w:rPr>
            </w:pPr>
            <w:r w:rsidRPr="00262910">
              <w:rPr>
                <w:b/>
                <w:bCs/>
                <w:sz w:val="18"/>
                <w:lang w:val="fr-FR"/>
              </w:rPr>
              <w:t>Total</w:t>
            </w:r>
          </w:p>
        </w:tc>
        <w:tc>
          <w:tcPr>
            <w:tcW w:w="68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sz w:val="18"/>
                <w:lang w:val="fr-FR"/>
              </w:rPr>
            </w:pPr>
            <w:r w:rsidRPr="00262910">
              <w:rPr>
                <w:b/>
                <w:bCs/>
                <w:sz w:val="18"/>
                <w:lang w:val="fr-FR"/>
              </w:rPr>
              <w:t>1 294</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sz w:val="18"/>
                <w:lang w:val="fr-FR"/>
              </w:rPr>
            </w:pPr>
            <w:r w:rsidRPr="00262910">
              <w:rPr>
                <w:b/>
                <w:bCs/>
                <w:sz w:val="18"/>
                <w:lang w:val="fr-FR"/>
              </w:rPr>
              <w:t>1 480</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sz w:val="18"/>
                <w:lang w:val="fr-FR"/>
              </w:rPr>
            </w:pPr>
            <w:r w:rsidRPr="00262910">
              <w:rPr>
                <w:b/>
                <w:bCs/>
                <w:sz w:val="18"/>
                <w:lang w:val="fr-FR"/>
              </w:rPr>
              <w:t>3 358</w:t>
            </w:r>
          </w:p>
        </w:tc>
        <w:tc>
          <w:tcPr>
            <w:tcW w:w="68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sz w:val="18"/>
                <w:lang w:val="fr-FR"/>
              </w:rPr>
            </w:pPr>
            <w:r w:rsidRPr="00262910">
              <w:rPr>
                <w:b/>
                <w:bCs/>
                <w:sz w:val="18"/>
                <w:lang w:val="fr-FR"/>
              </w:rPr>
              <w:t>1 460</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sz w:val="18"/>
                <w:lang w:val="fr-FR"/>
              </w:rPr>
            </w:pPr>
            <w:r w:rsidRPr="00262910">
              <w:rPr>
                <w:b/>
                <w:bCs/>
                <w:sz w:val="18"/>
                <w:lang w:val="fr-FR"/>
              </w:rPr>
              <w:t>691</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sz w:val="18"/>
                <w:lang w:val="fr-FR"/>
              </w:rPr>
            </w:pPr>
            <w:r w:rsidRPr="00262910">
              <w:rPr>
                <w:b/>
                <w:bCs/>
                <w:sz w:val="18"/>
                <w:lang w:val="fr-FR"/>
              </w:rPr>
              <w:t>229</w:t>
            </w:r>
          </w:p>
        </w:tc>
      </w:tr>
    </w:tbl>
    <w:p w:rsidR="001771B8" w:rsidRPr="00262910" w:rsidRDefault="005E215C" w:rsidP="005E215C">
      <w:pPr>
        <w:pStyle w:val="H23G"/>
        <w:rPr>
          <w:lang w:val="fr-FR"/>
        </w:rPr>
      </w:pPr>
      <w:r>
        <w:rPr>
          <w:lang w:val="fr-FR"/>
        </w:rPr>
        <w:tab/>
      </w:r>
      <w:r>
        <w:rPr>
          <w:lang w:val="fr-FR"/>
        </w:rPr>
        <w:tab/>
      </w:r>
      <w:r w:rsidR="001771B8">
        <w:rPr>
          <w:lang w:val="fr-FR"/>
        </w:rPr>
        <w:t>Recours après rejet</w:t>
      </w:r>
      <w:r>
        <w:rPr>
          <w:lang w:val="fr-FR"/>
        </w:rPr>
        <w:t xml:space="preserve"> −</w:t>
      </w:r>
      <w:r w:rsidR="001771B8" w:rsidRPr="00262910">
        <w:rPr>
          <w:lang w:val="fr-FR"/>
        </w:rPr>
        <w:t xml:space="preserve"> total</w:t>
      </w:r>
    </w:p>
    <w:tbl>
      <w:tblPr>
        <w:tblW w:w="7370" w:type="dxa"/>
        <w:tblInd w:w="1134" w:type="dxa"/>
        <w:tblLayout w:type="fixed"/>
        <w:tblCellMar>
          <w:left w:w="0" w:type="dxa"/>
          <w:right w:w="0" w:type="dxa"/>
        </w:tblCellMar>
        <w:tblLook w:val="04A0" w:firstRow="1" w:lastRow="0" w:firstColumn="1" w:lastColumn="0" w:noHBand="0" w:noVBand="1"/>
      </w:tblPr>
      <w:tblGrid>
        <w:gridCol w:w="1270"/>
        <w:gridCol w:w="1016"/>
        <w:gridCol w:w="1017"/>
        <w:gridCol w:w="1017"/>
        <w:gridCol w:w="1016"/>
        <w:gridCol w:w="1017"/>
        <w:gridCol w:w="1017"/>
      </w:tblGrid>
      <w:tr w:rsidR="001771B8" w:rsidRPr="00262910" w:rsidTr="005E215C">
        <w:trPr>
          <w:tblHeader/>
        </w:trPr>
        <w:tc>
          <w:tcPr>
            <w:tcW w:w="862" w:type="pct"/>
            <w:tcBorders>
              <w:top w:val="single" w:sz="4" w:space="0" w:color="auto"/>
              <w:bottom w:val="single" w:sz="12" w:space="0" w:color="auto"/>
            </w:tcBorders>
            <w:shd w:val="clear" w:color="auto" w:fill="auto"/>
            <w:noWrap/>
          </w:tcPr>
          <w:p w:rsidR="001771B8" w:rsidRPr="00262910" w:rsidRDefault="001771B8" w:rsidP="001771B8">
            <w:pPr>
              <w:pStyle w:val="SingleTxtG"/>
              <w:suppressAutoHyphens w:val="0"/>
              <w:spacing w:before="80" w:after="80" w:line="200" w:lineRule="exact"/>
              <w:ind w:left="0" w:right="0"/>
              <w:jc w:val="left"/>
              <w:rPr>
                <w:bCs/>
                <w:i/>
                <w:spacing w:val="4"/>
                <w:w w:val="103"/>
                <w:kern w:val="14"/>
                <w:sz w:val="16"/>
                <w:lang w:val="fr-FR"/>
              </w:rPr>
            </w:pPr>
          </w:p>
        </w:tc>
        <w:tc>
          <w:tcPr>
            <w:tcW w:w="68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2014</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2015</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2016</w:t>
            </w:r>
          </w:p>
        </w:tc>
        <w:tc>
          <w:tcPr>
            <w:tcW w:w="68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2017</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2018</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2019</w:t>
            </w:r>
            <w:r w:rsidRPr="003D0F3B">
              <w:rPr>
                <w:bCs/>
                <w:iCs/>
                <w:spacing w:val="4"/>
                <w:w w:val="103"/>
                <w:kern w:val="14"/>
                <w:sz w:val="18"/>
                <w:szCs w:val="18"/>
                <w:lang w:val="fr-FR"/>
              </w:rPr>
              <w:t>*</w:t>
            </w:r>
          </w:p>
        </w:tc>
      </w:tr>
      <w:tr w:rsidR="001771B8" w:rsidRPr="00262910" w:rsidTr="001771B8">
        <w:tc>
          <w:tcPr>
            <w:tcW w:w="862" w:type="pct"/>
            <w:tcBorders>
              <w:top w:val="single" w:sz="12" w:space="0" w:color="auto"/>
            </w:tcBorders>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Turquie</w:t>
            </w:r>
          </w:p>
        </w:tc>
        <w:tc>
          <w:tcPr>
            <w:tcW w:w="689"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29</w:t>
            </w:r>
          </w:p>
        </w:tc>
        <w:tc>
          <w:tcPr>
            <w:tcW w:w="690"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55</w:t>
            </w:r>
          </w:p>
        </w:tc>
        <w:tc>
          <w:tcPr>
            <w:tcW w:w="690"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44</w:t>
            </w:r>
          </w:p>
        </w:tc>
        <w:tc>
          <w:tcPr>
            <w:tcW w:w="689"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32</w:t>
            </w:r>
          </w:p>
        </w:tc>
        <w:tc>
          <w:tcPr>
            <w:tcW w:w="690"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21</w:t>
            </w:r>
          </w:p>
        </w:tc>
        <w:tc>
          <w:tcPr>
            <w:tcW w:w="690"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17</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Syrie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249</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569</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83</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73</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14</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Érythrée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515</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260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425</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101</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78</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11</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Iran</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128</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68</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533</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229</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91</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33</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Iraq</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143</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116</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w:t>
            </w:r>
            <w:r w:rsidR="003D0F3B">
              <w:rPr>
                <w:sz w:val="18"/>
                <w:lang w:val="fr-FR"/>
              </w:rPr>
              <w:t xml:space="preserve"> </w:t>
            </w:r>
            <w:r w:rsidRPr="00262910">
              <w:rPr>
                <w:sz w:val="18"/>
                <w:lang w:val="fr-FR"/>
              </w:rPr>
              <w:t>192</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504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113</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25</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Afghanistan</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340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362</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w:t>
            </w:r>
            <w:r w:rsidR="003D0F3B">
              <w:rPr>
                <w:sz w:val="18"/>
                <w:lang w:val="fr-FR"/>
              </w:rPr>
              <w:t xml:space="preserve"> </w:t>
            </w:r>
            <w:r w:rsidRPr="00262910">
              <w:rPr>
                <w:sz w:val="18"/>
                <w:lang w:val="fr-FR"/>
              </w:rPr>
              <w:t>662</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w:t>
            </w:r>
            <w:r w:rsidR="003D0F3B">
              <w:rPr>
                <w:sz w:val="18"/>
                <w:lang w:val="fr-FR"/>
              </w:rPr>
              <w:t xml:space="preserve"> </w:t>
            </w:r>
            <w:r w:rsidRPr="00262910">
              <w:rPr>
                <w:sz w:val="18"/>
                <w:lang w:val="fr-FR"/>
              </w:rPr>
              <w:t>469</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145</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49</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Apatrides</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163</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112</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294</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79</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29</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35</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Albanie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168</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217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99</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29</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13</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Russie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237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106</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93</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43</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6</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Somalie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526</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353</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446</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88</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45</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20</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Éthiopie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123</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97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493</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165</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77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14</w:t>
            </w:r>
          </w:p>
        </w:tc>
      </w:tr>
      <w:tr w:rsidR="001771B8" w:rsidRPr="00262910" w:rsidTr="001771B8">
        <w:tc>
          <w:tcPr>
            <w:tcW w:w="862" w:type="pct"/>
            <w:tcBorders>
              <w:bottom w:val="single" w:sz="4" w:space="0" w:color="auto"/>
            </w:tcBorders>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Autres</w:t>
            </w:r>
          </w:p>
        </w:tc>
        <w:tc>
          <w:tcPr>
            <w:tcW w:w="689"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w:t>
            </w:r>
            <w:r w:rsidR="003D0F3B">
              <w:rPr>
                <w:sz w:val="18"/>
                <w:lang w:val="fr-FR"/>
              </w:rPr>
              <w:t xml:space="preserve"> </w:t>
            </w:r>
            <w:r w:rsidRPr="00262910">
              <w:rPr>
                <w:sz w:val="18"/>
                <w:lang w:val="fr-FR"/>
              </w:rPr>
              <w:t>256</w:t>
            </w:r>
          </w:p>
        </w:tc>
        <w:tc>
          <w:tcPr>
            <w:tcW w:w="690"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r w:rsidR="003D0F3B">
              <w:rPr>
                <w:sz w:val="18"/>
                <w:lang w:val="fr-FR"/>
              </w:rPr>
              <w:t xml:space="preserve"> </w:t>
            </w:r>
            <w:r w:rsidRPr="00262910">
              <w:rPr>
                <w:sz w:val="18"/>
                <w:lang w:val="fr-FR"/>
              </w:rPr>
              <w:t>346</w:t>
            </w:r>
          </w:p>
        </w:tc>
        <w:tc>
          <w:tcPr>
            <w:tcW w:w="690"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r w:rsidR="003D0F3B">
              <w:rPr>
                <w:sz w:val="18"/>
                <w:lang w:val="fr-FR"/>
              </w:rPr>
              <w:t xml:space="preserve"> </w:t>
            </w:r>
            <w:r w:rsidRPr="00262910">
              <w:rPr>
                <w:sz w:val="18"/>
                <w:lang w:val="fr-FR"/>
              </w:rPr>
              <w:t>459</w:t>
            </w:r>
          </w:p>
        </w:tc>
        <w:tc>
          <w:tcPr>
            <w:tcW w:w="689"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485</w:t>
            </w:r>
          </w:p>
        </w:tc>
        <w:tc>
          <w:tcPr>
            <w:tcW w:w="690"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346</w:t>
            </w:r>
          </w:p>
        </w:tc>
        <w:tc>
          <w:tcPr>
            <w:tcW w:w="690"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120</w:t>
            </w:r>
          </w:p>
        </w:tc>
      </w:tr>
      <w:tr w:rsidR="001771B8" w:rsidRPr="00262910" w:rsidTr="001771B8">
        <w:tc>
          <w:tcPr>
            <w:tcW w:w="862" w:type="pct"/>
            <w:tcBorders>
              <w:top w:val="single" w:sz="4" w:space="0" w:color="auto"/>
              <w:bottom w:val="single" w:sz="12" w:space="0" w:color="auto"/>
            </w:tcBorders>
            <w:shd w:val="clear" w:color="auto" w:fill="auto"/>
            <w:noWrap/>
          </w:tcPr>
          <w:p w:rsidR="001771B8" w:rsidRPr="00262910" w:rsidRDefault="001771B8" w:rsidP="001771B8">
            <w:pPr>
              <w:pStyle w:val="SingleTxtG"/>
              <w:suppressAutoHyphens w:val="0"/>
              <w:spacing w:before="80" w:after="80" w:line="220" w:lineRule="exact"/>
              <w:ind w:left="283" w:right="0"/>
              <w:jc w:val="left"/>
              <w:rPr>
                <w:b/>
                <w:sz w:val="18"/>
                <w:lang w:val="fr-FR"/>
              </w:rPr>
            </w:pPr>
            <w:r w:rsidRPr="00262910">
              <w:rPr>
                <w:b/>
                <w:bCs/>
                <w:sz w:val="18"/>
                <w:lang w:val="fr-FR"/>
              </w:rPr>
              <w:t>Total</w:t>
            </w:r>
          </w:p>
        </w:tc>
        <w:tc>
          <w:tcPr>
            <w:tcW w:w="68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sz w:val="18"/>
                <w:lang w:val="fr-FR"/>
              </w:rPr>
            </w:pPr>
            <w:r w:rsidRPr="00262910">
              <w:rPr>
                <w:b/>
                <w:bCs/>
                <w:sz w:val="18"/>
                <w:lang w:val="fr-FR"/>
              </w:rPr>
              <w:t>4</w:t>
            </w:r>
            <w:r w:rsidR="003D0F3B">
              <w:rPr>
                <w:b/>
                <w:bCs/>
                <w:sz w:val="18"/>
                <w:lang w:val="fr-FR"/>
              </w:rPr>
              <w:t xml:space="preserve"> </w:t>
            </w:r>
            <w:r w:rsidRPr="00262910">
              <w:rPr>
                <w:b/>
                <w:bCs/>
                <w:sz w:val="18"/>
                <w:lang w:val="fr-FR"/>
              </w:rPr>
              <w:t>628</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sz w:val="18"/>
                <w:lang w:val="fr-FR"/>
              </w:rPr>
            </w:pPr>
            <w:r w:rsidRPr="00262910">
              <w:rPr>
                <w:b/>
                <w:bCs/>
                <w:sz w:val="18"/>
                <w:lang w:val="fr-FR"/>
              </w:rPr>
              <w:t>3</w:t>
            </w:r>
            <w:r w:rsidR="003D0F3B">
              <w:rPr>
                <w:b/>
                <w:bCs/>
                <w:sz w:val="18"/>
                <w:lang w:val="fr-FR"/>
              </w:rPr>
              <w:t xml:space="preserve"> </w:t>
            </w:r>
            <w:r w:rsidRPr="00262910">
              <w:rPr>
                <w:b/>
                <w:bCs/>
                <w:sz w:val="18"/>
                <w:lang w:val="fr-FR"/>
              </w:rPr>
              <w:t>341</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sz w:val="18"/>
                <w:lang w:val="fr-FR"/>
              </w:rPr>
            </w:pPr>
            <w:r w:rsidRPr="00262910">
              <w:rPr>
                <w:b/>
                <w:bCs/>
                <w:sz w:val="18"/>
                <w:lang w:val="fr-FR"/>
              </w:rPr>
              <w:t>9</w:t>
            </w:r>
            <w:r w:rsidR="003D0F3B">
              <w:rPr>
                <w:b/>
                <w:bCs/>
                <w:sz w:val="18"/>
                <w:lang w:val="fr-FR"/>
              </w:rPr>
              <w:t xml:space="preserve"> </w:t>
            </w:r>
            <w:r w:rsidRPr="00262910">
              <w:rPr>
                <w:b/>
                <w:bCs/>
                <w:sz w:val="18"/>
                <w:lang w:val="fr-FR"/>
              </w:rPr>
              <w:t>309</w:t>
            </w:r>
          </w:p>
        </w:tc>
        <w:tc>
          <w:tcPr>
            <w:tcW w:w="68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sz w:val="18"/>
                <w:lang w:val="fr-FR"/>
              </w:rPr>
            </w:pPr>
            <w:r w:rsidRPr="00262910">
              <w:rPr>
                <w:b/>
                <w:bCs/>
                <w:sz w:val="18"/>
                <w:lang w:val="fr-FR"/>
              </w:rPr>
              <w:t>3</w:t>
            </w:r>
            <w:r w:rsidR="003D0F3B">
              <w:rPr>
                <w:b/>
                <w:bCs/>
                <w:sz w:val="18"/>
                <w:lang w:val="fr-FR"/>
              </w:rPr>
              <w:t xml:space="preserve"> </w:t>
            </w:r>
            <w:r w:rsidRPr="00262910">
              <w:rPr>
                <w:b/>
                <w:bCs/>
                <w:sz w:val="18"/>
                <w:lang w:val="fr-FR"/>
              </w:rPr>
              <w:t>322</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sz w:val="18"/>
                <w:lang w:val="fr-FR"/>
              </w:rPr>
            </w:pPr>
            <w:r w:rsidRPr="00262910">
              <w:rPr>
                <w:b/>
                <w:bCs/>
                <w:sz w:val="18"/>
                <w:lang w:val="fr-FR"/>
              </w:rPr>
              <w:t>1</w:t>
            </w:r>
            <w:r w:rsidR="003D0F3B">
              <w:rPr>
                <w:b/>
                <w:bCs/>
                <w:sz w:val="18"/>
                <w:lang w:val="fr-FR"/>
              </w:rPr>
              <w:t xml:space="preserve"> </w:t>
            </w:r>
            <w:r w:rsidRPr="00262910">
              <w:rPr>
                <w:b/>
                <w:bCs/>
                <w:sz w:val="18"/>
                <w:lang w:val="fr-FR"/>
              </w:rPr>
              <w:t>091</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sz w:val="18"/>
                <w:lang w:val="fr-FR"/>
              </w:rPr>
            </w:pPr>
            <w:r w:rsidRPr="00262910">
              <w:rPr>
                <w:b/>
                <w:bCs/>
                <w:sz w:val="18"/>
                <w:lang w:val="fr-FR"/>
              </w:rPr>
              <w:t>357</w:t>
            </w:r>
          </w:p>
        </w:tc>
      </w:tr>
    </w:tbl>
    <w:p w:rsidR="001771B8" w:rsidRPr="00262910" w:rsidRDefault="003D0F3B" w:rsidP="003D0F3B">
      <w:pPr>
        <w:pStyle w:val="H23G"/>
        <w:rPr>
          <w:lang w:val="fr-FR"/>
        </w:rPr>
      </w:pPr>
      <w:r>
        <w:rPr>
          <w:lang w:val="fr-FR"/>
        </w:rPr>
        <w:tab/>
      </w:r>
      <w:r>
        <w:rPr>
          <w:lang w:val="fr-FR"/>
        </w:rPr>
        <w:tab/>
      </w:r>
      <w:r w:rsidR="001771B8">
        <w:rPr>
          <w:lang w:val="fr-FR"/>
        </w:rPr>
        <w:t>Recours</w:t>
      </w:r>
      <w:r w:rsidR="001771B8" w:rsidRPr="00262910">
        <w:rPr>
          <w:lang w:val="fr-FR"/>
        </w:rPr>
        <w:t xml:space="preserve"> </w:t>
      </w:r>
      <w:r w:rsidR="001771B8">
        <w:rPr>
          <w:lang w:val="fr-FR"/>
        </w:rPr>
        <w:t xml:space="preserve">après rejet </w:t>
      </w:r>
      <w:r>
        <w:rPr>
          <w:lang w:val="fr-FR"/>
        </w:rPr>
        <w:t>−</w:t>
      </w:r>
      <w:r w:rsidR="001771B8" w:rsidRPr="00262910">
        <w:rPr>
          <w:lang w:val="fr-FR"/>
        </w:rPr>
        <w:t xml:space="preserve"> hommes</w:t>
      </w:r>
    </w:p>
    <w:tbl>
      <w:tblPr>
        <w:tblW w:w="7370" w:type="dxa"/>
        <w:tblInd w:w="1134" w:type="dxa"/>
        <w:tblLayout w:type="fixed"/>
        <w:tblCellMar>
          <w:left w:w="0" w:type="dxa"/>
          <w:right w:w="0" w:type="dxa"/>
        </w:tblCellMar>
        <w:tblLook w:val="04A0" w:firstRow="1" w:lastRow="0" w:firstColumn="1" w:lastColumn="0" w:noHBand="0" w:noVBand="1"/>
      </w:tblPr>
      <w:tblGrid>
        <w:gridCol w:w="1270"/>
        <w:gridCol w:w="1016"/>
        <w:gridCol w:w="1017"/>
        <w:gridCol w:w="1017"/>
        <w:gridCol w:w="1016"/>
        <w:gridCol w:w="1017"/>
        <w:gridCol w:w="1017"/>
      </w:tblGrid>
      <w:tr w:rsidR="001771B8" w:rsidRPr="00262910" w:rsidTr="001771B8">
        <w:tc>
          <w:tcPr>
            <w:tcW w:w="862" w:type="pct"/>
            <w:tcBorders>
              <w:top w:val="single" w:sz="4" w:space="0" w:color="auto"/>
              <w:bottom w:val="single" w:sz="12" w:space="0" w:color="auto"/>
            </w:tcBorders>
            <w:shd w:val="clear" w:color="auto" w:fill="auto"/>
            <w:noWrap/>
          </w:tcPr>
          <w:p w:rsidR="001771B8" w:rsidRPr="00262910" w:rsidRDefault="001771B8" w:rsidP="001771B8">
            <w:pPr>
              <w:pStyle w:val="SingleTxtG"/>
              <w:suppressAutoHyphens w:val="0"/>
              <w:spacing w:before="80" w:after="80" w:line="200" w:lineRule="exact"/>
              <w:ind w:left="0" w:right="0"/>
              <w:jc w:val="left"/>
              <w:rPr>
                <w:bCs/>
                <w:i/>
                <w:spacing w:val="4"/>
                <w:w w:val="103"/>
                <w:kern w:val="14"/>
                <w:sz w:val="16"/>
                <w:lang w:val="fr-FR"/>
              </w:rPr>
            </w:pPr>
          </w:p>
        </w:tc>
        <w:tc>
          <w:tcPr>
            <w:tcW w:w="68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2014</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2015</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2016</w:t>
            </w:r>
          </w:p>
        </w:tc>
        <w:tc>
          <w:tcPr>
            <w:tcW w:w="68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2017</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2018</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2019</w:t>
            </w:r>
            <w:r w:rsidRPr="003D0F3B">
              <w:rPr>
                <w:bCs/>
                <w:iCs/>
                <w:spacing w:val="4"/>
                <w:w w:val="103"/>
                <w:kern w:val="14"/>
                <w:sz w:val="18"/>
                <w:szCs w:val="18"/>
                <w:lang w:val="fr-FR"/>
              </w:rPr>
              <w:t>*</w:t>
            </w:r>
          </w:p>
        </w:tc>
      </w:tr>
      <w:tr w:rsidR="001771B8" w:rsidRPr="00262910" w:rsidTr="001771B8">
        <w:tc>
          <w:tcPr>
            <w:tcW w:w="862" w:type="pct"/>
            <w:tcBorders>
              <w:top w:val="single" w:sz="12" w:space="0" w:color="auto"/>
            </w:tcBorders>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Turquie</w:t>
            </w:r>
          </w:p>
        </w:tc>
        <w:tc>
          <w:tcPr>
            <w:tcW w:w="689"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22</w:t>
            </w:r>
          </w:p>
        </w:tc>
        <w:tc>
          <w:tcPr>
            <w:tcW w:w="690"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32</w:t>
            </w:r>
          </w:p>
        </w:tc>
        <w:tc>
          <w:tcPr>
            <w:tcW w:w="690"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34</w:t>
            </w:r>
          </w:p>
        </w:tc>
        <w:tc>
          <w:tcPr>
            <w:tcW w:w="689"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21</w:t>
            </w:r>
          </w:p>
        </w:tc>
        <w:tc>
          <w:tcPr>
            <w:tcW w:w="690"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11</w:t>
            </w:r>
          </w:p>
        </w:tc>
        <w:tc>
          <w:tcPr>
            <w:tcW w:w="690"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11</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Syrie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171</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411</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11</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Érythrée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347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183</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247</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8</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Iran</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78</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43</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382</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156</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55</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19</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Iraq</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81</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90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914</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334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13</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Afghanistan</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238</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274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w:t>
            </w:r>
            <w:r w:rsidR="003D0F3B">
              <w:rPr>
                <w:sz w:val="18"/>
                <w:lang w:val="fr-FR"/>
              </w:rPr>
              <w:t xml:space="preserve"> </w:t>
            </w:r>
            <w:r w:rsidRPr="00262910">
              <w:rPr>
                <w:sz w:val="18"/>
                <w:lang w:val="fr-FR"/>
              </w:rPr>
              <w:t>793</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w:t>
            </w:r>
            <w:r w:rsidR="003D0F3B">
              <w:rPr>
                <w:sz w:val="18"/>
                <w:lang w:val="fr-FR"/>
              </w:rPr>
              <w:t xml:space="preserve"> </w:t>
            </w:r>
            <w:r w:rsidRPr="00262910">
              <w:rPr>
                <w:sz w:val="18"/>
                <w:lang w:val="fr-FR"/>
              </w:rPr>
              <w:t>285</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121</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37</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Apatrides</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126</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81</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219</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55</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18</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18</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Albanie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99</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136</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69</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23</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22</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8</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Russie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127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51</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26</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23</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Somalie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370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224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278</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58</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10</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Éthiopie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77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69</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342</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114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48</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
                <w:bCs/>
                <w:sz w:val="18"/>
                <w:lang w:val="fr-FR"/>
              </w:rPr>
            </w:pPr>
            <w:r w:rsidRPr="00262910">
              <w:rPr>
                <w:sz w:val="18"/>
                <w:lang w:val="fr-FR"/>
              </w:rPr>
              <w:t>8</w:t>
            </w:r>
          </w:p>
        </w:tc>
      </w:tr>
      <w:tr w:rsidR="001771B8" w:rsidRPr="00262910" w:rsidTr="001771B8">
        <w:tc>
          <w:tcPr>
            <w:tcW w:w="862" w:type="pct"/>
            <w:tcBorders>
              <w:bottom w:val="single" w:sz="4" w:space="0" w:color="auto"/>
            </w:tcBorders>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Autres</w:t>
            </w:r>
          </w:p>
        </w:tc>
        <w:tc>
          <w:tcPr>
            <w:tcW w:w="689"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r w:rsidR="003D0F3B">
              <w:rPr>
                <w:sz w:val="18"/>
                <w:lang w:val="fr-FR"/>
              </w:rPr>
              <w:t xml:space="preserve"> </w:t>
            </w:r>
            <w:r w:rsidRPr="00262910">
              <w:rPr>
                <w:sz w:val="18"/>
                <w:lang w:val="fr-FR"/>
              </w:rPr>
              <w:t>673</w:t>
            </w:r>
          </w:p>
        </w:tc>
        <w:tc>
          <w:tcPr>
            <w:tcW w:w="690"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989</w:t>
            </w:r>
          </w:p>
        </w:tc>
        <w:tc>
          <w:tcPr>
            <w:tcW w:w="690"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r w:rsidR="003D0F3B">
              <w:rPr>
                <w:sz w:val="18"/>
                <w:lang w:val="fr-FR"/>
              </w:rPr>
              <w:t xml:space="preserve"> </w:t>
            </w:r>
            <w:r w:rsidRPr="00262910">
              <w:rPr>
                <w:sz w:val="18"/>
                <w:lang w:val="fr-FR"/>
              </w:rPr>
              <w:t>091</w:t>
            </w:r>
          </w:p>
        </w:tc>
        <w:tc>
          <w:tcPr>
            <w:tcW w:w="689"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341</w:t>
            </w:r>
          </w:p>
        </w:tc>
        <w:tc>
          <w:tcPr>
            <w:tcW w:w="690"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239</w:t>
            </w:r>
          </w:p>
        </w:tc>
        <w:tc>
          <w:tcPr>
            <w:tcW w:w="690"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77</w:t>
            </w:r>
          </w:p>
        </w:tc>
      </w:tr>
      <w:tr w:rsidR="001771B8" w:rsidRPr="00262910" w:rsidTr="001771B8">
        <w:tc>
          <w:tcPr>
            <w:tcW w:w="862" w:type="pct"/>
            <w:tcBorders>
              <w:top w:val="single" w:sz="4" w:space="0" w:color="auto"/>
              <w:bottom w:val="single" w:sz="12" w:space="0" w:color="auto"/>
            </w:tcBorders>
            <w:shd w:val="clear" w:color="auto" w:fill="auto"/>
            <w:noWrap/>
          </w:tcPr>
          <w:p w:rsidR="001771B8" w:rsidRPr="00262910" w:rsidRDefault="001771B8" w:rsidP="001771B8">
            <w:pPr>
              <w:pStyle w:val="SingleTxtG"/>
              <w:suppressAutoHyphens w:val="0"/>
              <w:spacing w:before="80" w:after="80" w:line="220" w:lineRule="exact"/>
              <w:ind w:left="283" w:right="0"/>
              <w:jc w:val="left"/>
              <w:rPr>
                <w:b/>
                <w:sz w:val="18"/>
                <w:lang w:val="fr-FR"/>
              </w:rPr>
            </w:pPr>
            <w:r w:rsidRPr="00262910">
              <w:rPr>
                <w:b/>
                <w:bCs/>
                <w:sz w:val="18"/>
                <w:lang w:val="fr-FR"/>
              </w:rPr>
              <w:t>Total</w:t>
            </w:r>
          </w:p>
        </w:tc>
        <w:tc>
          <w:tcPr>
            <w:tcW w:w="68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sz w:val="18"/>
                <w:lang w:val="fr-FR"/>
              </w:rPr>
            </w:pPr>
            <w:r w:rsidRPr="00262910">
              <w:rPr>
                <w:b/>
                <w:bCs/>
                <w:sz w:val="18"/>
                <w:lang w:val="fr-FR"/>
              </w:rPr>
              <w:t>3</w:t>
            </w:r>
            <w:r w:rsidR="003D0F3B">
              <w:rPr>
                <w:b/>
                <w:bCs/>
                <w:sz w:val="18"/>
                <w:lang w:val="fr-FR"/>
              </w:rPr>
              <w:t xml:space="preserve"> </w:t>
            </w:r>
            <w:r w:rsidRPr="00262910">
              <w:rPr>
                <w:b/>
                <w:bCs/>
                <w:sz w:val="18"/>
                <w:lang w:val="fr-FR"/>
              </w:rPr>
              <w:t>238</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sz w:val="18"/>
                <w:lang w:val="fr-FR"/>
              </w:rPr>
            </w:pPr>
            <w:r w:rsidRPr="00262910">
              <w:rPr>
                <w:b/>
                <w:bCs/>
                <w:sz w:val="18"/>
                <w:lang w:val="fr-FR"/>
              </w:rPr>
              <w:t>2</w:t>
            </w:r>
            <w:r w:rsidR="003D0F3B">
              <w:rPr>
                <w:b/>
                <w:bCs/>
                <w:sz w:val="18"/>
                <w:lang w:val="fr-FR"/>
              </w:rPr>
              <w:t xml:space="preserve"> </w:t>
            </w:r>
            <w:r w:rsidRPr="00262910">
              <w:rPr>
                <w:b/>
                <w:bCs/>
                <w:sz w:val="18"/>
                <w:lang w:val="fr-FR"/>
              </w:rPr>
              <w:t>346</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sz w:val="18"/>
                <w:lang w:val="fr-FR"/>
              </w:rPr>
            </w:pPr>
            <w:r w:rsidRPr="00262910">
              <w:rPr>
                <w:b/>
                <w:bCs/>
                <w:sz w:val="18"/>
                <w:lang w:val="fr-FR"/>
              </w:rPr>
              <w:t>6831</w:t>
            </w:r>
          </w:p>
        </w:tc>
        <w:tc>
          <w:tcPr>
            <w:tcW w:w="68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sz w:val="18"/>
                <w:lang w:val="fr-FR"/>
              </w:rPr>
            </w:pPr>
            <w:r w:rsidRPr="00262910">
              <w:rPr>
                <w:b/>
                <w:bCs/>
                <w:sz w:val="18"/>
                <w:lang w:val="fr-FR"/>
              </w:rPr>
              <w:t>2</w:t>
            </w:r>
            <w:r w:rsidR="003D0F3B">
              <w:rPr>
                <w:b/>
                <w:bCs/>
                <w:sz w:val="18"/>
                <w:lang w:val="fr-FR"/>
              </w:rPr>
              <w:t xml:space="preserve"> </w:t>
            </w:r>
            <w:r w:rsidRPr="00262910">
              <w:rPr>
                <w:b/>
                <w:bCs/>
                <w:sz w:val="18"/>
                <w:lang w:val="fr-FR"/>
              </w:rPr>
              <w:t>521</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sz w:val="18"/>
                <w:lang w:val="fr-FR"/>
              </w:rPr>
            </w:pPr>
            <w:r w:rsidRPr="00262910">
              <w:rPr>
                <w:b/>
                <w:bCs/>
                <w:sz w:val="18"/>
                <w:lang w:val="fr-FR"/>
              </w:rPr>
              <w:t>704</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sz w:val="18"/>
                <w:lang w:val="fr-FR"/>
              </w:rPr>
            </w:pPr>
            <w:r w:rsidRPr="00262910">
              <w:rPr>
                <w:b/>
                <w:bCs/>
                <w:sz w:val="18"/>
                <w:lang w:val="fr-FR"/>
              </w:rPr>
              <w:t>222</w:t>
            </w:r>
          </w:p>
        </w:tc>
      </w:tr>
    </w:tbl>
    <w:p w:rsidR="001771B8" w:rsidRPr="00262910" w:rsidRDefault="003D0F3B" w:rsidP="003D0F3B">
      <w:pPr>
        <w:pStyle w:val="H23G"/>
        <w:rPr>
          <w:lang w:val="fr-FR"/>
        </w:rPr>
      </w:pPr>
      <w:r>
        <w:rPr>
          <w:lang w:val="fr-FR"/>
        </w:rPr>
        <w:tab/>
      </w:r>
      <w:r>
        <w:rPr>
          <w:lang w:val="fr-FR"/>
        </w:rPr>
        <w:tab/>
      </w:r>
      <w:r w:rsidR="001771B8">
        <w:rPr>
          <w:lang w:val="fr-FR"/>
        </w:rPr>
        <w:t>Recours après rejet</w:t>
      </w:r>
      <w:r w:rsidR="001771B8" w:rsidRPr="00262910">
        <w:rPr>
          <w:lang w:val="fr-FR"/>
        </w:rPr>
        <w:t xml:space="preserve"> </w:t>
      </w:r>
      <w:r>
        <w:rPr>
          <w:lang w:val="fr-FR"/>
        </w:rPr>
        <w:t>−</w:t>
      </w:r>
      <w:r w:rsidR="001771B8" w:rsidRPr="00262910">
        <w:rPr>
          <w:lang w:val="fr-FR"/>
        </w:rPr>
        <w:t xml:space="preserve"> femmes</w:t>
      </w:r>
    </w:p>
    <w:tbl>
      <w:tblPr>
        <w:tblW w:w="7370" w:type="dxa"/>
        <w:tblInd w:w="1134" w:type="dxa"/>
        <w:tblLayout w:type="fixed"/>
        <w:tblCellMar>
          <w:left w:w="0" w:type="dxa"/>
          <w:right w:w="0" w:type="dxa"/>
        </w:tblCellMar>
        <w:tblLook w:val="04A0" w:firstRow="1" w:lastRow="0" w:firstColumn="1" w:lastColumn="0" w:noHBand="0" w:noVBand="1"/>
      </w:tblPr>
      <w:tblGrid>
        <w:gridCol w:w="1270"/>
        <w:gridCol w:w="1016"/>
        <w:gridCol w:w="1017"/>
        <w:gridCol w:w="1017"/>
        <w:gridCol w:w="1016"/>
        <w:gridCol w:w="1017"/>
        <w:gridCol w:w="1017"/>
      </w:tblGrid>
      <w:tr w:rsidR="001771B8" w:rsidRPr="00262910" w:rsidTr="001771B8">
        <w:trPr>
          <w:tblHeader/>
        </w:trPr>
        <w:tc>
          <w:tcPr>
            <w:tcW w:w="862" w:type="pct"/>
            <w:tcBorders>
              <w:top w:val="single" w:sz="4" w:space="0" w:color="auto"/>
              <w:bottom w:val="single" w:sz="12" w:space="0" w:color="auto"/>
            </w:tcBorders>
            <w:shd w:val="clear" w:color="auto" w:fill="auto"/>
            <w:noWrap/>
          </w:tcPr>
          <w:p w:rsidR="001771B8" w:rsidRPr="00262910" w:rsidRDefault="001771B8" w:rsidP="001771B8">
            <w:pPr>
              <w:pStyle w:val="SingleTxtG"/>
              <w:suppressAutoHyphens w:val="0"/>
              <w:spacing w:before="80" w:after="80" w:line="200" w:lineRule="exact"/>
              <w:ind w:left="0" w:right="0"/>
              <w:jc w:val="left"/>
              <w:rPr>
                <w:bCs/>
                <w:i/>
                <w:spacing w:val="4"/>
                <w:w w:val="103"/>
                <w:kern w:val="14"/>
                <w:sz w:val="16"/>
                <w:lang w:val="fr-FR"/>
              </w:rPr>
            </w:pPr>
          </w:p>
        </w:tc>
        <w:tc>
          <w:tcPr>
            <w:tcW w:w="68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2014</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2015</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2016</w:t>
            </w:r>
          </w:p>
        </w:tc>
        <w:tc>
          <w:tcPr>
            <w:tcW w:w="68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2017</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2018</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pacing w:val="4"/>
                <w:w w:val="103"/>
                <w:kern w:val="14"/>
                <w:sz w:val="16"/>
                <w:lang w:val="fr-FR"/>
              </w:rPr>
            </w:pPr>
            <w:r w:rsidRPr="00262910">
              <w:rPr>
                <w:bCs/>
                <w:i/>
                <w:spacing w:val="4"/>
                <w:w w:val="103"/>
                <w:kern w:val="14"/>
                <w:sz w:val="16"/>
                <w:lang w:val="fr-FR"/>
              </w:rPr>
              <w:t>2019</w:t>
            </w:r>
            <w:r w:rsidRPr="003D0F3B">
              <w:rPr>
                <w:bCs/>
                <w:iCs/>
                <w:spacing w:val="4"/>
                <w:w w:val="103"/>
                <w:kern w:val="14"/>
                <w:sz w:val="18"/>
                <w:szCs w:val="18"/>
                <w:lang w:val="fr-FR"/>
              </w:rPr>
              <w:t>*</w:t>
            </w:r>
          </w:p>
        </w:tc>
      </w:tr>
      <w:tr w:rsidR="001771B8" w:rsidRPr="00262910" w:rsidTr="001771B8">
        <w:tc>
          <w:tcPr>
            <w:tcW w:w="862" w:type="pct"/>
            <w:tcBorders>
              <w:top w:val="single" w:sz="12" w:space="0" w:color="auto"/>
            </w:tcBorders>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Turquie</w:t>
            </w:r>
          </w:p>
        </w:tc>
        <w:tc>
          <w:tcPr>
            <w:tcW w:w="689"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i/>
                <w:sz w:val="18"/>
                <w:lang w:val="fr-FR"/>
              </w:rPr>
            </w:pPr>
            <w:r w:rsidRPr="00262910">
              <w:rPr>
                <w:sz w:val="18"/>
                <w:lang w:val="fr-FR"/>
              </w:rPr>
              <w:t>7</w:t>
            </w:r>
          </w:p>
        </w:tc>
        <w:tc>
          <w:tcPr>
            <w:tcW w:w="690"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i/>
                <w:sz w:val="18"/>
                <w:lang w:val="fr-FR"/>
              </w:rPr>
            </w:pPr>
            <w:r w:rsidRPr="00262910">
              <w:rPr>
                <w:sz w:val="18"/>
                <w:lang w:val="fr-FR"/>
              </w:rPr>
              <w:t>23</w:t>
            </w:r>
          </w:p>
        </w:tc>
        <w:tc>
          <w:tcPr>
            <w:tcW w:w="690"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i/>
                <w:sz w:val="18"/>
                <w:lang w:val="fr-FR"/>
              </w:rPr>
            </w:pPr>
            <w:r w:rsidRPr="00262910">
              <w:rPr>
                <w:sz w:val="18"/>
                <w:lang w:val="fr-FR"/>
              </w:rPr>
              <w:t>10</w:t>
            </w:r>
          </w:p>
        </w:tc>
        <w:tc>
          <w:tcPr>
            <w:tcW w:w="689"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i/>
                <w:sz w:val="18"/>
                <w:lang w:val="fr-FR"/>
              </w:rPr>
            </w:pPr>
            <w:r w:rsidRPr="00262910">
              <w:rPr>
                <w:sz w:val="18"/>
                <w:lang w:val="fr-FR"/>
              </w:rPr>
              <w:t>11</w:t>
            </w:r>
          </w:p>
        </w:tc>
        <w:tc>
          <w:tcPr>
            <w:tcW w:w="690"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i/>
                <w:sz w:val="18"/>
                <w:lang w:val="fr-FR"/>
              </w:rPr>
            </w:pPr>
            <w:r w:rsidRPr="00262910">
              <w:rPr>
                <w:sz w:val="18"/>
                <w:lang w:val="fr-FR"/>
              </w:rPr>
              <w:t>10</w:t>
            </w:r>
          </w:p>
        </w:tc>
        <w:tc>
          <w:tcPr>
            <w:tcW w:w="690"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i/>
                <w:sz w:val="18"/>
                <w:lang w:val="fr-FR"/>
              </w:rPr>
            </w:pPr>
            <w:r w:rsidRPr="00262910">
              <w:rPr>
                <w:sz w:val="18"/>
                <w:lang w:val="fr-FR"/>
              </w:rPr>
              <w:t>6</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Syrie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78</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158</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29</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33</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Érythrée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168</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77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178</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47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38</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Iran</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50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25</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151</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73</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36</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14</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Iraq</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62</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26</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278</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170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56</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12</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Afghanistan</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102</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88</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869</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184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12</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Apatrides</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31</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75</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24</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11</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17</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Albanie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69</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81</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30</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21</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5</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Russie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110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52</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42</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17</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21</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4</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Somalie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156</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129</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168</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30</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15</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10</w:t>
            </w:r>
          </w:p>
        </w:tc>
      </w:tr>
      <w:tr w:rsidR="001771B8" w:rsidRPr="00262910" w:rsidTr="001771B8">
        <w:tc>
          <w:tcPr>
            <w:tcW w:w="862" w:type="pct"/>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Éthiopie</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46</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28</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151</w:t>
            </w:r>
          </w:p>
        </w:tc>
        <w:tc>
          <w:tcPr>
            <w:tcW w:w="689"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51</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29</w:t>
            </w:r>
          </w:p>
        </w:tc>
        <w:tc>
          <w:tcPr>
            <w:tcW w:w="690"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6</w:t>
            </w:r>
          </w:p>
        </w:tc>
      </w:tr>
      <w:tr w:rsidR="001771B8" w:rsidRPr="00262910" w:rsidTr="001771B8">
        <w:tc>
          <w:tcPr>
            <w:tcW w:w="862" w:type="pct"/>
            <w:tcBorders>
              <w:bottom w:val="single" w:sz="4" w:space="0" w:color="auto"/>
            </w:tcBorders>
            <w:shd w:val="clear" w:color="auto" w:fill="auto"/>
            <w:noWrap/>
          </w:tcPr>
          <w:p w:rsidR="001771B8" w:rsidRPr="00262910" w:rsidRDefault="001771B8" w:rsidP="001771B8">
            <w:pPr>
              <w:pStyle w:val="SingleTxtG"/>
              <w:suppressAutoHyphens w:val="0"/>
              <w:spacing w:before="40" w:after="40" w:line="220" w:lineRule="exact"/>
              <w:ind w:left="0" w:right="0"/>
              <w:jc w:val="left"/>
              <w:rPr>
                <w:iCs/>
                <w:sz w:val="18"/>
                <w:lang w:val="fr-FR"/>
              </w:rPr>
            </w:pPr>
            <w:r w:rsidRPr="00262910">
              <w:rPr>
                <w:sz w:val="18"/>
                <w:lang w:val="fr-FR"/>
              </w:rPr>
              <w:t>Autres</w:t>
            </w:r>
          </w:p>
        </w:tc>
        <w:tc>
          <w:tcPr>
            <w:tcW w:w="689"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583</w:t>
            </w:r>
          </w:p>
        </w:tc>
        <w:tc>
          <w:tcPr>
            <w:tcW w:w="690"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357</w:t>
            </w:r>
          </w:p>
        </w:tc>
        <w:tc>
          <w:tcPr>
            <w:tcW w:w="690"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368</w:t>
            </w:r>
          </w:p>
        </w:tc>
        <w:tc>
          <w:tcPr>
            <w:tcW w:w="689"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144</w:t>
            </w:r>
          </w:p>
        </w:tc>
        <w:tc>
          <w:tcPr>
            <w:tcW w:w="690"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107</w:t>
            </w:r>
          </w:p>
        </w:tc>
        <w:tc>
          <w:tcPr>
            <w:tcW w:w="690"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43</w:t>
            </w:r>
          </w:p>
        </w:tc>
      </w:tr>
      <w:tr w:rsidR="001771B8" w:rsidRPr="00262910" w:rsidTr="001771B8">
        <w:tc>
          <w:tcPr>
            <w:tcW w:w="862" w:type="pct"/>
            <w:tcBorders>
              <w:top w:val="single" w:sz="4" w:space="0" w:color="auto"/>
              <w:bottom w:val="single" w:sz="12" w:space="0" w:color="auto"/>
            </w:tcBorders>
            <w:shd w:val="clear" w:color="auto" w:fill="auto"/>
            <w:noWrap/>
          </w:tcPr>
          <w:p w:rsidR="001771B8" w:rsidRPr="00262910" w:rsidRDefault="001771B8" w:rsidP="001771B8">
            <w:pPr>
              <w:pStyle w:val="SingleTxtG"/>
              <w:suppressAutoHyphens w:val="0"/>
              <w:spacing w:before="80" w:after="80" w:line="220" w:lineRule="exact"/>
              <w:ind w:left="283" w:right="0"/>
              <w:jc w:val="left"/>
              <w:rPr>
                <w:b/>
                <w:sz w:val="18"/>
                <w:lang w:val="fr-FR"/>
              </w:rPr>
            </w:pPr>
            <w:r w:rsidRPr="00262910">
              <w:rPr>
                <w:b/>
                <w:bCs/>
                <w:sz w:val="18"/>
                <w:lang w:val="fr-FR"/>
              </w:rPr>
              <w:t>Total</w:t>
            </w:r>
          </w:p>
        </w:tc>
        <w:tc>
          <w:tcPr>
            <w:tcW w:w="68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sz w:val="18"/>
                <w:lang w:val="fr-FR"/>
              </w:rPr>
            </w:pPr>
            <w:r w:rsidRPr="00262910">
              <w:rPr>
                <w:b/>
                <w:bCs/>
                <w:sz w:val="18"/>
                <w:lang w:val="fr-FR"/>
              </w:rPr>
              <w:t>1</w:t>
            </w:r>
            <w:r w:rsidR="003D0F3B">
              <w:rPr>
                <w:b/>
                <w:bCs/>
                <w:sz w:val="18"/>
                <w:lang w:val="fr-FR"/>
              </w:rPr>
              <w:t xml:space="preserve"> </w:t>
            </w:r>
            <w:r w:rsidRPr="00262910">
              <w:rPr>
                <w:b/>
                <w:bCs/>
                <w:sz w:val="18"/>
                <w:lang w:val="fr-FR"/>
              </w:rPr>
              <w:t>390</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sz w:val="18"/>
                <w:lang w:val="fr-FR"/>
              </w:rPr>
            </w:pPr>
            <w:r w:rsidRPr="00262910">
              <w:rPr>
                <w:b/>
                <w:bCs/>
                <w:sz w:val="18"/>
                <w:lang w:val="fr-FR"/>
              </w:rPr>
              <w:t>995</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sz w:val="18"/>
                <w:lang w:val="fr-FR"/>
              </w:rPr>
            </w:pPr>
            <w:r w:rsidRPr="00262910">
              <w:rPr>
                <w:b/>
                <w:bCs/>
                <w:sz w:val="18"/>
                <w:lang w:val="fr-FR"/>
              </w:rPr>
              <w:t>2</w:t>
            </w:r>
            <w:r w:rsidR="003D0F3B">
              <w:rPr>
                <w:b/>
                <w:bCs/>
                <w:sz w:val="18"/>
                <w:lang w:val="fr-FR"/>
              </w:rPr>
              <w:t xml:space="preserve"> </w:t>
            </w:r>
            <w:r w:rsidRPr="00262910">
              <w:rPr>
                <w:b/>
                <w:bCs/>
                <w:sz w:val="18"/>
                <w:lang w:val="fr-FR"/>
              </w:rPr>
              <w:t>478</w:t>
            </w:r>
          </w:p>
        </w:tc>
        <w:tc>
          <w:tcPr>
            <w:tcW w:w="689"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sz w:val="18"/>
                <w:lang w:val="fr-FR"/>
              </w:rPr>
            </w:pPr>
            <w:r w:rsidRPr="00262910">
              <w:rPr>
                <w:b/>
                <w:bCs/>
                <w:sz w:val="18"/>
                <w:lang w:val="fr-FR"/>
              </w:rPr>
              <w:t>801</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sz w:val="18"/>
                <w:lang w:val="fr-FR"/>
              </w:rPr>
            </w:pPr>
            <w:r w:rsidRPr="00262910">
              <w:rPr>
                <w:b/>
                <w:bCs/>
                <w:sz w:val="18"/>
                <w:lang w:val="fr-FR"/>
              </w:rPr>
              <w:t>387</w:t>
            </w:r>
          </w:p>
        </w:tc>
        <w:tc>
          <w:tcPr>
            <w:tcW w:w="690"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sz w:val="18"/>
                <w:lang w:val="fr-FR"/>
              </w:rPr>
            </w:pPr>
            <w:r w:rsidRPr="00262910">
              <w:rPr>
                <w:b/>
                <w:bCs/>
                <w:sz w:val="18"/>
                <w:lang w:val="fr-FR"/>
              </w:rPr>
              <w:t>135</w:t>
            </w:r>
          </w:p>
        </w:tc>
      </w:tr>
    </w:tbl>
    <w:p w:rsidR="001771B8" w:rsidRPr="00262910" w:rsidRDefault="001771B8" w:rsidP="001771B8">
      <w:pPr>
        <w:pStyle w:val="H1G"/>
        <w:rPr>
          <w:lang w:val="fr-FR"/>
        </w:rPr>
      </w:pPr>
      <w:r w:rsidRPr="00262910">
        <w:rPr>
          <w:lang w:val="fr-FR"/>
        </w:rPr>
        <w:tab/>
      </w:r>
      <w:r w:rsidRPr="00262910">
        <w:rPr>
          <w:lang w:val="fr-FR"/>
        </w:rPr>
        <w:tab/>
      </w:r>
      <w:r w:rsidRPr="00AF0D5D">
        <w:rPr>
          <w:lang w:val="fr-FR"/>
        </w:rPr>
        <w:t>Réponse au paragraphe</w:t>
      </w:r>
      <w:r w:rsidRPr="00262910">
        <w:rPr>
          <w:lang w:val="fr-FR"/>
        </w:rPr>
        <w:t xml:space="preserve"> 15 b) de la liste de points</w:t>
      </w:r>
    </w:p>
    <w:p w:rsidR="001771B8" w:rsidRPr="00262910" w:rsidRDefault="001771B8" w:rsidP="001771B8">
      <w:pPr>
        <w:pStyle w:val="SingleTxtG"/>
        <w:rPr>
          <w:lang w:val="fr-FR"/>
        </w:rPr>
      </w:pPr>
      <w:r w:rsidRPr="00262910">
        <w:rPr>
          <w:lang w:val="fr-FR"/>
        </w:rPr>
        <w:t>97.</w:t>
      </w:r>
      <w:r w:rsidRPr="00262910">
        <w:rPr>
          <w:lang w:val="fr-FR"/>
        </w:rPr>
        <w:tab/>
      </w:r>
      <w:r w:rsidRPr="00560250">
        <w:rPr>
          <w:lang w:val="fr-FR"/>
        </w:rPr>
        <w:t>La loi sur la protection</w:t>
      </w:r>
      <w:r w:rsidRPr="00594855">
        <w:rPr>
          <w:lang w:val="fr-FR"/>
        </w:rPr>
        <w:t xml:space="preserve"> de</w:t>
      </w:r>
      <w:r w:rsidRPr="00262910">
        <w:rPr>
          <w:lang w:val="fr-FR"/>
        </w:rPr>
        <w:t xml:space="preserve"> l</w:t>
      </w:r>
      <w:r>
        <w:rPr>
          <w:lang w:val="fr-FR"/>
        </w:rPr>
        <w:t>’</w:t>
      </w:r>
      <w:r w:rsidRPr="00262910">
        <w:rPr>
          <w:lang w:val="fr-FR"/>
        </w:rPr>
        <w:t>enfance s</w:t>
      </w:r>
      <w:r>
        <w:rPr>
          <w:lang w:val="fr-FR"/>
        </w:rPr>
        <w:t>’</w:t>
      </w:r>
      <w:r w:rsidRPr="00262910">
        <w:rPr>
          <w:lang w:val="fr-FR"/>
        </w:rPr>
        <w:t xml:space="preserve">applique à tous les enfants </w:t>
      </w:r>
      <w:r>
        <w:rPr>
          <w:lang w:val="fr-FR"/>
        </w:rPr>
        <w:t xml:space="preserve">vivant en </w:t>
      </w:r>
      <w:r w:rsidRPr="00262910">
        <w:rPr>
          <w:lang w:val="fr-FR"/>
        </w:rPr>
        <w:t xml:space="preserve">Norvège, </w:t>
      </w:r>
      <w:r>
        <w:rPr>
          <w:lang w:val="fr-FR"/>
        </w:rPr>
        <w:t xml:space="preserve">sans considération de </w:t>
      </w:r>
      <w:r w:rsidRPr="00262910">
        <w:rPr>
          <w:lang w:val="fr-FR"/>
        </w:rPr>
        <w:t xml:space="preserve">leur statut, </w:t>
      </w:r>
      <w:r>
        <w:rPr>
          <w:lang w:val="fr-FR"/>
        </w:rPr>
        <w:t xml:space="preserve">origine nationale </w:t>
      </w:r>
      <w:r w:rsidRPr="00262910">
        <w:rPr>
          <w:lang w:val="fr-FR"/>
        </w:rPr>
        <w:t xml:space="preserve">ou </w:t>
      </w:r>
      <w:r>
        <w:rPr>
          <w:lang w:val="fr-FR"/>
        </w:rPr>
        <w:t>nationalité</w:t>
      </w:r>
      <w:r w:rsidRPr="00262910">
        <w:rPr>
          <w:lang w:val="fr-FR"/>
        </w:rPr>
        <w:t>. Les demandeurs d</w:t>
      </w:r>
      <w:r>
        <w:rPr>
          <w:lang w:val="fr-FR"/>
        </w:rPr>
        <w:t>’</w:t>
      </w:r>
      <w:r w:rsidRPr="00262910">
        <w:rPr>
          <w:lang w:val="fr-FR"/>
        </w:rPr>
        <w:t>asile mineurs bénéficient de services de santé, de soins et d</w:t>
      </w:r>
      <w:r>
        <w:rPr>
          <w:lang w:val="fr-FR"/>
        </w:rPr>
        <w:t>’</w:t>
      </w:r>
      <w:r w:rsidRPr="00262910">
        <w:rPr>
          <w:lang w:val="fr-FR"/>
        </w:rPr>
        <w:t>éducation conformément à la Convention des Nations Unies relative aux droits de l</w:t>
      </w:r>
      <w:r>
        <w:rPr>
          <w:lang w:val="fr-FR"/>
        </w:rPr>
        <w:t>’</w:t>
      </w:r>
      <w:r w:rsidRPr="00262910">
        <w:rPr>
          <w:lang w:val="fr-FR"/>
        </w:rPr>
        <w:t>enfant. La responsabilité de la prise en charge des mineurs demandeurs d</w:t>
      </w:r>
      <w:r>
        <w:rPr>
          <w:lang w:val="fr-FR"/>
        </w:rPr>
        <w:t>’</w:t>
      </w:r>
      <w:r w:rsidRPr="00262910">
        <w:rPr>
          <w:lang w:val="fr-FR"/>
        </w:rPr>
        <w:t xml:space="preserve">asile non accompagnés est </w:t>
      </w:r>
      <w:r>
        <w:rPr>
          <w:lang w:val="fr-FR"/>
        </w:rPr>
        <w:t xml:space="preserve">répartie </w:t>
      </w:r>
      <w:r w:rsidRPr="00262910">
        <w:rPr>
          <w:lang w:val="fr-FR"/>
        </w:rPr>
        <w:t>entre les services de protection de l</w:t>
      </w:r>
      <w:r>
        <w:rPr>
          <w:lang w:val="fr-FR"/>
        </w:rPr>
        <w:t>’</w:t>
      </w:r>
      <w:r w:rsidRPr="00262910">
        <w:rPr>
          <w:lang w:val="fr-FR"/>
        </w:rPr>
        <w:t>enfance et les services de l</w:t>
      </w:r>
      <w:r>
        <w:rPr>
          <w:lang w:val="fr-FR"/>
        </w:rPr>
        <w:t>’</w:t>
      </w:r>
      <w:r w:rsidRPr="00262910">
        <w:rPr>
          <w:lang w:val="fr-FR"/>
        </w:rPr>
        <w:t xml:space="preserve">immigration. </w:t>
      </w:r>
    </w:p>
    <w:p w:rsidR="001771B8" w:rsidRPr="00262910" w:rsidRDefault="001771B8" w:rsidP="001771B8">
      <w:pPr>
        <w:pStyle w:val="SingleTxtG"/>
        <w:rPr>
          <w:lang w:val="fr-FR"/>
        </w:rPr>
      </w:pPr>
      <w:r w:rsidRPr="00262910">
        <w:rPr>
          <w:lang w:val="fr-FR"/>
        </w:rPr>
        <w:t>98.</w:t>
      </w:r>
      <w:r w:rsidRPr="00262910">
        <w:rPr>
          <w:lang w:val="fr-FR"/>
        </w:rPr>
        <w:tab/>
      </w:r>
      <w:r>
        <w:rPr>
          <w:lang w:val="fr-FR"/>
        </w:rPr>
        <w:t>Le</w:t>
      </w:r>
      <w:r w:rsidRPr="00262910">
        <w:rPr>
          <w:lang w:val="fr-FR"/>
        </w:rPr>
        <w:t xml:space="preserve"> Bureau pour l</w:t>
      </w:r>
      <w:r>
        <w:rPr>
          <w:lang w:val="fr-FR"/>
        </w:rPr>
        <w:t>’</w:t>
      </w:r>
      <w:r w:rsidRPr="00262910">
        <w:rPr>
          <w:lang w:val="fr-FR"/>
        </w:rPr>
        <w:t>enfance, la jeunesse et les affaires familiales (Bufetat)</w:t>
      </w:r>
      <w:r w:rsidRPr="00594855">
        <w:rPr>
          <w:lang w:val="fr-FR"/>
        </w:rPr>
        <w:t xml:space="preserve"> </w:t>
      </w:r>
      <w:r>
        <w:rPr>
          <w:lang w:val="fr-FR"/>
        </w:rPr>
        <w:t xml:space="preserve">assure l’hébergement des </w:t>
      </w:r>
      <w:r w:rsidRPr="00594855">
        <w:rPr>
          <w:lang w:val="fr-FR"/>
        </w:rPr>
        <w:t>mineurs demandeurs d</w:t>
      </w:r>
      <w:r>
        <w:rPr>
          <w:lang w:val="fr-FR"/>
        </w:rPr>
        <w:t>’</w:t>
      </w:r>
      <w:r w:rsidRPr="00594855">
        <w:rPr>
          <w:lang w:val="fr-FR"/>
        </w:rPr>
        <w:t xml:space="preserve">asile non accompagnés de moins de 15 ans </w:t>
      </w:r>
      <w:r>
        <w:rPr>
          <w:lang w:val="fr-FR"/>
        </w:rPr>
        <w:t xml:space="preserve">dans </w:t>
      </w:r>
      <w:r w:rsidRPr="00594855">
        <w:rPr>
          <w:lang w:val="fr-FR"/>
        </w:rPr>
        <w:t>un de</w:t>
      </w:r>
      <w:r>
        <w:rPr>
          <w:lang w:val="fr-FR"/>
        </w:rPr>
        <w:t xml:space="preserve"> se</w:t>
      </w:r>
      <w:r w:rsidRPr="00594855">
        <w:rPr>
          <w:lang w:val="fr-FR"/>
        </w:rPr>
        <w:t>s centres d</w:t>
      </w:r>
      <w:r>
        <w:rPr>
          <w:lang w:val="fr-FR"/>
        </w:rPr>
        <w:t>’</w:t>
      </w:r>
      <w:r w:rsidRPr="00594855">
        <w:rPr>
          <w:lang w:val="fr-FR"/>
        </w:rPr>
        <w:t>accueil</w:t>
      </w:r>
      <w:r w:rsidRPr="008648B2">
        <w:rPr>
          <w:rStyle w:val="Appelnotedebasdep"/>
        </w:rPr>
        <w:footnoteReference w:id="8"/>
      </w:r>
      <w:r>
        <w:rPr>
          <w:lang w:val="fr-FR"/>
        </w:rPr>
        <w:t>.</w:t>
      </w:r>
      <w:r w:rsidRPr="00262910">
        <w:rPr>
          <w:lang w:val="fr-FR"/>
        </w:rPr>
        <w:t xml:space="preserve"> </w:t>
      </w:r>
      <w:r w:rsidRPr="00933593">
        <w:rPr>
          <w:lang w:val="fr-FR"/>
        </w:rPr>
        <w:t>Les autorités</w:t>
      </w:r>
      <w:r w:rsidRPr="00262910">
        <w:rPr>
          <w:lang w:val="fr-FR"/>
        </w:rPr>
        <w:t xml:space="preserve"> de l</w:t>
      </w:r>
      <w:r>
        <w:rPr>
          <w:lang w:val="fr-FR"/>
        </w:rPr>
        <w:t>’</w:t>
      </w:r>
      <w:r w:rsidRPr="00262910">
        <w:rPr>
          <w:lang w:val="fr-FR"/>
        </w:rPr>
        <w:t>immigration sont responsables au premier chef d</w:t>
      </w:r>
      <w:r>
        <w:rPr>
          <w:lang w:val="fr-FR"/>
        </w:rPr>
        <w:t xml:space="preserve">e l’hébergement </w:t>
      </w:r>
      <w:r w:rsidRPr="00262910">
        <w:rPr>
          <w:lang w:val="fr-FR"/>
        </w:rPr>
        <w:t xml:space="preserve">et des services de </w:t>
      </w:r>
      <w:r>
        <w:rPr>
          <w:lang w:val="fr-FR"/>
        </w:rPr>
        <w:t>soins pour l</w:t>
      </w:r>
      <w:r w:rsidRPr="00262910">
        <w:rPr>
          <w:lang w:val="fr-FR"/>
        </w:rPr>
        <w:t>es mineurs demandeurs d</w:t>
      </w:r>
      <w:r>
        <w:rPr>
          <w:lang w:val="fr-FR"/>
        </w:rPr>
        <w:t>’</w:t>
      </w:r>
      <w:r w:rsidRPr="00262910">
        <w:rPr>
          <w:lang w:val="fr-FR"/>
        </w:rPr>
        <w:t xml:space="preserve">asile </w:t>
      </w:r>
      <w:r w:rsidRPr="00933593">
        <w:rPr>
          <w:lang w:val="fr-FR"/>
        </w:rPr>
        <w:t>non accompagnés âgés de plus de 15 ans</w:t>
      </w:r>
      <w:r w:rsidRPr="00262910">
        <w:rPr>
          <w:lang w:val="fr-FR"/>
        </w:rPr>
        <w:t xml:space="preserve">. Les autorités norvégiennes </w:t>
      </w:r>
      <w:r>
        <w:rPr>
          <w:lang w:val="fr-FR"/>
        </w:rPr>
        <w:t xml:space="preserve">sont en train de définir des règles concernant </w:t>
      </w:r>
      <w:r w:rsidRPr="00262910">
        <w:rPr>
          <w:lang w:val="fr-FR"/>
        </w:rPr>
        <w:t>la responsabilité et l</w:t>
      </w:r>
      <w:r>
        <w:rPr>
          <w:lang w:val="fr-FR"/>
        </w:rPr>
        <w:t xml:space="preserve">a prise en charge </w:t>
      </w:r>
      <w:r w:rsidRPr="00262910">
        <w:rPr>
          <w:lang w:val="fr-FR"/>
        </w:rPr>
        <w:t xml:space="preserve">de ce groupe </w:t>
      </w:r>
      <w:r>
        <w:rPr>
          <w:lang w:val="fr-FR"/>
        </w:rPr>
        <w:t xml:space="preserve">en vertu de la </w:t>
      </w:r>
      <w:r w:rsidRPr="00262910">
        <w:rPr>
          <w:lang w:val="fr-FR"/>
        </w:rPr>
        <w:t xml:space="preserve">loi </w:t>
      </w:r>
      <w:r>
        <w:rPr>
          <w:lang w:val="fr-FR"/>
        </w:rPr>
        <w:t>s</w:t>
      </w:r>
      <w:r w:rsidRPr="00262910">
        <w:rPr>
          <w:lang w:val="fr-FR"/>
        </w:rPr>
        <w:t>ur l</w:t>
      </w:r>
      <w:r>
        <w:rPr>
          <w:lang w:val="fr-FR"/>
        </w:rPr>
        <w:t>’</w:t>
      </w:r>
      <w:r w:rsidRPr="00262910">
        <w:rPr>
          <w:lang w:val="fr-FR"/>
        </w:rPr>
        <w:t>immigration.</w:t>
      </w:r>
    </w:p>
    <w:p w:rsidR="001771B8" w:rsidRPr="00262910" w:rsidRDefault="001771B8" w:rsidP="001771B8">
      <w:pPr>
        <w:pStyle w:val="SingleTxtG"/>
        <w:rPr>
          <w:lang w:val="fr-FR"/>
        </w:rPr>
      </w:pPr>
      <w:r w:rsidRPr="00262910">
        <w:rPr>
          <w:lang w:val="fr-FR"/>
        </w:rPr>
        <w:t>99.</w:t>
      </w:r>
      <w:r w:rsidRPr="00262910">
        <w:rPr>
          <w:lang w:val="fr-FR"/>
        </w:rPr>
        <w:tab/>
        <w:t>Le Gouvernement norvégien n</w:t>
      </w:r>
      <w:r>
        <w:rPr>
          <w:lang w:val="fr-FR"/>
        </w:rPr>
        <w:t>’</w:t>
      </w:r>
      <w:r w:rsidRPr="00262910">
        <w:rPr>
          <w:lang w:val="fr-FR"/>
        </w:rPr>
        <w:t xml:space="preserve">envisage pas </w:t>
      </w:r>
      <w:r>
        <w:rPr>
          <w:lang w:val="fr-FR"/>
        </w:rPr>
        <w:t xml:space="preserve">pour l’heure </w:t>
      </w:r>
      <w:r w:rsidRPr="00262910">
        <w:rPr>
          <w:lang w:val="fr-FR"/>
        </w:rPr>
        <w:t xml:space="preserve">de transférer </w:t>
      </w:r>
      <w:r w:rsidRPr="00C9198D">
        <w:rPr>
          <w:lang w:val="fr-FR"/>
        </w:rPr>
        <w:t>aux services de protection de l</w:t>
      </w:r>
      <w:r>
        <w:rPr>
          <w:lang w:val="fr-FR"/>
        </w:rPr>
        <w:t>’</w:t>
      </w:r>
      <w:r w:rsidRPr="00C9198D">
        <w:rPr>
          <w:lang w:val="fr-FR"/>
        </w:rPr>
        <w:t xml:space="preserve">enfance </w:t>
      </w:r>
      <w:r w:rsidRPr="00262910">
        <w:rPr>
          <w:lang w:val="fr-FR"/>
        </w:rPr>
        <w:t xml:space="preserve">la responsabilité de la prise en charge des mineurs non accompagnés de 15 à 18 ans. La Norvège </w:t>
      </w:r>
      <w:r>
        <w:rPr>
          <w:lang w:val="fr-FR"/>
        </w:rPr>
        <w:t xml:space="preserve">sait </w:t>
      </w:r>
      <w:r w:rsidRPr="00262910">
        <w:rPr>
          <w:lang w:val="fr-FR"/>
        </w:rPr>
        <w:t>que tous les mineurs demandeurs d</w:t>
      </w:r>
      <w:r>
        <w:rPr>
          <w:lang w:val="fr-FR"/>
        </w:rPr>
        <w:t>’</w:t>
      </w:r>
      <w:r w:rsidRPr="00262910">
        <w:rPr>
          <w:lang w:val="fr-FR"/>
        </w:rPr>
        <w:t>asile non accompagnés ont besoin d</w:t>
      </w:r>
      <w:r>
        <w:rPr>
          <w:lang w:val="fr-FR"/>
        </w:rPr>
        <w:t>’</w:t>
      </w:r>
      <w:r w:rsidRPr="00262910">
        <w:rPr>
          <w:lang w:val="fr-FR"/>
        </w:rPr>
        <w:t xml:space="preserve">un niveau de soins et </w:t>
      </w:r>
      <w:r>
        <w:rPr>
          <w:lang w:val="fr-FR"/>
        </w:rPr>
        <w:t>de conditions d’</w:t>
      </w:r>
      <w:r w:rsidRPr="00262910">
        <w:rPr>
          <w:lang w:val="fr-FR"/>
        </w:rPr>
        <w:t>hébergement adapté</w:t>
      </w:r>
      <w:r>
        <w:rPr>
          <w:lang w:val="fr-FR"/>
        </w:rPr>
        <w:t>s</w:t>
      </w:r>
      <w:r w:rsidRPr="00262910">
        <w:rPr>
          <w:lang w:val="fr-FR"/>
        </w:rPr>
        <w:t xml:space="preserve"> à leurs besoins particuliers. </w:t>
      </w:r>
      <w:r w:rsidRPr="00432CBE">
        <w:rPr>
          <w:lang w:val="fr-FR"/>
        </w:rPr>
        <w:t>Les enfants</w:t>
      </w:r>
      <w:r w:rsidRPr="00262910">
        <w:rPr>
          <w:lang w:val="fr-FR"/>
        </w:rPr>
        <w:t xml:space="preserve"> plus jeunes ont </w:t>
      </w:r>
      <w:r>
        <w:rPr>
          <w:lang w:val="fr-FR"/>
        </w:rPr>
        <w:t xml:space="preserve">toutefois </w:t>
      </w:r>
      <w:r w:rsidRPr="00262910">
        <w:rPr>
          <w:lang w:val="fr-FR"/>
        </w:rPr>
        <w:t>normalement besoin d</w:t>
      </w:r>
      <w:r>
        <w:rPr>
          <w:lang w:val="fr-FR"/>
        </w:rPr>
        <w:t>’</w:t>
      </w:r>
      <w:r w:rsidRPr="00262910">
        <w:rPr>
          <w:lang w:val="fr-FR"/>
        </w:rPr>
        <w:t>un niveau de soins plus élevé que les enfants plus âgés. La Norvège dispose d</w:t>
      </w:r>
      <w:r>
        <w:rPr>
          <w:lang w:val="fr-FR"/>
        </w:rPr>
        <w:t>’</w:t>
      </w:r>
      <w:r w:rsidRPr="00262910">
        <w:rPr>
          <w:lang w:val="fr-FR"/>
        </w:rPr>
        <w:t>une offre d</w:t>
      </w:r>
      <w:r>
        <w:rPr>
          <w:lang w:val="fr-FR"/>
        </w:rPr>
        <w:t>’</w:t>
      </w:r>
      <w:r w:rsidRPr="00262910">
        <w:rPr>
          <w:lang w:val="fr-FR"/>
        </w:rPr>
        <w:t>accueil adaptée à l</w:t>
      </w:r>
      <w:r>
        <w:rPr>
          <w:lang w:val="fr-FR"/>
        </w:rPr>
        <w:t>’</w:t>
      </w:r>
      <w:r w:rsidRPr="00262910">
        <w:rPr>
          <w:lang w:val="fr-FR"/>
        </w:rPr>
        <w:t>âge. Les structures d</w:t>
      </w:r>
      <w:r>
        <w:rPr>
          <w:lang w:val="fr-FR"/>
        </w:rPr>
        <w:t>’</w:t>
      </w:r>
      <w:r w:rsidRPr="00262910">
        <w:rPr>
          <w:lang w:val="fr-FR"/>
        </w:rPr>
        <w:t xml:space="preserve">accueil </w:t>
      </w:r>
      <w:r>
        <w:rPr>
          <w:lang w:val="fr-FR"/>
        </w:rPr>
        <w:t xml:space="preserve">destinées </w:t>
      </w:r>
      <w:r w:rsidRPr="00262910">
        <w:rPr>
          <w:lang w:val="fr-FR"/>
        </w:rPr>
        <w:t>aux mineurs non accompagnés âgés de 15 à 18 ans sont conçues pour répondre aux besoins de ce groupe. Le Gouvernement norvégien s</w:t>
      </w:r>
      <w:r>
        <w:rPr>
          <w:lang w:val="fr-FR"/>
        </w:rPr>
        <w:t xml:space="preserve">’attache </w:t>
      </w:r>
      <w:r w:rsidRPr="00262910">
        <w:rPr>
          <w:lang w:val="fr-FR"/>
        </w:rPr>
        <w:t xml:space="preserve">systématiquement à faire en sorte que les soins dispensés à tous les enfants non accompagnés soient gérés </w:t>
      </w:r>
      <w:r>
        <w:rPr>
          <w:lang w:val="fr-FR"/>
        </w:rPr>
        <w:t>au mieux</w:t>
      </w:r>
      <w:r w:rsidRPr="00262910">
        <w:rPr>
          <w:lang w:val="fr-FR"/>
        </w:rPr>
        <w:t xml:space="preserve">. </w:t>
      </w:r>
    </w:p>
    <w:p w:rsidR="001771B8" w:rsidRPr="00262910" w:rsidRDefault="001771B8" w:rsidP="001771B8">
      <w:pPr>
        <w:pStyle w:val="H1G"/>
        <w:rPr>
          <w:lang w:val="fr-FR"/>
        </w:rPr>
      </w:pPr>
      <w:r w:rsidRPr="00262910">
        <w:rPr>
          <w:lang w:val="fr-FR"/>
        </w:rPr>
        <w:tab/>
      </w:r>
      <w:r w:rsidRPr="00262910">
        <w:rPr>
          <w:lang w:val="fr-FR"/>
        </w:rPr>
        <w:tab/>
      </w:r>
      <w:r w:rsidRPr="005C5284">
        <w:rPr>
          <w:lang w:val="fr-FR"/>
        </w:rPr>
        <w:t>Réponse au paragraphe 15 c) de la liste de points</w:t>
      </w:r>
    </w:p>
    <w:p w:rsidR="001771B8" w:rsidRPr="00262910" w:rsidRDefault="001771B8" w:rsidP="001771B8">
      <w:pPr>
        <w:pStyle w:val="SingleTxtG"/>
        <w:rPr>
          <w:lang w:val="fr-FR"/>
        </w:rPr>
      </w:pPr>
      <w:r w:rsidRPr="00262910">
        <w:rPr>
          <w:lang w:val="fr-FR"/>
        </w:rPr>
        <w:t>100.</w:t>
      </w:r>
      <w:r w:rsidRPr="00262910">
        <w:rPr>
          <w:lang w:val="fr-FR"/>
        </w:rPr>
        <w:tab/>
      </w:r>
      <w:r w:rsidRPr="008702BB">
        <w:rPr>
          <w:lang w:val="fr-FR"/>
        </w:rPr>
        <w:t>Le nombre de</w:t>
      </w:r>
      <w:r w:rsidRPr="00262910">
        <w:rPr>
          <w:lang w:val="fr-FR"/>
        </w:rPr>
        <w:t xml:space="preserve"> mineurs non accompagnés portés disparus des centres d</w:t>
      </w:r>
      <w:r>
        <w:rPr>
          <w:lang w:val="fr-FR"/>
        </w:rPr>
        <w:t>’</w:t>
      </w:r>
      <w:r w:rsidRPr="00262910">
        <w:rPr>
          <w:lang w:val="fr-FR"/>
        </w:rPr>
        <w:t xml:space="preserve">accueil a augmenté, avec un total </w:t>
      </w:r>
      <w:r>
        <w:rPr>
          <w:lang w:val="fr-FR"/>
        </w:rPr>
        <w:t xml:space="preserve">de </w:t>
      </w:r>
      <w:r w:rsidRPr="00715514">
        <w:rPr>
          <w:lang w:val="fr-FR"/>
        </w:rPr>
        <w:t xml:space="preserve">198 </w:t>
      </w:r>
      <w:r>
        <w:rPr>
          <w:lang w:val="fr-FR"/>
        </w:rPr>
        <w:t xml:space="preserve">cas en </w:t>
      </w:r>
      <w:r w:rsidRPr="00262910">
        <w:rPr>
          <w:lang w:val="fr-FR"/>
        </w:rPr>
        <w:t>2017</w:t>
      </w:r>
      <w:r w:rsidRPr="00730494">
        <w:rPr>
          <w:lang w:val="fr-FR"/>
        </w:rPr>
        <w:t xml:space="preserve"> </w:t>
      </w:r>
      <w:r>
        <w:rPr>
          <w:lang w:val="fr-FR"/>
        </w:rPr>
        <w:t xml:space="preserve">contre </w:t>
      </w:r>
      <w:r w:rsidRPr="00730494">
        <w:rPr>
          <w:lang w:val="fr-FR"/>
        </w:rPr>
        <w:t>144 cas en 2016</w:t>
      </w:r>
      <w:r w:rsidRPr="00262910">
        <w:rPr>
          <w:lang w:val="fr-FR"/>
        </w:rPr>
        <w:t xml:space="preserve">. Cette situation </w:t>
      </w:r>
      <w:r>
        <w:rPr>
          <w:lang w:val="fr-FR"/>
        </w:rPr>
        <w:t xml:space="preserve">est imputable à plusieurs </w:t>
      </w:r>
      <w:r w:rsidRPr="00262910">
        <w:rPr>
          <w:lang w:val="fr-FR"/>
        </w:rPr>
        <w:t xml:space="preserve">facteurs, </w:t>
      </w:r>
      <w:r>
        <w:rPr>
          <w:lang w:val="fr-FR"/>
        </w:rPr>
        <w:t xml:space="preserve">dont </w:t>
      </w:r>
      <w:r w:rsidRPr="00262910">
        <w:rPr>
          <w:lang w:val="fr-FR"/>
        </w:rPr>
        <w:t>l</w:t>
      </w:r>
      <w:r>
        <w:rPr>
          <w:lang w:val="fr-FR"/>
        </w:rPr>
        <w:t>’</w:t>
      </w:r>
      <w:r w:rsidRPr="00262910">
        <w:rPr>
          <w:lang w:val="fr-FR"/>
        </w:rPr>
        <w:t xml:space="preserve">allongement du délai de traitement </w:t>
      </w:r>
      <w:r>
        <w:rPr>
          <w:lang w:val="fr-FR"/>
        </w:rPr>
        <w:t xml:space="preserve">des demandes </w:t>
      </w:r>
      <w:r w:rsidR="00C93D77">
        <w:rPr>
          <w:lang w:val="fr-FR"/>
        </w:rPr>
        <w:t>− </w:t>
      </w:r>
      <w:r w:rsidRPr="00262910">
        <w:rPr>
          <w:lang w:val="fr-FR"/>
        </w:rPr>
        <w:t xml:space="preserve">donc </w:t>
      </w:r>
      <w:r>
        <w:rPr>
          <w:lang w:val="fr-FR"/>
        </w:rPr>
        <w:t xml:space="preserve">de la durée </w:t>
      </w:r>
      <w:r w:rsidRPr="00262910">
        <w:rPr>
          <w:lang w:val="fr-FR"/>
        </w:rPr>
        <w:t xml:space="preserve">du séjour </w:t>
      </w:r>
      <w:r>
        <w:rPr>
          <w:lang w:val="fr-FR"/>
        </w:rPr>
        <w:t xml:space="preserve">en </w:t>
      </w:r>
      <w:r w:rsidRPr="00262910">
        <w:rPr>
          <w:lang w:val="fr-FR"/>
        </w:rPr>
        <w:t>centre d</w:t>
      </w:r>
      <w:r>
        <w:rPr>
          <w:lang w:val="fr-FR"/>
        </w:rPr>
        <w:t>’</w:t>
      </w:r>
      <w:r w:rsidRPr="00262910">
        <w:rPr>
          <w:lang w:val="fr-FR"/>
        </w:rPr>
        <w:t>accueil</w:t>
      </w:r>
      <w:r>
        <w:rPr>
          <w:lang w:val="fr-FR"/>
        </w:rPr>
        <w:t xml:space="preserve"> </w:t>
      </w:r>
      <w:r w:rsidR="00C93D77">
        <w:rPr>
          <w:lang w:val="fr-FR"/>
        </w:rPr>
        <w:t>−</w:t>
      </w:r>
      <w:r w:rsidRPr="00262910">
        <w:rPr>
          <w:lang w:val="fr-FR"/>
        </w:rPr>
        <w:t xml:space="preserve"> </w:t>
      </w:r>
      <w:r>
        <w:rPr>
          <w:lang w:val="fr-FR"/>
        </w:rPr>
        <w:t xml:space="preserve">de </w:t>
      </w:r>
      <w:r w:rsidRPr="00262910">
        <w:rPr>
          <w:lang w:val="fr-FR"/>
        </w:rPr>
        <w:t>ce</w:t>
      </w:r>
      <w:r>
        <w:rPr>
          <w:lang w:val="fr-FR"/>
        </w:rPr>
        <w:t>s mineurs</w:t>
      </w:r>
      <w:r w:rsidRPr="00262910">
        <w:rPr>
          <w:lang w:val="fr-FR"/>
        </w:rPr>
        <w:t>, l</w:t>
      </w:r>
      <w:r>
        <w:rPr>
          <w:lang w:val="fr-FR"/>
        </w:rPr>
        <w:t xml:space="preserve">a hausse </w:t>
      </w:r>
      <w:r w:rsidRPr="00262910">
        <w:rPr>
          <w:lang w:val="fr-FR"/>
        </w:rPr>
        <w:t xml:space="preserve">du nombre de mineurs non accompagnés </w:t>
      </w:r>
      <w:r>
        <w:rPr>
          <w:lang w:val="fr-FR"/>
        </w:rPr>
        <w:t xml:space="preserve">auxquels n’est accordé qu’un permis de séjour d’une durée </w:t>
      </w:r>
      <w:r w:rsidRPr="00262910">
        <w:rPr>
          <w:lang w:val="fr-FR"/>
        </w:rPr>
        <w:t>limité</w:t>
      </w:r>
      <w:r>
        <w:rPr>
          <w:lang w:val="fr-FR"/>
        </w:rPr>
        <w:t>e</w:t>
      </w:r>
      <w:r w:rsidRPr="00262910">
        <w:rPr>
          <w:lang w:val="fr-FR"/>
        </w:rPr>
        <w:t xml:space="preserve"> </w:t>
      </w:r>
      <w:r>
        <w:rPr>
          <w:lang w:val="fr-FR"/>
        </w:rPr>
        <w:t xml:space="preserve">arrivant à expiration une fois qu’ils ont </w:t>
      </w:r>
      <w:r w:rsidRPr="00262910">
        <w:rPr>
          <w:lang w:val="fr-FR"/>
        </w:rPr>
        <w:t xml:space="preserve">18 ans, les </w:t>
      </w:r>
      <w:r>
        <w:rPr>
          <w:lang w:val="fr-FR"/>
        </w:rPr>
        <w:t>transferts d’un c</w:t>
      </w:r>
      <w:r w:rsidRPr="00262910">
        <w:rPr>
          <w:lang w:val="fr-FR"/>
        </w:rPr>
        <w:t>entre d</w:t>
      </w:r>
      <w:r>
        <w:rPr>
          <w:lang w:val="fr-FR"/>
        </w:rPr>
        <w:t>’</w:t>
      </w:r>
      <w:r w:rsidRPr="00262910">
        <w:rPr>
          <w:lang w:val="fr-FR"/>
        </w:rPr>
        <w:t xml:space="preserve">accueil </w:t>
      </w:r>
      <w:r>
        <w:rPr>
          <w:lang w:val="fr-FR"/>
        </w:rPr>
        <w:t xml:space="preserve">à un autre </w:t>
      </w:r>
      <w:r w:rsidRPr="00262910">
        <w:rPr>
          <w:lang w:val="fr-FR"/>
        </w:rPr>
        <w:t>et la crainte d</w:t>
      </w:r>
      <w:r>
        <w:rPr>
          <w:lang w:val="fr-FR"/>
        </w:rPr>
        <w:t xml:space="preserve">’un rapatriement de </w:t>
      </w:r>
      <w:r w:rsidRPr="00262910">
        <w:rPr>
          <w:lang w:val="fr-FR"/>
        </w:rPr>
        <w:t>forc</w:t>
      </w:r>
      <w:r>
        <w:rPr>
          <w:lang w:val="fr-FR"/>
        </w:rPr>
        <w:t>e</w:t>
      </w:r>
      <w:r w:rsidRPr="00262910">
        <w:rPr>
          <w:lang w:val="fr-FR"/>
        </w:rPr>
        <w:t xml:space="preserve">. Les autorités norvégiennes ont pris </w:t>
      </w:r>
      <w:r>
        <w:rPr>
          <w:lang w:val="fr-FR"/>
        </w:rPr>
        <w:t xml:space="preserve">une série de </w:t>
      </w:r>
      <w:r w:rsidRPr="00262910">
        <w:rPr>
          <w:lang w:val="fr-FR"/>
        </w:rPr>
        <w:t xml:space="preserve">mesures </w:t>
      </w:r>
      <w:r>
        <w:rPr>
          <w:lang w:val="fr-FR"/>
        </w:rPr>
        <w:t xml:space="preserve">en vue de </w:t>
      </w:r>
      <w:r w:rsidRPr="00262910">
        <w:rPr>
          <w:lang w:val="fr-FR"/>
        </w:rPr>
        <w:t xml:space="preserve">remédier à la situation de ce groupe, notamment </w:t>
      </w:r>
      <w:r>
        <w:rPr>
          <w:lang w:val="fr-FR"/>
        </w:rPr>
        <w:t xml:space="preserve">l’affectation de fonds supplémentaires afin de relever le nombre et les aptitudes des membres du </w:t>
      </w:r>
      <w:r w:rsidRPr="00262910">
        <w:rPr>
          <w:lang w:val="fr-FR"/>
        </w:rPr>
        <w:t>personnel des centres d</w:t>
      </w:r>
      <w:r>
        <w:rPr>
          <w:lang w:val="fr-FR"/>
        </w:rPr>
        <w:t>’</w:t>
      </w:r>
      <w:r w:rsidRPr="00262910">
        <w:rPr>
          <w:lang w:val="fr-FR"/>
        </w:rPr>
        <w:t>accueil, ainsi que l</w:t>
      </w:r>
      <w:r>
        <w:rPr>
          <w:lang w:val="fr-FR"/>
        </w:rPr>
        <w:t xml:space="preserve">’accélération du traitement des demandes déposées par des </w:t>
      </w:r>
      <w:r w:rsidRPr="00262910">
        <w:rPr>
          <w:lang w:val="fr-FR"/>
        </w:rPr>
        <w:t xml:space="preserve">mineurs non accompagnés </w:t>
      </w:r>
      <w:r>
        <w:rPr>
          <w:lang w:val="fr-FR"/>
        </w:rPr>
        <w:t xml:space="preserve">auxquels n’a été accordé qu’un </w:t>
      </w:r>
      <w:r w:rsidRPr="00262910">
        <w:rPr>
          <w:lang w:val="fr-FR"/>
        </w:rPr>
        <w:t xml:space="preserve">permis de séjour </w:t>
      </w:r>
      <w:r>
        <w:rPr>
          <w:lang w:val="fr-FR"/>
        </w:rPr>
        <w:t xml:space="preserve">d’une durée </w:t>
      </w:r>
      <w:r w:rsidRPr="00262910">
        <w:rPr>
          <w:lang w:val="fr-FR"/>
        </w:rPr>
        <w:t>limité</w:t>
      </w:r>
      <w:r w:rsidR="00C93D77">
        <w:rPr>
          <w:lang w:val="fr-FR"/>
        </w:rPr>
        <w:t>e</w:t>
      </w:r>
      <w:r w:rsidRPr="00262910">
        <w:rPr>
          <w:lang w:val="fr-FR"/>
        </w:rPr>
        <w:t xml:space="preserve"> en raison de doutes </w:t>
      </w:r>
      <w:r>
        <w:rPr>
          <w:lang w:val="fr-FR"/>
        </w:rPr>
        <w:t xml:space="preserve">concernant </w:t>
      </w:r>
      <w:r w:rsidRPr="00262910">
        <w:rPr>
          <w:lang w:val="fr-FR"/>
        </w:rPr>
        <w:t xml:space="preserve">leur identité. </w:t>
      </w:r>
    </w:p>
    <w:p w:rsidR="001771B8" w:rsidRPr="00262910" w:rsidRDefault="001771B8" w:rsidP="001771B8">
      <w:pPr>
        <w:pStyle w:val="SingleTxtG"/>
        <w:rPr>
          <w:lang w:val="fr-FR"/>
        </w:rPr>
      </w:pPr>
      <w:r w:rsidRPr="00262910">
        <w:rPr>
          <w:lang w:val="fr-FR"/>
        </w:rPr>
        <w:t>101.</w:t>
      </w:r>
      <w:r w:rsidRPr="00262910">
        <w:rPr>
          <w:lang w:val="fr-FR"/>
        </w:rPr>
        <w:tab/>
      </w:r>
      <w:r w:rsidRPr="00475152">
        <w:rPr>
          <w:lang w:val="fr-FR"/>
        </w:rPr>
        <w:t>Les autorités</w:t>
      </w:r>
      <w:r w:rsidRPr="00262910">
        <w:rPr>
          <w:lang w:val="fr-FR"/>
        </w:rPr>
        <w:t xml:space="preserve"> de l</w:t>
      </w:r>
      <w:r>
        <w:rPr>
          <w:lang w:val="fr-FR"/>
        </w:rPr>
        <w:t>’</w:t>
      </w:r>
      <w:r w:rsidRPr="00262910">
        <w:rPr>
          <w:lang w:val="fr-FR"/>
        </w:rPr>
        <w:t>immigration et la police disposent de lignes directrices sur la manière de traiter les disparitions d</w:t>
      </w:r>
      <w:r>
        <w:rPr>
          <w:lang w:val="fr-FR"/>
        </w:rPr>
        <w:t>’</w:t>
      </w:r>
      <w:r w:rsidRPr="00262910">
        <w:rPr>
          <w:lang w:val="fr-FR"/>
        </w:rPr>
        <w:t>enfants non accompagnés ou séparés. Les centres d</w:t>
      </w:r>
      <w:r>
        <w:rPr>
          <w:lang w:val="fr-FR"/>
        </w:rPr>
        <w:t>’</w:t>
      </w:r>
      <w:r w:rsidRPr="00262910">
        <w:rPr>
          <w:lang w:val="fr-FR"/>
        </w:rPr>
        <w:t>accueil sont tenus d</w:t>
      </w:r>
      <w:r>
        <w:rPr>
          <w:lang w:val="fr-FR"/>
        </w:rPr>
        <w:t>’</w:t>
      </w:r>
      <w:r w:rsidRPr="00262910">
        <w:rPr>
          <w:lang w:val="fr-FR"/>
        </w:rPr>
        <w:t>informer la police, les services de protection de l</w:t>
      </w:r>
      <w:r>
        <w:rPr>
          <w:lang w:val="fr-FR"/>
        </w:rPr>
        <w:t>’</w:t>
      </w:r>
      <w:r w:rsidRPr="00262910">
        <w:rPr>
          <w:lang w:val="fr-FR"/>
        </w:rPr>
        <w:t>enfance et les services d</w:t>
      </w:r>
      <w:r>
        <w:rPr>
          <w:lang w:val="fr-FR"/>
        </w:rPr>
        <w:t>’</w:t>
      </w:r>
      <w:r w:rsidRPr="00262910">
        <w:rPr>
          <w:lang w:val="fr-FR"/>
        </w:rPr>
        <w:t>immigration lorsqu</w:t>
      </w:r>
      <w:r>
        <w:rPr>
          <w:lang w:val="fr-FR"/>
        </w:rPr>
        <w:t xml:space="preserve">’un </w:t>
      </w:r>
      <w:r w:rsidRPr="00262910">
        <w:rPr>
          <w:lang w:val="fr-FR"/>
        </w:rPr>
        <w:t xml:space="preserve">mineur disparaît. </w:t>
      </w:r>
      <w:r>
        <w:rPr>
          <w:lang w:val="fr-FR"/>
        </w:rPr>
        <w:t xml:space="preserve">Selon les indications de la </w:t>
      </w:r>
      <w:r w:rsidRPr="00262910">
        <w:rPr>
          <w:lang w:val="fr-FR"/>
        </w:rPr>
        <w:t>police</w:t>
      </w:r>
      <w:r>
        <w:rPr>
          <w:lang w:val="fr-FR"/>
        </w:rPr>
        <w:t>,</w:t>
      </w:r>
      <w:r w:rsidRPr="00262910">
        <w:rPr>
          <w:lang w:val="fr-FR"/>
        </w:rPr>
        <w:t xml:space="preserve"> l</w:t>
      </w:r>
      <w:r>
        <w:rPr>
          <w:lang w:val="fr-FR"/>
        </w:rPr>
        <w:t xml:space="preserve">a plupart des </w:t>
      </w:r>
      <w:r w:rsidRPr="00262910">
        <w:rPr>
          <w:lang w:val="fr-FR"/>
        </w:rPr>
        <w:t xml:space="preserve">mineurs </w:t>
      </w:r>
      <w:r>
        <w:rPr>
          <w:lang w:val="fr-FR"/>
        </w:rPr>
        <w:t xml:space="preserve">portés disparus d’un </w:t>
      </w:r>
      <w:r w:rsidRPr="00262910">
        <w:rPr>
          <w:lang w:val="fr-FR"/>
        </w:rPr>
        <w:t>centre d</w:t>
      </w:r>
      <w:r>
        <w:rPr>
          <w:lang w:val="fr-FR"/>
        </w:rPr>
        <w:t>’</w:t>
      </w:r>
      <w:r w:rsidRPr="00262910">
        <w:rPr>
          <w:lang w:val="fr-FR"/>
        </w:rPr>
        <w:t xml:space="preserve">accueil </w:t>
      </w:r>
      <w:r>
        <w:rPr>
          <w:lang w:val="fr-FR"/>
        </w:rPr>
        <w:t xml:space="preserve">l’ont quitté </w:t>
      </w:r>
      <w:r w:rsidRPr="00262910">
        <w:rPr>
          <w:lang w:val="fr-FR"/>
        </w:rPr>
        <w:t xml:space="preserve">de leur plein gré, sans </w:t>
      </w:r>
      <w:r>
        <w:rPr>
          <w:lang w:val="fr-FR"/>
        </w:rPr>
        <w:t xml:space="preserve">subir de </w:t>
      </w:r>
      <w:r w:rsidRPr="00262910">
        <w:rPr>
          <w:lang w:val="fr-FR"/>
        </w:rPr>
        <w:t xml:space="preserve">pression </w:t>
      </w:r>
      <w:r>
        <w:rPr>
          <w:lang w:val="fr-FR"/>
        </w:rPr>
        <w:t>de la part de t</w:t>
      </w:r>
      <w:r w:rsidRPr="00262910">
        <w:rPr>
          <w:lang w:val="fr-FR"/>
        </w:rPr>
        <w:t xml:space="preserve">rafiquants. </w:t>
      </w:r>
      <w:r>
        <w:rPr>
          <w:lang w:val="fr-FR"/>
        </w:rPr>
        <w:t>L</w:t>
      </w:r>
      <w:r w:rsidRPr="00262910">
        <w:rPr>
          <w:lang w:val="fr-FR"/>
        </w:rPr>
        <w:t xml:space="preserve">a police doit </w:t>
      </w:r>
      <w:r>
        <w:rPr>
          <w:lang w:val="fr-FR"/>
        </w:rPr>
        <w:t xml:space="preserve">cependant systématiquement déterminer s’il est nécessaire d’ouvrir </w:t>
      </w:r>
      <w:r w:rsidRPr="00262910">
        <w:rPr>
          <w:lang w:val="fr-FR"/>
        </w:rPr>
        <w:t xml:space="preserve">une enquête. </w:t>
      </w:r>
      <w:r>
        <w:rPr>
          <w:lang w:val="fr-FR"/>
        </w:rPr>
        <w:t xml:space="preserve">La Norvège </w:t>
      </w:r>
      <w:r w:rsidRPr="00262910">
        <w:rPr>
          <w:lang w:val="fr-FR"/>
        </w:rPr>
        <w:t>ne dispos</w:t>
      </w:r>
      <w:r>
        <w:rPr>
          <w:lang w:val="fr-FR"/>
        </w:rPr>
        <w:t xml:space="preserve">e </w:t>
      </w:r>
      <w:r w:rsidRPr="00262910">
        <w:rPr>
          <w:lang w:val="fr-FR"/>
        </w:rPr>
        <w:t xml:space="preserve">actuellement </w:t>
      </w:r>
      <w:r>
        <w:rPr>
          <w:lang w:val="fr-FR"/>
        </w:rPr>
        <w:t xml:space="preserve">pas </w:t>
      </w:r>
      <w:r w:rsidRPr="00262910">
        <w:rPr>
          <w:lang w:val="fr-FR"/>
        </w:rPr>
        <w:t>de statistiques indiquant le nombre et le résultat de</w:t>
      </w:r>
      <w:r>
        <w:rPr>
          <w:lang w:val="fr-FR"/>
        </w:rPr>
        <w:t xml:space="preserve"> telles </w:t>
      </w:r>
      <w:r w:rsidRPr="00262910">
        <w:rPr>
          <w:lang w:val="fr-FR"/>
        </w:rPr>
        <w:t>enquêtes.</w:t>
      </w:r>
    </w:p>
    <w:p w:rsidR="001771B8" w:rsidRPr="00262910" w:rsidRDefault="001771B8" w:rsidP="001771B8">
      <w:pPr>
        <w:pStyle w:val="H1G"/>
        <w:rPr>
          <w:lang w:val="fr-FR"/>
        </w:rPr>
      </w:pPr>
      <w:r w:rsidRPr="00262910">
        <w:rPr>
          <w:lang w:val="fr-FR"/>
        </w:rPr>
        <w:tab/>
      </w:r>
      <w:r w:rsidRPr="00262910">
        <w:rPr>
          <w:lang w:val="fr-FR"/>
        </w:rPr>
        <w:tab/>
      </w:r>
      <w:r w:rsidRPr="005C5284">
        <w:rPr>
          <w:lang w:val="fr-FR"/>
        </w:rPr>
        <w:t>Réponse au paragraphe 15 d) de la liste de points</w:t>
      </w:r>
    </w:p>
    <w:p w:rsidR="001771B8" w:rsidRPr="00262910" w:rsidRDefault="001771B8" w:rsidP="001771B8">
      <w:pPr>
        <w:pStyle w:val="SingleTxtG"/>
        <w:rPr>
          <w:lang w:val="fr-FR"/>
        </w:rPr>
      </w:pPr>
      <w:r w:rsidRPr="00262910">
        <w:rPr>
          <w:lang w:val="fr-FR"/>
        </w:rPr>
        <w:t>102.</w:t>
      </w:r>
      <w:r w:rsidRPr="00262910">
        <w:rPr>
          <w:lang w:val="fr-FR"/>
        </w:rPr>
        <w:tab/>
      </w:r>
      <w:r w:rsidRPr="00312EDB">
        <w:rPr>
          <w:lang w:val="fr-FR"/>
        </w:rPr>
        <w:t>La</w:t>
      </w:r>
      <w:r w:rsidRPr="00262910">
        <w:rPr>
          <w:lang w:val="fr-FR"/>
        </w:rPr>
        <w:t xml:space="preserve"> plupart des demandes d</w:t>
      </w:r>
      <w:r>
        <w:rPr>
          <w:lang w:val="fr-FR"/>
        </w:rPr>
        <w:t>’</w:t>
      </w:r>
      <w:r w:rsidRPr="00262910">
        <w:rPr>
          <w:lang w:val="fr-FR"/>
        </w:rPr>
        <w:t xml:space="preserve">asile </w:t>
      </w:r>
      <w:r>
        <w:rPr>
          <w:lang w:val="fr-FR"/>
        </w:rPr>
        <w:t xml:space="preserve">sont examinées sur le fond </w:t>
      </w:r>
      <w:r w:rsidRPr="00262910">
        <w:rPr>
          <w:lang w:val="fr-FR"/>
        </w:rPr>
        <w:t>et, en règle générale, le demandeur d</w:t>
      </w:r>
      <w:r>
        <w:rPr>
          <w:lang w:val="fr-FR"/>
        </w:rPr>
        <w:t>’</w:t>
      </w:r>
      <w:r w:rsidRPr="00262910">
        <w:rPr>
          <w:lang w:val="fr-FR"/>
        </w:rPr>
        <w:t xml:space="preserve">asile </w:t>
      </w:r>
      <w:r>
        <w:rPr>
          <w:lang w:val="fr-FR"/>
        </w:rPr>
        <w:t xml:space="preserve">débouté a </w:t>
      </w:r>
      <w:r w:rsidRPr="00262910">
        <w:rPr>
          <w:lang w:val="fr-FR"/>
        </w:rPr>
        <w:t xml:space="preserve">le droit de rester en Norvège </w:t>
      </w:r>
      <w:r>
        <w:rPr>
          <w:lang w:val="fr-FR"/>
        </w:rPr>
        <w:t xml:space="preserve">jusqu’au terme de la </w:t>
      </w:r>
      <w:r w:rsidRPr="00262910">
        <w:rPr>
          <w:lang w:val="fr-FR"/>
        </w:rPr>
        <w:t xml:space="preserve">procédure de recours. </w:t>
      </w:r>
      <w:r>
        <w:rPr>
          <w:lang w:val="fr-FR"/>
        </w:rPr>
        <w:t xml:space="preserve">Cette règle ne </w:t>
      </w:r>
      <w:r w:rsidRPr="00262910">
        <w:rPr>
          <w:lang w:val="fr-FR"/>
        </w:rPr>
        <w:t>s</w:t>
      </w:r>
      <w:r>
        <w:rPr>
          <w:lang w:val="fr-FR"/>
        </w:rPr>
        <w:t>’</w:t>
      </w:r>
      <w:r w:rsidRPr="00262910">
        <w:rPr>
          <w:lang w:val="fr-FR"/>
        </w:rPr>
        <w:t xml:space="preserve">applique </w:t>
      </w:r>
      <w:r>
        <w:rPr>
          <w:lang w:val="fr-FR"/>
        </w:rPr>
        <w:t xml:space="preserve">toutefois </w:t>
      </w:r>
      <w:r w:rsidRPr="00262910">
        <w:rPr>
          <w:lang w:val="fr-FR"/>
        </w:rPr>
        <w:t xml:space="preserve">pas aux cas </w:t>
      </w:r>
      <w:r>
        <w:rPr>
          <w:lang w:val="fr-FR"/>
        </w:rPr>
        <w:t xml:space="preserve">relevant </w:t>
      </w:r>
      <w:r w:rsidRPr="00262910">
        <w:rPr>
          <w:lang w:val="fr-FR"/>
        </w:rPr>
        <w:t xml:space="preserve">du </w:t>
      </w:r>
      <w:r w:rsidR="00363EB3" w:rsidRPr="00262910">
        <w:rPr>
          <w:lang w:val="fr-FR"/>
        </w:rPr>
        <w:t>R</w:t>
      </w:r>
      <w:r w:rsidRPr="00262910">
        <w:rPr>
          <w:lang w:val="fr-FR"/>
        </w:rPr>
        <w:t xml:space="preserve">èglement de Dublin. </w:t>
      </w:r>
      <w:r w:rsidRPr="003F211F">
        <w:rPr>
          <w:lang w:val="fr-FR"/>
        </w:rPr>
        <w:t>Une demande d</w:t>
      </w:r>
      <w:r>
        <w:rPr>
          <w:lang w:val="fr-FR"/>
        </w:rPr>
        <w:t>’</w:t>
      </w:r>
      <w:r w:rsidRPr="003F211F">
        <w:rPr>
          <w:lang w:val="fr-FR"/>
        </w:rPr>
        <w:t>asile peut aussi être rejetée sans être examinée sur le fond au motif que le demandeur d</w:t>
      </w:r>
      <w:r>
        <w:rPr>
          <w:lang w:val="fr-FR"/>
        </w:rPr>
        <w:t>’</w:t>
      </w:r>
      <w:r w:rsidRPr="003F211F">
        <w:rPr>
          <w:lang w:val="fr-FR"/>
        </w:rPr>
        <w:t>asile</w:t>
      </w:r>
      <w:r w:rsidRPr="00262910">
        <w:rPr>
          <w:lang w:val="fr-FR"/>
        </w:rPr>
        <w:t xml:space="preserve"> est entré en Norvège après avoir séjourné dans un pays tiers sûr ou </w:t>
      </w:r>
      <w:r>
        <w:rPr>
          <w:lang w:val="fr-FR"/>
        </w:rPr>
        <w:t>qu’il</w:t>
      </w:r>
      <w:r w:rsidRPr="00262910">
        <w:rPr>
          <w:lang w:val="fr-FR"/>
        </w:rPr>
        <w:t xml:space="preserve"> a obtenu l</w:t>
      </w:r>
      <w:r>
        <w:rPr>
          <w:lang w:val="fr-FR"/>
        </w:rPr>
        <w:t>’</w:t>
      </w:r>
      <w:r w:rsidRPr="00262910">
        <w:rPr>
          <w:lang w:val="fr-FR"/>
        </w:rPr>
        <w:t xml:space="preserve">asile dans un autre État. </w:t>
      </w:r>
      <w:r>
        <w:rPr>
          <w:lang w:val="fr-FR"/>
        </w:rPr>
        <w:t xml:space="preserve">La question primordiale </w:t>
      </w:r>
      <w:r w:rsidRPr="00262910">
        <w:rPr>
          <w:lang w:val="fr-FR"/>
        </w:rPr>
        <w:t xml:space="preserve">est </w:t>
      </w:r>
      <w:r>
        <w:rPr>
          <w:lang w:val="fr-FR"/>
        </w:rPr>
        <w:t xml:space="preserve">alors </w:t>
      </w:r>
      <w:r w:rsidRPr="00262910">
        <w:rPr>
          <w:lang w:val="fr-FR"/>
        </w:rPr>
        <w:t>de savoir si le demandeur d</w:t>
      </w:r>
      <w:r>
        <w:rPr>
          <w:lang w:val="fr-FR"/>
        </w:rPr>
        <w:t>’</w:t>
      </w:r>
      <w:r w:rsidRPr="00262910">
        <w:rPr>
          <w:lang w:val="fr-FR"/>
        </w:rPr>
        <w:t xml:space="preserve">asile </w:t>
      </w:r>
      <w:r>
        <w:rPr>
          <w:lang w:val="fr-FR"/>
        </w:rPr>
        <w:t xml:space="preserve">court </w:t>
      </w:r>
      <w:r w:rsidRPr="00262910">
        <w:rPr>
          <w:lang w:val="fr-FR"/>
        </w:rPr>
        <w:t>un risque réel d</w:t>
      </w:r>
      <w:r>
        <w:rPr>
          <w:lang w:val="fr-FR"/>
        </w:rPr>
        <w:t xml:space="preserve">’être exposé à un </w:t>
      </w:r>
      <w:r w:rsidRPr="00262910">
        <w:rPr>
          <w:lang w:val="fr-FR"/>
        </w:rPr>
        <w:t>traitement contraire à l</w:t>
      </w:r>
      <w:r>
        <w:rPr>
          <w:lang w:val="fr-FR"/>
        </w:rPr>
        <w:t>’</w:t>
      </w:r>
      <w:r w:rsidRPr="00262910">
        <w:rPr>
          <w:lang w:val="fr-FR"/>
        </w:rPr>
        <w:t>article</w:t>
      </w:r>
      <w:r w:rsidR="00363EB3">
        <w:rPr>
          <w:lang w:val="fr-FR"/>
        </w:rPr>
        <w:t> </w:t>
      </w:r>
      <w:r w:rsidRPr="00262910">
        <w:rPr>
          <w:lang w:val="fr-FR"/>
        </w:rPr>
        <w:t>3 de la C</w:t>
      </w:r>
      <w:r>
        <w:rPr>
          <w:lang w:val="fr-FR"/>
        </w:rPr>
        <w:t xml:space="preserve">onvention européenne des droits de l’homme </w:t>
      </w:r>
      <w:r w:rsidRPr="00262910">
        <w:rPr>
          <w:lang w:val="fr-FR"/>
        </w:rPr>
        <w:t xml:space="preserve">dans le pays tiers </w:t>
      </w:r>
      <w:r>
        <w:rPr>
          <w:lang w:val="fr-FR"/>
        </w:rPr>
        <w:t xml:space="preserve">où il est susceptible </w:t>
      </w:r>
      <w:r w:rsidRPr="00262910">
        <w:rPr>
          <w:lang w:val="fr-FR"/>
        </w:rPr>
        <w:t>d</w:t>
      </w:r>
      <w:r>
        <w:rPr>
          <w:lang w:val="fr-FR"/>
        </w:rPr>
        <w:t>’</w:t>
      </w:r>
      <w:r w:rsidRPr="00262910">
        <w:rPr>
          <w:lang w:val="fr-FR"/>
        </w:rPr>
        <w:t xml:space="preserve">être renvoyé </w:t>
      </w:r>
      <w:r>
        <w:rPr>
          <w:lang w:val="fr-FR"/>
        </w:rPr>
        <w:t>ou dans le pays vers lequel ce pays tiers risque de le renvoyer</w:t>
      </w:r>
      <w:r w:rsidRPr="00262910">
        <w:rPr>
          <w:lang w:val="fr-FR"/>
        </w:rPr>
        <w:t xml:space="preserve">. Si </w:t>
      </w:r>
      <w:r>
        <w:rPr>
          <w:lang w:val="fr-FR"/>
        </w:rPr>
        <w:t xml:space="preserve">on considère qu’un tel risque existe, </w:t>
      </w:r>
      <w:r w:rsidRPr="00262910">
        <w:rPr>
          <w:lang w:val="fr-FR"/>
        </w:rPr>
        <w:t>l</w:t>
      </w:r>
      <w:r>
        <w:rPr>
          <w:lang w:val="fr-FR"/>
        </w:rPr>
        <w:t>’</w:t>
      </w:r>
      <w:r w:rsidRPr="00262910">
        <w:rPr>
          <w:lang w:val="fr-FR"/>
        </w:rPr>
        <w:t>examen sur le fond n</w:t>
      </w:r>
      <w:r>
        <w:rPr>
          <w:lang w:val="fr-FR"/>
        </w:rPr>
        <w:t xml:space="preserve">’est </w:t>
      </w:r>
      <w:r w:rsidRPr="00262910">
        <w:rPr>
          <w:lang w:val="fr-FR"/>
        </w:rPr>
        <w:t xml:space="preserve">pas refusé. En 2018, sur un total de 2 672 </w:t>
      </w:r>
      <w:r>
        <w:rPr>
          <w:lang w:val="fr-FR"/>
        </w:rPr>
        <w:t xml:space="preserve">demandes d’asile examinées en première instance 402 </w:t>
      </w:r>
      <w:r w:rsidRPr="00262910">
        <w:rPr>
          <w:lang w:val="fr-FR"/>
        </w:rPr>
        <w:t xml:space="preserve">ont été rejetées </w:t>
      </w:r>
      <w:r>
        <w:rPr>
          <w:lang w:val="fr-FR"/>
        </w:rPr>
        <w:t xml:space="preserve">en application du </w:t>
      </w:r>
      <w:r w:rsidR="00363EB3">
        <w:rPr>
          <w:lang w:val="fr-FR"/>
        </w:rPr>
        <w:t>R</w:t>
      </w:r>
      <w:r>
        <w:rPr>
          <w:lang w:val="fr-FR"/>
        </w:rPr>
        <w:t xml:space="preserve">èglement </w:t>
      </w:r>
      <w:r w:rsidRPr="00262910">
        <w:rPr>
          <w:lang w:val="fr-FR"/>
        </w:rPr>
        <w:t>de Dublin</w:t>
      </w:r>
      <w:r>
        <w:rPr>
          <w:lang w:val="fr-FR"/>
        </w:rPr>
        <w:t xml:space="preserve"> et </w:t>
      </w:r>
      <w:r w:rsidRPr="00262910">
        <w:rPr>
          <w:lang w:val="fr-FR"/>
        </w:rPr>
        <w:t xml:space="preserve">126 </w:t>
      </w:r>
      <w:r>
        <w:rPr>
          <w:lang w:val="fr-FR"/>
        </w:rPr>
        <w:t xml:space="preserve">l’ont été pour renvoi </w:t>
      </w:r>
      <w:r w:rsidRPr="00262910">
        <w:rPr>
          <w:lang w:val="fr-FR"/>
        </w:rPr>
        <w:t>vers un pays tiers sûr</w:t>
      </w:r>
      <w:r>
        <w:rPr>
          <w:lang w:val="fr-FR"/>
        </w:rPr>
        <w:t xml:space="preserve"> ; </w:t>
      </w:r>
      <w:r w:rsidRPr="00262910">
        <w:rPr>
          <w:lang w:val="fr-FR"/>
        </w:rPr>
        <w:t>en 2017</w:t>
      </w:r>
      <w:r>
        <w:rPr>
          <w:lang w:val="fr-FR"/>
        </w:rPr>
        <w:t xml:space="preserve">, sur un total de </w:t>
      </w:r>
      <w:r w:rsidRPr="00262910">
        <w:rPr>
          <w:lang w:val="fr-FR"/>
        </w:rPr>
        <w:t>7</w:t>
      </w:r>
      <w:r>
        <w:rPr>
          <w:lang w:val="fr-FR"/>
        </w:rPr>
        <w:t> </w:t>
      </w:r>
      <w:r w:rsidRPr="00262910">
        <w:rPr>
          <w:lang w:val="fr-FR"/>
        </w:rPr>
        <w:t>489</w:t>
      </w:r>
      <w:r>
        <w:rPr>
          <w:lang w:val="fr-FR"/>
        </w:rPr>
        <w:t xml:space="preserve"> demandes</w:t>
      </w:r>
      <w:r w:rsidRPr="00907255">
        <w:rPr>
          <w:lang w:val="fr-FR"/>
        </w:rPr>
        <w:t xml:space="preserve"> examinées en première instance</w:t>
      </w:r>
      <w:r>
        <w:rPr>
          <w:lang w:val="fr-FR"/>
        </w:rPr>
        <w:t xml:space="preserve"> ,</w:t>
      </w:r>
      <w:r w:rsidRPr="00262910">
        <w:rPr>
          <w:lang w:val="fr-FR"/>
        </w:rPr>
        <w:t xml:space="preserve"> </w:t>
      </w:r>
      <w:r>
        <w:rPr>
          <w:lang w:val="fr-FR"/>
        </w:rPr>
        <w:t xml:space="preserve">431 </w:t>
      </w:r>
      <w:r w:rsidRPr="00262910">
        <w:rPr>
          <w:lang w:val="fr-FR"/>
        </w:rPr>
        <w:t xml:space="preserve">ont été rejetées </w:t>
      </w:r>
      <w:r>
        <w:rPr>
          <w:lang w:val="fr-FR"/>
        </w:rPr>
        <w:t xml:space="preserve">en application du </w:t>
      </w:r>
      <w:r w:rsidR="00363EB3">
        <w:rPr>
          <w:lang w:val="fr-FR"/>
        </w:rPr>
        <w:t>R</w:t>
      </w:r>
      <w:r>
        <w:rPr>
          <w:lang w:val="fr-FR"/>
        </w:rPr>
        <w:t xml:space="preserve">èglement de </w:t>
      </w:r>
      <w:r w:rsidRPr="00262910">
        <w:rPr>
          <w:lang w:val="fr-FR"/>
        </w:rPr>
        <w:t xml:space="preserve">Dublin et 118 </w:t>
      </w:r>
      <w:r>
        <w:rPr>
          <w:lang w:val="fr-FR"/>
        </w:rPr>
        <w:t>l’</w:t>
      </w:r>
      <w:r w:rsidRPr="00262910">
        <w:rPr>
          <w:lang w:val="fr-FR"/>
        </w:rPr>
        <w:t xml:space="preserve">ont été </w:t>
      </w:r>
      <w:r>
        <w:rPr>
          <w:lang w:val="fr-FR"/>
        </w:rPr>
        <w:t xml:space="preserve">pour </w:t>
      </w:r>
      <w:r w:rsidRPr="00262910">
        <w:rPr>
          <w:lang w:val="fr-FR"/>
        </w:rPr>
        <w:t>renvo</w:t>
      </w:r>
      <w:r>
        <w:rPr>
          <w:lang w:val="fr-FR"/>
        </w:rPr>
        <w:t xml:space="preserve">i </w:t>
      </w:r>
      <w:r w:rsidRPr="00262910">
        <w:rPr>
          <w:lang w:val="fr-FR"/>
        </w:rPr>
        <w:t>vers un pays tiers sûr.</w:t>
      </w:r>
    </w:p>
    <w:p w:rsidR="001771B8" w:rsidRPr="00262910" w:rsidRDefault="001771B8" w:rsidP="001771B8">
      <w:pPr>
        <w:pStyle w:val="H1G"/>
        <w:rPr>
          <w:lang w:val="fr-FR"/>
        </w:rPr>
      </w:pPr>
      <w:r w:rsidRPr="00262910">
        <w:rPr>
          <w:lang w:val="fr-FR"/>
        </w:rPr>
        <w:tab/>
      </w:r>
      <w:r w:rsidRPr="00262910">
        <w:rPr>
          <w:lang w:val="fr-FR"/>
        </w:rPr>
        <w:tab/>
        <w:t>Réponse au paragraphe 15 e) de la liste de points</w:t>
      </w:r>
    </w:p>
    <w:p w:rsidR="001771B8" w:rsidRPr="00262910" w:rsidRDefault="001771B8" w:rsidP="001771B8">
      <w:pPr>
        <w:pStyle w:val="SingleTxtG"/>
        <w:rPr>
          <w:lang w:val="fr-FR"/>
        </w:rPr>
      </w:pPr>
      <w:r w:rsidRPr="00262910">
        <w:rPr>
          <w:lang w:val="fr-FR"/>
        </w:rPr>
        <w:t>103.</w:t>
      </w:r>
      <w:r w:rsidRPr="00262910">
        <w:rPr>
          <w:lang w:val="fr-FR"/>
        </w:rPr>
        <w:tab/>
      </w:r>
      <w:r w:rsidRPr="00764E12">
        <w:rPr>
          <w:lang w:val="fr-FR"/>
        </w:rPr>
        <w:t>Soucieuse de</w:t>
      </w:r>
      <w:r>
        <w:rPr>
          <w:lang w:val="fr-FR"/>
        </w:rPr>
        <w:t xml:space="preserve"> garantir le respect du </w:t>
      </w:r>
      <w:r w:rsidRPr="004A329E">
        <w:rPr>
          <w:lang w:val="fr-FR"/>
        </w:rPr>
        <w:t>principe de non-refoulement</w:t>
      </w:r>
      <w:r>
        <w:rPr>
          <w:lang w:val="fr-FR"/>
        </w:rPr>
        <w:t>,</w:t>
      </w:r>
      <w:r w:rsidRPr="004A329E">
        <w:rPr>
          <w:lang w:val="fr-FR"/>
        </w:rPr>
        <w:t xml:space="preserve"> </w:t>
      </w:r>
      <w:r>
        <w:rPr>
          <w:lang w:val="fr-FR"/>
        </w:rPr>
        <w:t>l</w:t>
      </w:r>
      <w:r w:rsidRPr="00262910">
        <w:rPr>
          <w:lang w:val="fr-FR"/>
        </w:rPr>
        <w:t xml:space="preserve">a Norvège </w:t>
      </w:r>
      <w:r>
        <w:rPr>
          <w:lang w:val="fr-FR"/>
        </w:rPr>
        <w:t xml:space="preserve">attache toute l’importance voulue à l’impératif de </w:t>
      </w:r>
      <w:r w:rsidRPr="00262910">
        <w:rPr>
          <w:lang w:val="fr-FR"/>
        </w:rPr>
        <w:t>qualité à tous les stades de la procédure d</w:t>
      </w:r>
      <w:r>
        <w:rPr>
          <w:lang w:val="fr-FR"/>
        </w:rPr>
        <w:t>’</w:t>
      </w:r>
      <w:r w:rsidRPr="00262910">
        <w:rPr>
          <w:lang w:val="fr-FR"/>
        </w:rPr>
        <w:t>asile. Les demandeurs d</w:t>
      </w:r>
      <w:r>
        <w:rPr>
          <w:lang w:val="fr-FR"/>
        </w:rPr>
        <w:t>’</w:t>
      </w:r>
      <w:r w:rsidRPr="00262910">
        <w:rPr>
          <w:lang w:val="fr-FR"/>
        </w:rPr>
        <w:t xml:space="preserve">asile sont interrogés par des </w:t>
      </w:r>
      <w:r>
        <w:rPr>
          <w:lang w:val="fr-FR"/>
        </w:rPr>
        <w:t xml:space="preserve">agents </w:t>
      </w:r>
      <w:r w:rsidRPr="00262910">
        <w:rPr>
          <w:lang w:val="fr-FR"/>
        </w:rPr>
        <w:t xml:space="preserve">spécialement formés. Les </w:t>
      </w:r>
      <w:r>
        <w:rPr>
          <w:lang w:val="fr-FR"/>
        </w:rPr>
        <w:t xml:space="preserve">agents en charge des interrogatoires doivent aborder les </w:t>
      </w:r>
      <w:r w:rsidRPr="003531A2">
        <w:rPr>
          <w:lang w:val="fr-FR"/>
        </w:rPr>
        <w:t xml:space="preserve">sujets </w:t>
      </w:r>
      <w:r>
        <w:rPr>
          <w:lang w:val="fr-FR"/>
        </w:rPr>
        <w:t xml:space="preserve">qu’ils ont des </w:t>
      </w:r>
      <w:r w:rsidRPr="00262910">
        <w:rPr>
          <w:lang w:val="fr-FR"/>
        </w:rPr>
        <w:t xml:space="preserve">raisons de croire pertinents, </w:t>
      </w:r>
      <w:r>
        <w:rPr>
          <w:lang w:val="fr-FR"/>
        </w:rPr>
        <w:t>par exemple l</w:t>
      </w:r>
      <w:r w:rsidRPr="00262910">
        <w:rPr>
          <w:lang w:val="fr-FR"/>
        </w:rPr>
        <w:t xml:space="preserve">a traite des personnes, la persécution fondée sur le </w:t>
      </w:r>
      <w:r>
        <w:rPr>
          <w:lang w:val="fr-FR"/>
        </w:rPr>
        <w:t>genre</w:t>
      </w:r>
      <w:r w:rsidRPr="00262910">
        <w:rPr>
          <w:lang w:val="fr-FR"/>
        </w:rPr>
        <w:t xml:space="preserve">, les mutilations génitales, le mariage forcé </w:t>
      </w:r>
      <w:r>
        <w:rPr>
          <w:lang w:val="fr-FR"/>
        </w:rPr>
        <w:t xml:space="preserve">ou </w:t>
      </w:r>
      <w:r w:rsidRPr="00262910">
        <w:rPr>
          <w:lang w:val="fr-FR"/>
        </w:rPr>
        <w:t>la violence familiale. Le Centre norvégien d</w:t>
      </w:r>
      <w:r>
        <w:rPr>
          <w:lang w:val="fr-FR"/>
        </w:rPr>
        <w:t>’</w:t>
      </w:r>
      <w:r w:rsidRPr="00262910">
        <w:rPr>
          <w:lang w:val="fr-FR"/>
        </w:rPr>
        <w:t>information sur les pays d</w:t>
      </w:r>
      <w:r>
        <w:rPr>
          <w:lang w:val="fr-FR"/>
        </w:rPr>
        <w:t>’</w:t>
      </w:r>
      <w:r w:rsidRPr="00262910">
        <w:rPr>
          <w:lang w:val="fr-FR"/>
        </w:rPr>
        <w:t xml:space="preserve">origine (Landinfo) recueille des </w:t>
      </w:r>
      <w:r>
        <w:rPr>
          <w:lang w:val="fr-FR"/>
        </w:rPr>
        <w:t xml:space="preserve">renseignements </w:t>
      </w:r>
      <w:r w:rsidRPr="00262910">
        <w:rPr>
          <w:lang w:val="fr-FR"/>
        </w:rPr>
        <w:t>détaillés et actualisés sur les pays</w:t>
      </w:r>
      <w:r w:rsidRPr="000063E3">
        <w:rPr>
          <w:lang w:val="fr-FR"/>
        </w:rPr>
        <w:t xml:space="preserve"> </w:t>
      </w:r>
      <w:r>
        <w:rPr>
          <w:lang w:val="fr-FR"/>
        </w:rPr>
        <w:t xml:space="preserve">pour distribution </w:t>
      </w:r>
      <w:r w:rsidRPr="000063E3">
        <w:rPr>
          <w:lang w:val="fr-FR"/>
        </w:rPr>
        <w:t>aux décideurs</w:t>
      </w:r>
      <w:r w:rsidRPr="00262910">
        <w:rPr>
          <w:lang w:val="fr-FR"/>
        </w:rPr>
        <w:t>. Les autorités de l</w:t>
      </w:r>
      <w:r>
        <w:rPr>
          <w:lang w:val="fr-FR"/>
        </w:rPr>
        <w:t>’</w:t>
      </w:r>
      <w:r w:rsidRPr="00262910">
        <w:rPr>
          <w:lang w:val="fr-FR"/>
        </w:rPr>
        <w:t xml:space="preserve">immigration norvégiennes </w:t>
      </w:r>
      <w:r>
        <w:rPr>
          <w:lang w:val="fr-FR"/>
        </w:rPr>
        <w:t xml:space="preserve">savent que </w:t>
      </w:r>
      <w:r w:rsidRPr="00262910">
        <w:rPr>
          <w:lang w:val="fr-FR"/>
        </w:rPr>
        <w:t>la situation sécuritaire</w:t>
      </w:r>
      <w:r>
        <w:rPr>
          <w:lang w:val="fr-FR"/>
        </w:rPr>
        <w:t xml:space="preserve"> est </w:t>
      </w:r>
      <w:r w:rsidRPr="00262910">
        <w:rPr>
          <w:lang w:val="fr-FR"/>
        </w:rPr>
        <w:t xml:space="preserve">difficile à Kaboul, mais </w:t>
      </w:r>
      <w:r>
        <w:rPr>
          <w:lang w:val="fr-FR"/>
        </w:rPr>
        <w:t xml:space="preserve">elles estiment </w:t>
      </w:r>
      <w:r w:rsidRPr="00262910">
        <w:rPr>
          <w:lang w:val="fr-FR"/>
        </w:rPr>
        <w:t xml:space="preserve">que Kaboul peut encore être considérée comme </w:t>
      </w:r>
      <w:r>
        <w:rPr>
          <w:lang w:val="fr-FR"/>
        </w:rPr>
        <w:t>offrant une possibilité de refuge intérieur.</w:t>
      </w:r>
      <w:r w:rsidRPr="00262910">
        <w:rPr>
          <w:lang w:val="fr-FR"/>
        </w:rPr>
        <w:t xml:space="preserve"> </w:t>
      </w:r>
      <w:r>
        <w:rPr>
          <w:lang w:val="fr-FR"/>
        </w:rPr>
        <w:t xml:space="preserve">On détermine au cas par cas, sur la base de </w:t>
      </w:r>
      <w:r w:rsidRPr="008044C5">
        <w:rPr>
          <w:lang w:val="fr-FR"/>
        </w:rPr>
        <w:t>tous les renseignements pertinents à l</w:t>
      </w:r>
      <w:r>
        <w:rPr>
          <w:lang w:val="fr-FR"/>
        </w:rPr>
        <w:t xml:space="preserve">’espèce, si </w:t>
      </w:r>
      <w:r w:rsidRPr="00262910">
        <w:rPr>
          <w:lang w:val="fr-FR"/>
        </w:rPr>
        <w:t xml:space="preserve">Kaboul </w:t>
      </w:r>
      <w:r>
        <w:rPr>
          <w:lang w:val="fr-FR"/>
        </w:rPr>
        <w:t xml:space="preserve">offre une </w:t>
      </w:r>
      <w:r w:rsidRPr="00262910">
        <w:rPr>
          <w:lang w:val="fr-FR"/>
        </w:rPr>
        <w:t xml:space="preserve">possibilité de refuge intérieur </w:t>
      </w:r>
      <w:r>
        <w:rPr>
          <w:lang w:val="fr-FR"/>
        </w:rPr>
        <w:t xml:space="preserve">sûr </w:t>
      </w:r>
      <w:r w:rsidRPr="00262910">
        <w:rPr>
          <w:lang w:val="fr-FR"/>
        </w:rPr>
        <w:t xml:space="preserve">et accessible. </w:t>
      </w:r>
    </w:p>
    <w:p w:rsidR="001771B8" w:rsidRPr="00262910" w:rsidRDefault="001771B8" w:rsidP="001771B8">
      <w:pPr>
        <w:pStyle w:val="SingleTxtG"/>
        <w:rPr>
          <w:lang w:val="fr-FR"/>
        </w:rPr>
      </w:pPr>
      <w:r w:rsidRPr="00262910">
        <w:rPr>
          <w:lang w:val="fr-FR"/>
        </w:rPr>
        <w:t>104.</w:t>
      </w:r>
      <w:r w:rsidRPr="00262910">
        <w:rPr>
          <w:lang w:val="fr-FR"/>
        </w:rPr>
        <w:tab/>
      </w:r>
      <w:r w:rsidRPr="001B0FEA">
        <w:rPr>
          <w:lang w:val="fr-FR"/>
        </w:rPr>
        <w:t>Tous les demandeurs d</w:t>
      </w:r>
      <w:r>
        <w:rPr>
          <w:lang w:val="fr-FR"/>
        </w:rPr>
        <w:t>’</w:t>
      </w:r>
      <w:r w:rsidRPr="001B0FEA">
        <w:rPr>
          <w:lang w:val="fr-FR"/>
        </w:rPr>
        <w:t>asile</w:t>
      </w:r>
      <w:r w:rsidRPr="00262910">
        <w:rPr>
          <w:lang w:val="fr-FR"/>
        </w:rPr>
        <w:t xml:space="preserve"> </w:t>
      </w:r>
      <w:r>
        <w:rPr>
          <w:lang w:val="fr-FR"/>
        </w:rPr>
        <w:t xml:space="preserve">déboutés en première instance </w:t>
      </w:r>
      <w:r w:rsidRPr="00262910">
        <w:rPr>
          <w:lang w:val="fr-FR"/>
        </w:rPr>
        <w:t xml:space="preserve">ont droit à une aide juridictionnelle gratuite </w:t>
      </w:r>
      <w:r>
        <w:rPr>
          <w:lang w:val="fr-FR"/>
        </w:rPr>
        <w:t xml:space="preserve">pour la procédure de recours devant la </w:t>
      </w:r>
      <w:r w:rsidRPr="00262910">
        <w:rPr>
          <w:lang w:val="fr-FR"/>
        </w:rPr>
        <w:t xml:space="preserve">commission </w:t>
      </w:r>
      <w:r>
        <w:rPr>
          <w:lang w:val="fr-FR"/>
        </w:rPr>
        <w:t xml:space="preserve">de recours </w:t>
      </w:r>
      <w:r w:rsidRPr="00262910">
        <w:rPr>
          <w:lang w:val="fr-FR"/>
        </w:rPr>
        <w:t>indépendante. Les demandeurs d</w:t>
      </w:r>
      <w:r>
        <w:rPr>
          <w:lang w:val="fr-FR"/>
        </w:rPr>
        <w:t>’</w:t>
      </w:r>
      <w:r w:rsidRPr="00262910">
        <w:rPr>
          <w:lang w:val="fr-FR"/>
        </w:rPr>
        <w:t xml:space="preserve">asile </w:t>
      </w:r>
      <w:r>
        <w:rPr>
          <w:lang w:val="fr-FR"/>
        </w:rPr>
        <w:t xml:space="preserve">dont le recours a été rejeté </w:t>
      </w:r>
      <w:r w:rsidRPr="00262910">
        <w:rPr>
          <w:lang w:val="fr-FR"/>
        </w:rPr>
        <w:t>ont accès aux tribunaux</w:t>
      </w:r>
      <w:r>
        <w:rPr>
          <w:lang w:val="fr-FR"/>
        </w:rPr>
        <w:t xml:space="preserve"> et ils peuvent </w:t>
      </w:r>
      <w:r w:rsidRPr="00262910">
        <w:rPr>
          <w:lang w:val="fr-FR"/>
        </w:rPr>
        <w:t>bénéficier d</w:t>
      </w:r>
      <w:r>
        <w:rPr>
          <w:lang w:val="fr-FR"/>
        </w:rPr>
        <w:t>’</w:t>
      </w:r>
      <w:r w:rsidRPr="00262910">
        <w:rPr>
          <w:lang w:val="fr-FR"/>
        </w:rPr>
        <w:t xml:space="preserve">une aide juridictionnelle gratuite conformément aux règles générales </w:t>
      </w:r>
      <w:r>
        <w:rPr>
          <w:lang w:val="fr-FR"/>
        </w:rPr>
        <w:t xml:space="preserve">en la matière, qui s’appliquent </w:t>
      </w:r>
      <w:r w:rsidRPr="00262910">
        <w:rPr>
          <w:lang w:val="fr-FR"/>
        </w:rPr>
        <w:t>à tou</w:t>
      </w:r>
      <w:r>
        <w:rPr>
          <w:lang w:val="fr-FR"/>
        </w:rPr>
        <w:t>tes les personnes</w:t>
      </w:r>
      <w:r w:rsidRPr="00262910">
        <w:rPr>
          <w:lang w:val="fr-FR"/>
        </w:rPr>
        <w:t>.</w:t>
      </w:r>
    </w:p>
    <w:p w:rsidR="001771B8" w:rsidRPr="00262910" w:rsidRDefault="001771B8" w:rsidP="001771B8">
      <w:pPr>
        <w:pStyle w:val="SingleTxtG"/>
        <w:rPr>
          <w:lang w:val="fr-FR"/>
        </w:rPr>
      </w:pPr>
      <w:r w:rsidRPr="00262910">
        <w:rPr>
          <w:lang w:val="fr-FR"/>
        </w:rPr>
        <w:t>105.</w:t>
      </w:r>
      <w:r w:rsidRPr="00262910">
        <w:rPr>
          <w:lang w:val="fr-FR"/>
        </w:rPr>
        <w:tab/>
        <w:t xml:space="preserve">Dans </w:t>
      </w:r>
      <w:r>
        <w:rPr>
          <w:lang w:val="fr-FR"/>
        </w:rPr>
        <w:t xml:space="preserve">certains </w:t>
      </w:r>
      <w:r w:rsidRPr="00262910">
        <w:rPr>
          <w:lang w:val="fr-FR"/>
        </w:rPr>
        <w:t xml:space="preserve">cas exceptionnels, </w:t>
      </w:r>
      <w:r>
        <w:rPr>
          <w:lang w:val="fr-FR"/>
        </w:rPr>
        <w:t xml:space="preserve">des </w:t>
      </w:r>
      <w:r w:rsidRPr="00262910">
        <w:rPr>
          <w:lang w:val="fr-FR"/>
        </w:rPr>
        <w:t xml:space="preserve">demandeurs </w:t>
      </w:r>
      <w:r>
        <w:rPr>
          <w:lang w:val="fr-FR"/>
        </w:rPr>
        <w:t xml:space="preserve">déboutés signalent </w:t>
      </w:r>
      <w:r w:rsidRPr="00262910">
        <w:rPr>
          <w:lang w:val="fr-FR"/>
        </w:rPr>
        <w:t>avoir</w:t>
      </w:r>
      <w:r>
        <w:rPr>
          <w:lang w:val="fr-FR"/>
        </w:rPr>
        <w:t xml:space="preserve"> subi une persécution ou </w:t>
      </w:r>
      <w:r w:rsidRPr="00262910">
        <w:rPr>
          <w:lang w:val="fr-FR"/>
        </w:rPr>
        <w:t>d</w:t>
      </w:r>
      <w:r>
        <w:rPr>
          <w:lang w:val="fr-FR"/>
        </w:rPr>
        <w:t>’</w:t>
      </w:r>
      <w:r w:rsidRPr="00262910">
        <w:rPr>
          <w:lang w:val="fr-FR"/>
        </w:rPr>
        <w:t>autres violations d</w:t>
      </w:r>
      <w:r>
        <w:rPr>
          <w:lang w:val="fr-FR"/>
        </w:rPr>
        <w:t xml:space="preserve">e leurs </w:t>
      </w:r>
      <w:r w:rsidRPr="00262910">
        <w:rPr>
          <w:lang w:val="fr-FR"/>
        </w:rPr>
        <w:t>droits de l</w:t>
      </w:r>
      <w:r>
        <w:rPr>
          <w:lang w:val="fr-FR"/>
        </w:rPr>
        <w:t>’</w:t>
      </w:r>
      <w:r w:rsidRPr="00262910">
        <w:rPr>
          <w:lang w:val="fr-FR"/>
        </w:rPr>
        <w:t xml:space="preserve">homme </w:t>
      </w:r>
      <w:r>
        <w:rPr>
          <w:lang w:val="fr-FR"/>
        </w:rPr>
        <w:t>dans leur pays après y avoir été renvoyés</w:t>
      </w:r>
      <w:r w:rsidRPr="00262910">
        <w:rPr>
          <w:lang w:val="fr-FR"/>
        </w:rPr>
        <w:t xml:space="preserve">. Si </w:t>
      </w:r>
      <w:r>
        <w:rPr>
          <w:lang w:val="fr-FR"/>
        </w:rPr>
        <w:t xml:space="preserve">leurs dires </w:t>
      </w:r>
      <w:r w:rsidRPr="00262910">
        <w:rPr>
          <w:lang w:val="fr-FR"/>
        </w:rPr>
        <w:t xml:space="preserve">sont jugés crédibles et </w:t>
      </w:r>
      <w:r>
        <w:rPr>
          <w:lang w:val="fr-FR"/>
        </w:rPr>
        <w:t xml:space="preserve">donnent à penser </w:t>
      </w:r>
      <w:r w:rsidRPr="00262910">
        <w:rPr>
          <w:lang w:val="fr-FR"/>
        </w:rPr>
        <w:t>que l</w:t>
      </w:r>
      <w:r>
        <w:rPr>
          <w:lang w:val="fr-FR"/>
        </w:rPr>
        <w:t xml:space="preserve">a décision de rejet de leur demande d’asile </w:t>
      </w:r>
      <w:r w:rsidRPr="00262910">
        <w:rPr>
          <w:lang w:val="fr-FR"/>
        </w:rPr>
        <w:t>était</w:t>
      </w:r>
      <w:r>
        <w:rPr>
          <w:lang w:val="fr-FR"/>
        </w:rPr>
        <w:t xml:space="preserve"> erronée</w:t>
      </w:r>
      <w:r w:rsidRPr="00262910">
        <w:rPr>
          <w:lang w:val="fr-FR"/>
        </w:rPr>
        <w:t>, les autorités de l</w:t>
      </w:r>
      <w:r>
        <w:rPr>
          <w:lang w:val="fr-FR"/>
        </w:rPr>
        <w:t>’</w:t>
      </w:r>
      <w:r w:rsidRPr="00262910">
        <w:rPr>
          <w:lang w:val="fr-FR"/>
        </w:rPr>
        <w:t xml:space="preserve">immigration </w:t>
      </w:r>
      <w:r>
        <w:rPr>
          <w:lang w:val="fr-FR"/>
        </w:rPr>
        <w:t xml:space="preserve">effectuent </w:t>
      </w:r>
      <w:r w:rsidRPr="00262910">
        <w:rPr>
          <w:lang w:val="fr-FR"/>
        </w:rPr>
        <w:t xml:space="preserve">des </w:t>
      </w:r>
      <w:r>
        <w:rPr>
          <w:lang w:val="fr-FR"/>
        </w:rPr>
        <w:t xml:space="preserve">investigations </w:t>
      </w:r>
      <w:r w:rsidRPr="00262910">
        <w:rPr>
          <w:lang w:val="fr-FR"/>
        </w:rPr>
        <w:t xml:space="preserve">complémentaires. </w:t>
      </w:r>
      <w:r>
        <w:rPr>
          <w:lang w:val="fr-FR"/>
        </w:rPr>
        <w:t xml:space="preserve">La décision de rejet </w:t>
      </w:r>
      <w:r w:rsidRPr="00262910">
        <w:rPr>
          <w:lang w:val="fr-FR"/>
        </w:rPr>
        <w:t>peut être annulée</w:t>
      </w:r>
      <w:r w:rsidRPr="00764E12">
        <w:rPr>
          <w:lang w:val="fr-FR"/>
        </w:rPr>
        <w:t xml:space="preserve"> </w:t>
      </w:r>
      <w:r>
        <w:rPr>
          <w:lang w:val="fr-FR"/>
        </w:rPr>
        <w:t>s</w:t>
      </w:r>
      <w:r w:rsidRPr="00764E12">
        <w:rPr>
          <w:lang w:val="fr-FR"/>
        </w:rPr>
        <w:t>ur la base des résultats de ces investigations</w:t>
      </w:r>
      <w:r w:rsidRPr="00262910">
        <w:rPr>
          <w:lang w:val="fr-FR"/>
        </w:rPr>
        <w:t xml:space="preserve"> et le demandeur d</w:t>
      </w:r>
      <w:r>
        <w:rPr>
          <w:lang w:val="fr-FR"/>
        </w:rPr>
        <w:t>’</w:t>
      </w:r>
      <w:r w:rsidRPr="00262910">
        <w:rPr>
          <w:lang w:val="fr-FR"/>
        </w:rPr>
        <w:t xml:space="preserve">asile </w:t>
      </w:r>
      <w:r>
        <w:rPr>
          <w:lang w:val="fr-FR"/>
        </w:rPr>
        <w:t xml:space="preserve">peut alors </w:t>
      </w:r>
      <w:r w:rsidRPr="00262910">
        <w:rPr>
          <w:lang w:val="fr-FR"/>
        </w:rPr>
        <w:t xml:space="preserve">être autorisé à revenir en Norvège. </w:t>
      </w:r>
    </w:p>
    <w:p w:rsidR="001771B8" w:rsidRPr="00262910" w:rsidRDefault="001771B8" w:rsidP="001771B8">
      <w:pPr>
        <w:pStyle w:val="H1G"/>
        <w:rPr>
          <w:lang w:val="fr-FR"/>
        </w:rPr>
      </w:pPr>
      <w:r w:rsidRPr="00262910">
        <w:rPr>
          <w:lang w:val="fr-FR"/>
        </w:rPr>
        <w:tab/>
      </w:r>
      <w:r w:rsidRPr="00262910">
        <w:rPr>
          <w:lang w:val="fr-FR"/>
        </w:rPr>
        <w:tab/>
      </w:r>
      <w:r w:rsidRPr="0043612A">
        <w:rPr>
          <w:lang w:val="fr-FR"/>
        </w:rPr>
        <w:t>Réponse au paragraphe 16 de la liste de points</w:t>
      </w:r>
    </w:p>
    <w:p w:rsidR="001771B8" w:rsidRPr="00262910" w:rsidRDefault="001771B8" w:rsidP="001771B8">
      <w:pPr>
        <w:pStyle w:val="SingleTxtG"/>
        <w:rPr>
          <w:lang w:val="fr-FR"/>
        </w:rPr>
      </w:pPr>
      <w:r w:rsidRPr="00262910">
        <w:rPr>
          <w:lang w:val="fr-FR"/>
        </w:rPr>
        <w:t>106.</w:t>
      </w:r>
      <w:r w:rsidRPr="00262910">
        <w:rPr>
          <w:lang w:val="fr-FR"/>
        </w:rPr>
        <w:tab/>
      </w:r>
      <w:r w:rsidRPr="009F07E1">
        <w:rPr>
          <w:lang w:val="fr-FR"/>
        </w:rPr>
        <w:t>La loi sur l</w:t>
      </w:r>
      <w:r>
        <w:rPr>
          <w:lang w:val="fr-FR"/>
        </w:rPr>
        <w:t>’</w:t>
      </w:r>
      <w:r w:rsidRPr="009F07E1">
        <w:rPr>
          <w:lang w:val="fr-FR"/>
        </w:rPr>
        <w:t>égalité</w:t>
      </w:r>
      <w:r w:rsidRPr="001E745A">
        <w:rPr>
          <w:lang w:val="fr-FR"/>
        </w:rPr>
        <w:t xml:space="preserve"> et la</w:t>
      </w:r>
      <w:r w:rsidRPr="00262910">
        <w:rPr>
          <w:lang w:val="fr-FR"/>
        </w:rPr>
        <w:t xml:space="preserve"> lutte contre la discrimination interdit la discrimination fondée, sur l</w:t>
      </w:r>
      <w:r>
        <w:rPr>
          <w:lang w:val="fr-FR"/>
        </w:rPr>
        <w:t>’</w:t>
      </w:r>
      <w:r w:rsidRPr="00262910">
        <w:rPr>
          <w:lang w:val="fr-FR"/>
        </w:rPr>
        <w:t>orientation sexuelle, l</w:t>
      </w:r>
      <w:r>
        <w:rPr>
          <w:lang w:val="fr-FR"/>
        </w:rPr>
        <w:t>’</w:t>
      </w:r>
      <w:r w:rsidRPr="00262910">
        <w:rPr>
          <w:lang w:val="fr-FR"/>
        </w:rPr>
        <w:t xml:space="preserve">identité </w:t>
      </w:r>
      <w:r>
        <w:rPr>
          <w:lang w:val="fr-FR"/>
        </w:rPr>
        <w:t xml:space="preserve">de genre </w:t>
      </w:r>
      <w:r w:rsidRPr="00262910">
        <w:rPr>
          <w:lang w:val="fr-FR"/>
        </w:rPr>
        <w:t>et l</w:t>
      </w:r>
      <w:r>
        <w:rPr>
          <w:lang w:val="fr-FR"/>
        </w:rPr>
        <w:t>’</w:t>
      </w:r>
      <w:r w:rsidRPr="00262910">
        <w:rPr>
          <w:lang w:val="fr-FR"/>
        </w:rPr>
        <w:t xml:space="preserve">expression </w:t>
      </w:r>
      <w:r>
        <w:rPr>
          <w:lang w:val="fr-FR"/>
        </w:rPr>
        <w:t>de genre, entre autres</w:t>
      </w:r>
      <w:r w:rsidRPr="00262910">
        <w:rPr>
          <w:lang w:val="fr-FR"/>
        </w:rPr>
        <w:t xml:space="preserve">. </w:t>
      </w:r>
      <w:r>
        <w:rPr>
          <w:lang w:val="fr-FR"/>
        </w:rPr>
        <w:t xml:space="preserve">En vertu de </w:t>
      </w:r>
      <w:r w:rsidRPr="00262910">
        <w:rPr>
          <w:lang w:val="fr-FR"/>
        </w:rPr>
        <w:t>la loi sur la modification du genre juridique, les personnes qui ont atteint l</w:t>
      </w:r>
      <w:r>
        <w:rPr>
          <w:lang w:val="fr-FR"/>
        </w:rPr>
        <w:t>’</w:t>
      </w:r>
      <w:r w:rsidRPr="00262910">
        <w:rPr>
          <w:lang w:val="fr-FR"/>
        </w:rPr>
        <w:t>âge de</w:t>
      </w:r>
      <w:r w:rsidR="00FB6D59">
        <w:rPr>
          <w:lang w:val="fr-FR"/>
        </w:rPr>
        <w:t xml:space="preserve"> </w:t>
      </w:r>
      <w:r w:rsidRPr="00262910">
        <w:rPr>
          <w:lang w:val="fr-FR"/>
        </w:rPr>
        <w:t>16 ans ont le droit d</w:t>
      </w:r>
      <w:r>
        <w:rPr>
          <w:lang w:val="fr-FR"/>
        </w:rPr>
        <w:t>’</w:t>
      </w:r>
      <w:r w:rsidRPr="00262910">
        <w:rPr>
          <w:lang w:val="fr-FR"/>
        </w:rPr>
        <w:t xml:space="preserve">obtenir la modification du genre sous lequel elles sont légalement enregistrées auprès du Registre national </w:t>
      </w:r>
      <w:r>
        <w:rPr>
          <w:lang w:val="fr-FR"/>
        </w:rPr>
        <w:t xml:space="preserve">de l’état civil </w:t>
      </w:r>
      <w:r w:rsidRPr="00262910">
        <w:rPr>
          <w:lang w:val="fr-FR"/>
        </w:rPr>
        <w:t xml:space="preserve">(genre juridique) sans traitement médical préalable. </w:t>
      </w:r>
    </w:p>
    <w:p w:rsidR="001771B8" w:rsidRPr="00262910" w:rsidRDefault="001771B8" w:rsidP="001771B8">
      <w:pPr>
        <w:pStyle w:val="SingleTxtG"/>
        <w:rPr>
          <w:lang w:val="fr-FR"/>
        </w:rPr>
      </w:pPr>
      <w:r w:rsidRPr="00262910">
        <w:rPr>
          <w:lang w:val="fr-FR"/>
        </w:rPr>
        <w:t>107.</w:t>
      </w:r>
      <w:r w:rsidRPr="00262910">
        <w:rPr>
          <w:lang w:val="fr-FR"/>
        </w:rPr>
        <w:tab/>
      </w:r>
      <w:r>
        <w:rPr>
          <w:lang w:val="fr-FR"/>
        </w:rPr>
        <w:t>Dans la S</w:t>
      </w:r>
      <w:r w:rsidRPr="00262910">
        <w:rPr>
          <w:lang w:val="fr-FR"/>
        </w:rPr>
        <w:t xml:space="preserve">tratégie </w:t>
      </w:r>
      <w:r>
        <w:rPr>
          <w:lang w:val="fr-FR"/>
        </w:rPr>
        <w:t>g</w:t>
      </w:r>
      <w:r w:rsidRPr="00262910">
        <w:rPr>
          <w:lang w:val="fr-FR"/>
        </w:rPr>
        <w:t>ouvernement</w:t>
      </w:r>
      <w:r>
        <w:rPr>
          <w:lang w:val="fr-FR"/>
        </w:rPr>
        <w:t>ale</w:t>
      </w:r>
      <w:r w:rsidRPr="00262910">
        <w:rPr>
          <w:lang w:val="fr-FR"/>
        </w:rPr>
        <w:t xml:space="preserve"> </w:t>
      </w:r>
      <w:r>
        <w:rPr>
          <w:lang w:val="fr-FR"/>
        </w:rPr>
        <w:t xml:space="preserve">relative à la </w:t>
      </w:r>
      <w:r w:rsidRPr="00262910">
        <w:rPr>
          <w:lang w:val="fr-FR"/>
        </w:rPr>
        <w:t>santé sexuelle (</w:t>
      </w:r>
      <w:r>
        <w:rPr>
          <w:lang w:val="fr-FR"/>
        </w:rPr>
        <w:t>« </w:t>
      </w:r>
      <w:r w:rsidRPr="00262910">
        <w:rPr>
          <w:lang w:val="fr-FR"/>
        </w:rPr>
        <w:t>Parlez-en !</w:t>
      </w:r>
      <w:r>
        <w:rPr>
          <w:lang w:val="fr-FR"/>
        </w:rPr>
        <w:t> »</w:t>
      </w:r>
      <w:r w:rsidRPr="00262910">
        <w:rPr>
          <w:lang w:val="fr-FR"/>
        </w:rPr>
        <w:t xml:space="preserve">) </w:t>
      </w:r>
      <w:r>
        <w:rPr>
          <w:lang w:val="fr-FR"/>
        </w:rPr>
        <w:t xml:space="preserve">il est souligné que </w:t>
      </w:r>
      <w:r w:rsidRPr="00262910">
        <w:rPr>
          <w:lang w:val="fr-FR"/>
        </w:rPr>
        <w:t xml:space="preserve">les services de santé devraient être fournis </w:t>
      </w:r>
      <w:r>
        <w:rPr>
          <w:lang w:val="fr-FR"/>
        </w:rPr>
        <w:t xml:space="preserve">en l’absence de toute considération </w:t>
      </w:r>
      <w:r w:rsidRPr="00262910">
        <w:rPr>
          <w:lang w:val="fr-FR"/>
        </w:rPr>
        <w:t>hétéronormati</w:t>
      </w:r>
      <w:r>
        <w:rPr>
          <w:lang w:val="fr-FR"/>
        </w:rPr>
        <w:t>ve</w:t>
      </w:r>
      <w:r w:rsidRPr="00262910">
        <w:rPr>
          <w:lang w:val="fr-FR"/>
        </w:rPr>
        <w:t xml:space="preserve"> ou discriminat</w:t>
      </w:r>
      <w:r>
        <w:rPr>
          <w:lang w:val="fr-FR"/>
        </w:rPr>
        <w:t>oire.</w:t>
      </w:r>
      <w:r w:rsidRPr="00262910">
        <w:rPr>
          <w:lang w:val="fr-FR"/>
        </w:rPr>
        <w:t xml:space="preserve"> </w:t>
      </w:r>
    </w:p>
    <w:p w:rsidR="001771B8" w:rsidRPr="00262910" w:rsidRDefault="001771B8" w:rsidP="001771B8">
      <w:pPr>
        <w:pStyle w:val="SingleTxtG"/>
        <w:rPr>
          <w:lang w:val="fr-FR"/>
        </w:rPr>
      </w:pPr>
      <w:r w:rsidRPr="00262910">
        <w:rPr>
          <w:lang w:val="fr-FR"/>
        </w:rPr>
        <w:t>108.</w:t>
      </w:r>
      <w:r w:rsidRPr="00262910">
        <w:rPr>
          <w:lang w:val="fr-FR"/>
        </w:rPr>
        <w:tab/>
        <w:t xml:space="preserve">Les personnes </w:t>
      </w:r>
      <w:r>
        <w:rPr>
          <w:lang w:val="fr-FR"/>
        </w:rPr>
        <w:t>lesbiennes, gays, bisexuelles, transgenres et intersexes (</w:t>
      </w:r>
      <w:r w:rsidRPr="00262910">
        <w:rPr>
          <w:lang w:val="fr-FR"/>
        </w:rPr>
        <w:t>LGBTI</w:t>
      </w:r>
      <w:r>
        <w:rPr>
          <w:lang w:val="fr-FR"/>
        </w:rPr>
        <w:t>)</w:t>
      </w:r>
      <w:r w:rsidRPr="00262910">
        <w:rPr>
          <w:lang w:val="fr-FR"/>
        </w:rPr>
        <w:t xml:space="preserve"> </w:t>
      </w:r>
      <w:r>
        <w:rPr>
          <w:lang w:val="fr-FR"/>
        </w:rPr>
        <w:t xml:space="preserve">ayant </w:t>
      </w:r>
      <w:r w:rsidRPr="00262910">
        <w:rPr>
          <w:lang w:val="fr-FR"/>
        </w:rPr>
        <w:t>besoin d</w:t>
      </w:r>
      <w:r>
        <w:rPr>
          <w:lang w:val="fr-FR"/>
        </w:rPr>
        <w:t>’</w:t>
      </w:r>
      <w:r w:rsidRPr="00262910">
        <w:rPr>
          <w:lang w:val="fr-FR"/>
        </w:rPr>
        <w:t xml:space="preserve">aide ont le même droit que les autres </w:t>
      </w:r>
      <w:r>
        <w:rPr>
          <w:lang w:val="fr-FR"/>
        </w:rPr>
        <w:t xml:space="preserve">personnes </w:t>
      </w:r>
      <w:r w:rsidRPr="00262910">
        <w:rPr>
          <w:lang w:val="fr-FR"/>
        </w:rPr>
        <w:t>d</w:t>
      </w:r>
      <w:r>
        <w:rPr>
          <w:lang w:val="fr-FR"/>
        </w:rPr>
        <w:t>’</w:t>
      </w:r>
      <w:r w:rsidRPr="00262910">
        <w:rPr>
          <w:lang w:val="fr-FR"/>
        </w:rPr>
        <w:t xml:space="preserve">être traitées </w:t>
      </w:r>
      <w:r>
        <w:rPr>
          <w:lang w:val="fr-FR"/>
        </w:rPr>
        <w:t xml:space="preserve">avec respect et professionnalisme </w:t>
      </w:r>
      <w:r w:rsidRPr="00262910">
        <w:rPr>
          <w:lang w:val="fr-FR"/>
        </w:rPr>
        <w:t xml:space="preserve">et </w:t>
      </w:r>
      <w:r w:rsidRPr="001E745A">
        <w:rPr>
          <w:lang w:val="fr-FR"/>
        </w:rPr>
        <w:t xml:space="preserve">de manière </w:t>
      </w:r>
      <w:r w:rsidRPr="00262910">
        <w:rPr>
          <w:lang w:val="fr-FR"/>
        </w:rPr>
        <w:t>ouverte et inclusive. L</w:t>
      </w:r>
      <w:r>
        <w:rPr>
          <w:lang w:val="fr-FR"/>
        </w:rPr>
        <w:t xml:space="preserve">’optique </w:t>
      </w:r>
      <w:r w:rsidRPr="00262910">
        <w:rPr>
          <w:lang w:val="fr-FR"/>
        </w:rPr>
        <w:t xml:space="preserve">LGBTI doit être systématiquement intégrée dans les </w:t>
      </w:r>
      <w:r>
        <w:rPr>
          <w:lang w:val="fr-FR"/>
        </w:rPr>
        <w:t>actions v</w:t>
      </w:r>
      <w:r w:rsidRPr="00262910">
        <w:rPr>
          <w:lang w:val="fr-FR"/>
        </w:rPr>
        <w:t xml:space="preserve">isant à renforcer la disponibilité et la qualité des services de santé et de soins à tous les niveaux. </w:t>
      </w:r>
    </w:p>
    <w:p w:rsidR="001771B8" w:rsidRPr="00262910" w:rsidRDefault="001771B8" w:rsidP="001771B8">
      <w:pPr>
        <w:pStyle w:val="SingleTxtG"/>
        <w:rPr>
          <w:lang w:val="fr-FR"/>
        </w:rPr>
      </w:pPr>
      <w:r w:rsidRPr="00262910">
        <w:rPr>
          <w:lang w:val="fr-FR"/>
        </w:rPr>
        <w:t>109.</w:t>
      </w:r>
      <w:r w:rsidRPr="00262910">
        <w:rPr>
          <w:lang w:val="fr-FR"/>
        </w:rPr>
        <w:tab/>
      </w:r>
      <w:r w:rsidRPr="00DE6CDD">
        <w:rPr>
          <w:lang w:val="fr-FR"/>
        </w:rPr>
        <w:t>L</w:t>
      </w:r>
      <w:r>
        <w:rPr>
          <w:lang w:val="fr-FR"/>
        </w:rPr>
        <w:t xml:space="preserve">e </w:t>
      </w:r>
      <w:r w:rsidRPr="00DE6CDD">
        <w:rPr>
          <w:lang w:val="fr-FR"/>
        </w:rPr>
        <w:t xml:space="preserve">Gouvernement </w:t>
      </w:r>
      <w:r>
        <w:rPr>
          <w:lang w:val="fr-FR"/>
        </w:rPr>
        <w:t xml:space="preserve">appuie les </w:t>
      </w:r>
      <w:r w:rsidRPr="00262910">
        <w:rPr>
          <w:lang w:val="fr-FR"/>
        </w:rPr>
        <w:t xml:space="preserve">initiatives des agents de la société civile </w:t>
      </w:r>
      <w:r>
        <w:rPr>
          <w:lang w:val="fr-FR"/>
        </w:rPr>
        <w:t xml:space="preserve">ainsi que </w:t>
      </w:r>
      <w:r w:rsidRPr="00262910">
        <w:rPr>
          <w:lang w:val="fr-FR"/>
        </w:rPr>
        <w:t xml:space="preserve">la </w:t>
      </w:r>
      <w:r>
        <w:rPr>
          <w:lang w:val="fr-FR"/>
        </w:rPr>
        <w:t xml:space="preserve">fourniture de </w:t>
      </w:r>
      <w:r w:rsidRPr="00262910">
        <w:rPr>
          <w:lang w:val="fr-FR"/>
        </w:rPr>
        <w:t xml:space="preserve">matériel </w:t>
      </w:r>
      <w:r>
        <w:rPr>
          <w:lang w:val="fr-FR"/>
        </w:rPr>
        <w:t xml:space="preserve">éducatif </w:t>
      </w:r>
      <w:r w:rsidRPr="00262910">
        <w:rPr>
          <w:lang w:val="fr-FR"/>
        </w:rPr>
        <w:t>et</w:t>
      </w:r>
      <w:r>
        <w:rPr>
          <w:lang w:val="fr-FR"/>
        </w:rPr>
        <w:t xml:space="preserve"> la tenue de session de formation à l’intention des personnels des services de </w:t>
      </w:r>
      <w:r w:rsidRPr="00262910">
        <w:rPr>
          <w:lang w:val="fr-FR"/>
        </w:rPr>
        <w:t xml:space="preserve">santé et des écoles </w:t>
      </w:r>
      <w:r>
        <w:rPr>
          <w:lang w:val="fr-FR"/>
        </w:rPr>
        <w:t xml:space="preserve">visant à </w:t>
      </w:r>
      <w:r w:rsidRPr="00262910">
        <w:rPr>
          <w:lang w:val="fr-FR"/>
        </w:rPr>
        <w:t xml:space="preserve">renforcer la </w:t>
      </w:r>
      <w:r>
        <w:rPr>
          <w:lang w:val="fr-FR"/>
        </w:rPr>
        <w:t>« </w:t>
      </w:r>
      <w:r w:rsidRPr="00262910">
        <w:rPr>
          <w:lang w:val="fr-FR"/>
        </w:rPr>
        <w:t xml:space="preserve">sensibilisation </w:t>
      </w:r>
      <w:r>
        <w:rPr>
          <w:lang w:val="fr-FR"/>
        </w:rPr>
        <w:t xml:space="preserve">au </w:t>
      </w:r>
      <w:r w:rsidRPr="00262910">
        <w:rPr>
          <w:lang w:val="fr-FR"/>
        </w:rPr>
        <w:t>rose</w:t>
      </w:r>
      <w:r>
        <w:rPr>
          <w:lang w:val="fr-FR"/>
        </w:rPr>
        <w:t> »</w:t>
      </w:r>
      <w:r w:rsidRPr="00262910">
        <w:rPr>
          <w:lang w:val="fr-FR"/>
        </w:rPr>
        <w:t xml:space="preserve">, </w:t>
      </w:r>
      <w:r>
        <w:rPr>
          <w:lang w:val="fr-FR"/>
        </w:rPr>
        <w:t xml:space="preserve">à savoir </w:t>
      </w:r>
      <w:r w:rsidRPr="00262910">
        <w:rPr>
          <w:lang w:val="fr-FR"/>
        </w:rPr>
        <w:t xml:space="preserve">la </w:t>
      </w:r>
      <w:r>
        <w:rPr>
          <w:lang w:val="fr-FR"/>
        </w:rPr>
        <w:t xml:space="preserve">diffusion de </w:t>
      </w:r>
      <w:r w:rsidRPr="00262910">
        <w:rPr>
          <w:lang w:val="fr-FR"/>
        </w:rPr>
        <w:t>connaissance</w:t>
      </w:r>
      <w:r>
        <w:rPr>
          <w:lang w:val="fr-FR"/>
        </w:rPr>
        <w:t>s</w:t>
      </w:r>
      <w:r w:rsidRPr="00262910">
        <w:rPr>
          <w:lang w:val="fr-FR"/>
        </w:rPr>
        <w:t xml:space="preserve"> </w:t>
      </w:r>
      <w:r>
        <w:rPr>
          <w:lang w:val="fr-FR"/>
        </w:rPr>
        <w:t xml:space="preserve">relatives aux </w:t>
      </w:r>
      <w:r w:rsidRPr="00262910">
        <w:rPr>
          <w:lang w:val="fr-FR"/>
        </w:rPr>
        <w:t xml:space="preserve">personnes LGBTI et </w:t>
      </w:r>
      <w:r>
        <w:rPr>
          <w:lang w:val="fr-FR"/>
        </w:rPr>
        <w:t xml:space="preserve">aux </w:t>
      </w:r>
      <w:r w:rsidRPr="00262910">
        <w:rPr>
          <w:lang w:val="fr-FR"/>
        </w:rPr>
        <w:t xml:space="preserve">attitudes envers elles. </w:t>
      </w:r>
    </w:p>
    <w:p w:rsidR="001771B8" w:rsidRPr="00262910" w:rsidRDefault="001771B8" w:rsidP="001771B8">
      <w:pPr>
        <w:pStyle w:val="SingleTxtG"/>
        <w:rPr>
          <w:lang w:val="fr-FR"/>
        </w:rPr>
      </w:pPr>
      <w:r w:rsidRPr="00262910">
        <w:rPr>
          <w:lang w:val="fr-FR"/>
        </w:rPr>
        <w:t>110.</w:t>
      </w:r>
      <w:r w:rsidRPr="00262910">
        <w:rPr>
          <w:lang w:val="fr-FR"/>
        </w:rPr>
        <w:tab/>
        <w:t>Un</w:t>
      </w:r>
      <w:r>
        <w:rPr>
          <w:lang w:val="fr-FR"/>
        </w:rPr>
        <w:t xml:space="preserve">e série de </w:t>
      </w:r>
      <w:r w:rsidRPr="00262910">
        <w:rPr>
          <w:lang w:val="fr-FR"/>
        </w:rPr>
        <w:t xml:space="preserve">mesures </w:t>
      </w:r>
      <w:r>
        <w:rPr>
          <w:lang w:val="fr-FR"/>
        </w:rPr>
        <w:t xml:space="preserve">a </w:t>
      </w:r>
      <w:r w:rsidRPr="00262910">
        <w:rPr>
          <w:lang w:val="fr-FR"/>
        </w:rPr>
        <w:t>été mis</w:t>
      </w:r>
      <w:r>
        <w:rPr>
          <w:lang w:val="fr-FR"/>
        </w:rPr>
        <w:t>e</w:t>
      </w:r>
      <w:r w:rsidRPr="00262910">
        <w:rPr>
          <w:lang w:val="fr-FR"/>
        </w:rPr>
        <w:t xml:space="preserve"> en œuvre sous </w:t>
      </w:r>
      <w:r>
        <w:rPr>
          <w:lang w:val="fr-FR"/>
        </w:rPr>
        <w:t>les auspices d’</w:t>
      </w:r>
      <w:r w:rsidRPr="00262910">
        <w:rPr>
          <w:lang w:val="fr-FR"/>
        </w:rPr>
        <w:t xml:space="preserve">organisations de soutien par les pairs. </w:t>
      </w:r>
    </w:p>
    <w:p w:rsidR="001771B8" w:rsidRPr="00262910" w:rsidRDefault="001771B8" w:rsidP="001771B8">
      <w:pPr>
        <w:pStyle w:val="SingleTxtG"/>
        <w:rPr>
          <w:lang w:val="fr-FR"/>
        </w:rPr>
      </w:pPr>
      <w:r w:rsidRPr="00262910">
        <w:rPr>
          <w:lang w:val="fr-FR"/>
        </w:rPr>
        <w:t>111.</w:t>
      </w:r>
      <w:r w:rsidRPr="00262910">
        <w:rPr>
          <w:lang w:val="fr-FR"/>
        </w:rPr>
        <w:tab/>
        <w:t>L</w:t>
      </w:r>
      <w:r>
        <w:rPr>
          <w:lang w:val="fr-FR"/>
        </w:rPr>
        <w:t>es autorités g</w:t>
      </w:r>
      <w:r w:rsidRPr="00DE6CDD">
        <w:rPr>
          <w:lang w:val="fr-FR"/>
        </w:rPr>
        <w:t>ouvernement</w:t>
      </w:r>
      <w:r>
        <w:rPr>
          <w:lang w:val="fr-FR"/>
        </w:rPr>
        <w:t xml:space="preserve">ales sont </w:t>
      </w:r>
      <w:r w:rsidRPr="00262910">
        <w:rPr>
          <w:lang w:val="fr-FR"/>
        </w:rPr>
        <w:t>en train d</w:t>
      </w:r>
      <w:r>
        <w:rPr>
          <w:lang w:val="fr-FR"/>
        </w:rPr>
        <w:t>’</w:t>
      </w:r>
      <w:r w:rsidRPr="00262910">
        <w:rPr>
          <w:lang w:val="fr-FR"/>
        </w:rPr>
        <w:t xml:space="preserve">élaborer des </w:t>
      </w:r>
      <w:r>
        <w:rPr>
          <w:lang w:val="fr-FR"/>
        </w:rPr>
        <w:t xml:space="preserve">lignes directrices </w:t>
      </w:r>
      <w:r w:rsidRPr="00262910">
        <w:rPr>
          <w:lang w:val="fr-FR"/>
        </w:rPr>
        <w:t xml:space="preserve">professionnelles nationales </w:t>
      </w:r>
      <w:r>
        <w:rPr>
          <w:lang w:val="fr-FR"/>
        </w:rPr>
        <w:t xml:space="preserve">sur </w:t>
      </w:r>
      <w:r w:rsidRPr="00262910">
        <w:rPr>
          <w:lang w:val="fr-FR"/>
        </w:rPr>
        <w:t>le traitement et la prise en charge de l</w:t>
      </w:r>
      <w:r>
        <w:rPr>
          <w:lang w:val="fr-FR"/>
        </w:rPr>
        <w:t>’</w:t>
      </w:r>
      <w:r w:rsidRPr="00262910">
        <w:rPr>
          <w:lang w:val="fr-FR"/>
        </w:rPr>
        <w:t xml:space="preserve">incongruence de genre. Ces travaux ont débuté en 2018 et, selon le calendrier </w:t>
      </w:r>
      <w:r>
        <w:rPr>
          <w:lang w:val="fr-FR"/>
        </w:rPr>
        <w:t>fixé</w:t>
      </w:r>
      <w:r w:rsidRPr="00262910">
        <w:rPr>
          <w:lang w:val="fr-FR"/>
        </w:rPr>
        <w:t xml:space="preserve">, </w:t>
      </w:r>
      <w:r w:rsidRPr="00A61C9D">
        <w:rPr>
          <w:lang w:val="fr-FR"/>
        </w:rPr>
        <w:t>s</w:t>
      </w:r>
      <w:r>
        <w:rPr>
          <w:lang w:val="fr-FR"/>
        </w:rPr>
        <w:t>’</w:t>
      </w:r>
      <w:r w:rsidRPr="00A61C9D">
        <w:rPr>
          <w:lang w:val="fr-FR"/>
        </w:rPr>
        <w:t xml:space="preserve">achèveront </w:t>
      </w:r>
      <w:r w:rsidRPr="00262910">
        <w:rPr>
          <w:lang w:val="fr-FR"/>
        </w:rPr>
        <w:t>en 2020.</w:t>
      </w:r>
    </w:p>
    <w:p w:rsidR="001771B8" w:rsidRPr="00262910" w:rsidRDefault="001771B8" w:rsidP="001771B8">
      <w:pPr>
        <w:pStyle w:val="SingleTxtG"/>
        <w:rPr>
          <w:lang w:val="fr-FR"/>
        </w:rPr>
      </w:pPr>
      <w:r w:rsidRPr="00262910">
        <w:rPr>
          <w:lang w:val="fr-FR"/>
        </w:rPr>
        <w:t>112.</w:t>
      </w:r>
      <w:r w:rsidRPr="00262910">
        <w:rPr>
          <w:lang w:val="fr-FR"/>
        </w:rPr>
        <w:tab/>
        <w:t xml:space="preserve">Le Gouvernement </w:t>
      </w:r>
      <w:r>
        <w:rPr>
          <w:lang w:val="fr-FR"/>
        </w:rPr>
        <w:t xml:space="preserve">est très attentif aux problèmes de la </w:t>
      </w:r>
      <w:r w:rsidRPr="00262910">
        <w:rPr>
          <w:lang w:val="fr-FR"/>
        </w:rPr>
        <w:t xml:space="preserve">discrimination et </w:t>
      </w:r>
      <w:r>
        <w:rPr>
          <w:lang w:val="fr-FR"/>
        </w:rPr>
        <w:t xml:space="preserve">du harcèlement scolaire </w:t>
      </w:r>
      <w:r w:rsidRPr="00262910">
        <w:rPr>
          <w:lang w:val="fr-FR"/>
        </w:rPr>
        <w:t xml:space="preserve">et en 2019 </w:t>
      </w:r>
      <w:r>
        <w:rPr>
          <w:lang w:val="fr-FR"/>
        </w:rPr>
        <w:t xml:space="preserve">un montant de </w:t>
      </w:r>
      <w:r w:rsidRPr="00262910">
        <w:rPr>
          <w:lang w:val="fr-FR"/>
        </w:rPr>
        <w:t xml:space="preserve">115 millions de couronnes norvégiennes </w:t>
      </w:r>
      <w:r>
        <w:rPr>
          <w:lang w:val="fr-FR"/>
        </w:rPr>
        <w:t xml:space="preserve">a été inscrit </w:t>
      </w:r>
      <w:r w:rsidRPr="00DE6CDD">
        <w:rPr>
          <w:lang w:val="fr-FR"/>
        </w:rPr>
        <w:t xml:space="preserve">dans le budget national </w:t>
      </w:r>
      <w:r>
        <w:rPr>
          <w:lang w:val="fr-FR"/>
        </w:rPr>
        <w:t>pour combattre ce phénomène</w:t>
      </w:r>
      <w:r w:rsidRPr="00262910">
        <w:rPr>
          <w:lang w:val="fr-FR"/>
        </w:rPr>
        <w:t xml:space="preserve">. Les droits des élèves ont été </w:t>
      </w:r>
      <w:r>
        <w:rPr>
          <w:lang w:val="fr-FR"/>
        </w:rPr>
        <w:t xml:space="preserve">grandement </w:t>
      </w:r>
      <w:r w:rsidRPr="00262910">
        <w:rPr>
          <w:lang w:val="fr-FR"/>
        </w:rPr>
        <w:t>renforcés</w:t>
      </w:r>
      <w:r w:rsidRPr="00DE6CDD">
        <w:rPr>
          <w:lang w:val="fr-FR"/>
        </w:rPr>
        <w:t xml:space="preserve"> récemment</w:t>
      </w:r>
      <w:r w:rsidRPr="00262910">
        <w:rPr>
          <w:lang w:val="fr-FR"/>
        </w:rPr>
        <w:t xml:space="preserve">. </w:t>
      </w:r>
      <w:r w:rsidRPr="0028096A">
        <w:rPr>
          <w:lang w:val="fr-FR"/>
        </w:rPr>
        <w:t>Les modifications</w:t>
      </w:r>
      <w:r w:rsidRPr="00262910">
        <w:rPr>
          <w:lang w:val="fr-FR"/>
        </w:rPr>
        <w:t xml:space="preserve"> </w:t>
      </w:r>
      <w:r>
        <w:rPr>
          <w:lang w:val="fr-FR"/>
        </w:rPr>
        <w:t xml:space="preserve">de </w:t>
      </w:r>
      <w:r w:rsidRPr="00262910">
        <w:rPr>
          <w:lang w:val="fr-FR"/>
        </w:rPr>
        <w:t>la loi sur l</w:t>
      </w:r>
      <w:r>
        <w:rPr>
          <w:lang w:val="fr-FR"/>
        </w:rPr>
        <w:t>’</w:t>
      </w:r>
      <w:r w:rsidRPr="00262910">
        <w:rPr>
          <w:lang w:val="fr-FR"/>
        </w:rPr>
        <w:t xml:space="preserve">éducation </w:t>
      </w:r>
      <w:r>
        <w:rPr>
          <w:lang w:val="fr-FR"/>
        </w:rPr>
        <w:t>entrées en vigueur a</w:t>
      </w:r>
      <w:r w:rsidRPr="00262910">
        <w:rPr>
          <w:lang w:val="fr-FR"/>
        </w:rPr>
        <w:t>u 1</w:t>
      </w:r>
      <w:r w:rsidRPr="00051626">
        <w:rPr>
          <w:vertAlign w:val="superscript"/>
          <w:lang w:val="fr-FR"/>
        </w:rPr>
        <w:t>er</w:t>
      </w:r>
      <w:r>
        <w:rPr>
          <w:lang w:val="fr-FR"/>
        </w:rPr>
        <w:t xml:space="preserve"> </w:t>
      </w:r>
      <w:r w:rsidRPr="00262910">
        <w:rPr>
          <w:lang w:val="fr-FR"/>
        </w:rPr>
        <w:t>août 2017 imposent aux écoles l</w:t>
      </w:r>
      <w:r>
        <w:rPr>
          <w:lang w:val="fr-FR"/>
        </w:rPr>
        <w:t>’</w:t>
      </w:r>
      <w:r w:rsidRPr="00262910">
        <w:rPr>
          <w:lang w:val="fr-FR"/>
        </w:rPr>
        <w:t>obligation d</w:t>
      </w:r>
      <w:r>
        <w:rPr>
          <w:lang w:val="fr-FR"/>
        </w:rPr>
        <w:t>’</w:t>
      </w:r>
      <w:r w:rsidRPr="00262910">
        <w:rPr>
          <w:lang w:val="fr-FR"/>
        </w:rPr>
        <w:t xml:space="preserve">agir </w:t>
      </w:r>
      <w:r>
        <w:rPr>
          <w:lang w:val="fr-FR"/>
        </w:rPr>
        <w:t xml:space="preserve">quand </w:t>
      </w:r>
      <w:r w:rsidRPr="00262910">
        <w:rPr>
          <w:lang w:val="fr-FR"/>
        </w:rPr>
        <w:t xml:space="preserve">un élève signale des </w:t>
      </w:r>
      <w:r>
        <w:rPr>
          <w:lang w:val="fr-FR"/>
        </w:rPr>
        <w:t xml:space="preserve">faits </w:t>
      </w:r>
      <w:r w:rsidRPr="00262910">
        <w:rPr>
          <w:lang w:val="fr-FR"/>
        </w:rPr>
        <w:t>d</w:t>
      </w:r>
      <w:r>
        <w:rPr>
          <w:lang w:val="fr-FR"/>
        </w:rPr>
        <w:t>’</w:t>
      </w:r>
      <w:r w:rsidRPr="00262910">
        <w:rPr>
          <w:lang w:val="fr-FR"/>
        </w:rPr>
        <w:t xml:space="preserve">intimidation, de violence, de discrimination ou de harcèlement. Les mesures </w:t>
      </w:r>
      <w:r>
        <w:rPr>
          <w:lang w:val="fr-FR"/>
        </w:rPr>
        <w:t xml:space="preserve">prises </w:t>
      </w:r>
      <w:r w:rsidRPr="00262910">
        <w:rPr>
          <w:lang w:val="fr-FR"/>
        </w:rPr>
        <w:t xml:space="preserve">doivent être </w:t>
      </w:r>
      <w:r>
        <w:rPr>
          <w:lang w:val="fr-FR"/>
        </w:rPr>
        <w:t xml:space="preserve">reconduites </w:t>
      </w:r>
      <w:r w:rsidRPr="00262910">
        <w:rPr>
          <w:lang w:val="fr-FR"/>
        </w:rPr>
        <w:t>jusqu</w:t>
      </w:r>
      <w:r>
        <w:rPr>
          <w:lang w:val="fr-FR"/>
        </w:rPr>
        <w:t>’</w:t>
      </w:r>
      <w:r w:rsidRPr="00262910">
        <w:rPr>
          <w:lang w:val="fr-FR"/>
        </w:rPr>
        <w:t>à ce que l</w:t>
      </w:r>
      <w:r>
        <w:rPr>
          <w:lang w:val="fr-FR"/>
        </w:rPr>
        <w:t>’</w:t>
      </w:r>
      <w:r w:rsidRPr="00262910">
        <w:rPr>
          <w:lang w:val="fr-FR"/>
        </w:rPr>
        <w:t>élève ait retrouvé un environnement scolaire sûr et de qualité. Si l</w:t>
      </w:r>
      <w:r>
        <w:rPr>
          <w:lang w:val="fr-FR"/>
        </w:rPr>
        <w:t>’</w:t>
      </w:r>
      <w:r w:rsidRPr="00262910">
        <w:rPr>
          <w:lang w:val="fr-FR"/>
        </w:rPr>
        <w:t>école n</w:t>
      </w:r>
      <w:r>
        <w:rPr>
          <w:lang w:val="fr-FR"/>
        </w:rPr>
        <w:t xml:space="preserve">e s’acquitte pas de </w:t>
      </w:r>
      <w:r w:rsidRPr="00262910">
        <w:rPr>
          <w:lang w:val="fr-FR"/>
        </w:rPr>
        <w:t xml:space="preserve">ses obligations, les élèves et les parents peuvent </w:t>
      </w:r>
      <w:r>
        <w:rPr>
          <w:lang w:val="fr-FR"/>
        </w:rPr>
        <w:t xml:space="preserve">se plaindre </w:t>
      </w:r>
      <w:r w:rsidRPr="00262910">
        <w:rPr>
          <w:lang w:val="fr-FR"/>
        </w:rPr>
        <w:t>directement au</w:t>
      </w:r>
      <w:r>
        <w:rPr>
          <w:lang w:val="fr-FR"/>
        </w:rPr>
        <w:t xml:space="preserve">près du </w:t>
      </w:r>
      <w:r w:rsidRPr="00262910">
        <w:rPr>
          <w:lang w:val="fr-FR"/>
        </w:rPr>
        <w:t>gouverneur d</w:t>
      </w:r>
      <w:r>
        <w:rPr>
          <w:lang w:val="fr-FR"/>
        </w:rPr>
        <w:t>e province</w:t>
      </w:r>
      <w:r w:rsidRPr="00262910">
        <w:rPr>
          <w:lang w:val="fr-FR"/>
        </w:rPr>
        <w:t xml:space="preserve">. </w:t>
      </w:r>
    </w:p>
    <w:p w:rsidR="001771B8" w:rsidRPr="00262910" w:rsidRDefault="001771B8" w:rsidP="001771B8">
      <w:pPr>
        <w:pStyle w:val="SingleTxtG"/>
        <w:rPr>
          <w:b/>
          <w:bCs/>
          <w:lang w:val="fr-FR"/>
        </w:rPr>
      </w:pPr>
      <w:r w:rsidRPr="00262910">
        <w:rPr>
          <w:bCs/>
          <w:lang w:val="fr-FR"/>
        </w:rPr>
        <w:t>113.</w:t>
      </w:r>
      <w:r w:rsidRPr="00262910">
        <w:rPr>
          <w:bCs/>
          <w:lang w:val="fr-FR"/>
        </w:rPr>
        <w:tab/>
      </w:r>
      <w:r w:rsidRPr="008160EF">
        <w:rPr>
          <w:lang w:val="fr-FR"/>
        </w:rPr>
        <w:t>Le gouverneur</w:t>
      </w:r>
      <w:r w:rsidRPr="00262910">
        <w:rPr>
          <w:lang w:val="fr-FR"/>
        </w:rPr>
        <w:t xml:space="preserve"> d</w:t>
      </w:r>
      <w:r>
        <w:rPr>
          <w:lang w:val="fr-FR"/>
        </w:rPr>
        <w:t>e province est tenu de suivre l</w:t>
      </w:r>
      <w:r w:rsidRPr="00262910">
        <w:rPr>
          <w:lang w:val="fr-FR"/>
        </w:rPr>
        <w:t>es affaires</w:t>
      </w:r>
      <w:r>
        <w:rPr>
          <w:lang w:val="fr-FR"/>
        </w:rPr>
        <w:t xml:space="preserve"> de ce type</w:t>
      </w:r>
      <w:r w:rsidRPr="00262910">
        <w:rPr>
          <w:lang w:val="fr-FR"/>
        </w:rPr>
        <w:t xml:space="preserve"> jusqu</w:t>
      </w:r>
      <w:r>
        <w:rPr>
          <w:lang w:val="fr-FR"/>
        </w:rPr>
        <w:t>’</w:t>
      </w:r>
      <w:r w:rsidRPr="00262910">
        <w:rPr>
          <w:lang w:val="fr-FR"/>
        </w:rPr>
        <w:t xml:space="preserve">à </w:t>
      </w:r>
      <w:r>
        <w:rPr>
          <w:lang w:val="fr-FR"/>
        </w:rPr>
        <w:t xml:space="preserve">leur terme </w:t>
      </w:r>
      <w:r w:rsidRPr="00262910">
        <w:rPr>
          <w:lang w:val="fr-FR"/>
        </w:rPr>
        <w:t xml:space="preserve">et </w:t>
      </w:r>
      <w:r>
        <w:rPr>
          <w:lang w:val="fr-FR"/>
        </w:rPr>
        <w:t xml:space="preserve">il </w:t>
      </w:r>
      <w:r w:rsidRPr="00262910">
        <w:rPr>
          <w:lang w:val="fr-FR"/>
        </w:rPr>
        <w:t xml:space="preserve">peut imposer des </w:t>
      </w:r>
      <w:r>
        <w:rPr>
          <w:lang w:val="fr-FR"/>
        </w:rPr>
        <w:t xml:space="preserve">astreintes </w:t>
      </w:r>
      <w:r w:rsidRPr="00262910">
        <w:rPr>
          <w:lang w:val="fr-FR"/>
        </w:rPr>
        <w:t xml:space="preserve">journalières à la municipalité </w:t>
      </w:r>
      <w:r>
        <w:rPr>
          <w:lang w:val="fr-FR"/>
        </w:rPr>
        <w:t xml:space="preserve">en cause </w:t>
      </w:r>
      <w:r w:rsidRPr="00262910">
        <w:rPr>
          <w:lang w:val="fr-FR"/>
        </w:rPr>
        <w:t>en tant que propriétaire de l</w:t>
      </w:r>
      <w:r>
        <w:rPr>
          <w:lang w:val="fr-FR"/>
        </w:rPr>
        <w:t>’</w:t>
      </w:r>
      <w:r w:rsidRPr="00262910">
        <w:rPr>
          <w:lang w:val="fr-FR"/>
        </w:rPr>
        <w:t>école ou au propriétaire de l</w:t>
      </w:r>
      <w:r>
        <w:rPr>
          <w:lang w:val="fr-FR"/>
        </w:rPr>
        <w:t>’</w:t>
      </w:r>
      <w:r w:rsidRPr="00262910">
        <w:rPr>
          <w:lang w:val="fr-FR"/>
        </w:rPr>
        <w:t>école privée jusqu</w:t>
      </w:r>
      <w:r>
        <w:rPr>
          <w:lang w:val="fr-FR"/>
        </w:rPr>
        <w:t>’</w:t>
      </w:r>
      <w:r w:rsidRPr="00262910">
        <w:rPr>
          <w:lang w:val="fr-FR"/>
        </w:rPr>
        <w:t>à ce qu</w:t>
      </w:r>
      <w:r>
        <w:rPr>
          <w:lang w:val="fr-FR"/>
        </w:rPr>
        <w:t>’</w:t>
      </w:r>
      <w:r w:rsidRPr="00262910">
        <w:rPr>
          <w:lang w:val="fr-FR"/>
        </w:rPr>
        <w:t>une solution ait été trouvée.</w:t>
      </w:r>
    </w:p>
    <w:p w:rsidR="001771B8" w:rsidRPr="00262910" w:rsidRDefault="001771B8" w:rsidP="001771B8">
      <w:pPr>
        <w:pStyle w:val="SingleTxtG"/>
        <w:rPr>
          <w:lang w:val="fr-FR"/>
        </w:rPr>
      </w:pPr>
      <w:r w:rsidRPr="00262910">
        <w:rPr>
          <w:lang w:val="fr-FR"/>
        </w:rPr>
        <w:t>114.</w:t>
      </w:r>
      <w:r w:rsidRPr="00262910">
        <w:rPr>
          <w:lang w:val="fr-FR"/>
        </w:rPr>
        <w:tab/>
        <w:t xml:space="preserve">Voir </w:t>
      </w:r>
      <w:r>
        <w:rPr>
          <w:lang w:val="fr-FR"/>
        </w:rPr>
        <w:t xml:space="preserve">aussi </w:t>
      </w:r>
      <w:r w:rsidRPr="00262910">
        <w:rPr>
          <w:lang w:val="fr-FR"/>
        </w:rPr>
        <w:t xml:space="preserve">les informations </w:t>
      </w:r>
      <w:r>
        <w:rPr>
          <w:lang w:val="fr-FR"/>
        </w:rPr>
        <w:t xml:space="preserve">figurant dans la réponse aux paragraphes </w:t>
      </w:r>
      <w:r w:rsidRPr="00262910">
        <w:rPr>
          <w:lang w:val="fr-FR"/>
        </w:rPr>
        <w:t>15 d) et e</w:t>
      </w:r>
      <w:r>
        <w:rPr>
          <w:lang w:val="fr-FR"/>
        </w:rPr>
        <w:t>)</w:t>
      </w:r>
      <w:r w:rsidRPr="00262910">
        <w:rPr>
          <w:lang w:val="fr-FR"/>
        </w:rPr>
        <w:t xml:space="preserve">. </w:t>
      </w:r>
      <w:r>
        <w:rPr>
          <w:lang w:val="fr-FR"/>
        </w:rPr>
        <w:t xml:space="preserve">Dans les </w:t>
      </w:r>
      <w:r w:rsidRPr="00262910">
        <w:rPr>
          <w:lang w:val="fr-FR"/>
        </w:rPr>
        <w:t xml:space="preserve">lignes directrices </w:t>
      </w:r>
      <w:r>
        <w:rPr>
          <w:lang w:val="fr-FR"/>
        </w:rPr>
        <w:t xml:space="preserve">concernant </w:t>
      </w:r>
      <w:r w:rsidRPr="00262910">
        <w:rPr>
          <w:lang w:val="fr-FR"/>
        </w:rPr>
        <w:t>le traitement des demandes d</w:t>
      </w:r>
      <w:r>
        <w:rPr>
          <w:lang w:val="fr-FR"/>
        </w:rPr>
        <w:t>’</w:t>
      </w:r>
      <w:r w:rsidRPr="00262910">
        <w:rPr>
          <w:lang w:val="fr-FR"/>
        </w:rPr>
        <w:t xml:space="preserve">asile </w:t>
      </w:r>
      <w:r>
        <w:rPr>
          <w:lang w:val="fr-FR"/>
        </w:rPr>
        <w:t xml:space="preserve">au motif de </w:t>
      </w:r>
      <w:r w:rsidRPr="00262910">
        <w:rPr>
          <w:lang w:val="fr-FR"/>
        </w:rPr>
        <w:t>l</w:t>
      </w:r>
      <w:r>
        <w:rPr>
          <w:lang w:val="fr-FR"/>
        </w:rPr>
        <w:t>’</w:t>
      </w:r>
      <w:r w:rsidRPr="00262910">
        <w:rPr>
          <w:lang w:val="fr-FR"/>
        </w:rPr>
        <w:t>orientation sexuelle (GI-07/2012)</w:t>
      </w:r>
      <w:r>
        <w:rPr>
          <w:lang w:val="fr-FR"/>
        </w:rPr>
        <w:t xml:space="preserve">, adoptées en réponse à </w:t>
      </w:r>
      <w:r w:rsidRPr="00262910">
        <w:rPr>
          <w:lang w:val="fr-FR"/>
        </w:rPr>
        <w:t>un</w:t>
      </w:r>
      <w:r>
        <w:rPr>
          <w:lang w:val="fr-FR"/>
        </w:rPr>
        <w:t xml:space="preserve"> arrêt </w:t>
      </w:r>
      <w:r w:rsidRPr="00262910">
        <w:rPr>
          <w:lang w:val="fr-FR"/>
        </w:rPr>
        <w:t xml:space="preserve">de la Cour suprême </w:t>
      </w:r>
      <w:r>
        <w:rPr>
          <w:lang w:val="fr-FR"/>
        </w:rPr>
        <w:t>de la N</w:t>
      </w:r>
      <w:r w:rsidRPr="00262910">
        <w:rPr>
          <w:lang w:val="fr-FR"/>
        </w:rPr>
        <w:t>orv</w:t>
      </w:r>
      <w:r>
        <w:rPr>
          <w:lang w:val="fr-FR"/>
        </w:rPr>
        <w:t>ège, il est constaté q</w:t>
      </w:r>
      <w:r w:rsidRPr="00262910">
        <w:rPr>
          <w:lang w:val="fr-FR"/>
        </w:rPr>
        <w:t>u</w:t>
      </w:r>
      <w:r>
        <w:rPr>
          <w:lang w:val="fr-FR"/>
        </w:rPr>
        <w:t xml:space="preserve">e l’on ne peut attendre ou </w:t>
      </w:r>
      <w:r w:rsidRPr="00262910">
        <w:rPr>
          <w:lang w:val="fr-FR"/>
        </w:rPr>
        <w:t xml:space="preserve">exiger </w:t>
      </w:r>
      <w:r>
        <w:rPr>
          <w:lang w:val="fr-FR"/>
        </w:rPr>
        <w:t xml:space="preserve">de </w:t>
      </w:r>
      <w:r w:rsidRPr="00262910">
        <w:rPr>
          <w:lang w:val="fr-FR"/>
        </w:rPr>
        <w:t xml:space="preserve">ces personnes, </w:t>
      </w:r>
      <w:r>
        <w:rPr>
          <w:lang w:val="fr-FR"/>
        </w:rPr>
        <w:t>en cas de renvoi dans leur pays, qu’elles s’</w:t>
      </w:r>
      <w:r w:rsidRPr="00262910">
        <w:rPr>
          <w:lang w:val="fr-FR"/>
        </w:rPr>
        <w:t xml:space="preserve">adaptent aux normes sociales, culturelles et juridiques </w:t>
      </w:r>
      <w:r>
        <w:rPr>
          <w:lang w:val="fr-FR"/>
        </w:rPr>
        <w:t xml:space="preserve">qui y prévalent </w:t>
      </w:r>
      <w:r w:rsidRPr="00262910">
        <w:rPr>
          <w:lang w:val="fr-FR"/>
        </w:rPr>
        <w:t xml:space="preserve">ou dissimulent leur orientation sexuelle ou leur identité </w:t>
      </w:r>
      <w:r>
        <w:rPr>
          <w:lang w:val="fr-FR"/>
        </w:rPr>
        <w:t xml:space="preserve">de genre </w:t>
      </w:r>
      <w:r w:rsidRPr="00262910">
        <w:rPr>
          <w:lang w:val="fr-FR"/>
        </w:rPr>
        <w:t>afin d</w:t>
      </w:r>
      <w:r>
        <w:rPr>
          <w:lang w:val="fr-FR"/>
        </w:rPr>
        <w:t>’</w:t>
      </w:r>
      <w:r w:rsidRPr="00262910">
        <w:rPr>
          <w:lang w:val="fr-FR"/>
        </w:rPr>
        <w:t>éviter les persécutions. S</w:t>
      </w:r>
      <w:r>
        <w:rPr>
          <w:lang w:val="fr-FR"/>
        </w:rPr>
        <w:t xml:space="preserve">i l’on considère </w:t>
      </w:r>
      <w:r w:rsidRPr="00262910">
        <w:rPr>
          <w:lang w:val="fr-FR"/>
        </w:rPr>
        <w:t>probable qu</w:t>
      </w:r>
      <w:r>
        <w:rPr>
          <w:lang w:val="fr-FR"/>
        </w:rPr>
        <w:t>’</w:t>
      </w:r>
      <w:r w:rsidRPr="00262910">
        <w:rPr>
          <w:lang w:val="fr-FR"/>
        </w:rPr>
        <w:t>un demandeur d</w:t>
      </w:r>
      <w:r>
        <w:rPr>
          <w:lang w:val="fr-FR"/>
        </w:rPr>
        <w:t>’</w:t>
      </w:r>
      <w:r w:rsidRPr="00262910">
        <w:rPr>
          <w:lang w:val="fr-FR"/>
        </w:rPr>
        <w:t xml:space="preserve">asile </w:t>
      </w:r>
      <w:r>
        <w:rPr>
          <w:lang w:val="fr-FR"/>
        </w:rPr>
        <w:t xml:space="preserve">ait à </w:t>
      </w:r>
      <w:r w:rsidRPr="00262910">
        <w:rPr>
          <w:lang w:val="fr-FR"/>
        </w:rPr>
        <w:t xml:space="preserve">dissimuler son orientation sexuelle </w:t>
      </w:r>
      <w:r>
        <w:rPr>
          <w:lang w:val="fr-FR"/>
        </w:rPr>
        <w:t>en cas de renvoi dans son pays</w:t>
      </w:r>
      <w:r w:rsidRPr="00262910">
        <w:rPr>
          <w:lang w:val="fr-FR"/>
        </w:rPr>
        <w:t xml:space="preserve">, </w:t>
      </w:r>
      <w:r>
        <w:rPr>
          <w:lang w:val="fr-FR"/>
        </w:rPr>
        <w:t xml:space="preserve">les raisons nécessitant cette dissimulation doivent </w:t>
      </w:r>
      <w:r w:rsidRPr="00262910">
        <w:rPr>
          <w:lang w:val="fr-FR"/>
        </w:rPr>
        <w:t>être évalué</w:t>
      </w:r>
      <w:r>
        <w:rPr>
          <w:lang w:val="fr-FR"/>
        </w:rPr>
        <w:t>es et si l’une des raisons majeures est la crainte légitime de subir une p</w:t>
      </w:r>
      <w:r w:rsidRPr="00262910">
        <w:rPr>
          <w:lang w:val="fr-FR"/>
        </w:rPr>
        <w:t>ersécution, le demandeur d</w:t>
      </w:r>
      <w:r>
        <w:rPr>
          <w:lang w:val="fr-FR"/>
        </w:rPr>
        <w:t>’</w:t>
      </w:r>
      <w:r w:rsidRPr="00262910">
        <w:rPr>
          <w:lang w:val="fr-FR"/>
        </w:rPr>
        <w:t xml:space="preserve">asile </w:t>
      </w:r>
      <w:r>
        <w:rPr>
          <w:lang w:val="fr-FR"/>
        </w:rPr>
        <w:t xml:space="preserve">est admissible au bénéfice du </w:t>
      </w:r>
      <w:r w:rsidRPr="00262910">
        <w:rPr>
          <w:lang w:val="fr-FR"/>
        </w:rPr>
        <w:t xml:space="preserve">statut de réfugié. </w:t>
      </w:r>
    </w:p>
    <w:p w:rsidR="001771B8" w:rsidRPr="00262910" w:rsidRDefault="001771B8" w:rsidP="001771B8">
      <w:pPr>
        <w:pStyle w:val="SingleTxtG"/>
        <w:rPr>
          <w:lang w:val="fr-FR"/>
        </w:rPr>
      </w:pPr>
      <w:r w:rsidRPr="00262910">
        <w:rPr>
          <w:lang w:val="fr-FR"/>
        </w:rPr>
        <w:t>115.</w:t>
      </w:r>
      <w:r w:rsidRPr="00262910">
        <w:rPr>
          <w:lang w:val="fr-FR"/>
        </w:rPr>
        <w:tab/>
        <w:t xml:space="preserve">La Direction </w:t>
      </w:r>
      <w:r>
        <w:rPr>
          <w:lang w:val="fr-FR"/>
        </w:rPr>
        <w:t xml:space="preserve">applique des lignes directrices </w:t>
      </w:r>
      <w:r w:rsidRPr="00262910">
        <w:rPr>
          <w:lang w:val="fr-FR"/>
        </w:rPr>
        <w:t xml:space="preserve">spécifiques </w:t>
      </w:r>
      <w:r>
        <w:rPr>
          <w:lang w:val="fr-FR"/>
        </w:rPr>
        <w:t xml:space="preserve">concernant les modalités de prise en charge des </w:t>
      </w:r>
      <w:r w:rsidRPr="00262910">
        <w:rPr>
          <w:lang w:val="fr-FR"/>
        </w:rPr>
        <w:t xml:space="preserve">besoins particuliers des </w:t>
      </w:r>
      <w:r>
        <w:rPr>
          <w:lang w:val="fr-FR"/>
        </w:rPr>
        <w:t>personnes qui demandent l’</w:t>
      </w:r>
      <w:r w:rsidRPr="00262910">
        <w:rPr>
          <w:lang w:val="fr-FR"/>
        </w:rPr>
        <w:t xml:space="preserve">asile </w:t>
      </w:r>
      <w:r>
        <w:rPr>
          <w:lang w:val="fr-FR"/>
        </w:rPr>
        <w:t xml:space="preserve">au motif de </w:t>
      </w:r>
      <w:r w:rsidRPr="00262910">
        <w:rPr>
          <w:lang w:val="fr-FR"/>
        </w:rPr>
        <w:t xml:space="preserve">leur orientation sexuelle ou de leur identité de genre, y compris la garantie de conditions de vie sûres pour </w:t>
      </w:r>
      <w:r>
        <w:rPr>
          <w:lang w:val="fr-FR"/>
        </w:rPr>
        <w:t xml:space="preserve">ces personnes </w:t>
      </w:r>
      <w:r w:rsidRPr="00262910">
        <w:rPr>
          <w:lang w:val="fr-FR"/>
        </w:rPr>
        <w:t>dans les centres d</w:t>
      </w:r>
      <w:r>
        <w:rPr>
          <w:lang w:val="fr-FR"/>
        </w:rPr>
        <w:t>’</w:t>
      </w:r>
      <w:r w:rsidRPr="00262910">
        <w:rPr>
          <w:lang w:val="fr-FR"/>
        </w:rPr>
        <w:t xml:space="preserve">accueil et les services </w:t>
      </w:r>
      <w:r>
        <w:rPr>
          <w:lang w:val="fr-FR"/>
        </w:rPr>
        <w:t xml:space="preserve">de santé </w:t>
      </w:r>
      <w:r w:rsidRPr="00262910">
        <w:rPr>
          <w:lang w:val="fr-FR"/>
        </w:rPr>
        <w:t>(UDI</w:t>
      </w:r>
      <w:r w:rsidR="00821239">
        <w:rPr>
          <w:lang w:val="fr-FR"/>
        </w:rPr>
        <w:t> </w:t>
      </w:r>
      <w:r w:rsidRPr="00262910">
        <w:rPr>
          <w:lang w:val="fr-FR"/>
        </w:rPr>
        <w:t>IM</w:t>
      </w:r>
      <w:r w:rsidR="00821239">
        <w:rPr>
          <w:lang w:val="fr-FR"/>
        </w:rPr>
        <w:t> </w:t>
      </w:r>
      <w:r w:rsidRPr="00262910">
        <w:rPr>
          <w:lang w:val="fr-FR"/>
        </w:rPr>
        <w:t>2018-004 et RS 2009-006).</w:t>
      </w:r>
    </w:p>
    <w:p w:rsidR="001771B8" w:rsidRPr="00262910" w:rsidRDefault="001771B8" w:rsidP="001771B8">
      <w:pPr>
        <w:pStyle w:val="H1G"/>
        <w:rPr>
          <w:lang w:val="fr-FR"/>
        </w:rPr>
      </w:pPr>
      <w:r w:rsidRPr="00262910">
        <w:rPr>
          <w:lang w:val="fr-FR"/>
        </w:rPr>
        <w:tab/>
      </w:r>
      <w:r w:rsidRPr="00262910">
        <w:rPr>
          <w:lang w:val="fr-FR"/>
        </w:rPr>
        <w:tab/>
      </w:r>
      <w:r w:rsidRPr="007108F9">
        <w:rPr>
          <w:lang w:val="fr-FR"/>
        </w:rPr>
        <w:t>Réponse au paragraphe 17 de la liste de points</w:t>
      </w:r>
    </w:p>
    <w:p w:rsidR="001771B8" w:rsidRPr="00262910" w:rsidRDefault="001771B8" w:rsidP="001771B8">
      <w:pPr>
        <w:pStyle w:val="SingleTxtG"/>
        <w:rPr>
          <w:lang w:val="fr-FR"/>
        </w:rPr>
      </w:pPr>
      <w:r w:rsidRPr="00262910">
        <w:rPr>
          <w:lang w:val="fr-FR"/>
        </w:rPr>
        <w:t>116.</w:t>
      </w:r>
      <w:r w:rsidRPr="00262910">
        <w:rPr>
          <w:lang w:val="fr-FR"/>
        </w:rPr>
        <w:tab/>
      </w:r>
      <w:r w:rsidRPr="008160EF">
        <w:rPr>
          <w:lang w:val="fr-FR"/>
        </w:rPr>
        <w:t>Le baromètre de</w:t>
      </w:r>
      <w:r>
        <w:rPr>
          <w:lang w:val="fr-FR"/>
        </w:rPr>
        <w:t xml:space="preserve"> la parité entre les genres (</w:t>
      </w:r>
      <w:r w:rsidRPr="00262910">
        <w:rPr>
          <w:lang w:val="fr-FR"/>
        </w:rPr>
        <w:t>CORE</w:t>
      </w:r>
      <w:r>
        <w:rPr>
          <w:lang w:val="fr-FR"/>
        </w:rPr>
        <w:t xml:space="preserve">) permet de dresser un bilan en matière de parité entre les genres dans les organes directeurs </w:t>
      </w:r>
      <w:r w:rsidRPr="00262910">
        <w:rPr>
          <w:lang w:val="fr-FR"/>
        </w:rPr>
        <w:t xml:space="preserve">et </w:t>
      </w:r>
      <w:r>
        <w:rPr>
          <w:lang w:val="fr-FR"/>
        </w:rPr>
        <w:t>l</w:t>
      </w:r>
      <w:r w:rsidRPr="00262910">
        <w:rPr>
          <w:lang w:val="fr-FR"/>
        </w:rPr>
        <w:t>es conseils d</w:t>
      </w:r>
      <w:r>
        <w:rPr>
          <w:lang w:val="fr-FR"/>
        </w:rPr>
        <w:t>’</w:t>
      </w:r>
      <w:r w:rsidRPr="00262910">
        <w:rPr>
          <w:lang w:val="fr-FR"/>
        </w:rPr>
        <w:t xml:space="preserve">administration des plus grandes entreprises </w:t>
      </w:r>
      <w:r>
        <w:rPr>
          <w:lang w:val="fr-FR"/>
        </w:rPr>
        <w:t xml:space="preserve">opérant en Norvège, classées en fonction de leur chiffre d’affaires. Le baromètre permet en outre de suivre l’évolution dans le temps de la proportion de femmes et d’hommes dans les effectifs </w:t>
      </w:r>
      <w:r w:rsidRPr="00262910">
        <w:rPr>
          <w:lang w:val="fr-FR"/>
        </w:rPr>
        <w:t xml:space="preserve">et </w:t>
      </w:r>
      <w:r>
        <w:rPr>
          <w:lang w:val="fr-FR"/>
        </w:rPr>
        <w:t xml:space="preserve">aux </w:t>
      </w:r>
      <w:r w:rsidRPr="00262910">
        <w:rPr>
          <w:lang w:val="fr-FR"/>
        </w:rPr>
        <w:t xml:space="preserve">postes de décision. </w:t>
      </w:r>
    </w:p>
    <w:p w:rsidR="001771B8" w:rsidRPr="00262910" w:rsidRDefault="001771B8" w:rsidP="001771B8">
      <w:pPr>
        <w:pStyle w:val="SingleTxtG"/>
        <w:rPr>
          <w:lang w:val="fr-FR"/>
        </w:rPr>
      </w:pPr>
      <w:r w:rsidRPr="00262910">
        <w:rPr>
          <w:lang w:val="fr-FR"/>
        </w:rPr>
        <w:t>117.</w:t>
      </w:r>
      <w:r w:rsidRPr="00262910">
        <w:rPr>
          <w:lang w:val="fr-FR"/>
        </w:rPr>
        <w:tab/>
      </w:r>
      <w:r w:rsidRPr="00EF40B4">
        <w:rPr>
          <w:lang w:val="fr-FR"/>
        </w:rPr>
        <w:t>Dans les 200 plus grandes</w:t>
      </w:r>
      <w:r w:rsidRPr="00262910">
        <w:rPr>
          <w:lang w:val="fr-FR"/>
        </w:rPr>
        <w:t xml:space="preserve"> entreprises, </w:t>
      </w:r>
      <w:r>
        <w:rPr>
          <w:lang w:val="fr-FR"/>
        </w:rPr>
        <w:t xml:space="preserve">la proportion de femmes parmi les </w:t>
      </w:r>
      <w:r w:rsidRPr="00262910">
        <w:rPr>
          <w:lang w:val="fr-FR"/>
        </w:rPr>
        <w:t xml:space="preserve">cadres supérieurs </w:t>
      </w:r>
      <w:r>
        <w:rPr>
          <w:lang w:val="fr-FR"/>
        </w:rPr>
        <w:t xml:space="preserve">n’est que de </w:t>
      </w:r>
      <w:r w:rsidRPr="00EF40B4">
        <w:rPr>
          <w:lang w:val="fr-FR"/>
        </w:rPr>
        <w:t xml:space="preserve">22 % </w:t>
      </w:r>
      <w:r w:rsidRPr="00262910">
        <w:rPr>
          <w:lang w:val="fr-FR"/>
        </w:rPr>
        <w:t xml:space="preserve">et 26 entreprises seulement </w:t>
      </w:r>
      <w:r>
        <w:rPr>
          <w:lang w:val="fr-FR"/>
        </w:rPr>
        <w:t xml:space="preserve">sont parvenues à la parité </w:t>
      </w:r>
      <w:r w:rsidRPr="00262910">
        <w:rPr>
          <w:lang w:val="fr-FR"/>
        </w:rPr>
        <w:t xml:space="preserve">entre les </w:t>
      </w:r>
      <w:r>
        <w:rPr>
          <w:lang w:val="fr-FR"/>
        </w:rPr>
        <w:t>genre à cet échelon</w:t>
      </w:r>
      <w:r w:rsidRPr="00262910">
        <w:rPr>
          <w:lang w:val="fr-FR"/>
        </w:rPr>
        <w:t>.</w:t>
      </w:r>
    </w:p>
    <w:p w:rsidR="001771B8" w:rsidRPr="00262910" w:rsidRDefault="001771B8" w:rsidP="001771B8">
      <w:pPr>
        <w:pStyle w:val="SingleTxtG"/>
        <w:rPr>
          <w:lang w:val="fr-FR"/>
        </w:rPr>
      </w:pPr>
      <w:r w:rsidRPr="00262910">
        <w:rPr>
          <w:lang w:val="fr-FR"/>
        </w:rPr>
        <w:t>118.</w:t>
      </w:r>
      <w:r w:rsidRPr="00262910">
        <w:rPr>
          <w:lang w:val="fr-FR"/>
        </w:rPr>
        <w:tab/>
      </w:r>
      <w:r w:rsidRPr="00AE1EC0">
        <w:rPr>
          <w:lang w:val="fr-FR"/>
        </w:rPr>
        <w:t>Une évolution modeste</w:t>
      </w:r>
      <w:r w:rsidRPr="00262910">
        <w:rPr>
          <w:lang w:val="fr-FR"/>
        </w:rPr>
        <w:t xml:space="preserve"> mais </w:t>
      </w:r>
      <w:r>
        <w:rPr>
          <w:lang w:val="fr-FR"/>
        </w:rPr>
        <w:t xml:space="preserve">favorable a été enregistrée entre </w:t>
      </w:r>
      <w:r w:rsidRPr="00262910">
        <w:rPr>
          <w:lang w:val="fr-FR"/>
        </w:rPr>
        <w:t>2014</w:t>
      </w:r>
      <w:r>
        <w:rPr>
          <w:lang w:val="fr-FR"/>
        </w:rPr>
        <w:t xml:space="preserve">, année où la proportion de femmes parmi les cadres </w:t>
      </w:r>
      <w:r w:rsidRPr="00262910">
        <w:rPr>
          <w:lang w:val="fr-FR"/>
        </w:rPr>
        <w:t xml:space="preserve">supérieurs dans les plus grandes entreprises </w:t>
      </w:r>
      <w:r>
        <w:rPr>
          <w:lang w:val="fr-FR"/>
        </w:rPr>
        <w:t>était de 18</w:t>
      </w:r>
      <w:r w:rsidR="002F102D">
        <w:rPr>
          <w:lang w:val="fr-FR"/>
        </w:rPr>
        <w:t> </w:t>
      </w:r>
      <w:r>
        <w:rPr>
          <w:lang w:val="fr-FR"/>
        </w:rPr>
        <w:t xml:space="preserve">%, et 2018, où elle a atteint </w:t>
      </w:r>
      <w:r w:rsidRPr="00262910">
        <w:rPr>
          <w:lang w:val="fr-FR"/>
        </w:rPr>
        <w:t xml:space="preserve">22 %. </w:t>
      </w:r>
      <w:r>
        <w:rPr>
          <w:lang w:val="fr-FR"/>
        </w:rPr>
        <w:t xml:space="preserve">Tout juste </w:t>
      </w:r>
      <w:r w:rsidRPr="00262910">
        <w:rPr>
          <w:lang w:val="fr-FR"/>
        </w:rPr>
        <w:t>10 % des chefs d</w:t>
      </w:r>
      <w:r>
        <w:rPr>
          <w:lang w:val="fr-FR"/>
        </w:rPr>
        <w:t>’</w:t>
      </w:r>
      <w:r w:rsidRPr="00262910">
        <w:rPr>
          <w:lang w:val="fr-FR"/>
        </w:rPr>
        <w:t xml:space="preserve">entreprise (PDG) sont des femmes, </w:t>
      </w:r>
      <w:r>
        <w:rPr>
          <w:lang w:val="fr-FR"/>
        </w:rPr>
        <w:t xml:space="preserve">en augmentation </w:t>
      </w:r>
      <w:r w:rsidRPr="00262910">
        <w:rPr>
          <w:lang w:val="fr-FR"/>
        </w:rPr>
        <w:t>par rapport aux 7,5 % de 2016.</w:t>
      </w:r>
    </w:p>
    <w:p w:rsidR="001771B8" w:rsidRPr="00262910" w:rsidRDefault="001771B8" w:rsidP="001771B8">
      <w:pPr>
        <w:pStyle w:val="SingleTxtG"/>
        <w:rPr>
          <w:lang w:val="fr-FR"/>
        </w:rPr>
      </w:pPr>
      <w:r w:rsidRPr="00262910">
        <w:rPr>
          <w:lang w:val="fr-FR"/>
        </w:rPr>
        <w:t>119.</w:t>
      </w:r>
      <w:r w:rsidRPr="00262910">
        <w:rPr>
          <w:lang w:val="fr-FR"/>
        </w:rPr>
        <w:tab/>
      </w:r>
      <w:r>
        <w:rPr>
          <w:lang w:val="fr-FR"/>
        </w:rPr>
        <w:t>En c</w:t>
      </w:r>
      <w:r w:rsidRPr="00EF40B4">
        <w:rPr>
          <w:lang w:val="fr-FR"/>
        </w:rPr>
        <w:t xml:space="preserve">ollaboration avec les entreprises, </w:t>
      </w:r>
      <w:r>
        <w:rPr>
          <w:lang w:val="fr-FR"/>
        </w:rPr>
        <w:t>les autorités g</w:t>
      </w:r>
      <w:r w:rsidRPr="008160EF">
        <w:rPr>
          <w:lang w:val="fr-FR"/>
        </w:rPr>
        <w:t>ouvernement</w:t>
      </w:r>
      <w:r>
        <w:rPr>
          <w:lang w:val="fr-FR"/>
        </w:rPr>
        <w:t xml:space="preserve">ales ont établi un répertoire </w:t>
      </w:r>
      <w:r w:rsidRPr="00262910">
        <w:rPr>
          <w:lang w:val="fr-FR"/>
        </w:rPr>
        <w:t>des meilleures pratiques</w:t>
      </w:r>
      <w:r>
        <w:rPr>
          <w:lang w:val="fr-FR"/>
        </w:rPr>
        <w:t xml:space="preserve"> </w:t>
      </w:r>
      <w:r w:rsidRPr="00262910">
        <w:rPr>
          <w:lang w:val="fr-FR"/>
        </w:rPr>
        <w:t xml:space="preserve">pour </w:t>
      </w:r>
      <w:hyperlink r:id="rId10">
        <w:r w:rsidRPr="00573942">
          <w:rPr>
            <w:rStyle w:val="Lienhypertexte"/>
          </w:rPr>
          <w:t>parvenir à la parité entre les genres à la tête des entreprise</w:t>
        </w:r>
      </w:hyperlink>
      <w:r w:rsidRPr="00573942">
        <w:rPr>
          <w:rStyle w:val="Lienhypertexte"/>
        </w:rPr>
        <w:t>s</w:t>
      </w:r>
      <w:r w:rsidRPr="00573942">
        <w:rPr>
          <w:rStyle w:val="Lienhypertexte"/>
          <w:iCs/>
          <w:color w:val="auto"/>
          <w:lang w:val="fr-FR"/>
        </w:rPr>
        <w:t xml:space="preserve"> ; </w:t>
      </w:r>
      <w:r w:rsidRPr="008160EF">
        <w:rPr>
          <w:rStyle w:val="Lienhypertexte"/>
          <w:iCs/>
          <w:color w:val="auto"/>
          <w:lang w:val="fr-FR"/>
        </w:rPr>
        <w:t>dans ce répertoire figurent en outre</w:t>
      </w:r>
      <w:r>
        <w:rPr>
          <w:rStyle w:val="Lienhypertexte"/>
          <w:iCs/>
          <w:color w:val="auto"/>
          <w:lang w:val="fr-FR"/>
        </w:rPr>
        <w:t xml:space="preserve"> des c</w:t>
      </w:r>
      <w:r w:rsidRPr="00262910">
        <w:rPr>
          <w:lang w:val="fr-FR"/>
        </w:rPr>
        <w:t>onseils et de</w:t>
      </w:r>
      <w:r>
        <w:rPr>
          <w:lang w:val="fr-FR"/>
        </w:rPr>
        <w:t>s</w:t>
      </w:r>
      <w:r w:rsidRPr="00262910">
        <w:rPr>
          <w:lang w:val="fr-FR"/>
        </w:rPr>
        <w:t xml:space="preserve"> </w:t>
      </w:r>
      <w:r>
        <w:rPr>
          <w:lang w:val="fr-FR"/>
        </w:rPr>
        <w:t xml:space="preserve">lignes directrices concernant </w:t>
      </w:r>
      <w:r w:rsidRPr="00262910">
        <w:rPr>
          <w:lang w:val="fr-FR"/>
        </w:rPr>
        <w:t xml:space="preserve">les </w:t>
      </w:r>
      <w:r>
        <w:rPr>
          <w:lang w:val="fr-FR"/>
        </w:rPr>
        <w:t xml:space="preserve">grandes </w:t>
      </w:r>
      <w:r w:rsidRPr="00262910">
        <w:rPr>
          <w:lang w:val="fr-FR"/>
        </w:rPr>
        <w:t xml:space="preserve">mesures </w:t>
      </w:r>
      <w:r>
        <w:rPr>
          <w:lang w:val="fr-FR"/>
        </w:rPr>
        <w:t>à prendre dans ce sens</w:t>
      </w:r>
      <w:r w:rsidRPr="00262910">
        <w:rPr>
          <w:lang w:val="fr-FR"/>
        </w:rPr>
        <w:t>. L</w:t>
      </w:r>
      <w:r>
        <w:rPr>
          <w:lang w:val="fr-FR"/>
        </w:rPr>
        <w:t xml:space="preserve">e répertoire </w:t>
      </w:r>
      <w:r w:rsidRPr="00262910">
        <w:rPr>
          <w:lang w:val="fr-FR"/>
        </w:rPr>
        <w:t>a été distribué aux 500 plus grandes entreprises norvégiennes.</w:t>
      </w:r>
    </w:p>
    <w:p w:rsidR="001771B8" w:rsidRPr="00262910" w:rsidRDefault="001771B8" w:rsidP="001771B8">
      <w:pPr>
        <w:pStyle w:val="SingleTxtG"/>
        <w:rPr>
          <w:lang w:val="fr-FR"/>
        </w:rPr>
      </w:pPr>
      <w:r w:rsidRPr="00262910">
        <w:rPr>
          <w:lang w:val="fr-FR"/>
        </w:rPr>
        <w:t>120.</w:t>
      </w:r>
      <w:r w:rsidRPr="00262910">
        <w:rPr>
          <w:lang w:val="fr-FR"/>
        </w:rPr>
        <w:tab/>
      </w:r>
      <w:r w:rsidRPr="008B2CDA">
        <w:rPr>
          <w:lang w:val="fr-FR"/>
        </w:rPr>
        <w:t>Dans le budget de l</w:t>
      </w:r>
      <w:r>
        <w:rPr>
          <w:lang w:val="fr-FR"/>
        </w:rPr>
        <w:t>’</w:t>
      </w:r>
      <w:r w:rsidRPr="008B2CDA">
        <w:rPr>
          <w:lang w:val="fr-FR"/>
        </w:rPr>
        <w:t>État de cette année</w:t>
      </w:r>
      <w:r>
        <w:rPr>
          <w:lang w:val="fr-FR"/>
        </w:rPr>
        <w:t xml:space="preserve"> </w:t>
      </w:r>
      <w:r w:rsidRPr="00262910">
        <w:rPr>
          <w:lang w:val="fr-FR"/>
        </w:rPr>
        <w:t xml:space="preserve">2 millions de couronnes norvégiennes </w:t>
      </w:r>
      <w:r>
        <w:rPr>
          <w:lang w:val="fr-FR"/>
        </w:rPr>
        <w:t xml:space="preserve">ont été affectées </w:t>
      </w:r>
      <w:r w:rsidRPr="00262910">
        <w:rPr>
          <w:lang w:val="fr-FR"/>
        </w:rPr>
        <w:t>à des mesures visant à accroître la p</w:t>
      </w:r>
      <w:r>
        <w:rPr>
          <w:lang w:val="fr-FR"/>
        </w:rPr>
        <w:t xml:space="preserve">roportion de </w:t>
      </w:r>
      <w:r w:rsidRPr="00262910">
        <w:rPr>
          <w:lang w:val="fr-FR"/>
        </w:rPr>
        <w:t>femmes aux postes de direction.</w:t>
      </w:r>
    </w:p>
    <w:p w:rsidR="001771B8" w:rsidRPr="00262910" w:rsidRDefault="001771B8" w:rsidP="001771B8">
      <w:pPr>
        <w:pStyle w:val="SingleTxtG"/>
        <w:rPr>
          <w:lang w:val="fr-FR"/>
        </w:rPr>
      </w:pPr>
      <w:r w:rsidRPr="00262910">
        <w:rPr>
          <w:lang w:val="fr-FR"/>
        </w:rPr>
        <w:t>121.</w:t>
      </w:r>
      <w:r w:rsidRPr="00262910">
        <w:rPr>
          <w:lang w:val="fr-FR"/>
        </w:rPr>
        <w:tab/>
        <w:t>L</w:t>
      </w:r>
      <w:r>
        <w:rPr>
          <w:lang w:val="fr-FR"/>
        </w:rPr>
        <w:t xml:space="preserve">’État va </w:t>
      </w:r>
      <w:r w:rsidRPr="00262910">
        <w:rPr>
          <w:lang w:val="fr-FR"/>
        </w:rPr>
        <w:t>financer</w:t>
      </w:r>
      <w:r>
        <w:rPr>
          <w:lang w:val="fr-FR"/>
        </w:rPr>
        <w:t xml:space="preserve"> u</w:t>
      </w:r>
      <w:r w:rsidRPr="00262910">
        <w:rPr>
          <w:lang w:val="fr-FR"/>
        </w:rPr>
        <w:t>n</w:t>
      </w:r>
      <w:r>
        <w:rPr>
          <w:lang w:val="fr-FR"/>
        </w:rPr>
        <w:t xml:space="preserve">e étude relative à la situation des </w:t>
      </w:r>
      <w:r w:rsidRPr="00262910">
        <w:rPr>
          <w:lang w:val="fr-FR"/>
        </w:rPr>
        <w:t>femmes issues de l</w:t>
      </w:r>
      <w:r>
        <w:rPr>
          <w:lang w:val="fr-FR"/>
        </w:rPr>
        <w:t>’</w:t>
      </w:r>
      <w:r w:rsidRPr="00262910">
        <w:rPr>
          <w:lang w:val="fr-FR"/>
        </w:rPr>
        <w:t>immigration sur le marché du travail. La Direction de l</w:t>
      </w:r>
      <w:r>
        <w:rPr>
          <w:lang w:val="fr-FR"/>
        </w:rPr>
        <w:t>’</w:t>
      </w:r>
      <w:r w:rsidRPr="00262910">
        <w:rPr>
          <w:lang w:val="fr-FR"/>
        </w:rPr>
        <w:t xml:space="preserve">enfance, de la jeunesse et de la famille finance un projet de recherche </w:t>
      </w:r>
      <w:r>
        <w:rPr>
          <w:lang w:val="fr-FR"/>
        </w:rPr>
        <w:t>concernant l</w:t>
      </w:r>
      <w:r w:rsidRPr="00262910">
        <w:rPr>
          <w:lang w:val="fr-FR"/>
        </w:rPr>
        <w:t xml:space="preserve">a diversité ethnique </w:t>
      </w:r>
      <w:r>
        <w:rPr>
          <w:lang w:val="fr-FR"/>
        </w:rPr>
        <w:t xml:space="preserve">dans le monde du </w:t>
      </w:r>
      <w:r w:rsidRPr="00262910">
        <w:rPr>
          <w:lang w:val="fr-FR"/>
        </w:rPr>
        <w:t xml:space="preserve">travail, en particulier dans les </w:t>
      </w:r>
      <w:r>
        <w:rPr>
          <w:lang w:val="fr-FR"/>
        </w:rPr>
        <w:t xml:space="preserve">établissements préscolaires, </w:t>
      </w:r>
      <w:r w:rsidRPr="00262910">
        <w:rPr>
          <w:lang w:val="fr-FR"/>
        </w:rPr>
        <w:t>les écoles et les services de protection de l</w:t>
      </w:r>
      <w:r>
        <w:rPr>
          <w:lang w:val="fr-FR"/>
        </w:rPr>
        <w:t>’</w:t>
      </w:r>
      <w:r w:rsidRPr="00262910">
        <w:rPr>
          <w:lang w:val="fr-FR"/>
        </w:rPr>
        <w:t xml:space="preserve">enfance. </w:t>
      </w:r>
    </w:p>
    <w:p w:rsidR="001771B8" w:rsidRPr="00262910" w:rsidRDefault="001771B8" w:rsidP="001771B8">
      <w:pPr>
        <w:pStyle w:val="SingleTxtG"/>
        <w:rPr>
          <w:lang w:val="fr-FR"/>
        </w:rPr>
      </w:pPr>
      <w:r w:rsidRPr="00262910">
        <w:rPr>
          <w:lang w:val="fr-FR"/>
        </w:rPr>
        <w:t>122.</w:t>
      </w:r>
      <w:r w:rsidRPr="00262910">
        <w:rPr>
          <w:lang w:val="fr-FR"/>
        </w:rPr>
        <w:tab/>
        <w:t>Aucune mesure spécifique n</w:t>
      </w:r>
      <w:r>
        <w:rPr>
          <w:lang w:val="fr-FR"/>
        </w:rPr>
        <w:t>’</w:t>
      </w:r>
      <w:r w:rsidRPr="00262910">
        <w:rPr>
          <w:lang w:val="fr-FR"/>
        </w:rPr>
        <w:t>a été prise pour améliorer la représentation des femmes appartenant aux groupes ethniques et aux groupes minoritaires dans le secteur</w:t>
      </w:r>
      <w:r>
        <w:rPr>
          <w:lang w:val="fr-FR"/>
        </w:rPr>
        <w:t xml:space="preserve"> public</w:t>
      </w:r>
      <w:r w:rsidRPr="00262910">
        <w:rPr>
          <w:lang w:val="fr-FR"/>
        </w:rPr>
        <w:t xml:space="preserve">, mais des mesures </w:t>
      </w:r>
      <w:r>
        <w:rPr>
          <w:lang w:val="fr-FR"/>
        </w:rPr>
        <w:t xml:space="preserve">ciblant </w:t>
      </w:r>
      <w:r w:rsidRPr="00262910">
        <w:rPr>
          <w:lang w:val="fr-FR"/>
        </w:rPr>
        <w:t xml:space="preserve">les deux </w:t>
      </w:r>
      <w:r>
        <w:rPr>
          <w:lang w:val="fr-FR"/>
        </w:rPr>
        <w:t xml:space="preserve">genres </w:t>
      </w:r>
      <w:r w:rsidRPr="00262910">
        <w:rPr>
          <w:lang w:val="fr-FR"/>
        </w:rPr>
        <w:t>ont été appliquées.</w:t>
      </w:r>
    </w:p>
    <w:p w:rsidR="001771B8" w:rsidRPr="00262910" w:rsidRDefault="001771B8" w:rsidP="001771B8">
      <w:pPr>
        <w:pStyle w:val="SingleTxtG"/>
        <w:rPr>
          <w:lang w:val="fr-FR"/>
        </w:rPr>
      </w:pPr>
      <w:r w:rsidRPr="00262910">
        <w:rPr>
          <w:lang w:val="fr-FR"/>
        </w:rPr>
        <w:t>123.</w:t>
      </w:r>
      <w:r w:rsidRPr="00262910">
        <w:rPr>
          <w:lang w:val="fr-FR"/>
        </w:rPr>
        <w:tab/>
      </w:r>
      <w:r>
        <w:rPr>
          <w:lang w:val="fr-FR"/>
        </w:rPr>
        <w:t>Mesures diverses</w:t>
      </w:r>
      <w:r w:rsidR="00573942">
        <w:rPr>
          <w:lang w:val="fr-FR"/>
        </w:rPr>
        <w:t> </w:t>
      </w:r>
      <w:r w:rsidRPr="00262910">
        <w:rPr>
          <w:lang w:val="fr-FR"/>
        </w:rPr>
        <w:t xml:space="preserve">: </w:t>
      </w:r>
    </w:p>
    <w:p w:rsidR="001771B8" w:rsidRPr="00262910" w:rsidRDefault="001771B8" w:rsidP="00573942">
      <w:pPr>
        <w:pStyle w:val="Bullet1G"/>
        <w:rPr>
          <w:lang w:val="fr-FR"/>
        </w:rPr>
      </w:pPr>
      <w:r>
        <w:rPr>
          <w:lang w:val="fr-FR"/>
        </w:rPr>
        <w:t>Un g</w:t>
      </w:r>
      <w:r w:rsidRPr="00262910">
        <w:rPr>
          <w:lang w:val="fr-FR"/>
        </w:rPr>
        <w:t xml:space="preserve">uide </w:t>
      </w:r>
      <w:r>
        <w:rPr>
          <w:lang w:val="fr-FR"/>
        </w:rPr>
        <w:t>sur la prise en considération de la diversité dans le recrutement d’agents pour l’administration publique centrale a été établi</w:t>
      </w:r>
      <w:r w:rsidR="00573942">
        <w:rPr>
          <w:lang w:val="fr-FR"/>
        </w:rPr>
        <w:t> </w:t>
      </w:r>
      <w:r w:rsidRPr="00262910">
        <w:rPr>
          <w:lang w:val="fr-FR"/>
        </w:rPr>
        <w:t>;</w:t>
      </w:r>
    </w:p>
    <w:p w:rsidR="001771B8" w:rsidRPr="00262910" w:rsidRDefault="001771B8" w:rsidP="00573942">
      <w:pPr>
        <w:pStyle w:val="Bullet1G"/>
        <w:rPr>
          <w:lang w:val="fr-FR"/>
        </w:rPr>
      </w:pPr>
      <w:r w:rsidRPr="00262910">
        <w:rPr>
          <w:lang w:val="fr-FR"/>
        </w:rPr>
        <w:t xml:space="preserve">Des lignes directrices </w:t>
      </w:r>
      <w:r>
        <w:rPr>
          <w:lang w:val="fr-FR"/>
        </w:rPr>
        <w:t>sur l</w:t>
      </w:r>
      <w:r w:rsidRPr="00262910">
        <w:rPr>
          <w:lang w:val="fr-FR"/>
        </w:rPr>
        <w:t xml:space="preserve">a politique des employeurs </w:t>
      </w:r>
      <w:r>
        <w:rPr>
          <w:lang w:val="fr-FR"/>
        </w:rPr>
        <w:t xml:space="preserve">du </w:t>
      </w:r>
      <w:r w:rsidRPr="00262910">
        <w:rPr>
          <w:lang w:val="fr-FR"/>
        </w:rPr>
        <w:t>secteur de l</w:t>
      </w:r>
      <w:r>
        <w:rPr>
          <w:lang w:val="fr-FR"/>
        </w:rPr>
        <w:t>’</w:t>
      </w:r>
      <w:r w:rsidRPr="00262910">
        <w:rPr>
          <w:lang w:val="fr-FR"/>
        </w:rPr>
        <w:t xml:space="preserve">administration centrale </w:t>
      </w:r>
      <w:r w:rsidRPr="00DE53A1">
        <w:rPr>
          <w:lang w:val="fr-FR"/>
        </w:rPr>
        <w:t xml:space="preserve">ont été élaborées </w:t>
      </w:r>
      <w:r>
        <w:rPr>
          <w:lang w:val="fr-FR"/>
        </w:rPr>
        <w:t xml:space="preserve">en vue </w:t>
      </w:r>
      <w:r w:rsidRPr="00262910">
        <w:rPr>
          <w:lang w:val="fr-FR"/>
        </w:rPr>
        <w:t>d</w:t>
      </w:r>
      <w:r>
        <w:rPr>
          <w:lang w:val="fr-FR"/>
        </w:rPr>
        <w:t>e favoriser la diversification des effectifs</w:t>
      </w:r>
      <w:r w:rsidRPr="00262910">
        <w:rPr>
          <w:lang w:val="fr-FR"/>
        </w:rPr>
        <w:t xml:space="preserve">, </w:t>
      </w:r>
      <w:r>
        <w:rPr>
          <w:lang w:val="fr-FR"/>
        </w:rPr>
        <w:t xml:space="preserve">notamment en recrutant davantage </w:t>
      </w:r>
      <w:r w:rsidRPr="00262910">
        <w:rPr>
          <w:lang w:val="fr-FR"/>
        </w:rPr>
        <w:t>de personnes issues de l</w:t>
      </w:r>
      <w:r>
        <w:rPr>
          <w:lang w:val="fr-FR"/>
        </w:rPr>
        <w:t>’</w:t>
      </w:r>
      <w:r w:rsidRPr="00262910">
        <w:rPr>
          <w:lang w:val="fr-FR"/>
        </w:rPr>
        <w:t>immigration</w:t>
      </w:r>
      <w:r w:rsidR="004F6646">
        <w:rPr>
          <w:lang w:val="fr-FR"/>
        </w:rPr>
        <w:t> </w:t>
      </w:r>
      <w:r w:rsidRPr="00262910">
        <w:rPr>
          <w:lang w:val="fr-FR"/>
        </w:rPr>
        <w:t>;</w:t>
      </w:r>
    </w:p>
    <w:p w:rsidR="001771B8" w:rsidRPr="00262910" w:rsidRDefault="001771B8" w:rsidP="00573942">
      <w:pPr>
        <w:pStyle w:val="Bullet1G"/>
        <w:rPr>
          <w:lang w:val="fr-FR"/>
        </w:rPr>
      </w:pPr>
      <w:r w:rsidRPr="00262910">
        <w:rPr>
          <w:lang w:val="fr-FR"/>
        </w:rPr>
        <w:t>Un outil d</w:t>
      </w:r>
      <w:r>
        <w:rPr>
          <w:lang w:val="fr-FR"/>
        </w:rPr>
        <w:t>’</w:t>
      </w:r>
      <w:r w:rsidRPr="00262910">
        <w:rPr>
          <w:lang w:val="fr-FR"/>
        </w:rPr>
        <w:t xml:space="preserve">apprentissage en ligne sur le recrutement </w:t>
      </w:r>
      <w:r>
        <w:rPr>
          <w:lang w:val="fr-FR"/>
        </w:rPr>
        <w:t xml:space="preserve">de personnel en tenant compte de la </w:t>
      </w:r>
      <w:r w:rsidRPr="00262910">
        <w:rPr>
          <w:lang w:val="fr-FR"/>
        </w:rPr>
        <w:t>diversité sera mis à la disposition de toutes les entreprises publiques</w:t>
      </w:r>
      <w:r w:rsidR="004F6646">
        <w:rPr>
          <w:lang w:val="fr-FR"/>
        </w:rPr>
        <w:t> </w:t>
      </w:r>
      <w:r w:rsidRPr="00262910">
        <w:rPr>
          <w:lang w:val="fr-FR"/>
        </w:rPr>
        <w:t>;</w:t>
      </w:r>
    </w:p>
    <w:p w:rsidR="001771B8" w:rsidRPr="00262910" w:rsidRDefault="001771B8" w:rsidP="00573942">
      <w:pPr>
        <w:pStyle w:val="Bullet1G"/>
        <w:rPr>
          <w:lang w:val="fr-FR"/>
        </w:rPr>
      </w:pPr>
      <w:r w:rsidRPr="008F17F0">
        <w:rPr>
          <w:lang w:val="fr-FR"/>
        </w:rPr>
        <w:t>Les organismes</w:t>
      </w:r>
      <w:r w:rsidRPr="00262910">
        <w:rPr>
          <w:lang w:val="fr-FR"/>
        </w:rPr>
        <w:t xml:space="preserve"> gouvernementaux sont tenus d</w:t>
      </w:r>
      <w:r>
        <w:rPr>
          <w:lang w:val="fr-FR"/>
        </w:rPr>
        <w:t>’</w:t>
      </w:r>
      <w:r w:rsidRPr="00262910">
        <w:rPr>
          <w:lang w:val="fr-FR"/>
        </w:rPr>
        <w:t xml:space="preserve">inviter au moins un candidat </w:t>
      </w:r>
      <w:r w:rsidRPr="009D59C3">
        <w:rPr>
          <w:lang w:val="fr-FR"/>
        </w:rPr>
        <w:t xml:space="preserve">qualifié </w:t>
      </w:r>
      <w:r w:rsidRPr="00262910">
        <w:rPr>
          <w:lang w:val="fr-FR"/>
        </w:rPr>
        <w:t>issu de l</w:t>
      </w:r>
      <w:r>
        <w:rPr>
          <w:lang w:val="fr-FR"/>
        </w:rPr>
        <w:t>’</w:t>
      </w:r>
      <w:r w:rsidRPr="00262910">
        <w:rPr>
          <w:lang w:val="fr-FR"/>
        </w:rPr>
        <w:t>immigration à un entretien</w:t>
      </w:r>
      <w:r>
        <w:rPr>
          <w:lang w:val="fr-FR"/>
        </w:rPr>
        <w:t xml:space="preserve"> quand un poste est à pourvoir</w:t>
      </w:r>
      <w:r w:rsidRPr="00262910">
        <w:rPr>
          <w:lang w:val="fr-FR"/>
        </w:rPr>
        <w:t>.</w:t>
      </w:r>
    </w:p>
    <w:p w:rsidR="001771B8" w:rsidRPr="00262910" w:rsidRDefault="001771B8" w:rsidP="001771B8">
      <w:pPr>
        <w:pStyle w:val="SingleTxtG"/>
        <w:rPr>
          <w:lang w:val="fr-FR"/>
        </w:rPr>
      </w:pPr>
      <w:r w:rsidRPr="00262910">
        <w:rPr>
          <w:lang w:val="fr-FR"/>
        </w:rPr>
        <w:t>124.</w:t>
      </w:r>
      <w:r w:rsidRPr="00262910">
        <w:rPr>
          <w:lang w:val="fr-FR"/>
        </w:rPr>
        <w:tab/>
      </w:r>
      <w:r w:rsidRPr="00CA655C">
        <w:rPr>
          <w:lang w:val="fr-FR"/>
        </w:rPr>
        <w:t>Le</w:t>
      </w:r>
      <w:r>
        <w:rPr>
          <w:lang w:val="fr-FR"/>
        </w:rPr>
        <w:t>s autorités g</w:t>
      </w:r>
      <w:r w:rsidRPr="00CA655C">
        <w:rPr>
          <w:lang w:val="fr-FR"/>
        </w:rPr>
        <w:t>ouvernement</w:t>
      </w:r>
      <w:r>
        <w:rPr>
          <w:lang w:val="fr-FR"/>
        </w:rPr>
        <w:t xml:space="preserve">ales vont </w:t>
      </w:r>
      <w:r w:rsidRPr="00262910">
        <w:rPr>
          <w:lang w:val="fr-FR"/>
        </w:rPr>
        <w:t>lancer</w:t>
      </w:r>
      <w:r>
        <w:rPr>
          <w:lang w:val="fr-FR"/>
        </w:rPr>
        <w:t xml:space="preserve"> </w:t>
      </w:r>
      <w:r w:rsidRPr="00262910">
        <w:rPr>
          <w:lang w:val="fr-FR"/>
        </w:rPr>
        <w:t>un projet pilote</w:t>
      </w:r>
      <w:r>
        <w:rPr>
          <w:lang w:val="fr-FR"/>
        </w:rPr>
        <w:t xml:space="preserve"> d’anonymisation des c</w:t>
      </w:r>
      <w:r w:rsidRPr="00262910">
        <w:rPr>
          <w:lang w:val="fr-FR"/>
        </w:rPr>
        <w:t xml:space="preserve">andidatures </w:t>
      </w:r>
      <w:r>
        <w:rPr>
          <w:lang w:val="fr-FR"/>
        </w:rPr>
        <w:t xml:space="preserve">pour le recrutement </w:t>
      </w:r>
      <w:r w:rsidRPr="00262910">
        <w:rPr>
          <w:lang w:val="fr-FR"/>
        </w:rPr>
        <w:t>dans la fonction publique</w:t>
      </w:r>
      <w:r>
        <w:rPr>
          <w:lang w:val="fr-FR"/>
        </w:rPr>
        <w:t xml:space="preserve"> pour déterminer </w:t>
      </w:r>
      <w:r w:rsidRPr="00262910">
        <w:rPr>
          <w:lang w:val="fr-FR"/>
        </w:rPr>
        <w:t>si</w:t>
      </w:r>
      <w:r>
        <w:rPr>
          <w:lang w:val="fr-FR"/>
        </w:rPr>
        <w:t xml:space="preserve"> c’est </w:t>
      </w:r>
      <w:r w:rsidRPr="00262910">
        <w:rPr>
          <w:lang w:val="fr-FR"/>
        </w:rPr>
        <w:t xml:space="preserve">un bon </w:t>
      </w:r>
      <w:r>
        <w:rPr>
          <w:lang w:val="fr-FR"/>
        </w:rPr>
        <w:t xml:space="preserve">moyen de favoriser l’insertion </w:t>
      </w:r>
      <w:r w:rsidRPr="00262910">
        <w:rPr>
          <w:lang w:val="fr-FR"/>
        </w:rPr>
        <w:t>professionnelle</w:t>
      </w:r>
      <w:r w:rsidRPr="009855A0">
        <w:rPr>
          <w:lang w:val="fr-FR"/>
        </w:rPr>
        <w:t xml:space="preserve"> des immigrés</w:t>
      </w:r>
      <w:r w:rsidRPr="00262910">
        <w:rPr>
          <w:lang w:val="fr-FR"/>
        </w:rPr>
        <w:t xml:space="preserve">. </w:t>
      </w:r>
      <w:r>
        <w:rPr>
          <w:lang w:val="fr-FR"/>
        </w:rPr>
        <w:t xml:space="preserve">Les autorités sont soucieuses de faire en sorte que les effectifs du </w:t>
      </w:r>
      <w:r w:rsidRPr="00262910">
        <w:rPr>
          <w:lang w:val="fr-FR"/>
        </w:rPr>
        <w:t xml:space="preserve">secteur public </w:t>
      </w:r>
      <w:r>
        <w:rPr>
          <w:lang w:val="fr-FR"/>
        </w:rPr>
        <w:t xml:space="preserve">reflètent la diversité de </w:t>
      </w:r>
      <w:r w:rsidRPr="00262910">
        <w:rPr>
          <w:lang w:val="fr-FR"/>
        </w:rPr>
        <w:t xml:space="preserve">population norvégienne et </w:t>
      </w:r>
      <w:r>
        <w:rPr>
          <w:lang w:val="fr-FR"/>
        </w:rPr>
        <w:t xml:space="preserve">de sensibiliser chaque personne </w:t>
      </w:r>
      <w:r w:rsidRPr="00262910">
        <w:rPr>
          <w:lang w:val="fr-FR"/>
        </w:rPr>
        <w:t xml:space="preserve">à tout moment </w:t>
      </w:r>
      <w:r>
        <w:rPr>
          <w:lang w:val="fr-FR"/>
        </w:rPr>
        <w:t xml:space="preserve">aux </w:t>
      </w:r>
      <w:r w:rsidRPr="00262910">
        <w:rPr>
          <w:lang w:val="fr-FR"/>
        </w:rPr>
        <w:t xml:space="preserve">préjugés </w:t>
      </w:r>
      <w:r>
        <w:rPr>
          <w:lang w:val="fr-FR"/>
        </w:rPr>
        <w:t xml:space="preserve">se manifestant dans le </w:t>
      </w:r>
      <w:r w:rsidRPr="00262910">
        <w:rPr>
          <w:lang w:val="fr-FR"/>
        </w:rPr>
        <w:t>processus de recrutement. L</w:t>
      </w:r>
      <w:r>
        <w:rPr>
          <w:lang w:val="fr-FR"/>
        </w:rPr>
        <w:t>’</w:t>
      </w:r>
      <w:r w:rsidRPr="00262910">
        <w:rPr>
          <w:lang w:val="fr-FR"/>
        </w:rPr>
        <w:t xml:space="preserve">État </w:t>
      </w:r>
      <w:r>
        <w:rPr>
          <w:lang w:val="fr-FR"/>
        </w:rPr>
        <w:t xml:space="preserve">se doit d’être </w:t>
      </w:r>
      <w:r w:rsidRPr="00262910">
        <w:rPr>
          <w:lang w:val="fr-FR"/>
        </w:rPr>
        <w:t xml:space="preserve">un employeur inclusif </w:t>
      </w:r>
      <w:r>
        <w:rPr>
          <w:lang w:val="fr-FR"/>
        </w:rPr>
        <w:t xml:space="preserve">appréciant à sa juste </w:t>
      </w:r>
      <w:r w:rsidRPr="00262910">
        <w:rPr>
          <w:lang w:val="fr-FR"/>
        </w:rPr>
        <w:t xml:space="preserve">valeur </w:t>
      </w:r>
      <w:r>
        <w:rPr>
          <w:lang w:val="fr-FR"/>
        </w:rPr>
        <w:t xml:space="preserve">le </w:t>
      </w:r>
      <w:r w:rsidRPr="00262910">
        <w:rPr>
          <w:lang w:val="fr-FR"/>
        </w:rPr>
        <w:t xml:space="preserve">travail </w:t>
      </w:r>
      <w:r>
        <w:rPr>
          <w:lang w:val="fr-FR"/>
        </w:rPr>
        <w:t xml:space="preserve">de chaque agent </w:t>
      </w:r>
      <w:r w:rsidRPr="00262910">
        <w:rPr>
          <w:lang w:val="fr-FR"/>
        </w:rPr>
        <w:t>de l</w:t>
      </w:r>
      <w:r>
        <w:rPr>
          <w:lang w:val="fr-FR"/>
        </w:rPr>
        <w:t>’</w:t>
      </w:r>
      <w:r w:rsidRPr="00262910">
        <w:rPr>
          <w:lang w:val="fr-FR"/>
        </w:rPr>
        <w:t>administration gouvernementale.</w:t>
      </w:r>
    </w:p>
    <w:p w:rsidR="001771B8" w:rsidRPr="00262910" w:rsidRDefault="001771B8" w:rsidP="00F23CFE">
      <w:pPr>
        <w:pStyle w:val="SingleTxtG"/>
        <w:rPr>
          <w:lang w:val="fr-FR"/>
        </w:rPr>
      </w:pPr>
      <w:r w:rsidRPr="00262910">
        <w:rPr>
          <w:lang w:val="fr-FR"/>
        </w:rPr>
        <w:t>125.</w:t>
      </w:r>
      <w:r w:rsidRPr="00262910">
        <w:rPr>
          <w:lang w:val="fr-FR"/>
        </w:rPr>
        <w:tab/>
      </w:r>
      <w:r>
        <w:rPr>
          <w:lang w:val="fr-FR"/>
        </w:rPr>
        <w:t>L’</w:t>
      </w:r>
      <w:r w:rsidRPr="00BA42A0">
        <w:rPr>
          <w:lang w:val="fr-FR"/>
        </w:rPr>
        <w:t>administration publique</w:t>
      </w:r>
      <w:r w:rsidRPr="000E7C10">
        <w:rPr>
          <w:lang w:val="fr-FR"/>
        </w:rPr>
        <w:t xml:space="preserve"> </w:t>
      </w:r>
      <w:r>
        <w:rPr>
          <w:lang w:val="fr-FR"/>
        </w:rPr>
        <w:t xml:space="preserve">compte dans ses </w:t>
      </w:r>
      <w:r w:rsidRPr="000E7C10">
        <w:rPr>
          <w:lang w:val="fr-FR"/>
        </w:rPr>
        <w:t xml:space="preserve">effectifs 12,1 % </w:t>
      </w:r>
      <w:r w:rsidRPr="00262910">
        <w:rPr>
          <w:lang w:val="fr-FR"/>
        </w:rPr>
        <w:t xml:space="preserve">de femmes immigrées </w:t>
      </w:r>
      <w:r>
        <w:rPr>
          <w:lang w:val="fr-FR"/>
        </w:rPr>
        <w:t xml:space="preserve">ou </w:t>
      </w:r>
      <w:r w:rsidRPr="00262910">
        <w:rPr>
          <w:lang w:val="fr-FR"/>
        </w:rPr>
        <w:t xml:space="preserve">nées en Norvège </w:t>
      </w:r>
      <w:r>
        <w:rPr>
          <w:lang w:val="fr-FR"/>
        </w:rPr>
        <w:t xml:space="preserve">de </w:t>
      </w:r>
      <w:r w:rsidRPr="00262910">
        <w:rPr>
          <w:lang w:val="fr-FR"/>
        </w:rPr>
        <w:t>parents immigr</w:t>
      </w:r>
      <w:r>
        <w:rPr>
          <w:lang w:val="fr-FR"/>
        </w:rPr>
        <w:t xml:space="preserve">és </w:t>
      </w:r>
      <w:r w:rsidRPr="00262910">
        <w:rPr>
          <w:lang w:val="fr-FR"/>
        </w:rPr>
        <w:t>(BSN 2018)</w:t>
      </w:r>
      <w:r>
        <w:rPr>
          <w:lang w:val="fr-FR"/>
        </w:rPr>
        <w:t xml:space="preserve"> et </w:t>
      </w:r>
      <w:r w:rsidRPr="000E7C10">
        <w:rPr>
          <w:lang w:val="fr-FR"/>
        </w:rPr>
        <w:t>6,2</w:t>
      </w:r>
      <w:r w:rsidR="00F23CFE">
        <w:rPr>
          <w:lang w:val="fr-FR"/>
        </w:rPr>
        <w:t> </w:t>
      </w:r>
      <w:r w:rsidRPr="000E7C10">
        <w:rPr>
          <w:lang w:val="fr-FR"/>
        </w:rPr>
        <w:t>%</w:t>
      </w:r>
      <w:r>
        <w:rPr>
          <w:lang w:val="fr-FR"/>
        </w:rPr>
        <w:t xml:space="preserve"> de </w:t>
      </w:r>
      <w:r w:rsidRPr="00262910">
        <w:rPr>
          <w:lang w:val="fr-FR"/>
        </w:rPr>
        <w:t>femmes norvégiennes d</w:t>
      </w:r>
      <w:r>
        <w:rPr>
          <w:lang w:val="fr-FR"/>
        </w:rPr>
        <w:t>’</w:t>
      </w:r>
      <w:r w:rsidRPr="00262910">
        <w:rPr>
          <w:lang w:val="fr-FR"/>
        </w:rPr>
        <w:t>origine non occidentale</w:t>
      </w:r>
      <w:r>
        <w:rPr>
          <w:lang w:val="fr-FR"/>
        </w:rPr>
        <w:t xml:space="preserve">. </w:t>
      </w:r>
    </w:p>
    <w:p w:rsidR="001771B8" w:rsidRPr="00262910" w:rsidRDefault="001771B8" w:rsidP="001771B8">
      <w:pPr>
        <w:pStyle w:val="SingleTxtG"/>
        <w:rPr>
          <w:lang w:val="fr-FR"/>
        </w:rPr>
      </w:pPr>
      <w:r w:rsidRPr="00262910">
        <w:rPr>
          <w:lang w:val="fr-FR"/>
        </w:rPr>
        <w:t>126.</w:t>
      </w:r>
      <w:r w:rsidRPr="00262910">
        <w:rPr>
          <w:lang w:val="fr-FR"/>
        </w:rPr>
        <w:tab/>
      </w:r>
      <w:r w:rsidRPr="00C455DE">
        <w:rPr>
          <w:lang w:val="fr-FR"/>
        </w:rPr>
        <w:t>La loi sur l</w:t>
      </w:r>
      <w:r>
        <w:rPr>
          <w:lang w:val="fr-FR"/>
        </w:rPr>
        <w:t>’</w:t>
      </w:r>
      <w:r w:rsidRPr="00C455DE">
        <w:rPr>
          <w:lang w:val="fr-FR"/>
        </w:rPr>
        <w:t>égalité et la</w:t>
      </w:r>
      <w:r>
        <w:rPr>
          <w:lang w:val="fr-FR"/>
        </w:rPr>
        <w:t xml:space="preserve"> lutte </w:t>
      </w:r>
      <w:r w:rsidRPr="005F4882">
        <w:rPr>
          <w:lang w:val="fr-FR"/>
        </w:rPr>
        <w:t>contre</w:t>
      </w:r>
      <w:r w:rsidRPr="00262910">
        <w:rPr>
          <w:lang w:val="fr-FR"/>
        </w:rPr>
        <w:t xml:space="preserve"> la discrimination </w:t>
      </w:r>
      <w:r>
        <w:rPr>
          <w:lang w:val="fr-FR"/>
        </w:rPr>
        <w:t xml:space="preserve">dispose </w:t>
      </w:r>
      <w:r w:rsidRPr="00262910">
        <w:rPr>
          <w:lang w:val="fr-FR"/>
        </w:rPr>
        <w:t xml:space="preserve">que tous les employeurs doivent </w:t>
      </w:r>
      <w:r>
        <w:rPr>
          <w:lang w:val="fr-FR"/>
        </w:rPr>
        <w:t>mener d</w:t>
      </w:r>
      <w:r w:rsidRPr="00262910">
        <w:rPr>
          <w:lang w:val="fr-FR"/>
        </w:rPr>
        <w:t xml:space="preserve">es efforts actifs, ciblés et systématiques </w:t>
      </w:r>
      <w:r>
        <w:rPr>
          <w:lang w:val="fr-FR"/>
        </w:rPr>
        <w:t xml:space="preserve">en vue de </w:t>
      </w:r>
      <w:r w:rsidRPr="00262910">
        <w:rPr>
          <w:lang w:val="fr-FR"/>
        </w:rPr>
        <w:t>promouvoir l</w:t>
      </w:r>
      <w:r>
        <w:rPr>
          <w:lang w:val="fr-FR"/>
        </w:rPr>
        <w:t>’</w:t>
      </w:r>
      <w:r w:rsidRPr="00262910">
        <w:rPr>
          <w:lang w:val="fr-FR"/>
        </w:rPr>
        <w:t xml:space="preserve">égalité et </w:t>
      </w:r>
      <w:r>
        <w:rPr>
          <w:lang w:val="fr-FR"/>
        </w:rPr>
        <w:t xml:space="preserve">de </w:t>
      </w:r>
      <w:r w:rsidRPr="00262910">
        <w:rPr>
          <w:lang w:val="fr-FR"/>
        </w:rPr>
        <w:t xml:space="preserve">prévenir la discrimination fondée, </w:t>
      </w:r>
      <w:r>
        <w:rPr>
          <w:lang w:val="fr-FR"/>
        </w:rPr>
        <w:t>entre autres</w:t>
      </w:r>
      <w:r w:rsidRPr="00262910">
        <w:rPr>
          <w:lang w:val="fr-FR"/>
        </w:rPr>
        <w:t xml:space="preserve">, sur le </w:t>
      </w:r>
      <w:r>
        <w:rPr>
          <w:lang w:val="fr-FR"/>
        </w:rPr>
        <w:t>genre</w:t>
      </w:r>
      <w:r w:rsidRPr="00262910">
        <w:rPr>
          <w:lang w:val="fr-FR"/>
        </w:rPr>
        <w:t xml:space="preserve">. </w:t>
      </w:r>
      <w:r w:rsidRPr="002F749A">
        <w:rPr>
          <w:lang w:val="fr-FR"/>
        </w:rPr>
        <w:t>Les employeurs</w:t>
      </w:r>
      <w:r w:rsidRPr="00262910">
        <w:rPr>
          <w:lang w:val="fr-FR"/>
        </w:rPr>
        <w:t xml:space="preserve"> du secteur public et les entreprises privées </w:t>
      </w:r>
      <w:r>
        <w:rPr>
          <w:lang w:val="fr-FR"/>
        </w:rPr>
        <w:t xml:space="preserve">qui </w:t>
      </w:r>
      <w:r w:rsidRPr="00262910">
        <w:rPr>
          <w:lang w:val="fr-FR"/>
        </w:rPr>
        <w:t>emplo</w:t>
      </w:r>
      <w:r>
        <w:rPr>
          <w:lang w:val="fr-FR"/>
        </w:rPr>
        <w:t xml:space="preserve">ient </w:t>
      </w:r>
      <w:r w:rsidRPr="00262910">
        <w:rPr>
          <w:lang w:val="fr-FR"/>
        </w:rPr>
        <w:t xml:space="preserve">plus de 50 personnes sont tenus de suivre </w:t>
      </w:r>
      <w:r>
        <w:rPr>
          <w:lang w:val="fr-FR"/>
        </w:rPr>
        <w:t>le mode opératoire suivant e</w:t>
      </w:r>
      <w:r w:rsidRPr="00262910">
        <w:rPr>
          <w:lang w:val="fr-FR"/>
        </w:rPr>
        <w:t>n quatre étapes</w:t>
      </w:r>
      <w:r w:rsidR="00F23CFE">
        <w:rPr>
          <w:lang w:val="fr-FR"/>
        </w:rPr>
        <w:t> </w:t>
      </w:r>
      <w:r w:rsidRPr="00262910">
        <w:rPr>
          <w:lang w:val="fr-FR"/>
        </w:rPr>
        <w:t xml:space="preserve">: </w:t>
      </w:r>
      <w:r>
        <w:rPr>
          <w:lang w:val="fr-FR"/>
        </w:rPr>
        <w:t xml:space="preserve">déterminer </w:t>
      </w:r>
      <w:r w:rsidRPr="00262910">
        <w:rPr>
          <w:lang w:val="fr-FR"/>
        </w:rPr>
        <w:t xml:space="preserve">les risques éventuels de discrimination fondée, entre autres, sur le </w:t>
      </w:r>
      <w:r>
        <w:rPr>
          <w:lang w:val="fr-FR"/>
        </w:rPr>
        <w:t xml:space="preserve">genre ; en </w:t>
      </w:r>
      <w:r w:rsidRPr="00262910">
        <w:rPr>
          <w:lang w:val="fr-FR"/>
        </w:rPr>
        <w:t>analyser les causes</w:t>
      </w:r>
      <w:r>
        <w:rPr>
          <w:lang w:val="fr-FR"/>
        </w:rPr>
        <w:t xml:space="preserve"> ; </w:t>
      </w:r>
      <w:r w:rsidRPr="00262910">
        <w:rPr>
          <w:lang w:val="fr-FR"/>
        </w:rPr>
        <w:t>prendre des mesures pour y remédier</w:t>
      </w:r>
      <w:r>
        <w:rPr>
          <w:lang w:val="fr-FR"/>
        </w:rPr>
        <w:t xml:space="preserve"> ; </w:t>
      </w:r>
      <w:r w:rsidRPr="00262910">
        <w:rPr>
          <w:lang w:val="fr-FR"/>
        </w:rPr>
        <w:t>évaluer les résultats de</w:t>
      </w:r>
      <w:r>
        <w:rPr>
          <w:lang w:val="fr-FR"/>
        </w:rPr>
        <w:t>s mesures prises</w:t>
      </w:r>
      <w:r w:rsidRPr="00262910">
        <w:rPr>
          <w:lang w:val="fr-FR"/>
        </w:rPr>
        <w:t>. L</w:t>
      </w:r>
      <w:r>
        <w:rPr>
          <w:lang w:val="fr-FR"/>
        </w:rPr>
        <w:t>’</w:t>
      </w:r>
      <w:r w:rsidRPr="00262910">
        <w:rPr>
          <w:lang w:val="fr-FR"/>
        </w:rPr>
        <w:t xml:space="preserve">obligation de </w:t>
      </w:r>
      <w:r>
        <w:rPr>
          <w:lang w:val="fr-FR"/>
        </w:rPr>
        <w:t xml:space="preserve">présenter un bilan de l’égalité </w:t>
      </w:r>
      <w:r w:rsidRPr="00262910">
        <w:rPr>
          <w:lang w:val="fr-FR"/>
        </w:rPr>
        <w:t xml:space="preserve">entre </w:t>
      </w:r>
      <w:r>
        <w:rPr>
          <w:lang w:val="fr-FR"/>
        </w:rPr>
        <w:t xml:space="preserve">les genres </w:t>
      </w:r>
      <w:r w:rsidRPr="00262910">
        <w:rPr>
          <w:lang w:val="fr-FR"/>
        </w:rPr>
        <w:t>s</w:t>
      </w:r>
      <w:r>
        <w:rPr>
          <w:lang w:val="fr-FR"/>
        </w:rPr>
        <w:t>’</w:t>
      </w:r>
      <w:r w:rsidRPr="00262910">
        <w:rPr>
          <w:lang w:val="fr-FR"/>
        </w:rPr>
        <w:t xml:space="preserve">applique aux entreprises </w:t>
      </w:r>
      <w:r w:rsidRPr="000E7C10">
        <w:rPr>
          <w:lang w:val="fr-FR"/>
        </w:rPr>
        <w:t xml:space="preserve">tenues </w:t>
      </w:r>
      <w:r w:rsidRPr="00C455DE">
        <w:rPr>
          <w:lang w:val="fr-FR"/>
        </w:rPr>
        <w:t xml:space="preserve">légalement </w:t>
      </w:r>
      <w:r w:rsidRPr="00262910">
        <w:rPr>
          <w:lang w:val="fr-FR"/>
        </w:rPr>
        <w:t>d</w:t>
      </w:r>
      <w:r>
        <w:rPr>
          <w:lang w:val="fr-FR"/>
        </w:rPr>
        <w:t>’</w:t>
      </w:r>
      <w:r w:rsidRPr="00262910">
        <w:rPr>
          <w:lang w:val="fr-FR"/>
        </w:rPr>
        <w:t>établir un rapport annuel</w:t>
      </w:r>
      <w:r>
        <w:rPr>
          <w:lang w:val="fr-FR"/>
        </w:rPr>
        <w:t xml:space="preserve"> à ce sujet</w:t>
      </w:r>
      <w:r w:rsidRPr="00262910">
        <w:rPr>
          <w:lang w:val="fr-FR"/>
        </w:rPr>
        <w:t>, ainsi qu</w:t>
      </w:r>
      <w:r>
        <w:rPr>
          <w:lang w:val="fr-FR"/>
        </w:rPr>
        <w:t>’</w:t>
      </w:r>
      <w:r w:rsidRPr="00262910">
        <w:rPr>
          <w:lang w:val="fr-FR"/>
        </w:rPr>
        <w:t xml:space="preserve">à toutes les entreprises publiques. En mai 2019, le Gouvernement a présenté au Storting un projet de loi sur </w:t>
      </w:r>
      <w:r>
        <w:rPr>
          <w:lang w:val="fr-FR"/>
        </w:rPr>
        <w:t xml:space="preserve">les </w:t>
      </w:r>
      <w:r w:rsidRPr="00262910">
        <w:rPr>
          <w:lang w:val="fr-FR"/>
        </w:rPr>
        <w:t>efforts actifs en faveur de l</w:t>
      </w:r>
      <w:r>
        <w:rPr>
          <w:lang w:val="fr-FR"/>
        </w:rPr>
        <w:t>’</w:t>
      </w:r>
      <w:r w:rsidRPr="00262910">
        <w:rPr>
          <w:lang w:val="fr-FR"/>
        </w:rPr>
        <w:t>égalité</w:t>
      </w:r>
      <w:r>
        <w:rPr>
          <w:lang w:val="fr-FR"/>
        </w:rPr>
        <w:t xml:space="preserve">, texte qui </w:t>
      </w:r>
      <w:r w:rsidRPr="00262910">
        <w:rPr>
          <w:lang w:val="fr-FR"/>
        </w:rPr>
        <w:t xml:space="preserve">vise à renforcer les devoirs </w:t>
      </w:r>
      <w:r>
        <w:rPr>
          <w:lang w:val="fr-FR"/>
        </w:rPr>
        <w:t xml:space="preserve">en matière </w:t>
      </w:r>
      <w:r w:rsidRPr="00262910">
        <w:rPr>
          <w:lang w:val="fr-FR"/>
        </w:rPr>
        <w:t>de promotion de l</w:t>
      </w:r>
      <w:r>
        <w:rPr>
          <w:lang w:val="fr-FR"/>
        </w:rPr>
        <w:t>’</w:t>
      </w:r>
      <w:r w:rsidRPr="00262910">
        <w:rPr>
          <w:lang w:val="fr-FR"/>
        </w:rPr>
        <w:t xml:space="preserve">égalité. </w:t>
      </w:r>
    </w:p>
    <w:p w:rsidR="001771B8" w:rsidRPr="00262910" w:rsidRDefault="001771B8" w:rsidP="00E16DCA">
      <w:pPr>
        <w:pStyle w:val="H1G"/>
        <w:rPr>
          <w:lang w:val="fr-FR"/>
        </w:rPr>
      </w:pPr>
      <w:r w:rsidRPr="00262910">
        <w:rPr>
          <w:lang w:val="fr-FR"/>
        </w:rPr>
        <w:tab/>
      </w:r>
      <w:r w:rsidRPr="00262910">
        <w:rPr>
          <w:lang w:val="fr-FR"/>
        </w:rPr>
        <w:tab/>
      </w:r>
      <w:r w:rsidRPr="00AF0D5D">
        <w:rPr>
          <w:lang w:val="fr-FR"/>
        </w:rPr>
        <w:t>Réponse au paragraphe 18</w:t>
      </w:r>
      <w:r w:rsidRPr="00262910">
        <w:rPr>
          <w:lang w:val="fr-FR"/>
        </w:rPr>
        <w:t xml:space="preserve"> de la liste de points</w:t>
      </w:r>
    </w:p>
    <w:p w:rsidR="001771B8" w:rsidRPr="00262910" w:rsidRDefault="001771B8" w:rsidP="001771B8">
      <w:pPr>
        <w:pStyle w:val="SingleTxtG"/>
        <w:rPr>
          <w:lang w:val="fr-FR"/>
        </w:rPr>
      </w:pPr>
      <w:r w:rsidRPr="00262910">
        <w:rPr>
          <w:lang w:val="fr-FR"/>
        </w:rPr>
        <w:t>127.</w:t>
      </w:r>
      <w:r w:rsidRPr="00262910">
        <w:rPr>
          <w:lang w:val="fr-FR"/>
        </w:rPr>
        <w:tab/>
      </w:r>
      <w:r w:rsidRPr="00F01E34">
        <w:rPr>
          <w:lang w:val="fr-FR"/>
        </w:rPr>
        <w:t>Un taux d</w:t>
      </w:r>
      <w:r>
        <w:rPr>
          <w:lang w:val="fr-FR"/>
        </w:rPr>
        <w:t>’</w:t>
      </w:r>
      <w:r w:rsidRPr="00F01E34">
        <w:rPr>
          <w:lang w:val="fr-FR"/>
        </w:rPr>
        <w:t>emploi</w:t>
      </w:r>
      <w:r w:rsidRPr="00262910">
        <w:rPr>
          <w:lang w:val="fr-FR"/>
        </w:rPr>
        <w:t xml:space="preserve"> élevé et un faible taux de chômage sont des priorités essentielles </w:t>
      </w:r>
      <w:r>
        <w:rPr>
          <w:lang w:val="fr-FR"/>
        </w:rPr>
        <w:t xml:space="preserve">de l’action du </w:t>
      </w:r>
      <w:r w:rsidRPr="00262910">
        <w:rPr>
          <w:lang w:val="fr-FR"/>
        </w:rPr>
        <w:t xml:space="preserve">Gouvernement norvégien. </w:t>
      </w:r>
      <w:r>
        <w:rPr>
          <w:lang w:val="fr-FR"/>
        </w:rPr>
        <w:t xml:space="preserve">Face </w:t>
      </w:r>
      <w:r w:rsidRPr="00262910">
        <w:rPr>
          <w:lang w:val="fr-FR"/>
        </w:rPr>
        <w:t xml:space="preserve">à la chute des prix du pétrole et du gaz </w:t>
      </w:r>
      <w:r>
        <w:rPr>
          <w:lang w:val="fr-FR"/>
        </w:rPr>
        <w:t xml:space="preserve">intervenue voilà </w:t>
      </w:r>
      <w:r w:rsidRPr="00262910">
        <w:rPr>
          <w:lang w:val="fr-FR"/>
        </w:rPr>
        <w:t xml:space="preserve">quatre ans, le Gouvernement a </w:t>
      </w:r>
      <w:r w:rsidRPr="00C455DE">
        <w:rPr>
          <w:lang w:val="fr-FR"/>
        </w:rPr>
        <w:t xml:space="preserve">ces dernières années </w:t>
      </w:r>
      <w:r>
        <w:rPr>
          <w:lang w:val="fr-FR"/>
        </w:rPr>
        <w:t xml:space="preserve">recouru </w:t>
      </w:r>
      <w:r w:rsidRPr="00262910">
        <w:rPr>
          <w:lang w:val="fr-FR"/>
        </w:rPr>
        <w:t xml:space="preserve">activement </w:t>
      </w:r>
      <w:r>
        <w:rPr>
          <w:lang w:val="fr-FR"/>
        </w:rPr>
        <w:t xml:space="preserve">à </w:t>
      </w:r>
      <w:r w:rsidRPr="00262910">
        <w:rPr>
          <w:lang w:val="fr-FR"/>
        </w:rPr>
        <w:t xml:space="preserve">la politique budgétaire pour </w:t>
      </w:r>
      <w:r>
        <w:rPr>
          <w:lang w:val="fr-FR"/>
        </w:rPr>
        <w:t xml:space="preserve">combattre </w:t>
      </w:r>
      <w:r w:rsidRPr="00262910">
        <w:rPr>
          <w:lang w:val="fr-FR"/>
        </w:rPr>
        <w:t>le chômage. A</w:t>
      </w:r>
      <w:r>
        <w:rPr>
          <w:lang w:val="fr-FR"/>
        </w:rPr>
        <w:t>u sortir d’</w:t>
      </w:r>
      <w:r w:rsidRPr="00262910">
        <w:rPr>
          <w:lang w:val="fr-FR"/>
        </w:rPr>
        <w:t xml:space="preserve">une période </w:t>
      </w:r>
      <w:r>
        <w:rPr>
          <w:lang w:val="fr-FR"/>
        </w:rPr>
        <w:t xml:space="preserve">de </w:t>
      </w:r>
      <w:r w:rsidRPr="00262910">
        <w:rPr>
          <w:lang w:val="fr-FR"/>
        </w:rPr>
        <w:t xml:space="preserve">faible croissance du PIB, </w:t>
      </w:r>
      <w:r>
        <w:rPr>
          <w:lang w:val="fr-FR"/>
        </w:rPr>
        <w:t xml:space="preserve">de montée </w:t>
      </w:r>
      <w:r w:rsidRPr="00262910">
        <w:rPr>
          <w:lang w:val="fr-FR"/>
        </w:rPr>
        <w:t xml:space="preserve">du chômage et </w:t>
      </w:r>
      <w:r>
        <w:rPr>
          <w:lang w:val="fr-FR"/>
        </w:rPr>
        <w:t xml:space="preserve">de recul du taux </w:t>
      </w:r>
      <w:r w:rsidRPr="00262910">
        <w:rPr>
          <w:lang w:val="fr-FR"/>
        </w:rPr>
        <w:t>d</w:t>
      </w:r>
      <w:r>
        <w:rPr>
          <w:lang w:val="fr-FR"/>
        </w:rPr>
        <w:t>’</w:t>
      </w:r>
      <w:r w:rsidRPr="00262910">
        <w:rPr>
          <w:lang w:val="fr-FR"/>
        </w:rPr>
        <w:t xml:space="preserve">emploi, la plupart des indicateurs </w:t>
      </w:r>
      <w:r>
        <w:rPr>
          <w:lang w:val="fr-FR"/>
        </w:rPr>
        <w:t xml:space="preserve">de </w:t>
      </w:r>
      <w:r w:rsidRPr="00F01E34">
        <w:rPr>
          <w:lang w:val="fr-FR"/>
        </w:rPr>
        <w:t>l</w:t>
      </w:r>
      <w:r>
        <w:rPr>
          <w:lang w:val="fr-FR"/>
        </w:rPr>
        <w:t>’</w:t>
      </w:r>
      <w:r w:rsidRPr="00F01E34">
        <w:rPr>
          <w:lang w:val="fr-FR"/>
        </w:rPr>
        <w:t xml:space="preserve">économie norvégienne </w:t>
      </w:r>
      <w:r w:rsidRPr="00262910">
        <w:rPr>
          <w:lang w:val="fr-FR"/>
        </w:rPr>
        <w:t>s</w:t>
      </w:r>
      <w:r>
        <w:rPr>
          <w:lang w:val="fr-FR"/>
        </w:rPr>
        <w:t>’</w:t>
      </w:r>
      <w:r w:rsidRPr="00262910">
        <w:rPr>
          <w:lang w:val="fr-FR"/>
        </w:rPr>
        <w:t xml:space="preserve">améliorent depuis </w:t>
      </w:r>
      <w:r>
        <w:rPr>
          <w:lang w:val="fr-FR"/>
        </w:rPr>
        <w:t xml:space="preserve">le </w:t>
      </w:r>
      <w:r w:rsidRPr="00262910">
        <w:rPr>
          <w:lang w:val="fr-FR"/>
        </w:rPr>
        <w:t>début</w:t>
      </w:r>
      <w:r>
        <w:rPr>
          <w:lang w:val="fr-FR"/>
        </w:rPr>
        <w:t xml:space="preserve"> de</w:t>
      </w:r>
      <w:r w:rsidRPr="00262910">
        <w:rPr>
          <w:lang w:val="fr-FR"/>
        </w:rPr>
        <w:t xml:space="preserve"> 2017. </w:t>
      </w:r>
      <w:r w:rsidRPr="00F77D5C">
        <w:rPr>
          <w:lang w:val="fr-FR"/>
        </w:rPr>
        <w:t>L</w:t>
      </w:r>
      <w:r>
        <w:rPr>
          <w:lang w:val="fr-FR"/>
        </w:rPr>
        <w:t>’</w:t>
      </w:r>
      <w:r w:rsidRPr="00F77D5C">
        <w:rPr>
          <w:lang w:val="fr-FR"/>
        </w:rPr>
        <w:t>activité économique</w:t>
      </w:r>
      <w:r w:rsidRPr="00262910">
        <w:rPr>
          <w:lang w:val="fr-FR"/>
        </w:rPr>
        <w:t xml:space="preserve"> reprend, le chômage </w:t>
      </w:r>
      <w:r>
        <w:rPr>
          <w:lang w:val="fr-FR"/>
        </w:rPr>
        <w:t xml:space="preserve">est en recul </w:t>
      </w:r>
      <w:r w:rsidRPr="00262910">
        <w:rPr>
          <w:lang w:val="fr-FR"/>
        </w:rPr>
        <w:t>et l</w:t>
      </w:r>
      <w:r>
        <w:rPr>
          <w:lang w:val="fr-FR"/>
        </w:rPr>
        <w:t>’</w:t>
      </w:r>
      <w:r w:rsidRPr="00262910">
        <w:rPr>
          <w:lang w:val="fr-FR"/>
        </w:rPr>
        <w:t xml:space="preserve">emploi </w:t>
      </w:r>
      <w:r>
        <w:rPr>
          <w:lang w:val="fr-FR"/>
        </w:rPr>
        <w:t>est en hause</w:t>
      </w:r>
      <w:r w:rsidRPr="00262910">
        <w:rPr>
          <w:lang w:val="fr-FR"/>
        </w:rPr>
        <w:t xml:space="preserve">. </w:t>
      </w:r>
      <w:r>
        <w:rPr>
          <w:lang w:val="fr-FR"/>
        </w:rPr>
        <w:t>S</w:t>
      </w:r>
      <w:r w:rsidRPr="00D15D39">
        <w:rPr>
          <w:lang w:val="fr-FR"/>
        </w:rPr>
        <w:t>elon une enquête sur la population active</w:t>
      </w:r>
      <w:r>
        <w:rPr>
          <w:lang w:val="fr-FR"/>
        </w:rPr>
        <w:t xml:space="preserve">, </w:t>
      </w:r>
      <w:r w:rsidRPr="00C455DE">
        <w:rPr>
          <w:lang w:val="fr-FR"/>
        </w:rPr>
        <w:t xml:space="preserve">en Norvège </w:t>
      </w:r>
      <w:r>
        <w:rPr>
          <w:lang w:val="fr-FR"/>
        </w:rPr>
        <w:t>en</w:t>
      </w:r>
      <w:r w:rsidRPr="00D15D39">
        <w:rPr>
          <w:lang w:val="fr-FR"/>
        </w:rPr>
        <w:t xml:space="preserve"> 2018</w:t>
      </w:r>
      <w:r>
        <w:rPr>
          <w:lang w:val="fr-FR"/>
        </w:rPr>
        <w:t xml:space="preserve"> l</w:t>
      </w:r>
      <w:r w:rsidRPr="00262910">
        <w:rPr>
          <w:lang w:val="fr-FR"/>
        </w:rPr>
        <w:t>e taux de chômage était de 3,8 % pour l</w:t>
      </w:r>
      <w:r>
        <w:rPr>
          <w:lang w:val="fr-FR"/>
        </w:rPr>
        <w:t>’</w:t>
      </w:r>
      <w:r w:rsidRPr="00262910">
        <w:rPr>
          <w:lang w:val="fr-FR"/>
        </w:rPr>
        <w:t>ensemble de la population (15</w:t>
      </w:r>
      <w:r>
        <w:rPr>
          <w:lang w:val="fr-FR"/>
        </w:rPr>
        <w:t>-</w:t>
      </w:r>
      <w:r w:rsidRPr="00262910">
        <w:rPr>
          <w:lang w:val="fr-FR"/>
        </w:rPr>
        <w:t>74 ans) et de 8,5 % pour les immigr</w:t>
      </w:r>
      <w:r>
        <w:rPr>
          <w:lang w:val="fr-FR"/>
        </w:rPr>
        <w:t>és</w:t>
      </w:r>
      <w:r w:rsidRPr="00262910">
        <w:rPr>
          <w:lang w:val="fr-FR"/>
        </w:rPr>
        <w:t xml:space="preserve">. Le </w:t>
      </w:r>
      <w:r>
        <w:rPr>
          <w:lang w:val="fr-FR"/>
        </w:rPr>
        <w:t>taux du c</w:t>
      </w:r>
      <w:r w:rsidRPr="00262910">
        <w:rPr>
          <w:lang w:val="fr-FR"/>
        </w:rPr>
        <w:t>hômage de longue durée (</w:t>
      </w:r>
      <w:r>
        <w:rPr>
          <w:lang w:val="fr-FR"/>
        </w:rPr>
        <w:t>personnes sans emploi depuis p</w:t>
      </w:r>
      <w:r w:rsidRPr="00262910">
        <w:rPr>
          <w:lang w:val="fr-FR"/>
        </w:rPr>
        <w:t>lus d</w:t>
      </w:r>
      <w:r>
        <w:rPr>
          <w:lang w:val="fr-FR"/>
        </w:rPr>
        <w:t>’</w:t>
      </w:r>
      <w:r w:rsidRPr="00262910">
        <w:rPr>
          <w:lang w:val="fr-FR"/>
        </w:rPr>
        <w:t>un an) reste faible (1,1 %).</w:t>
      </w:r>
    </w:p>
    <w:p w:rsidR="001771B8" w:rsidRPr="00262910" w:rsidRDefault="001771B8" w:rsidP="001771B8">
      <w:pPr>
        <w:pStyle w:val="SingleTxtG"/>
        <w:rPr>
          <w:lang w:val="fr-FR"/>
        </w:rPr>
      </w:pPr>
      <w:r w:rsidRPr="00262910">
        <w:rPr>
          <w:lang w:val="fr-FR"/>
        </w:rPr>
        <w:t>128.</w:t>
      </w:r>
      <w:r w:rsidRPr="00262910">
        <w:rPr>
          <w:lang w:val="fr-FR"/>
        </w:rPr>
        <w:tab/>
      </w:r>
      <w:r>
        <w:rPr>
          <w:lang w:val="fr-FR"/>
        </w:rPr>
        <w:t xml:space="preserve">Les </w:t>
      </w:r>
      <w:r w:rsidRPr="00262910">
        <w:rPr>
          <w:lang w:val="fr-FR"/>
        </w:rPr>
        <w:t>mesures</w:t>
      </w:r>
      <w:r>
        <w:rPr>
          <w:lang w:val="fr-FR"/>
        </w:rPr>
        <w:t xml:space="preserve"> visant à favoriser la </w:t>
      </w:r>
      <w:r w:rsidRPr="00262910">
        <w:rPr>
          <w:lang w:val="fr-FR"/>
        </w:rPr>
        <w:t>création d</w:t>
      </w:r>
      <w:r>
        <w:rPr>
          <w:lang w:val="fr-FR"/>
        </w:rPr>
        <w:t>’</w:t>
      </w:r>
      <w:r w:rsidRPr="00262910">
        <w:rPr>
          <w:lang w:val="fr-FR"/>
        </w:rPr>
        <w:t xml:space="preserve">emplois, </w:t>
      </w:r>
      <w:r>
        <w:rPr>
          <w:lang w:val="fr-FR"/>
        </w:rPr>
        <w:t xml:space="preserve">à améliorer </w:t>
      </w:r>
      <w:r w:rsidRPr="00262910">
        <w:rPr>
          <w:lang w:val="fr-FR"/>
        </w:rPr>
        <w:t xml:space="preserve">la protection sociale et </w:t>
      </w:r>
      <w:r>
        <w:rPr>
          <w:lang w:val="fr-FR"/>
        </w:rPr>
        <w:t xml:space="preserve">à </w:t>
      </w:r>
      <w:r w:rsidRPr="00262910">
        <w:rPr>
          <w:lang w:val="fr-FR"/>
        </w:rPr>
        <w:t>renforce</w:t>
      </w:r>
      <w:r>
        <w:rPr>
          <w:lang w:val="fr-FR"/>
        </w:rPr>
        <w:t xml:space="preserve">r </w:t>
      </w:r>
      <w:r w:rsidRPr="00262910">
        <w:rPr>
          <w:lang w:val="fr-FR"/>
        </w:rPr>
        <w:t>la sécurité</w:t>
      </w:r>
      <w:r>
        <w:rPr>
          <w:lang w:val="fr-FR"/>
        </w:rPr>
        <w:t xml:space="preserve"> demeurent prioritaires</w:t>
      </w:r>
      <w:r w:rsidRPr="00D15D39">
        <w:rPr>
          <w:lang w:val="fr-FR"/>
        </w:rPr>
        <w:t xml:space="preserve"> </w:t>
      </w:r>
      <w:r>
        <w:rPr>
          <w:lang w:val="fr-FR"/>
        </w:rPr>
        <w:t>d</w:t>
      </w:r>
      <w:r w:rsidRPr="00D15D39">
        <w:rPr>
          <w:lang w:val="fr-FR"/>
        </w:rPr>
        <w:t>ans le budget de l</w:t>
      </w:r>
      <w:r>
        <w:rPr>
          <w:lang w:val="fr-FR"/>
        </w:rPr>
        <w:t>’</w:t>
      </w:r>
      <w:r w:rsidRPr="00D15D39">
        <w:rPr>
          <w:lang w:val="fr-FR"/>
        </w:rPr>
        <w:t>État pour 2019</w:t>
      </w:r>
      <w:r w:rsidRPr="00892E09">
        <w:rPr>
          <w:lang w:val="fr-FR"/>
        </w:rPr>
        <w:t>. Les programmes actifs du marché du travail restent un élément majeur de l</w:t>
      </w:r>
      <w:r>
        <w:rPr>
          <w:lang w:val="fr-FR"/>
        </w:rPr>
        <w:t>’</w:t>
      </w:r>
      <w:r w:rsidRPr="00892E09">
        <w:rPr>
          <w:lang w:val="fr-FR"/>
        </w:rPr>
        <w:t>action menée pour</w:t>
      </w:r>
      <w:r>
        <w:rPr>
          <w:lang w:val="fr-FR"/>
        </w:rPr>
        <w:t xml:space="preserve"> </w:t>
      </w:r>
      <w:r w:rsidRPr="00262910">
        <w:rPr>
          <w:lang w:val="fr-FR"/>
        </w:rPr>
        <w:t xml:space="preserve">aider les chômeurs à retrouver un emploi et protéger les groupes vulnérables </w:t>
      </w:r>
      <w:r>
        <w:rPr>
          <w:lang w:val="fr-FR"/>
        </w:rPr>
        <w:t>à la m</w:t>
      </w:r>
      <w:r w:rsidRPr="00262910">
        <w:rPr>
          <w:lang w:val="fr-FR"/>
        </w:rPr>
        <w:t xml:space="preserve">arge du marché du travail. </w:t>
      </w:r>
      <w:r>
        <w:rPr>
          <w:lang w:val="fr-FR"/>
        </w:rPr>
        <w:t>C</w:t>
      </w:r>
      <w:r w:rsidRPr="00C455DE">
        <w:rPr>
          <w:lang w:val="fr-FR"/>
        </w:rPr>
        <w:t xml:space="preserve">es mesures </w:t>
      </w:r>
      <w:r>
        <w:rPr>
          <w:lang w:val="fr-FR"/>
        </w:rPr>
        <w:t xml:space="preserve">ont pour cibles prioritaires les </w:t>
      </w:r>
      <w:r w:rsidRPr="00262910">
        <w:rPr>
          <w:lang w:val="fr-FR"/>
        </w:rPr>
        <w:t xml:space="preserve">jeunes, </w:t>
      </w:r>
      <w:r>
        <w:rPr>
          <w:lang w:val="fr-FR"/>
        </w:rPr>
        <w:t xml:space="preserve">les </w:t>
      </w:r>
      <w:r w:rsidRPr="00262910">
        <w:rPr>
          <w:lang w:val="fr-FR"/>
        </w:rPr>
        <w:t xml:space="preserve">immigrés originaires de pays hors UE/EEE et </w:t>
      </w:r>
      <w:r>
        <w:rPr>
          <w:lang w:val="fr-FR"/>
        </w:rPr>
        <w:t xml:space="preserve">les </w:t>
      </w:r>
      <w:r w:rsidRPr="00262910">
        <w:rPr>
          <w:lang w:val="fr-FR"/>
        </w:rPr>
        <w:t xml:space="preserve">chômeurs de longue durée. Les mesures </w:t>
      </w:r>
      <w:r>
        <w:rPr>
          <w:lang w:val="fr-FR"/>
        </w:rPr>
        <w:t xml:space="preserve">ci-après </w:t>
      </w:r>
      <w:r w:rsidRPr="00262910">
        <w:rPr>
          <w:lang w:val="fr-FR"/>
        </w:rPr>
        <w:t>ont été récemment</w:t>
      </w:r>
      <w:r w:rsidRPr="00C455DE">
        <w:t xml:space="preserve"> </w:t>
      </w:r>
      <w:r w:rsidRPr="00C455DE">
        <w:rPr>
          <w:lang w:val="fr-FR"/>
        </w:rPr>
        <w:t>introduites</w:t>
      </w:r>
      <w:r w:rsidR="00F10884">
        <w:rPr>
          <w:lang w:val="fr-FR"/>
        </w:rPr>
        <w:t> </w:t>
      </w:r>
      <w:r w:rsidRPr="00262910">
        <w:rPr>
          <w:lang w:val="fr-FR"/>
        </w:rPr>
        <w:t>:</w:t>
      </w:r>
    </w:p>
    <w:p w:rsidR="001771B8" w:rsidRPr="00262910" w:rsidRDefault="001771B8" w:rsidP="001771B8">
      <w:pPr>
        <w:pStyle w:val="SingleTxtG"/>
        <w:ind w:firstLine="567"/>
        <w:rPr>
          <w:lang w:val="fr-FR"/>
        </w:rPr>
      </w:pPr>
      <w:r w:rsidRPr="00262910">
        <w:rPr>
          <w:lang w:val="fr-FR"/>
        </w:rPr>
        <w:t>a)</w:t>
      </w:r>
      <w:r w:rsidRPr="00262910">
        <w:rPr>
          <w:lang w:val="fr-FR"/>
        </w:rPr>
        <w:tab/>
      </w:r>
      <w:r w:rsidRPr="00DE7BF6">
        <w:rPr>
          <w:lang w:val="fr-FR"/>
        </w:rPr>
        <w:t>Un effort national</w:t>
      </w:r>
      <w:r w:rsidRPr="0062618A">
        <w:rPr>
          <w:lang w:val="fr-FR"/>
        </w:rPr>
        <w:t xml:space="preserve"> </w:t>
      </w:r>
      <w:r>
        <w:rPr>
          <w:lang w:val="fr-FR"/>
        </w:rPr>
        <w:t>a été engagé en vue de p</w:t>
      </w:r>
      <w:r w:rsidRPr="00262910">
        <w:rPr>
          <w:lang w:val="fr-FR"/>
        </w:rPr>
        <w:t>romouvoir l</w:t>
      </w:r>
      <w:r>
        <w:rPr>
          <w:lang w:val="fr-FR"/>
        </w:rPr>
        <w:t>’</w:t>
      </w:r>
      <w:r w:rsidRPr="00262910">
        <w:rPr>
          <w:lang w:val="fr-FR"/>
        </w:rPr>
        <w:t xml:space="preserve">inclusion et </w:t>
      </w:r>
      <w:r>
        <w:rPr>
          <w:lang w:val="fr-FR"/>
        </w:rPr>
        <w:t xml:space="preserve">l’emploi de plus de personnes. </w:t>
      </w:r>
      <w:r w:rsidRPr="00262910">
        <w:rPr>
          <w:lang w:val="fr-FR"/>
        </w:rPr>
        <w:t>L</w:t>
      </w:r>
      <w:r>
        <w:rPr>
          <w:lang w:val="fr-FR"/>
        </w:rPr>
        <w:t>’effort volontaire</w:t>
      </w:r>
      <w:r w:rsidRPr="00691EAA">
        <w:rPr>
          <w:lang w:val="fr-FR"/>
        </w:rPr>
        <w:t xml:space="preserve"> commun</w:t>
      </w:r>
      <w:r>
        <w:rPr>
          <w:lang w:val="fr-FR"/>
        </w:rPr>
        <w:t xml:space="preserve"> pour l’inclusion </w:t>
      </w:r>
      <w:r w:rsidRPr="00262910">
        <w:rPr>
          <w:lang w:val="fr-FR"/>
        </w:rPr>
        <w:t xml:space="preserve">(Inkluderingsdugnaden) </w:t>
      </w:r>
      <w:r>
        <w:rPr>
          <w:lang w:val="fr-FR"/>
        </w:rPr>
        <w:t xml:space="preserve">consiste en </w:t>
      </w:r>
      <w:r w:rsidRPr="00262910">
        <w:rPr>
          <w:lang w:val="fr-FR"/>
        </w:rPr>
        <w:t>une coopération entre le secteur public et différents acteurs privé</w:t>
      </w:r>
      <w:r>
        <w:rPr>
          <w:lang w:val="fr-FR"/>
        </w:rPr>
        <w:t xml:space="preserve">s visant à </w:t>
      </w:r>
      <w:r w:rsidRPr="00262910">
        <w:rPr>
          <w:lang w:val="fr-FR"/>
        </w:rPr>
        <w:t xml:space="preserve">amener </w:t>
      </w:r>
      <w:r>
        <w:rPr>
          <w:lang w:val="fr-FR"/>
        </w:rPr>
        <w:t xml:space="preserve">des </w:t>
      </w:r>
      <w:r w:rsidRPr="00262910">
        <w:rPr>
          <w:lang w:val="fr-FR"/>
        </w:rPr>
        <w:t xml:space="preserve">personnes </w:t>
      </w:r>
      <w:r>
        <w:rPr>
          <w:lang w:val="fr-FR"/>
        </w:rPr>
        <w:t xml:space="preserve">non </w:t>
      </w:r>
      <w:r w:rsidRPr="00262910">
        <w:rPr>
          <w:lang w:val="fr-FR"/>
        </w:rPr>
        <w:t>active</w:t>
      </w:r>
      <w:r>
        <w:rPr>
          <w:lang w:val="fr-FR"/>
        </w:rPr>
        <w:t xml:space="preserve">s à trouver un emploi </w:t>
      </w:r>
      <w:r w:rsidRPr="00262910">
        <w:rPr>
          <w:lang w:val="fr-FR"/>
        </w:rPr>
        <w:t>ordinaire</w:t>
      </w:r>
      <w:r w:rsidRPr="00DE7BF6">
        <w:rPr>
          <w:lang w:val="fr-FR"/>
        </w:rPr>
        <w:t>. L</w:t>
      </w:r>
      <w:r>
        <w:rPr>
          <w:lang w:val="fr-FR"/>
        </w:rPr>
        <w:t>’</w:t>
      </w:r>
      <w:r w:rsidRPr="00DE7BF6">
        <w:rPr>
          <w:lang w:val="fr-FR"/>
        </w:rPr>
        <w:t>Administration nationale du travail et de la protection sociale joue un rôle cl</w:t>
      </w:r>
      <w:r w:rsidR="003D5AC0">
        <w:rPr>
          <w:lang w:val="fr-FR"/>
        </w:rPr>
        <w:t>ef</w:t>
      </w:r>
      <w:r w:rsidRPr="00DE7BF6">
        <w:rPr>
          <w:lang w:val="fr-FR"/>
        </w:rPr>
        <w:t xml:space="preserve"> dans son processus</w:t>
      </w:r>
      <w:r w:rsidRPr="00262910">
        <w:rPr>
          <w:lang w:val="fr-FR"/>
        </w:rPr>
        <w:t xml:space="preserve"> de mise en œuvre et </w:t>
      </w:r>
      <w:r>
        <w:rPr>
          <w:lang w:val="fr-FR"/>
        </w:rPr>
        <w:t xml:space="preserve">soutient, </w:t>
      </w:r>
      <w:r w:rsidRPr="0062618A">
        <w:rPr>
          <w:lang w:val="fr-FR"/>
        </w:rPr>
        <w:t xml:space="preserve">aux </w:t>
      </w:r>
      <w:r>
        <w:rPr>
          <w:lang w:val="fr-FR"/>
        </w:rPr>
        <w:t xml:space="preserve">échelons </w:t>
      </w:r>
      <w:r w:rsidRPr="0062618A">
        <w:rPr>
          <w:lang w:val="fr-FR"/>
        </w:rPr>
        <w:t>national et local</w:t>
      </w:r>
      <w:r>
        <w:rPr>
          <w:lang w:val="fr-FR"/>
        </w:rPr>
        <w:t xml:space="preserve">, la </w:t>
      </w:r>
      <w:r w:rsidRPr="00262910">
        <w:rPr>
          <w:lang w:val="fr-FR"/>
        </w:rPr>
        <w:t xml:space="preserve">coopération entre participants, employeurs, </w:t>
      </w:r>
      <w:r>
        <w:rPr>
          <w:lang w:val="fr-FR"/>
        </w:rPr>
        <w:t xml:space="preserve">prestataires </w:t>
      </w:r>
      <w:r w:rsidRPr="00262910">
        <w:rPr>
          <w:lang w:val="fr-FR"/>
        </w:rPr>
        <w:t>de programmes, établissements d</w:t>
      </w:r>
      <w:r>
        <w:rPr>
          <w:lang w:val="fr-FR"/>
        </w:rPr>
        <w:t>’</w:t>
      </w:r>
      <w:r w:rsidRPr="00262910">
        <w:rPr>
          <w:lang w:val="fr-FR"/>
        </w:rPr>
        <w:t>enseignement, secteur de la santé, etc.</w:t>
      </w:r>
      <w:r w:rsidR="007E0AC1">
        <w:rPr>
          <w:lang w:val="fr-FR"/>
        </w:rPr>
        <w:t> </w:t>
      </w:r>
      <w:r w:rsidRPr="00262910">
        <w:rPr>
          <w:lang w:val="fr-FR"/>
        </w:rPr>
        <w:t>;</w:t>
      </w:r>
    </w:p>
    <w:p w:rsidR="001771B8" w:rsidRPr="00262910" w:rsidRDefault="001771B8" w:rsidP="001771B8">
      <w:pPr>
        <w:pStyle w:val="SingleTxtG"/>
        <w:ind w:firstLine="567"/>
        <w:rPr>
          <w:lang w:val="fr-FR"/>
        </w:rPr>
      </w:pPr>
      <w:r w:rsidRPr="00262910">
        <w:rPr>
          <w:lang w:val="fr-FR"/>
        </w:rPr>
        <w:t>b)</w:t>
      </w:r>
      <w:r w:rsidRPr="00262910">
        <w:rPr>
          <w:lang w:val="fr-FR"/>
        </w:rPr>
        <w:tab/>
      </w:r>
      <w:r w:rsidRPr="006F2AE0">
        <w:rPr>
          <w:lang w:val="fr-FR"/>
        </w:rPr>
        <w:t>Les efforts</w:t>
      </w:r>
      <w:r w:rsidRPr="00262910">
        <w:rPr>
          <w:lang w:val="fr-FR"/>
        </w:rPr>
        <w:t xml:space="preserve"> </w:t>
      </w:r>
      <w:r>
        <w:rPr>
          <w:lang w:val="fr-FR"/>
        </w:rPr>
        <w:t xml:space="preserve">en faveur des </w:t>
      </w:r>
      <w:r w:rsidRPr="00262910">
        <w:rPr>
          <w:lang w:val="fr-FR"/>
        </w:rPr>
        <w:t>chômeurs vulnérables et</w:t>
      </w:r>
      <w:r>
        <w:rPr>
          <w:lang w:val="fr-FR"/>
        </w:rPr>
        <w:t xml:space="preserve"> d</w:t>
      </w:r>
      <w:r w:rsidRPr="00262910">
        <w:rPr>
          <w:lang w:val="fr-FR"/>
        </w:rPr>
        <w:t>es personnes de moins de 30</w:t>
      </w:r>
      <w:r w:rsidR="007E0AC1">
        <w:rPr>
          <w:lang w:val="fr-FR"/>
        </w:rPr>
        <w:t> </w:t>
      </w:r>
      <w:r w:rsidRPr="00262910">
        <w:rPr>
          <w:lang w:val="fr-FR"/>
        </w:rPr>
        <w:t xml:space="preserve">ans </w:t>
      </w:r>
      <w:r>
        <w:rPr>
          <w:lang w:val="fr-FR"/>
        </w:rPr>
        <w:t xml:space="preserve">à </w:t>
      </w:r>
      <w:r w:rsidRPr="00262910">
        <w:rPr>
          <w:lang w:val="fr-FR"/>
        </w:rPr>
        <w:t>capacité de travail réduite</w:t>
      </w:r>
      <w:r w:rsidRPr="00CA655C">
        <w:rPr>
          <w:lang w:val="fr-FR"/>
        </w:rPr>
        <w:t xml:space="preserve"> </w:t>
      </w:r>
      <w:r w:rsidRPr="000A1133">
        <w:rPr>
          <w:lang w:val="fr-FR"/>
        </w:rPr>
        <w:t xml:space="preserve">ont été </w:t>
      </w:r>
      <w:r>
        <w:rPr>
          <w:lang w:val="fr-FR"/>
        </w:rPr>
        <w:t xml:space="preserve">amplifiés, le but stratégique étant de </w:t>
      </w:r>
      <w:r w:rsidRPr="00262910">
        <w:rPr>
          <w:lang w:val="fr-FR"/>
        </w:rPr>
        <w:t>renforc</w:t>
      </w:r>
      <w:r>
        <w:rPr>
          <w:lang w:val="fr-FR"/>
        </w:rPr>
        <w:t xml:space="preserve">er </w:t>
      </w:r>
      <w:r w:rsidRPr="00262910">
        <w:rPr>
          <w:lang w:val="fr-FR"/>
        </w:rPr>
        <w:t>systématique</w:t>
      </w:r>
      <w:r>
        <w:rPr>
          <w:lang w:val="fr-FR"/>
        </w:rPr>
        <w:t>ment</w:t>
      </w:r>
      <w:r w:rsidRPr="00262910">
        <w:rPr>
          <w:lang w:val="fr-FR"/>
        </w:rPr>
        <w:t xml:space="preserve"> </w:t>
      </w:r>
      <w:r>
        <w:rPr>
          <w:lang w:val="fr-FR"/>
        </w:rPr>
        <w:t xml:space="preserve">le </w:t>
      </w:r>
      <w:r w:rsidRPr="00262910">
        <w:rPr>
          <w:lang w:val="fr-FR"/>
        </w:rPr>
        <w:t xml:space="preserve">suivi </w:t>
      </w:r>
      <w:r w:rsidRPr="000A1133">
        <w:rPr>
          <w:lang w:val="fr-FR"/>
        </w:rPr>
        <w:t xml:space="preserve">des jeunes </w:t>
      </w:r>
      <w:r>
        <w:rPr>
          <w:lang w:val="fr-FR"/>
        </w:rPr>
        <w:t xml:space="preserve">sans emploi et ne suivant pas d’études </w:t>
      </w:r>
      <w:r w:rsidRPr="00DE7BF6">
        <w:rPr>
          <w:lang w:val="fr-FR"/>
        </w:rPr>
        <w:t>par l</w:t>
      </w:r>
      <w:r>
        <w:rPr>
          <w:lang w:val="fr-FR"/>
        </w:rPr>
        <w:t>’</w:t>
      </w:r>
      <w:r w:rsidRPr="00DE7BF6">
        <w:rPr>
          <w:lang w:val="fr-FR"/>
        </w:rPr>
        <w:t xml:space="preserve">Administration du travail </w:t>
      </w:r>
      <w:r>
        <w:rPr>
          <w:lang w:val="fr-FR"/>
        </w:rPr>
        <w:t xml:space="preserve">en privilégiant une action </w:t>
      </w:r>
      <w:r w:rsidRPr="00262910">
        <w:rPr>
          <w:lang w:val="fr-FR"/>
        </w:rPr>
        <w:t xml:space="preserve">précoce. </w:t>
      </w:r>
      <w:r w:rsidRPr="00AE1F55">
        <w:rPr>
          <w:lang w:val="fr-FR"/>
        </w:rPr>
        <w:t>Les pouvoirs publics et</w:t>
      </w:r>
      <w:r w:rsidRPr="00262910">
        <w:rPr>
          <w:lang w:val="fr-FR"/>
        </w:rPr>
        <w:t xml:space="preserve"> les partenaires sociaux se sont </w:t>
      </w:r>
      <w:r>
        <w:rPr>
          <w:lang w:val="fr-FR"/>
        </w:rPr>
        <w:t>entendus sur u</w:t>
      </w:r>
      <w:r w:rsidRPr="00262910">
        <w:rPr>
          <w:lang w:val="fr-FR"/>
        </w:rPr>
        <w:t>n plan d</w:t>
      </w:r>
      <w:r>
        <w:rPr>
          <w:lang w:val="fr-FR"/>
        </w:rPr>
        <w:t>’</w:t>
      </w:r>
      <w:r w:rsidRPr="00262910">
        <w:rPr>
          <w:lang w:val="fr-FR"/>
        </w:rPr>
        <w:t xml:space="preserve">action </w:t>
      </w:r>
      <w:r>
        <w:rPr>
          <w:lang w:val="fr-FR"/>
        </w:rPr>
        <w:t xml:space="preserve">tendant à renforcer les efforts en faveur des </w:t>
      </w:r>
      <w:r w:rsidRPr="004408F3">
        <w:rPr>
          <w:lang w:val="fr-FR"/>
        </w:rPr>
        <w:t xml:space="preserve">moins de 30 ans </w:t>
      </w:r>
      <w:r>
        <w:rPr>
          <w:lang w:val="fr-FR"/>
        </w:rPr>
        <w:t>b</w:t>
      </w:r>
      <w:r w:rsidRPr="00262910">
        <w:rPr>
          <w:lang w:val="fr-FR"/>
        </w:rPr>
        <w:t xml:space="preserve">énéficiaires </w:t>
      </w:r>
      <w:r w:rsidRPr="00515EF4">
        <w:rPr>
          <w:lang w:val="fr-FR"/>
        </w:rPr>
        <w:t xml:space="preserve">de </w:t>
      </w:r>
      <w:bookmarkStart w:id="9" w:name="_Hlk29966683"/>
      <w:r w:rsidRPr="00515EF4">
        <w:rPr>
          <w:lang w:val="fr-FR"/>
        </w:rPr>
        <w:t>l</w:t>
      </w:r>
      <w:r>
        <w:rPr>
          <w:lang w:val="fr-FR"/>
        </w:rPr>
        <w:t>’</w:t>
      </w:r>
      <w:r w:rsidRPr="00515EF4">
        <w:rPr>
          <w:lang w:val="fr-FR"/>
        </w:rPr>
        <w:t>allocation de réadaptation à l</w:t>
      </w:r>
      <w:r>
        <w:rPr>
          <w:lang w:val="fr-FR"/>
        </w:rPr>
        <w:t>’</w:t>
      </w:r>
      <w:r w:rsidRPr="00515EF4">
        <w:rPr>
          <w:lang w:val="fr-FR"/>
        </w:rPr>
        <w:t>emploi</w:t>
      </w:r>
      <w:bookmarkEnd w:id="9"/>
      <w:r w:rsidRPr="00515EF4">
        <w:rPr>
          <w:lang w:val="fr-FR"/>
        </w:rPr>
        <w:t xml:space="preserve">. </w:t>
      </w:r>
      <w:r>
        <w:rPr>
          <w:lang w:val="fr-FR"/>
        </w:rPr>
        <w:t xml:space="preserve">Il s’agit </w:t>
      </w:r>
      <w:r w:rsidRPr="00515EF4">
        <w:rPr>
          <w:lang w:val="fr-FR"/>
        </w:rPr>
        <w:t>d</w:t>
      </w:r>
      <w:r>
        <w:rPr>
          <w:lang w:val="fr-FR"/>
        </w:rPr>
        <w:t>’</w:t>
      </w:r>
      <w:r w:rsidRPr="00515EF4">
        <w:rPr>
          <w:lang w:val="fr-FR"/>
        </w:rPr>
        <w:t>accroître le taux d</w:t>
      </w:r>
      <w:r>
        <w:rPr>
          <w:lang w:val="fr-FR"/>
        </w:rPr>
        <w:t>’</w:t>
      </w:r>
      <w:r w:rsidRPr="00515EF4">
        <w:rPr>
          <w:lang w:val="fr-FR"/>
        </w:rPr>
        <w:t>insertion des jeunes handicapés sur le marché du travail et dans l</w:t>
      </w:r>
      <w:r>
        <w:rPr>
          <w:lang w:val="fr-FR"/>
        </w:rPr>
        <w:t>’</w:t>
      </w:r>
      <w:r w:rsidRPr="00515EF4">
        <w:rPr>
          <w:lang w:val="fr-FR"/>
        </w:rPr>
        <w:t xml:space="preserve">éducation </w:t>
      </w:r>
      <w:r>
        <w:rPr>
          <w:lang w:val="fr-FR"/>
        </w:rPr>
        <w:t xml:space="preserve">ainsi que </w:t>
      </w:r>
      <w:r w:rsidRPr="00515EF4">
        <w:rPr>
          <w:lang w:val="fr-FR"/>
        </w:rPr>
        <w:t>leur accès aux subventions salariales ou à une activité professionnelle dans le monde du travail ordinaire. Cinq ministères et agences</w:t>
      </w:r>
      <w:r w:rsidRPr="00DE474F">
        <w:rPr>
          <w:lang w:val="fr-FR"/>
        </w:rPr>
        <w:t xml:space="preserve"> </w:t>
      </w:r>
      <w:r>
        <w:rPr>
          <w:lang w:val="fr-FR"/>
        </w:rPr>
        <w:t xml:space="preserve">participent à l’initiative quinquennale </w:t>
      </w:r>
      <w:r w:rsidRPr="008745A5">
        <w:rPr>
          <w:lang w:val="fr-FR"/>
        </w:rPr>
        <w:t xml:space="preserve">(2015-2020) </w:t>
      </w:r>
      <w:r>
        <w:rPr>
          <w:lang w:val="fr-FR"/>
        </w:rPr>
        <w:t>pour la « </w:t>
      </w:r>
      <w:r w:rsidRPr="00262910">
        <w:rPr>
          <w:lang w:val="fr-FR"/>
        </w:rPr>
        <w:t>collaboration</w:t>
      </w:r>
      <w:r>
        <w:rPr>
          <w:lang w:val="fr-FR"/>
        </w:rPr>
        <w:t xml:space="preserve"> en faveur des moins de </w:t>
      </w:r>
      <w:r w:rsidRPr="00262910">
        <w:rPr>
          <w:lang w:val="fr-FR"/>
        </w:rPr>
        <w:t>24 ans</w:t>
      </w:r>
      <w:r>
        <w:rPr>
          <w:lang w:val="fr-FR"/>
        </w:rPr>
        <w:t xml:space="preserve"> », qui a pour objectifs de </w:t>
      </w:r>
      <w:r w:rsidRPr="00262910">
        <w:rPr>
          <w:lang w:val="fr-FR"/>
        </w:rPr>
        <w:t xml:space="preserve">faciliter la mise en place de services proactifs, complets, efficaces et </w:t>
      </w:r>
      <w:r>
        <w:rPr>
          <w:lang w:val="fr-FR"/>
        </w:rPr>
        <w:t xml:space="preserve">de qualité à l’intention des </w:t>
      </w:r>
      <w:r w:rsidRPr="00262910">
        <w:rPr>
          <w:lang w:val="fr-FR"/>
        </w:rPr>
        <w:t xml:space="preserve">enfants et </w:t>
      </w:r>
      <w:r>
        <w:rPr>
          <w:lang w:val="fr-FR"/>
        </w:rPr>
        <w:t>d</w:t>
      </w:r>
      <w:r w:rsidRPr="00262910">
        <w:rPr>
          <w:lang w:val="fr-FR"/>
        </w:rPr>
        <w:t xml:space="preserve">es jeunes adultes vulnérables de moins de 24 ans </w:t>
      </w:r>
      <w:r>
        <w:rPr>
          <w:lang w:val="fr-FR"/>
        </w:rPr>
        <w:t xml:space="preserve">en proie à </w:t>
      </w:r>
      <w:r w:rsidRPr="00262910">
        <w:rPr>
          <w:lang w:val="fr-FR"/>
        </w:rPr>
        <w:t xml:space="preserve">des </w:t>
      </w:r>
      <w:r>
        <w:rPr>
          <w:lang w:val="fr-FR"/>
        </w:rPr>
        <w:t xml:space="preserve">difficultés </w:t>
      </w:r>
      <w:r w:rsidRPr="00262910">
        <w:rPr>
          <w:lang w:val="fr-FR"/>
        </w:rPr>
        <w:t>complexes, de réduire le taux d</w:t>
      </w:r>
      <w:r>
        <w:rPr>
          <w:lang w:val="fr-FR"/>
        </w:rPr>
        <w:t>’</w:t>
      </w:r>
      <w:r w:rsidRPr="00262910">
        <w:rPr>
          <w:lang w:val="fr-FR"/>
        </w:rPr>
        <w:t xml:space="preserve">abandon scolaire dans le secondaire et </w:t>
      </w:r>
      <w:r>
        <w:rPr>
          <w:lang w:val="fr-FR"/>
        </w:rPr>
        <w:t xml:space="preserve">de relever </w:t>
      </w:r>
      <w:r w:rsidRPr="00262910">
        <w:rPr>
          <w:lang w:val="fr-FR"/>
        </w:rPr>
        <w:t>le taux d</w:t>
      </w:r>
      <w:r>
        <w:rPr>
          <w:lang w:val="fr-FR"/>
        </w:rPr>
        <w:t>’</w:t>
      </w:r>
      <w:r w:rsidRPr="00262910">
        <w:rPr>
          <w:lang w:val="fr-FR"/>
        </w:rPr>
        <w:t xml:space="preserve">emploi des jeunes </w:t>
      </w:r>
      <w:r>
        <w:rPr>
          <w:lang w:val="fr-FR"/>
        </w:rPr>
        <w:t xml:space="preserve">grâce à </w:t>
      </w:r>
      <w:r w:rsidRPr="00262910">
        <w:rPr>
          <w:lang w:val="fr-FR"/>
        </w:rPr>
        <w:t xml:space="preserve">une coopération </w:t>
      </w:r>
      <w:r>
        <w:rPr>
          <w:lang w:val="fr-FR"/>
        </w:rPr>
        <w:t xml:space="preserve">intersectorielle </w:t>
      </w:r>
      <w:r w:rsidRPr="00262910">
        <w:rPr>
          <w:lang w:val="fr-FR"/>
        </w:rPr>
        <w:t>accrue</w:t>
      </w:r>
      <w:r w:rsidR="007E0AC1">
        <w:rPr>
          <w:lang w:val="fr-FR"/>
        </w:rPr>
        <w:t> </w:t>
      </w:r>
      <w:r w:rsidRPr="00262910">
        <w:rPr>
          <w:lang w:val="fr-FR"/>
        </w:rPr>
        <w:t>;</w:t>
      </w:r>
    </w:p>
    <w:p w:rsidR="001771B8" w:rsidRPr="00262910" w:rsidRDefault="001771B8" w:rsidP="001771B8">
      <w:pPr>
        <w:pStyle w:val="SingleTxtG"/>
        <w:ind w:firstLine="567"/>
        <w:rPr>
          <w:lang w:val="fr-FR"/>
        </w:rPr>
      </w:pPr>
      <w:r w:rsidRPr="00262910">
        <w:rPr>
          <w:lang w:val="fr-FR"/>
        </w:rPr>
        <w:t>c)</w:t>
      </w:r>
      <w:r w:rsidRPr="00262910">
        <w:rPr>
          <w:lang w:val="fr-FR"/>
        </w:rPr>
        <w:tab/>
      </w:r>
      <w:r w:rsidRPr="00755350">
        <w:rPr>
          <w:lang w:val="fr-FR"/>
        </w:rPr>
        <w:t>Pour conforter l</w:t>
      </w:r>
      <w:r>
        <w:rPr>
          <w:lang w:val="fr-FR"/>
        </w:rPr>
        <w:t>’</w:t>
      </w:r>
      <w:r w:rsidRPr="00755350">
        <w:rPr>
          <w:lang w:val="fr-FR"/>
        </w:rPr>
        <w:t>emploi</w:t>
      </w:r>
      <w:r w:rsidRPr="00262910">
        <w:rPr>
          <w:lang w:val="fr-FR"/>
        </w:rPr>
        <w:t>, le</w:t>
      </w:r>
      <w:r>
        <w:rPr>
          <w:lang w:val="fr-FR"/>
        </w:rPr>
        <w:t xml:space="preserve">s autorités gouvernementales ont intensifié </w:t>
      </w:r>
      <w:r w:rsidRPr="00262910">
        <w:rPr>
          <w:lang w:val="fr-FR"/>
        </w:rPr>
        <w:t xml:space="preserve">le suivi des chômeurs de longue durée. </w:t>
      </w:r>
      <w:r>
        <w:rPr>
          <w:lang w:val="fr-FR"/>
        </w:rPr>
        <w:t xml:space="preserve">Ce </w:t>
      </w:r>
      <w:r w:rsidRPr="00262910">
        <w:rPr>
          <w:lang w:val="fr-FR"/>
        </w:rPr>
        <w:t>groupe cible est constitué par les</w:t>
      </w:r>
      <w:r>
        <w:rPr>
          <w:lang w:val="fr-FR"/>
        </w:rPr>
        <w:t xml:space="preserve"> personnes sans emploi proches d’avoir épuisé leur droit à l’</w:t>
      </w:r>
      <w:r w:rsidRPr="00262910">
        <w:rPr>
          <w:lang w:val="fr-FR"/>
        </w:rPr>
        <w:t>allocation de chômage (deux ans</w:t>
      </w:r>
      <w:r>
        <w:rPr>
          <w:lang w:val="fr-FR"/>
        </w:rPr>
        <w:t xml:space="preserve"> au maximum</w:t>
      </w:r>
      <w:r w:rsidRPr="00262910">
        <w:rPr>
          <w:lang w:val="fr-FR"/>
        </w:rPr>
        <w:t xml:space="preserve">). </w:t>
      </w:r>
      <w:r>
        <w:rPr>
          <w:lang w:val="fr-FR"/>
        </w:rPr>
        <w:t>Cette action a été engagée en</w:t>
      </w:r>
      <w:r w:rsidRPr="00262910">
        <w:rPr>
          <w:lang w:val="fr-FR"/>
        </w:rPr>
        <w:t xml:space="preserve"> 2017 et </w:t>
      </w:r>
      <w:r>
        <w:rPr>
          <w:lang w:val="fr-FR"/>
        </w:rPr>
        <w:t xml:space="preserve">amplifiée </w:t>
      </w:r>
      <w:r w:rsidRPr="00262910">
        <w:rPr>
          <w:lang w:val="fr-FR"/>
        </w:rPr>
        <w:t>en 2018</w:t>
      </w:r>
      <w:r w:rsidR="007E0AC1">
        <w:rPr>
          <w:lang w:val="fr-FR"/>
        </w:rPr>
        <w:t> </w:t>
      </w:r>
      <w:r w:rsidRPr="00262910">
        <w:rPr>
          <w:lang w:val="fr-FR"/>
        </w:rPr>
        <w:t>;</w:t>
      </w:r>
    </w:p>
    <w:p w:rsidR="001771B8" w:rsidRPr="00262910" w:rsidRDefault="001771B8" w:rsidP="001771B8">
      <w:pPr>
        <w:pStyle w:val="SingleTxtG"/>
        <w:ind w:firstLine="567"/>
        <w:rPr>
          <w:lang w:val="fr-FR"/>
        </w:rPr>
      </w:pPr>
      <w:r w:rsidRPr="00262910">
        <w:rPr>
          <w:lang w:val="fr-FR"/>
        </w:rPr>
        <w:t>d)</w:t>
      </w:r>
      <w:r w:rsidRPr="00262910">
        <w:rPr>
          <w:lang w:val="fr-FR"/>
        </w:rPr>
        <w:tab/>
      </w:r>
      <w:r w:rsidRPr="006F2F1A">
        <w:rPr>
          <w:lang w:val="fr-FR"/>
        </w:rPr>
        <w:t>En 2014, le Ministère</w:t>
      </w:r>
      <w:r w:rsidRPr="00262910">
        <w:rPr>
          <w:lang w:val="fr-FR"/>
        </w:rPr>
        <w:t xml:space="preserve"> du travail et des affaires sociales a lancé une étude pilote </w:t>
      </w:r>
      <w:r>
        <w:rPr>
          <w:lang w:val="fr-FR"/>
        </w:rPr>
        <w:t>sur l’e</w:t>
      </w:r>
      <w:r w:rsidRPr="00262910">
        <w:rPr>
          <w:lang w:val="fr-FR"/>
        </w:rPr>
        <w:t xml:space="preserve">mploi </w:t>
      </w:r>
      <w:r>
        <w:rPr>
          <w:lang w:val="fr-FR"/>
        </w:rPr>
        <w:t xml:space="preserve">aidé dans le but de déterminer si cette option </w:t>
      </w:r>
      <w:r w:rsidRPr="00262910">
        <w:rPr>
          <w:lang w:val="fr-FR"/>
        </w:rPr>
        <w:t>pou</w:t>
      </w:r>
      <w:r>
        <w:rPr>
          <w:lang w:val="fr-FR"/>
        </w:rPr>
        <w:t xml:space="preserve">vait constituer un </w:t>
      </w:r>
      <w:r w:rsidRPr="00262910">
        <w:rPr>
          <w:lang w:val="fr-FR"/>
        </w:rPr>
        <w:t>bon</w:t>
      </w:r>
      <w:r>
        <w:rPr>
          <w:lang w:val="fr-FR"/>
        </w:rPr>
        <w:t xml:space="preserve"> moyen de </w:t>
      </w:r>
      <w:r w:rsidRPr="00262910">
        <w:rPr>
          <w:lang w:val="fr-FR"/>
        </w:rPr>
        <w:t xml:space="preserve">permettre à un plus grand nombre de personnes </w:t>
      </w:r>
      <w:r>
        <w:rPr>
          <w:lang w:val="fr-FR"/>
        </w:rPr>
        <w:t xml:space="preserve">à </w:t>
      </w:r>
      <w:r w:rsidRPr="00262910">
        <w:rPr>
          <w:lang w:val="fr-FR"/>
        </w:rPr>
        <w:t xml:space="preserve">capacité de travail réduite de </w:t>
      </w:r>
      <w:r>
        <w:rPr>
          <w:lang w:val="fr-FR"/>
        </w:rPr>
        <w:t xml:space="preserve">se remettre au </w:t>
      </w:r>
      <w:r w:rsidRPr="00262910">
        <w:rPr>
          <w:lang w:val="fr-FR"/>
        </w:rPr>
        <w:t>travail. L</w:t>
      </w:r>
      <w:r>
        <w:rPr>
          <w:lang w:val="fr-FR"/>
        </w:rPr>
        <w:t>’</w:t>
      </w:r>
      <w:r w:rsidRPr="00262910">
        <w:rPr>
          <w:lang w:val="fr-FR"/>
        </w:rPr>
        <w:t xml:space="preserve">expérience a été menée dans sept </w:t>
      </w:r>
      <w:r>
        <w:rPr>
          <w:lang w:val="fr-FR"/>
        </w:rPr>
        <w:t xml:space="preserve">provinces </w:t>
      </w:r>
      <w:r w:rsidRPr="00262910">
        <w:rPr>
          <w:lang w:val="fr-FR"/>
        </w:rPr>
        <w:t>sur une période de quatre ans. L</w:t>
      </w:r>
      <w:r>
        <w:rPr>
          <w:lang w:val="fr-FR"/>
        </w:rPr>
        <w:t>’</w:t>
      </w:r>
      <w:r w:rsidRPr="00262910">
        <w:rPr>
          <w:lang w:val="fr-FR"/>
        </w:rPr>
        <w:t>évaluation</w:t>
      </w:r>
      <w:r>
        <w:rPr>
          <w:lang w:val="fr-FR"/>
        </w:rPr>
        <w:t>,</w:t>
      </w:r>
      <w:r w:rsidRPr="00262910">
        <w:rPr>
          <w:lang w:val="fr-FR"/>
        </w:rPr>
        <w:t xml:space="preserve"> menée par </w:t>
      </w:r>
      <w:r>
        <w:rPr>
          <w:lang w:val="fr-FR"/>
        </w:rPr>
        <w:t xml:space="preserve">le Centre </w:t>
      </w:r>
      <w:r w:rsidRPr="00262910">
        <w:rPr>
          <w:lang w:val="fr-FR"/>
        </w:rPr>
        <w:t>Frisch</w:t>
      </w:r>
      <w:r>
        <w:rPr>
          <w:lang w:val="fr-FR"/>
        </w:rPr>
        <w:t>,</w:t>
      </w:r>
      <w:r w:rsidRPr="00262910">
        <w:rPr>
          <w:lang w:val="fr-FR"/>
        </w:rPr>
        <w:t xml:space="preserve"> devrait </w:t>
      </w:r>
      <w:r>
        <w:rPr>
          <w:lang w:val="fr-FR"/>
        </w:rPr>
        <w:t>s’</w:t>
      </w:r>
      <w:r w:rsidRPr="00262910">
        <w:rPr>
          <w:lang w:val="fr-FR"/>
        </w:rPr>
        <w:t>achev</w:t>
      </w:r>
      <w:r>
        <w:rPr>
          <w:lang w:val="fr-FR"/>
        </w:rPr>
        <w:t xml:space="preserve">er </w:t>
      </w:r>
      <w:r w:rsidRPr="00262910">
        <w:rPr>
          <w:lang w:val="fr-FR"/>
        </w:rPr>
        <w:t>en 2020.</w:t>
      </w:r>
    </w:p>
    <w:p w:rsidR="001771B8" w:rsidRPr="00262910" w:rsidRDefault="001771B8" w:rsidP="001771B8">
      <w:pPr>
        <w:pStyle w:val="SingleTxtG"/>
        <w:rPr>
          <w:lang w:val="fr-FR"/>
        </w:rPr>
      </w:pPr>
      <w:r w:rsidRPr="00262910">
        <w:rPr>
          <w:lang w:val="fr-FR"/>
        </w:rPr>
        <w:t>129.</w:t>
      </w:r>
      <w:r w:rsidRPr="00262910">
        <w:rPr>
          <w:lang w:val="fr-FR"/>
        </w:rPr>
        <w:tab/>
      </w:r>
      <w:r w:rsidRPr="00CE1E11">
        <w:rPr>
          <w:lang w:val="fr-FR"/>
        </w:rPr>
        <w:t xml:space="preserve">Dans </w:t>
      </w:r>
      <w:r>
        <w:rPr>
          <w:lang w:val="fr-FR"/>
        </w:rPr>
        <w:t xml:space="preserve">son </w:t>
      </w:r>
      <w:r w:rsidRPr="00CE1E11">
        <w:rPr>
          <w:lang w:val="fr-FR"/>
        </w:rPr>
        <w:t>programme politique</w:t>
      </w:r>
      <w:r w:rsidRPr="00262910">
        <w:rPr>
          <w:lang w:val="fr-FR"/>
        </w:rPr>
        <w:t xml:space="preserve"> présenté en janvier 2018, le Gouvernement </w:t>
      </w:r>
      <w:r>
        <w:rPr>
          <w:lang w:val="fr-FR"/>
        </w:rPr>
        <w:t xml:space="preserve">insiste sur </w:t>
      </w:r>
      <w:r w:rsidRPr="00262910">
        <w:rPr>
          <w:lang w:val="fr-FR"/>
        </w:rPr>
        <w:t>la nécessité de renforcer les efforts d</w:t>
      </w:r>
      <w:r>
        <w:rPr>
          <w:lang w:val="fr-FR"/>
        </w:rPr>
        <w:t>’</w:t>
      </w:r>
      <w:r w:rsidRPr="00262910">
        <w:rPr>
          <w:lang w:val="fr-FR"/>
        </w:rPr>
        <w:t>intégration. Le programme d</w:t>
      </w:r>
      <w:r>
        <w:rPr>
          <w:lang w:val="fr-FR"/>
        </w:rPr>
        <w:t>’</w:t>
      </w:r>
      <w:r w:rsidRPr="00262910">
        <w:rPr>
          <w:lang w:val="fr-FR"/>
        </w:rPr>
        <w:t>insertion sera r</w:t>
      </w:r>
      <w:r>
        <w:rPr>
          <w:lang w:val="fr-FR"/>
        </w:rPr>
        <w:t xml:space="preserve">evu dans le souci clairement affiché d’obtenir de meilleurs </w:t>
      </w:r>
      <w:r w:rsidRPr="00262910">
        <w:rPr>
          <w:lang w:val="fr-FR"/>
        </w:rPr>
        <w:t>résultats. De nouve</w:t>
      </w:r>
      <w:r>
        <w:rPr>
          <w:lang w:val="fr-FR"/>
        </w:rPr>
        <w:t>lles modalités d’aide à l’</w:t>
      </w:r>
      <w:r w:rsidRPr="00262910">
        <w:rPr>
          <w:lang w:val="fr-FR"/>
        </w:rPr>
        <w:t>in</w:t>
      </w:r>
      <w:r>
        <w:rPr>
          <w:lang w:val="fr-FR"/>
        </w:rPr>
        <w:t>sertion s</w:t>
      </w:r>
      <w:r w:rsidRPr="00262910">
        <w:rPr>
          <w:lang w:val="fr-FR"/>
        </w:rPr>
        <w:t>eront envisagé</w:t>
      </w:r>
      <w:r>
        <w:rPr>
          <w:lang w:val="fr-FR"/>
        </w:rPr>
        <w:t>e</w:t>
      </w:r>
      <w:r w:rsidRPr="00262910">
        <w:rPr>
          <w:lang w:val="fr-FR"/>
        </w:rPr>
        <w:t>s et l</w:t>
      </w:r>
      <w:r>
        <w:rPr>
          <w:lang w:val="fr-FR"/>
        </w:rPr>
        <w:t>’</w:t>
      </w:r>
      <w:r w:rsidRPr="00262910">
        <w:rPr>
          <w:lang w:val="fr-FR"/>
        </w:rPr>
        <w:t>enseignement du norvégien ser</w:t>
      </w:r>
      <w:r>
        <w:rPr>
          <w:lang w:val="fr-FR"/>
        </w:rPr>
        <w:t xml:space="preserve">a actualisé et </w:t>
      </w:r>
      <w:r w:rsidRPr="00262910">
        <w:rPr>
          <w:lang w:val="fr-FR"/>
        </w:rPr>
        <w:t xml:space="preserve">amélioré. </w:t>
      </w:r>
    </w:p>
    <w:p w:rsidR="001771B8" w:rsidRPr="00262910" w:rsidRDefault="001771B8" w:rsidP="001771B8">
      <w:pPr>
        <w:pStyle w:val="SingleTxtG"/>
        <w:rPr>
          <w:lang w:val="fr-FR"/>
        </w:rPr>
      </w:pPr>
      <w:r w:rsidRPr="00262910">
        <w:rPr>
          <w:lang w:val="fr-FR"/>
        </w:rPr>
        <w:t>130.</w:t>
      </w:r>
      <w:r w:rsidRPr="00262910">
        <w:rPr>
          <w:lang w:val="fr-FR"/>
        </w:rPr>
        <w:tab/>
      </w:r>
      <w:r>
        <w:rPr>
          <w:lang w:val="fr-FR"/>
        </w:rPr>
        <w:t>E</w:t>
      </w:r>
      <w:r w:rsidRPr="0018366B">
        <w:rPr>
          <w:lang w:val="fr-FR"/>
        </w:rPr>
        <w:t>n 2018</w:t>
      </w:r>
      <w:r>
        <w:rPr>
          <w:lang w:val="fr-FR"/>
        </w:rPr>
        <w:t xml:space="preserve">, le </w:t>
      </w:r>
      <w:r w:rsidRPr="00C007FB">
        <w:rPr>
          <w:lang w:val="fr-FR"/>
        </w:rPr>
        <w:t>Gouvernement</w:t>
      </w:r>
      <w:r w:rsidRPr="00262910">
        <w:rPr>
          <w:lang w:val="fr-FR"/>
        </w:rPr>
        <w:t xml:space="preserve"> norvégien a présenté </w:t>
      </w:r>
      <w:r>
        <w:rPr>
          <w:lang w:val="fr-FR"/>
        </w:rPr>
        <w:t xml:space="preserve">sa </w:t>
      </w:r>
      <w:r w:rsidRPr="00262910">
        <w:rPr>
          <w:lang w:val="fr-FR"/>
        </w:rPr>
        <w:t>stratégie d</w:t>
      </w:r>
      <w:r>
        <w:rPr>
          <w:lang w:val="fr-FR"/>
        </w:rPr>
        <w:t>’i</w:t>
      </w:r>
      <w:r w:rsidRPr="00262910">
        <w:rPr>
          <w:lang w:val="fr-FR"/>
        </w:rPr>
        <w:t>ntégration par le savoir</w:t>
      </w:r>
      <w:r>
        <w:rPr>
          <w:lang w:val="fr-FR"/>
        </w:rPr>
        <w:t xml:space="preserve">, innovation visant à amplifier </w:t>
      </w:r>
      <w:r w:rsidRPr="00262910">
        <w:rPr>
          <w:lang w:val="fr-FR"/>
        </w:rPr>
        <w:t>la participation des immigr</w:t>
      </w:r>
      <w:r>
        <w:rPr>
          <w:lang w:val="fr-FR"/>
        </w:rPr>
        <w:t>és</w:t>
      </w:r>
      <w:r w:rsidRPr="00262910">
        <w:rPr>
          <w:lang w:val="fr-FR"/>
        </w:rPr>
        <w:t xml:space="preserve"> au marché du travail et à la vie sociale. </w:t>
      </w:r>
      <w:r>
        <w:rPr>
          <w:lang w:val="fr-FR"/>
        </w:rPr>
        <w:t xml:space="preserve">Il est indispensable </w:t>
      </w:r>
      <w:r w:rsidRPr="00262910">
        <w:rPr>
          <w:lang w:val="fr-FR"/>
        </w:rPr>
        <w:t>de renforcer la formation linguistique et l</w:t>
      </w:r>
      <w:r>
        <w:rPr>
          <w:lang w:val="fr-FR"/>
        </w:rPr>
        <w:t>’</w:t>
      </w:r>
      <w:r w:rsidRPr="00262910">
        <w:rPr>
          <w:lang w:val="fr-FR"/>
        </w:rPr>
        <w:t>éducation formelle des immigr</w:t>
      </w:r>
      <w:r>
        <w:rPr>
          <w:lang w:val="fr-FR"/>
        </w:rPr>
        <w:t xml:space="preserve">és afin de remédier aux difficultés actuelles et à venir qui entravent leur accès au </w:t>
      </w:r>
      <w:r w:rsidRPr="001D2EE0">
        <w:rPr>
          <w:lang w:val="fr-FR"/>
        </w:rPr>
        <w:t>marché du travail</w:t>
      </w:r>
      <w:r w:rsidRPr="00262910">
        <w:rPr>
          <w:lang w:val="fr-FR"/>
        </w:rPr>
        <w:t xml:space="preserve">. </w:t>
      </w:r>
      <w:r>
        <w:rPr>
          <w:lang w:val="fr-FR"/>
        </w:rPr>
        <w:t xml:space="preserve">Cette </w:t>
      </w:r>
      <w:r w:rsidRPr="00262910">
        <w:rPr>
          <w:lang w:val="fr-FR"/>
        </w:rPr>
        <w:t xml:space="preserve">stratégie prévoit plusieurs mesures </w:t>
      </w:r>
      <w:r>
        <w:rPr>
          <w:lang w:val="fr-FR"/>
        </w:rPr>
        <w:t>dans ce sens</w:t>
      </w:r>
      <w:r w:rsidRPr="00262910">
        <w:rPr>
          <w:lang w:val="fr-FR"/>
        </w:rPr>
        <w:t xml:space="preserve">. </w:t>
      </w:r>
    </w:p>
    <w:p w:rsidR="001771B8" w:rsidRPr="00262910" w:rsidRDefault="001771B8" w:rsidP="001771B8">
      <w:pPr>
        <w:pStyle w:val="SingleTxtG"/>
        <w:rPr>
          <w:lang w:val="fr-FR"/>
        </w:rPr>
      </w:pPr>
      <w:r w:rsidRPr="00262910">
        <w:rPr>
          <w:lang w:val="fr-FR"/>
        </w:rPr>
        <w:t>131.</w:t>
      </w:r>
      <w:r w:rsidRPr="00262910">
        <w:rPr>
          <w:lang w:val="fr-FR"/>
        </w:rPr>
        <w:tab/>
      </w:r>
      <w:r w:rsidRPr="006C3AC3">
        <w:rPr>
          <w:lang w:val="fr-FR"/>
        </w:rPr>
        <w:t>La lettre d</w:t>
      </w:r>
      <w:r>
        <w:rPr>
          <w:lang w:val="fr-FR"/>
        </w:rPr>
        <w:t>’</w:t>
      </w:r>
      <w:r w:rsidRPr="006C3AC3">
        <w:rPr>
          <w:lang w:val="fr-FR"/>
        </w:rPr>
        <w:t xml:space="preserve">intention relative à une </w:t>
      </w:r>
      <w:r w:rsidRPr="00262910">
        <w:rPr>
          <w:lang w:val="fr-FR"/>
        </w:rPr>
        <w:t xml:space="preserve">vie professionnelle plus inclusive </w:t>
      </w:r>
      <w:r w:rsidRPr="00E71E2A">
        <w:rPr>
          <w:lang w:val="fr-FR"/>
        </w:rPr>
        <w:t>(Accord sur un milieu de travail inclusif)</w:t>
      </w:r>
      <w:r w:rsidRPr="00262910">
        <w:rPr>
          <w:lang w:val="fr-FR"/>
        </w:rPr>
        <w:t xml:space="preserve"> </w:t>
      </w:r>
      <w:r>
        <w:rPr>
          <w:lang w:val="fr-FR"/>
        </w:rPr>
        <w:t xml:space="preserve">est le fruit d’une </w:t>
      </w:r>
      <w:r w:rsidRPr="00262910">
        <w:rPr>
          <w:lang w:val="fr-FR"/>
        </w:rPr>
        <w:t xml:space="preserve">tradition de coopération et de confiance entre autorités, </w:t>
      </w:r>
      <w:r>
        <w:rPr>
          <w:lang w:val="fr-FR"/>
        </w:rPr>
        <w:t xml:space="preserve">travailleurs </w:t>
      </w:r>
      <w:r w:rsidRPr="00262910">
        <w:rPr>
          <w:lang w:val="fr-FR"/>
        </w:rPr>
        <w:t>et employeurs en Norvège. L</w:t>
      </w:r>
      <w:r>
        <w:rPr>
          <w:lang w:val="fr-FR"/>
        </w:rPr>
        <w:t>’</w:t>
      </w:r>
      <w:r w:rsidRPr="00262910">
        <w:rPr>
          <w:lang w:val="fr-FR"/>
        </w:rPr>
        <w:t xml:space="preserve">Accord </w:t>
      </w:r>
      <w:r>
        <w:rPr>
          <w:lang w:val="fr-FR"/>
        </w:rPr>
        <w:t xml:space="preserve">repose sur </w:t>
      </w:r>
      <w:r w:rsidRPr="00262910">
        <w:rPr>
          <w:lang w:val="fr-FR"/>
        </w:rPr>
        <w:t>la reconnaissance commune du fait que l</w:t>
      </w:r>
      <w:r>
        <w:rPr>
          <w:lang w:val="fr-FR"/>
        </w:rPr>
        <w:t>’</w:t>
      </w:r>
      <w:r w:rsidRPr="00262910">
        <w:rPr>
          <w:lang w:val="fr-FR"/>
        </w:rPr>
        <w:t xml:space="preserve">activité par le travail </w:t>
      </w:r>
      <w:r>
        <w:rPr>
          <w:lang w:val="fr-FR"/>
        </w:rPr>
        <w:t xml:space="preserve">est bonne pour </w:t>
      </w:r>
      <w:r w:rsidRPr="00262910">
        <w:rPr>
          <w:lang w:val="fr-FR"/>
        </w:rPr>
        <w:t xml:space="preserve">la santé et que la mise en œuvre précoce de mesures actives pourrait empêcher </w:t>
      </w:r>
      <w:r>
        <w:rPr>
          <w:lang w:val="fr-FR"/>
        </w:rPr>
        <w:t>la cessation d’activité</w:t>
      </w:r>
      <w:r w:rsidRPr="00262910">
        <w:rPr>
          <w:lang w:val="fr-FR"/>
        </w:rPr>
        <w:t>.</w:t>
      </w:r>
    </w:p>
    <w:p w:rsidR="001771B8" w:rsidRPr="00262910" w:rsidRDefault="001771B8" w:rsidP="001771B8">
      <w:pPr>
        <w:pStyle w:val="SingleTxtG"/>
        <w:rPr>
          <w:lang w:val="fr-FR"/>
        </w:rPr>
      </w:pPr>
      <w:r w:rsidRPr="00262910">
        <w:rPr>
          <w:lang w:val="fr-FR"/>
        </w:rPr>
        <w:t>132.</w:t>
      </w:r>
      <w:r w:rsidRPr="00262910">
        <w:rPr>
          <w:lang w:val="fr-FR"/>
        </w:rPr>
        <w:tab/>
        <w:t>La lettre d</w:t>
      </w:r>
      <w:r>
        <w:rPr>
          <w:lang w:val="fr-FR"/>
        </w:rPr>
        <w:t>’</w:t>
      </w:r>
      <w:r w:rsidRPr="00262910">
        <w:rPr>
          <w:lang w:val="fr-FR"/>
        </w:rPr>
        <w:t xml:space="preserve">intention </w:t>
      </w:r>
      <w:r>
        <w:rPr>
          <w:lang w:val="fr-FR"/>
        </w:rPr>
        <w:t xml:space="preserve">antérieure couvrait </w:t>
      </w:r>
      <w:r w:rsidRPr="00262910">
        <w:rPr>
          <w:lang w:val="fr-FR"/>
        </w:rPr>
        <w:t>l</w:t>
      </w:r>
      <w:r>
        <w:rPr>
          <w:lang w:val="fr-FR"/>
        </w:rPr>
        <w:t xml:space="preserve">es années </w:t>
      </w:r>
      <w:r w:rsidRPr="00262910">
        <w:rPr>
          <w:lang w:val="fr-FR"/>
        </w:rPr>
        <w:t>2014-2018</w:t>
      </w:r>
      <w:r>
        <w:rPr>
          <w:lang w:val="fr-FR"/>
        </w:rPr>
        <w:t xml:space="preserve"> et l’accord connexe ava</w:t>
      </w:r>
      <w:r w:rsidRPr="00262910">
        <w:rPr>
          <w:lang w:val="fr-FR"/>
        </w:rPr>
        <w:t xml:space="preserve">it </w:t>
      </w:r>
      <w:r>
        <w:rPr>
          <w:lang w:val="fr-FR"/>
        </w:rPr>
        <w:t xml:space="preserve">pour objectifs </w:t>
      </w:r>
      <w:r w:rsidRPr="00950D96">
        <w:rPr>
          <w:lang w:val="fr-FR"/>
        </w:rPr>
        <w:t>principaux</w:t>
      </w:r>
      <w:r>
        <w:rPr>
          <w:lang w:val="fr-FR"/>
        </w:rPr>
        <w:t xml:space="preserve"> </w:t>
      </w:r>
      <w:r w:rsidRPr="00262910">
        <w:rPr>
          <w:lang w:val="fr-FR"/>
        </w:rPr>
        <w:t>d</w:t>
      </w:r>
      <w:r>
        <w:rPr>
          <w:lang w:val="fr-FR"/>
        </w:rPr>
        <w:t>’</w:t>
      </w:r>
      <w:r w:rsidRPr="00262910">
        <w:rPr>
          <w:lang w:val="fr-FR"/>
        </w:rPr>
        <w:t xml:space="preserve">améliorer </w:t>
      </w:r>
      <w:r>
        <w:rPr>
          <w:lang w:val="fr-FR"/>
        </w:rPr>
        <w:t xml:space="preserve">le milieu </w:t>
      </w:r>
      <w:r w:rsidRPr="00262910">
        <w:rPr>
          <w:lang w:val="fr-FR"/>
        </w:rPr>
        <w:t>de travail, d</w:t>
      </w:r>
      <w:r>
        <w:rPr>
          <w:lang w:val="fr-FR"/>
        </w:rPr>
        <w:t>’</w:t>
      </w:r>
      <w:r w:rsidRPr="00262910">
        <w:rPr>
          <w:lang w:val="fr-FR"/>
        </w:rPr>
        <w:t xml:space="preserve">aider les </w:t>
      </w:r>
      <w:r>
        <w:rPr>
          <w:lang w:val="fr-FR"/>
        </w:rPr>
        <w:t xml:space="preserve">travailleurs à reprendre le </w:t>
      </w:r>
      <w:r w:rsidRPr="00262910">
        <w:rPr>
          <w:lang w:val="fr-FR"/>
        </w:rPr>
        <w:t>travail, de prévenir et réduire les absences pour cause de maladie et de prévenir l</w:t>
      </w:r>
      <w:r>
        <w:rPr>
          <w:lang w:val="fr-FR"/>
        </w:rPr>
        <w:t>’</w:t>
      </w:r>
      <w:r w:rsidRPr="00262910">
        <w:rPr>
          <w:lang w:val="fr-FR"/>
        </w:rPr>
        <w:t>expulsion et le retrait de la vie active. L</w:t>
      </w:r>
      <w:r>
        <w:rPr>
          <w:lang w:val="fr-FR"/>
        </w:rPr>
        <w:t>’</w:t>
      </w:r>
      <w:r w:rsidRPr="00262910">
        <w:rPr>
          <w:lang w:val="fr-FR"/>
        </w:rPr>
        <w:t xml:space="preserve">accord avait trois </w:t>
      </w:r>
      <w:r>
        <w:rPr>
          <w:lang w:val="fr-FR"/>
        </w:rPr>
        <w:t>buts</w:t>
      </w:r>
      <w:r w:rsidRPr="00262910">
        <w:rPr>
          <w:lang w:val="fr-FR"/>
        </w:rPr>
        <w:t xml:space="preserve"> opérationnels</w:t>
      </w:r>
      <w:r w:rsidR="000F7E97">
        <w:rPr>
          <w:lang w:val="fr-FR"/>
        </w:rPr>
        <w:t> </w:t>
      </w:r>
      <w:r w:rsidRPr="00262910">
        <w:rPr>
          <w:lang w:val="fr-FR"/>
        </w:rPr>
        <w:t>: 1) rédu</w:t>
      </w:r>
      <w:r>
        <w:rPr>
          <w:lang w:val="fr-FR"/>
        </w:rPr>
        <w:t>ire d</w:t>
      </w:r>
      <w:r w:rsidRPr="00262910">
        <w:rPr>
          <w:lang w:val="fr-FR"/>
        </w:rPr>
        <w:t xml:space="preserve">e 20 % </w:t>
      </w:r>
      <w:r>
        <w:rPr>
          <w:lang w:val="fr-FR"/>
        </w:rPr>
        <w:t>l</w:t>
      </w:r>
      <w:r w:rsidRPr="00262910">
        <w:rPr>
          <w:lang w:val="fr-FR"/>
        </w:rPr>
        <w:t>e</w:t>
      </w:r>
      <w:r>
        <w:rPr>
          <w:lang w:val="fr-FR"/>
        </w:rPr>
        <w:t xml:space="preserve"> taux d’absentéisme pour cause </w:t>
      </w:r>
      <w:r w:rsidRPr="00262910">
        <w:rPr>
          <w:lang w:val="fr-FR"/>
        </w:rPr>
        <w:t>de maladie par rapport au deuxième trimestre de 2001</w:t>
      </w:r>
      <w:r w:rsidR="00EB4AD7">
        <w:rPr>
          <w:lang w:val="fr-FR"/>
        </w:rPr>
        <w:t> </w:t>
      </w:r>
      <w:r w:rsidRPr="00262910">
        <w:rPr>
          <w:lang w:val="fr-FR"/>
        </w:rPr>
        <w:t>; 2) prévenir l</w:t>
      </w:r>
      <w:r>
        <w:rPr>
          <w:lang w:val="fr-FR"/>
        </w:rPr>
        <w:t xml:space="preserve">a cessation d’activité </w:t>
      </w:r>
      <w:r w:rsidRPr="00262910">
        <w:rPr>
          <w:lang w:val="fr-FR"/>
        </w:rPr>
        <w:t xml:space="preserve">et </w:t>
      </w:r>
      <w:r>
        <w:rPr>
          <w:lang w:val="fr-FR"/>
        </w:rPr>
        <w:t xml:space="preserve">accroître le taux d’emploi </w:t>
      </w:r>
      <w:r w:rsidRPr="00262910">
        <w:rPr>
          <w:lang w:val="fr-FR"/>
        </w:rPr>
        <w:t>des personnes à capacité fonctionnelle réduite</w:t>
      </w:r>
      <w:r w:rsidR="00EB4AD7">
        <w:rPr>
          <w:lang w:val="fr-FR"/>
        </w:rPr>
        <w:t> </w:t>
      </w:r>
      <w:r w:rsidRPr="00262910">
        <w:rPr>
          <w:lang w:val="fr-FR"/>
        </w:rPr>
        <w:t>; 3) prolonger de douze mois l</w:t>
      </w:r>
      <w:r>
        <w:rPr>
          <w:lang w:val="fr-FR"/>
        </w:rPr>
        <w:t>a période d’</w:t>
      </w:r>
      <w:r w:rsidRPr="00262910">
        <w:rPr>
          <w:lang w:val="fr-FR"/>
        </w:rPr>
        <w:t>acti</w:t>
      </w:r>
      <w:r>
        <w:rPr>
          <w:lang w:val="fr-FR"/>
        </w:rPr>
        <w:t xml:space="preserve">vité des plus de </w:t>
      </w:r>
      <w:r w:rsidRPr="00262910">
        <w:rPr>
          <w:lang w:val="fr-FR"/>
        </w:rPr>
        <w:t>50</w:t>
      </w:r>
      <w:r w:rsidR="00EB4AD7">
        <w:rPr>
          <w:lang w:val="fr-FR"/>
        </w:rPr>
        <w:t> </w:t>
      </w:r>
      <w:r w:rsidRPr="00262910">
        <w:rPr>
          <w:lang w:val="fr-FR"/>
        </w:rPr>
        <w:t xml:space="preserve">ans. </w:t>
      </w:r>
    </w:p>
    <w:p w:rsidR="001771B8" w:rsidRPr="00262910" w:rsidRDefault="001771B8" w:rsidP="001771B8">
      <w:pPr>
        <w:pStyle w:val="SingleTxtG"/>
        <w:rPr>
          <w:lang w:val="fr-FR"/>
        </w:rPr>
      </w:pPr>
      <w:r w:rsidRPr="00262910">
        <w:rPr>
          <w:lang w:val="fr-FR"/>
        </w:rPr>
        <w:t>133.</w:t>
      </w:r>
      <w:r w:rsidRPr="00262910">
        <w:rPr>
          <w:lang w:val="fr-FR"/>
        </w:rPr>
        <w:tab/>
        <w:t xml:space="preserve">Le </w:t>
      </w:r>
      <w:r>
        <w:rPr>
          <w:lang w:val="fr-FR"/>
        </w:rPr>
        <w:t xml:space="preserve">taux </w:t>
      </w:r>
      <w:r w:rsidRPr="00262910">
        <w:rPr>
          <w:lang w:val="fr-FR"/>
        </w:rPr>
        <w:t>d</w:t>
      </w:r>
      <w:r>
        <w:rPr>
          <w:lang w:val="fr-FR"/>
        </w:rPr>
        <w:t>’</w:t>
      </w:r>
      <w:r w:rsidRPr="00262910">
        <w:rPr>
          <w:lang w:val="fr-FR"/>
        </w:rPr>
        <w:t>abse</w:t>
      </w:r>
      <w:r>
        <w:rPr>
          <w:lang w:val="fr-FR"/>
        </w:rPr>
        <w:t xml:space="preserve">ntéisme </w:t>
      </w:r>
      <w:r w:rsidRPr="00262910">
        <w:rPr>
          <w:lang w:val="fr-FR"/>
        </w:rPr>
        <w:t xml:space="preserve">pour cause de maladie a diminué </w:t>
      </w:r>
      <w:r>
        <w:rPr>
          <w:lang w:val="fr-FR"/>
        </w:rPr>
        <w:t xml:space="preserve">après </w:t>
      </w:r>
      <w:r w:rsidRPr="00262910">
        <w:rPr>
          <w:lang w:val="fr-FR"/>
        </w:rPr>
        <w:t xml:space="preserve">la signature du premier accord </w:t>
      </w:r>
      <w:r>
        <w:rPr>
          <w:lang w:val="fr-FR"/>
        </w:rPr>
        <w:t xml:space="preserve">sur un milieu de travail inclusif </w:t>
      </w:r>
      <w:r w:rsidRPr="00262910">
        <w:rPr>
          <w:lang w:val="fr-FR"/>
        </w:rPr>
        <w:t xml:space="preserve">en 2001, mais </w:t>
      </w:r>
      <w:r>
        <w:rPr>
          <w:lang w:val="fr-FR"/>
        </w:rPr>
        <w:t xml:space="preserve">il </w:t>
      </w:r>
      <w:r w:rsidRPr="00262910">
        <w:rPr>
          <w:lang w:val="fr-FR"/>
        </w:rPr>
        <w:t xml:space="preserve">est resté </w:t>
      </w:r>
      <w:r>
        <w:rPr>
          <w:lang w:val="fr-FR"/>
        </w:rPr>
        <w:t xml:space="preserve">presque </w:t>
      </w:r>
      <w:r w:rsidRPr="00262910">
        <w:rPr>
          <w:lang w:val="fr-FR"/>
        </w:rPr>
        <w:t xml:space="preserve">inchangé depuis 2012. </w:t>
      </w:r>
      <w:r>
        <w:rPr>
          <w:lang w:val="fr-FR"/>
        </w:rPr>
        <w:t>U</w:t>
      </w:r>
      <w:r w:rsidRPr="00CE1E11">
        <w:rPr>
          <w:lang w:val="fr-FR"/>
        </w:rPr>
        <w:t xml:space="preserve">ne attention accrue </w:t>
      </w:r>
      <w:r>
        <w:rPr>
          <w:lang w:val="fr-FR"/>
        </w:rPr>
        <w:t>a été portée à l’</w:t>
      </w:r>
      <w:r w:rsidRPr="00262910">
        <w:rPr>
          <w:lang w:val="fr-FR"/>
        </w:rPr>
        <w:t>emploi des personnes handicapées. Le taux d</w:t>
      </w:r>
      <w:r>
        <w:rPr>
          <w:lang w:val="fr-FR"/>
        </w:rPr>
        <w:t>’</w:t>
      </w:r>
      <w:r w:rsidRPr="00262910">
        <w:rPr>
          <w:lang w:val="fr-FR"/>
        </w:rPr>
        <w:t>emploi des personnes à capacité fonctionnelle réduite est stable depuis 2006</w:t>
      </w:r>
      <w:r>
        <w:rPr>
          <w:lang w:val="fr-FR"/>
        </w:rPr>
        <w:t xml:space="preserve"> et avoisine </w:t>
      </w:r>
      <w:r w:rsidRPr="00262910">
        <w:rPr>
          <w:lang w:val="fr-FR"/>
        </w:rPr>
        <w:t>43</w:t>
      </w:r>
      <w:r w:rsidR="00EB4AD7">
        <w:rPr>
          <w:lang w:val="fr-FR"/>
        </w:rPr>
        <w:t> </w:t>
      </w:r>
      <w:r w:rsidRPr="00262910">
        <w:rPr>
          <w:lang w:val="fr-FR"/>
        </w:rPr>
        <w:t>%. La durée moyenne d</w:t>
      </w:r>
      <w:r>
        <w:rPr>
          <w:lang w:val="fr-FR"/>
        </w:rPr>
        <w:t xml:space="preserve">’activité </w:t>
      </w:r>
      <w:r w:rsidRPr="00262910">
        <w:rPr>
          <w:lang w:val="fr-FR"/>
        </w:rPr>
        <w:t xml:space="preserve">avant la retraite a augmenté et le troisième objectif opérationnel a été atteint </w:t>
      </w:r>
      <w:r>
        <w:rPr>
          <w:lang w:val="fr-FR"/>
        </w:rPr>
        <w:t xml:space="preserve">au cours de la période couverte par </w:t>
      </w:r>
      <w:r w:rsidRPr="00262910">
        <w:rPr>
          <w:lang w:val="fr-FR"/>
        </w:rPr>
        <w:t>l</w:t>
      </w:r>
      <w:r>
        <w:rPr>
          <w:lang w:val="fr-FR"/>
        </w:rPr>
        <w:t>’</w:t>
      </w:r>
      <w:r w:rsidRPr="00262910">
        <w:rPr>
          <w:lang w:val="fr-FR"/>
        </w:rPr>
        <w:t xml:space="preserve">accord. </w:t>
      </w:r>
    </w:p>
    <w:p w:rsidR="001771B8" w:rsidRPr="00262910" w:rsidRDefault="001771B8" w:rsidP="001771B8">
      <w:pPr>
        <w:pStyle w:val="SingleTxtG"/>
        <w:rPr>
          <w:bCs/>
          <w:lang w:val="fr-FR"/>
        </w:rPr>
      </w:pPr>
      <w:r w:rsidRPr="00262910">
        <w:rPr>
          <w:bCs/>
          <w:lang w:val="fr-FR"/>
        </w:rPr>
        <w:t>134.</w:t>
      </w:r>
      <w:r w:rsidRPr="00262910">
        <w:rPr>
          <w:bCs/>
          <w:lang w:val="fr-FR"/>
        </w:rPr>
        <w:tab/>
      </w:r>
      <w:r w:rsidRPr="005D7B77">
        <w:rPr>
          <w:lang w:val="fr-FR"/>
        </w:rPr>
        <w:t>Le Gouvernement</w:t>
      </w:r>
      <w:r w:rsidRPr="00262910">
        <w:rPr>
          <w:lang w:val="fr-FR"/>
        </w:rPr>
        <w:t xml:space="preserve"> et les partenaires sociaux </w:t>
      </w:r>
      <w:r>
        <w:rPr>
          <w:lang w:val="fr-FR"/>
        </w:rPr>
        <w:t xml:space="preserve">ont souscrit à </w:t>
      </w:r>
      <w:r w:rsidRPr="00262910">
        <w:rPr>
          <w:lang w:val="fr-FR"/>
        </w:rPr>
        <w:t>une nouvelle lettre d</w:t>
      </w:r>
      <w:r>
        <w:rPr>
          <w:lang w:val="fr-FR"/>
        </w:rPr>
        <w:t>’</w:t>
      </w:r>
      <w:r w:rsidRPr="00262910">
        <w:rPr>
          <w:lang w:val="fr-FR"/>
        </w:rPr>
        <w:t xml:space="preserve">intention </w:t>
      </w:r>
      <w:r>
        <w:rPr>
          <w:lang w:val="fr-FR"/>
        </w:rPr>
        <w:t xml:space="preserve">relative à </w:t>
      </w:r>
      <w:r w:rsidRPr="00262910">
        <w:rPr>
          <w:lang w:val="fr-FR"/>
        </w:rPr>
        <w:t>une vie professionnelle plus inclusive</w:t>
      </w:r>
      <w:r>
        <w:rPr>
          <w:lang w:val="fr-FR"/>
        </w:rPr>
        <w:t xml:space="preserve"> couvrant </w:t>
      </w:r>
      <w:r w:rsidRPr="00262910">
        <w:rPr>
          <w:lang w:val="fr-FR"/>
        </w:rPr>
        <w:t>l</w:t>
      </w:r>
      <w:r>
        <w:rPr>
          <w:lang w:val="fr-FR"/>
        </w:rPr>
        <w:t xml:space="preserve">a période </w:t>
      </w:r>
      <w:r w:rsidRPr="00262910">
        <w:rPr>
          <w:lang w:val="fr-FR"/>
        </w:rPr>
        <w:t>2019-2022. L</w:t>
      </w:r>
      <w:r>
        <w:rPr>
          <w:lang w:val="fr-FR"/>
        </w:rPr>
        <w:t>’</w:t>
      </w:r>
      <w:r w:rsidRPr="00262910">
        <w:rPr>
          <w:lang w:val="fr-FR"/>
        </w:rPr>
        <w:t xml:space="preserve">accord </w:t>
      </w:r>
      <w:r>
        <w:rPr>
          <w:lang w:val="fr-FR"/>
        </w:rPr>
        <w:t xml:space="preserve">connexe </w:t>
      </w:r>
      <w:r w:rsidRPr="00262910">
        <w:rPr>
          <w:lang w:val="fr-FR"/>
        </w:rPr>
        <w:t>vise à atteindre des taux d</w:t>
      </w:r>
      <w:r>
        <w:rPr>
          <w:lang w:val="fr-FR"/>
        </w:rPr>
        <w:t>’</w:t>
      </w:r>
      <w:r w:rsidRPr="00262910">
        <w:rPr>
          <w:lang w:val="fr-FR"/>
        </w:rPr>
        <w:t>emploi élevés en prévenant et réduisant l</w:t>
      </w:r>
      <w:r>
        <w:rPr>
          <w:lang w:val="fr-FR"/>
        </w:rPr>
        <w:t xml:space="preserve">’absentéisme </w:t>
      </w:r>
      <w:r w:rsidRPr="00262910">
        <w:rPr>
          <w:lang w:val="fr-FR"/>
        </w:rPr>
        <w:t>pour cause de maladie et l</w:t>
      </w:r>
      <w:r>
        <w:rPr>
          <w:lang w:val="fr-FR"/>
        </w:rPr>
        <w:t>a cessation d’activité</w:t>
      </w:r>
      <w:r w:rsidRPr="00262910">
        <w:rPr>
          <w:bCs/>
          <w:lang w:val="fr-FR"/>
        </w:rPr>
        <w:t xml:space="preserve">. </w:t>
      </w:r>
    </w:p>
    <w:p w:rsidR="001771B8" w:rsidRPr="00262910" w:rsidRDefault="001771B8" w:rsidP="001771B8">
      <w:pPr>
        <w:pStyle w:val="H1G"/>
        <w:rPr>
          <w:lang w:val="fr-FR"/>
        </w:rPr>
      </w:pPr>
      <w:r w:rsidRPr="00262910">
        <w:rPr>
          <w:lang w:val="fr-FR"/>
        </w:rPr>
        <w:tab/>
      </w:r>
      <w:r w:rsidRPr="00262910">
        <w:rPr>
          <w:lang w:val="fr-FR"/>
        </w:rPr>
        <w:tab/>
      </w:r>
      <w:r w:rsidRPr="001D50B1">
        <w:rPr>
          <w:lang w:val="fr-FR"/>
        </w:rPr>
        <w:t>Réponse au paragraphe 19 de la liste de points</w:t>
      </w:r>
    </w:p>
    <w:p w:rsidR="001771B8" w:rsidRPr="00262910" w:rsidRDefault="001771B8" w:rsidP="001771B8">
      <w:pPr>
        <w:pStyle w:val="SingleTxtG"/>
        <w:rPr>
          <w:lang w:val="fr-FR"/>
        </w:rPr>
      </w:pPr>
      <w:r w:rsidRPr="00262910">
        <w:rPr>
          <w:lang w:val="fr-FR"/>
        </w:rPr>
        <w:t>135.</w:t>
      </w:r>
      <w:r w:rsidRPr="00262910">
        <w:rPr>
          <w:lang w:val="fr-FR"/>
        </w:rPr>
        <w:tab/>
        <w:t xml:space="preserve">Ni le Tribunal </w:t>
      </w:r>
      <w:bookmarkStart w:id="10" w:name="_Hlk29624019"/>
      <w:r w:rsidRPr="00262910">
        <w:rPr>
          <w:lang w:val="fr-FR"/>
        </w:rPr>
        <w:t>pour l</w:t>
      </w:r>
      <w:r>
        <w:rPr>
          <w:lang w:val="fr-FR"/>
        </w:rPr>
        <w:t>’</w:t>
      </w:r>
      <w:r w:rsidRPr="00262910">
        <w:rPr>
          <w:lang w:val="fr-FR"/>
        </w:rPr>
        <w:t xml:space="preserve">égalité et la </w:t>
      </w:r>
      <w:r>
        <w:rPr>
          <w:lang w:val="fr-FR"/>
        </w:rPr>
        <w:t xml:space="preserve">lutte contre la </w:t>
      </w:r>
      <w:r w:rsidRPr="00262910">
        <w:rPr>
          <w:lang w:val="fr-FR"/>
        </w:rPr>
        <w:t xml:space="preserve">discrimination </w:t>
      </w:r>
      <w:bookmarkEnd w:id="10"/>
      <w:r w:rsidRPr="00262910">
        <w:rPr>
          <w:lang w:val="fr-FR"/>
        </w:rPr>
        <w:t xml:space="preserve">ni </w:t>
      </w:r>
      <w:r>
        <w:rPr>
          <w:lang w:val="fr-FR"/>
        </w:rPr>
        <w:t xml:space="preserve">les juridictions </w:t>
      </w:r>
      <w:r w:rsidRPr="00832BC6">
        <w:rPr>
          <w:lang w:val="fr-FR"/>
        </w:rPr>
        <w:t xml:space="preserve">judiciaires </w:t>
      </w:r>
      <w:r w:rsidRPr="00262910">
        <w:rPr>
          <w:lang w:val="fr-FR"/>
        </w:rPr>
        <w:t>n</w:t>
      </w:r>
      <w:r>
        <w:rPr>
          <w:lang w:val="fr-FR"/>
        </w:rPr>
        <w:t>’</w:t>
      </w:r>
      <w:r w:rsidRPr="00262910">
        <w:rPr>
          <w:lang w:val="fr-FR"/>
        </w:rPr>
        <w:t xml:space="preserve">ont rendu de décisions </w:t>
      </w:r>
      <w:r>
        <w:rPr>
          <w:lang w:val="fr-FR"/>
        </w:rPr>
        <w:t xml:space="preserve">portant sur </w:t>
      </w:r>
      <w:r w:rsidRPr="00262910">
        <w:rPr>
          <w:lang w:val="fr-FR"/>
        </w:rPr>
        <w:t>des questions</w:t>
      </w:r>
      <w:r>
        <w:rPr>
          <w:lang w:val="fr-FR"/>
        </w:rPr>
        <w:t xml:space="preserve"> en lien avec </w:t>
      </w:r>
      <w:r w:rsidRPr="00262910">
        <w:rPr>
          <w:lang w:val="fr-FR"/>
        </w:rPr>
        <w:t>l</w:t>
      </w:r>
      <w:r>
        <w:rPr>
          <w:lang w:val="fr-FR"/>
        </w:rPr>
        <w:t>’</w:t>
      </w:r>
      <w:r w:rsidRPr="00262910">
        <w:rPr>
          <w:lang w:val="fr-FR"/>
        </w:rPr>
        <w:t>article 23 de la loi sur l</w:t>
      </w:r>
      <w:r>
        <w:rPr>
          <w:lang w:val="fr-FR"/>
        </w:rPr>
        <w:t>’</w:t>
      </w:r>
      <w:r w:rsidRPr="00262910">
        <w:rPr>
          <w:lang w:val="fr-FR"/>
        </w:rPr>
        <w:t>égalité et la lutte contre la discrimination. L</w:t>
      </w:r>
      <w:r>
        <w:rPr>
          <w:lang w:val="fr-FR"/>
        </w:rPr>
        <w:t>’</w:t>
      </w:r>
      <w:r w:rsidRPr="00262910">
        <w:rPr>
          <w:lang w:val="fr-FR"/>
        </w:rPr>
        <w:t>article 24 de la</w:t>
      </w:r>
      <w:r>
        <w:rPr>
          <w:lang w:val="fr-FR"/>
        </w:rPr>
        <w:t xml:space="preserve">dite </w:t>
      </w:r>
      <w:r w:rsidRPr="00262910">
        <w:rPr>
          <w:lang w:val="fr-FR"/>
        </w:rPr>
        <w:t>loi</w:t>
      </w:r>
      <w:r>
        <w:rPr>
          <w:lang w:val="fr-FR"/>
        </w:rPr>
        <w:t xml:space="preserve"> fait obligation aux </w:t>
      </w:r>
      <w:r w:rsidRPr="00262910">
        <w:rPr>
          <w:lang w:val="fr-FR"/>
        </w:rPr>
        <w:t>autorités publiques de promouvoir l</w:t>
      </w:r>
      <w:r>
        <w:rPr>
          <w:lang w:val="fr-FR"/>
        </w:rPr>
        <w:t>’</w:t>
      </w:r>
      <w:r w:rsidRPr="00262910">
        <w:rPr>
          <w:lang w:val="fr-FR"/>
        </w:rPr>
        <w:t>égalité mais n</w:t>
      </w:r>
      <w:r>
        <w:rPr>
          <w:lang w:val="fr-FR"/>
        </w:rPr>
        <w:t>’</w:t>
      </w:r>
      <w:r w:rsidRPr="00262910">
        <w:rPr>
          <w:lang w:val="fr-FR"/>
        </w:rPr>
        <w:t xml:space="preserve">impose aucune obligation aux employeurs. </w:t>
      </w:r>
      <w:r>
        <w:rPr>
          <w:lang w:val="fr-FR"/>
        </w:rPr>
        <w:t xml:space="preserve">L’article </w:t>
      </w:r>
      <w:r w:rsidRPr="00722BAC">
        <w:rPr>
          <w:lang w:val="fr-FR"/>
        </w:rPr>
        <w:t>26 concern</w:t>
      </w:r>
      <w:r>
        <w:rPr>
          <w:lang w:val="fr-FR"/>
        </w:rPr>
        <w:t>e l’obligation pour tout employeur de déployer des efforts actifs en vue de promouvoir l’égalité, tandis que l’</w:t>
      </w:r>
      <w:r w:rsidRPr="00262910">
        <w:rPr>
          <w:lang w:val="fr-FR"/>
        </w:rPr>
        <w:t xml:space="preserve">article 26a dispose que les entreprises </w:t>
      </w:r>
      <w:r>
        <w:rPr>
          <w:lang w:val="fr-FR"/>
        </w:rPr>
        <w:t xml:space="preserve">qui sont </w:t>
      </w:r>
      <w:r w:rsidRPr="00262910">
        <w:rPr>
          <w:lang w:val="fr-FR"/>
        </w:rPr>
        <w:t>tenues d</w:t>
      </w:r>
      <w:r>
        <w:rPr>
          <w:lang w:val="fr-FR"/>
        </w:rPr>
        <w:t>’</w:t>
      </w:r>
      <w:r w:rsidRPr="00262910">
        <w:rPr>
          <w:lang w:val="fr-FR"/>
        </w:rPr>
        <w:t xml:space="preserve">établir un rapport annuel </w:t>
      </w:r>
      <w:r>
        <w:rPr>
          <w:lang w:val="fr-FR"/>
        </w:rPr>
        <w:t>doivent rendre compte à ce titre de leur situation en matière d’égalité ainsi que d</w:t>
      </w:r>
      <w:r w:rsidRPr="00262910">
        <w:rPr>
          <w:lang w:val="fr-FR"/>
        </w:rPr>
        <w:t xml:space="preserve">es mesures mises en œuvre </w:t>
      </w:r>
      <w:r>
        <w:rPr>
          <w:lang w:val="fr-FR"/>
        </w:rPr>
        <w:t xml:space="preserve">ou </w:t>
      </w:r>
      <w:r w:rsidRPr="00262910">
        <w:rPr>
          <w:lang w:val="fr-FR"/>
        </w:rPr>
        <w:t>prévues</w:t>
      </w:r>
      <w:r w:rsidRPr="00722BAC">
        <w:rPr>
          <w:lang w:val="fr-FR"/>
        </w:rPr>
        <w:t xml:space="preserve"> en faveur de l</w:t>
      </w:r>
      <w:r>
        <w:rPr>
          <w:lang w:val="fr-FR"/>
        </w:rPr>
        <w:t>’</w:t>
      </w:r>
      <w:r w:rsidRPr="00722BAC">
        <w:rPr>
          <w:lang w:val="fr-FR"/>
        </w:rPr>
        <w:t>égalité</w:t>
      </w:r>
      <w:r w:rsidRPr="00262910">
        <w:rPr>
          <w:lang w:val="fr-FR"/>
        </w:rPr>
        <w:t xml:space="preserve">. </w:t>
      </w:r>
    </w:p>
    <w:p w:rsidR="001771B8" w:rsidRPr="00262910" w:rsidRDefault="001771B8" w:rsidP="001771B8">
      <w:pPr>
        <w:pStyle w:val="SingleTxtG"/>
        <w:rPr>
          <w:bCs/>
          <w:iCs/>
          <w:lang w:val="fr-FR"/>
        </w:rPr>
      </w:pPr>
      <w:r w:rsidRPr="00262910">
        <w:rPr>
          <w:bCs/>
          <w:iCs/>
          <w:lang w:val="fr-FR"/>
        </w:rPr>
        <w:t>136.</w:t>
      </w:r>
      <w:r w:rsidRPr="00262910">
        <w:rPr>
          <w:bCs/>
          <w:iCs/>
          <w:lang w:val="fr-FR"/>
        </w:rPr>
        <w:tab/>
      </w:r>
      <w:r>
        <w:rPr>
          <w:lang w:val="fr-FR"/>
        </w:rPr>
        <w:t>Un article distinct de l</w:t>
      </w:r>
      <w:r w:rsidRPr="00262910">
        <w:rPr>
          <w:lang w:val="fr-FR"/>
        </w:rPr>
        <w:t>a nouvelle loi sur l</w:t>
      </w:r>
      <w:r>
        <w:rPr>
          <w:lang w:val="fr-FR"/>
        </w:rPr>
        <w:t>’</w:t>
      </w:r>
      <w:r w:rsidRPr="00262910">
        <w:rPr>
          <w:lang w:val="fr-FR"/>
        </w:rPr>
        <w:t xml:space="preserve">égalité et la lutte contre la discrimination </w:t>
      </w:r>
      <w:r>
        <w:rPr>
          <w:lang w:val="fr-FR"/>
        </w:rPr>
        <w:t xml:space="preserve">prévoit </w:t>
      </w:r>
      <w:r w:rsidRPr="00A011B3">
        <w:rPr>
          <w:lang w:val="fr-FR"/>
        </w:rPr>
        <w:t>une protection</w:t>
      </w:r>
      <w:r w:rsidRPr="00262910">
        <w:rPr>
          <w:lang w:val="fr-FR"/>
        </w:rPr>
        <w:t xml:space="preserve"> </w:t>
      </w:r>
      <w:r>
        <w:rPr>
          <w:lang w:val="fr-FR"/>
        </w:rPr>
        <w:t xml:space="preserve">élevée </w:t>
      </w:r>
      <w:r w:rsidRPr="00262910">
        <w:rPr>
          <w:lang w:val="fr-FR"/>
        </w:rPr>
        <w:t xml:space="preserve">contre la discrimination </w:t>
      </w:r>
      <w:r>
        <w:rPr>
          <w:lang w:val="fr-FR"/>
        </w:rPr>
        <w:t>à l’égard des femmes au motif d’une g</w:t>
      </w:r>
      <w:r w:rsidRPr="00262910">
        <w:rPr>
          <w:lang w:val="fr-FR"/>
        </w:rPr>
        <w:t xml:space="preserve">rossesse et </w:t>
      </w:r>
      <w:r>
        <w:rPr>
          <w:lang w:val="fr-FR"/>
        </w:rPr>
        <w:t xml:space="preserve">contre les parents au motif du recours au </w:t>
      </w:r>
      <w:r w:rsidRPr="00262910">
        <w:rPr>
          <w:lang w:val="fr-FR"/>
        </w:rPr>
        <w:t xml:space="preserve">congé parental. </w:t>
      </w:r>
      <w:r>
        <w:rPr>
          <w:lang w:val="fr-FR"/>
        </w:rPr>
        <w:t>En outre l</w:t>
      </w:r>
      <w:r w:rsidRPr="00262910">
        <w:rPr>
          <w:lang w:val="fr-FR"/>
        </w:rPr>
        <w:t xml:space="preserve">es </w:t>
      </w:r>
      <w:r>
        <w:rPr>
          <w:lang w:val="fr-FR"/>
        </w:rPr>
        <w:t xml:space="preserve">charges familiales constituent désormais un motif </w:t>
      </w:r>
      <w:r w:rsidRPr="00262910">
        <w:rPr>
          <w:lang w:val="fr-FR"/>
        </w:rPr>
        <w:t xml:space="preserve">de discrimination </w:t>
      </w:r>
      <w:r>
        <w:rPr>
          <w:lang w:val="fr-FR"/>
        </w:rPr>
        <w:t xml:space="preserve">proscrit </w:t>
      </w:r>
      <w:r w:rsidRPr="00262910">
        <w:rPr>
          <w:lang w:val="fr-FR"/>
        </w:rPr>
        <w:t>distinct</w:t>
      </w:r>
      <w:r w:rsidRPr="00262910">
        <w:rPr>
          <w:bCs/>
          <w:iCs/>
          <w:lang w:val="fr-FR"/>
        </w:rPr>
        <w:t xml:space="preserve">. </w:t>
      </w:r>
    </w:p>
    <w:p w:rsidR="001771B8" w:rsidRPr="00262910" w:rsidRDefault="001771B8" w:rsidP="001771B8">
      <w:pPr>
        <w:pStyle w:val="SingleTxtG"/>
        <w:rPr>
          <w:bCs/>
          <w:iCs/>
          <w:lang w:val="fr-FR"/>
        </w:rPr>
      </w:pPr>
      <w:r w:rsidRPr="00262910">
        <w:rPr>
          <w:bCs/>
          <w:iCs/>
          <w:lang w:val="fr-FR"/>
        </w:rPr>
        <w:t>137.</w:t>
      </w:r>
      <w:r w:rsidRPr="00262910">
        <w:rPr>
          <w:bCs/>
          <w:iCs/>
          <w:lang w:val="fr-FR"/>
        </w:rPr>
        <w:tab/>
      </w:r>
      <w:r w:rsidRPr="00262910">
        <w:rPr>
          <w:lang w:val="fr-FR"/>
        </w:rPr>
        <w:t xml:space="preserve">En </w:t>
      </w:r>
      <w:r>
        <w:rPr>
          <w:lang w:val="fr-FR"/>
        </w:rPr>
        <w:t xml:space="preserve">matière d’embauche </w:t>
      </w:r>
      <w:r w:rsidRPr="00262910">
        <w:rPr>
          <w:lang w:val="fr-FR"/>
        </w:rPr>
        <w:t>et de cessation d</w:t>
      </w:r>
      <w:r>
        <w:rPr>
          <w:lang w:val="fr-FR"/>
        </w:rPr>
        <w:t>’</w:t>
      </w:r>
      <w:r w:rsidRPr="00262910">
        <w:rPr>
          <w:lang w:val="fr-FR"/>
        </w:rPr>
        <w:t>emploi, il n</w:t>
      </w:r>
      <w:r>
        <w:rPr>
          <w:lang w:val="fr-FR"/>
        </w:rPr>
        <w:t>’</w:t>
      </w:r>
      <w:r w:rsidRPr="00262910">
        <w:rPr>
          <w:lang w:val="fr-FR"/>
        </w:rPr>
        <w:t xml:space="preserve">est </w:t>
      </w:r>
      <w:r>
        <w:rPr>
          <w:lang w:val="fr-FR"/>
        </w:rPr>
        <w:t xml:space="preserve">en aucun cas </w:t>
      </w:r>
      <w:r w:rsidRPr="00262910">
        <w:rPr>
          <w:lang w:val="fr-FR"/>
        </w:rPr>
        <w:t>permis d</w:t>
      </w:r>
      <w:r>
        <w:rPr>
          <w:lang w:val="fr-FR"/>
        </w:rPr>
        <w:t>’</w:t>
      </w:r>
      <w:r w:rsidRPr="00262910">
        <w:rPr>
          <w:lang w:val="fr-FR"/>
        </w:rPr>
        <w:t xml:space="preserve">appliquer un traitement différencié </w:t>
      </w:r>
      <w:r>
        <w:rPr>
          <w:lang w:val="fr-FR"/>
        </w:rPr>
        <w:t xml:space="preserve">fondé sur </w:t>
      </w:r>
      <w:r w:rsidRPr="00262910">
        <w:rPr>
          <w:lang w:val="fr-FR"/>
        </w:rPr>
        <w:t>la grossesse, l</w:t>
      </w:r>
      <w:r>
        <w:rPr>
          <w:lang w:val="fr-FR"/>
        </w:rPr>
        <w:t>’</w:t>
      </w:r>
      <w:r w:rsidRPr="00262910">
        <w:rPr>
          <w:lang w:val="fr-FR"/>
        </w:rPr>
        <w:t>accouchement, l</w:t>
      </w:r>
      <w:r>
        <w:rPr>
          <w:lang w:val="fr-FR"/>
        </w:rPr>
        <w:t>’</w:t>
      </w:r>
      <w:r w:rsidRPr="00262910">
        <w:rPr>
          <w:lang w:val="fr-FR"/>
        </w:rPr>
        <w:t xml:space="preserve">allaitement </w:t>
      </w:r>
      <w:r>
        <w:rPr>
          <w:lang w:val="fr-FR"/>
        </w:rPr>
        <w:t xml:space="preserve">ou </w:t>
      </w:r>
      <w:r w:rsidRPr="00262910">
        <w:rPr>
          <w:lang w:val="fr-FR"/>
        </w:rPr>
        <w:t>un congé de naissance ou d</w:t>
      </w:r>
      <w:r>
        <w:rPr>
          <w:lang w:val="fr-FR"/>
        </w:rPr>
        <w:t>’</w:t>
      </w:r>
      <w:r w:rsidRPr="00262910">
        <w:rPr>
          <w:lang w:val="fr-FR"/>
        </w:rPr>
        <w:t>adoption. C</w:t>
      </w:r>
      <w:r>
        <w:rPr>
          <w:lang w:val="fr-FR"/>
        </w:rPr>
        <w:t xml:space="preserve">ette disposition </w:t>
      </w:r>
      <w:r w:rsidRPr="00262910">
        <w:rPr>
          <w:lang w:val="fr-FR"/>
        </w:rPr>
        <w:t>s</w:t>
      </w:r>
      <w:r>
        <w:rPr>
          <w:lang w:val="fr-FR"/>
        </w:rPr>
        <w:t>’</w:t>
      </w:r>
      <w:r w:rsidRPr="00262910">
        <w:rPr>
          <w:lang w:val="fr-FR"/>
        </w:rPr>
        <w:t xml:space="preserve">applique </w:t>
      </w:r>
      <w:r>
        <w:rPr>
          <w:lang w:val="fr-FR"/>
        </w:rPr>
        <w:t xml:space="preserve">aussi </w:t>
      </w:r>
      <w:r w:rsidRPr="00262910">
        <w:rPr>
          <w:lang w:val="fr-FR"/>
        </w:rPr>
        <w:t>à la prolongation d</w:t>
      </w:r>
      <w:r>
        <w:rPr>
          <w:lang w:val="fr-FR"/>
        </w:rPr>
        <w:t>’un contrat d’</w:t>
      </w:r>
      <w:r w:rsidRPr="00262910">
        <w:rPr>
          <w:lang w:val="fr-FR"/>
        </w:rPr>
        <w:t xml:space="preserve">emploi temporaire. </w:t>
      </w:r>
      <w:r>
        <w:rPr>
          <w:lang w:val="fr-FR"/>
        </w:rPr>
        <w:t>L</w:t>
      </w:r>
      <w:r w:rsidRPr="00262910">
        <w:rPr>
          <w:lang w:val="fr-FR"/>
        </w:rPr>
        <w:t xml:space="preserve">a loi précise </w:t>
      </w:r>
      <w:r>
        <w:rPr>
          <w:lang w:val="fr-FR"/>
        </w:rPr>
        <w:t xml:space="preserve">en outre </w:t>
      </w:r>
      <w:r w:rsidRPr="00262910">
        <w:rPr>
          <w:lang w:val="fr-FR"/>
        </w:rPr>
        <w:t>les droits des travailleurs qui sont en congé parental</w:t>
      </w:r>
      <w:r w:rsidRPr="00A011B3">
        <w:rPr>
          <w:lang w:val="fr-FR"/>
        </w:rPr>
        <w:t xml:space="preserve"> ou </w:t>
      </w:r>
      <w:r>
        <w:rPr>
          <w:lang w:val="fr-FR"/>
        </w:rPr>
        <w:t>l’</w:t>
      </w:r>
      <w:r w:rsidRPr="00A011B3">
        <w:rPr>
          <w:lang w:val="fr-FR"/>
        </w:rPr>
        <w:t>ont été</w:t>
      </w:r>
      <w:r w:rsidRPr="00262910">
        <w:rPr>
          <w:lang w:val="fr-FR"/>
        </w:rPr>
        <w:t xml:space="preserve">. </w:t>
      </w:r>
      <w:r>
        <w:rPr>
          <w:lang w:val="fr-FR"/>
        </w:rPr>
        <w:t xml:space="preserve">Chacun des deux parents </w:t>
      </w:r>
      <w:r w:rsidRPr="00262910">
        <w:rPr>
          <w:lang w:val="fr-FR"/>
        </w:rPr>
        <w:t xml:space="preserve">a </w:t>
      </w:r>
      <w:r>
        <w:rPr>
          <w:lang w:val="fr-FR"/>
        </w:rPr>
        <w:t xml:space="preserve">le </w:t>
      </w:r>
      <w:r w:rsidRPr="00262910">
        <w:rPr>
          <w:lang w:val="fr-FR"/>
        </w:rPr>
        <w:t>droit</w:t>
      </w:r>
      <w:r w:rsidR="00EB4AD7">
        <w:rPr>
          <w:lang w:val="fr-FR"/>
        </w:rPr>
        <w:t> </w:t>
      </w:r>
      <w:r w:rsidRPr="00262910">
        <w:rPr>
          <w:bCs/>
          <w:iCs/>
          <w:lang w:val="fr-FR"/>
        </w:rPr>
        <w:t xml:space="preserve">: </w:t>
      </w:r>
    </w:p>
    <w:p w:rsidR="001771B8" w:rsidRPr="00262910" w:rsidRDefault="001771B8" w:rsidP="00EB4AD7">
      <w:pPr>
        <w:pStyle w:val="Bullet1G"/>
        <w:rPr>
          <w:lang w:val="fr-FR"/>
        </w:rPr>
      </w:pPr>
      <w:r>
        <w:rPr>
          <w:lang w:val="fr-FR"/>
        </w:rPr>
        <w:t>De r</w:t>
      </w:r>
      <w:r w:rsidRPr="00262910">
        <w:rPr>
          <w:lang w:val="fr-FR"/>
        </w:rPr>
        <w:t>evenir au même poste ou à un poste correspondant</w:t>
      </w:r>
      <w:r w:rsidR="00EB4AD7">
        <w:rPr>
          <w:lang w:val="fr-FR"/>
        </w:rPr>
        <w:t> </w:t>
      </w:r>
      <w:r w:rsidRPr="00262910">
        <w:rPr>
          <w:lang w:val="fr-FR"/>
        </w:rPr>
        <w:t>;</w:t>
      </w:r>
    </w:p>
    <w:p w:rsidR="001771B8" w:rsidRPr="00262910" w:rsidRDefault="001771B8" w:rsidP="00EB4AD7">
      <w:pPr>
        <w:pStyle w:val="Bullet1G"/>
        <w:rPr>
          <w:lang w:val="fr-FR"/>
        </w:rPr>
      </w:pPr>
      <w:r>
        <w:rPr>
          <w:lang w:val="fr-FR"/>
        </w:rPr>
        <w:t>De b</w:t>
      </w:r>
      <w:r w:rsidRPr="00262910">
        <w:rPr>
          <w:lang w:val="fr-FR"/>
        </w:rPr>
        <w:t>énéficier d</w:t>
      </w:r>
      <w:r>
        <w:rPr>
          <w:lang w:val="fr-FR"/>
        </w:rPr>
        <w:t xml:space="preserve">es </w:t>
      </w:r>
      <w:r w:rsidRPr="00262910">
        <w:rPr>
          <w:lang w:val="fr-FR"/>
        </w:rPr>
        <w:t xml:space="preserve">conditions de travail </w:t>
      </w:r>
      <w:r>
        <w:rPr>
          <w:lang w:val="fr-FR"/>
        </w:rPr>
        <w:t xml:space="preserve">améliorées </w:t>
      </w:r>
      <w:r w:rsidRPr="00262910">
        <w:rPr>
          <w:lang w:val="fr-FR"/>
        </w:rPr>
        <w:t xml:space="preserve">auxquelles </w:t>
      </w:r>
      <w:r>
        <w:rPr>
          <w:lang w:val="fr-FR"/>
        </w:rPr>
        <w:t xml:space="preserve">il ou elle </w:t>
      </w:r>
      <w:r w:rsidRPr="00262910">
        <w:rPr>
          <w:lang w:val="fr-FR"/>
        </w:rPr>
        <w:t xml:space="preserve">aurait eu droit </w:t>
      </w:r>
      <w:r>
        <w:rPr>
          <w:lang w:val="fr-FR"/>
        </w:rPr>
        <w:t xml:space="preserve">durant </w:t>
      </w:r>
      <w:r w:rsidRPr="00262910">
        <w:rPr>
          <w:lang w:val="fr-FR"/>
        </w:rPr>
        <w:t>son absence</w:t>
      </w:r>
      <w:r w:rsidR="00EB4AD7">
        <w:rPr>
          <w:lang w:val="fr-FR"/>
        </w:rPr>
        <w:t> </w:t>
      </w:r>
      <w:r w:rsidRPr="00262910">
        <w:rPr>
          <w:lang w:val="fr-FR"/>
        </w:rPr>
        <w:t xml:space="preserve">; </w:t>
      </w:r>
    </w:p>
    <w:p w:rsidR="001771B8" w:rsidRPr="00262910" w:rsidRDefault="001771B8" w:rsidP="00EB4AD7">
      <w:pPr>
        <w:pStyle w:val="Bullet1G"/>
        <w:rPr>
          <w:lang w:val="fr-FR"/>
        </w:rPr>
      </w:pPr>
      <w:r>
        <w:rPr>
          <w:lang w:val="fr-FR"/>
        </w:rPr>
        <w:t xml:space="preserve">De formuler des </w:t>
      </w:r>
      <w:r w:rsidRPr="00262910">
        <w:rPr>
          <w:lang w:val="fr-FR"/>
        </w:rPr>
        <w:t xml:space="preserve">revendications </w:t>
      </w:r>
      <w:r w:rsidRPr="00EB4AD7">
        <w:t>salariales</w:t>
      </w:r>
      <w:r w:rsidRPr="00262910">
        <w:rPr>
          <w:lang w:val="fr-FR"/>
        </w:rPr>
        <w:t xml:space="preserve"> et, dans les négociations salariales, </w:t>
      </w:r>
      <w:r>
        <w:rPr>
          <w:lang w:val="fr-FR"/>
        </w:rPr>
        <w:t xml:space="preserve">d’être </w:t>
      </w:r>
      <w:r w:rsidRPr="00262910">
        <w:rPr>
          <w:lang w:val="fr-FR"/>
        </w:rPr>
        <w:t xml:space="preserve">évalué </w:t>
      </w:r>
      <w:r>
        <w:rPr>
          <w:lang w:val="fr-FR"/>
        </w:rPr>
        <w:t xml:space="preserve">comme </w:t>
      </w:r>
      <w:r w:rsidRPr="00262910">
        <w:rPr>
          <w:lang w:val="fr-FR"/>
        </w:rPr>
        <w:t xml:space="preserve">les autres </w:t>
      </w:r>
      <w:r>
        <w:rPr>
          <w:lang w:val="fr-FR"/>
        </w:rPr>
        <w:t xml:space="preserve">employés </w:t>
      </w:r>
      <w:r w:rsidRPr="00262910">
        <w:rPr>
          <w:lang w:val="fr-FR"/>
        </w:rPr>
        <w:t>de l</w:t>
      </w:r>
      <w:r>
        <w:rPr>
          <w:lang w:val="fr-FR"/>
        </w:rPr>
        <w:t>’</w:t>
      </w:r>
      <w:r w:rsidRPr="00262910">
        <w:rPr>
          <w:lang w:val="fr-FR"/>
        </w:rPr>
        <w:t>entreprise.</w:t>
      </w:r>
    </w:p>
    <w:p w:rsidR="001771B8" w:rsidRPr="00262910" w:rsidRDefault="001771B8" w:rsidP="001771B8">
      <w:pPr>
        <w:pStyle w:val="SingleTxtG"/>
        <w:rPr>
          <w:bCs/>
          <w:iCs/>
          <w:lang w:val="fr-FR"/>
        </w:rPr>
      </w:pPr>
      <w:r w:rsidRPr="00262910">
        <w:rPr>
          <w:bCs/>
          <w:iCs/>
          <w:lang w:val="fr-FR"/>
        </w:rPr>
        <w:t>138.</w:t>
      </w:r>
      <w:r w:rsidRPr="00262910">
        <w:rPr>
          <w:bCs/>
          <w:iCs/>
          <w:lang w:val="fr-FR"/>
        </w:rPr>
        <w:tab/>
      </w:r>
      <w:r w:rsidRPr="008A105F">
        <w:rPr>
          <w:lang w:val="fr-FR"/>
        </w:rPr>
        <w:t>La loi précitée prévoit</w:t>
      </w:r>
      <w:r w:rsidRPr="00262910">
        <w:rPr>
          <w:lang w:val="fr-FR"/>
        </w:rPr>
        <w:t xml:space="preserve"> </w:t>
      </w:r>
      <w:r>
        <w:rPr>
          <w:lang w:val="fr-FR"/>
        </w:rPr>
        <w:t xml:space="preserve">des aménagements individuels </w:t>
      </w:r>
      <w:r w:rsidRPr="00262910">
        <w:rPr>
          <w:lang w:val="fr-FR"/>
        </w:rPr>
        <w:t xml:space="preserve">pour les travailleuses enceintes et les </w:t>
      </w:r>
      <w:r>
        <w:rPr>
          <w:lang w:val="fr-FR"/>
        </w:rPr>
        <w:t>personnes suivant des études</w:t>
      </w:r>
      <w:r w:rsidRPr="00262910">
        <w:rPr>
          <w:bCs/>
          <w:iCs/>
          <w:lang w:val="fr-FR"/>
        </w:rPr>
        <w:t xml:space="preserve">. </w:t>
      </w:r>
    </w:p>
    <w:p w:rsidR="001771B8" w:rsidRPr="00262910" w:rsidRDefault="001771B8" w:rsidP="001771B8">
      <w:pPr>
        <w:pStyle w:val="SingleTxtG"/>
        <w:rPr>
          <w:bCs/>
          <w:iCs/>
          <w:lang w:val="fr-FR"/>
        </w:rPr>
      </w:pPr>
      <w:r w:rsidRPr="00262910">
        <w:rPr>
          <w:bCs/>
          <w:iCs/>
          <w:lang w:val="fr-FR"/>
        </w:rPr>
        <w:t>139.</w:t>
      </w:r>
      <w:r w:rsidRPr="00262910">
        <w:rPr>
          <w:bCs/>
          <w:iCs/>
          <w:lang w:val="fr-FR"/>
        </w:rPr>
        <w:tab/>
      </w:r>
      <w:r w:rsidRPr="00356DCF">
        <w:rPr>
          <w:lang w:val="fr-FR"/>
        </w:rPr>
        <w:t>Les mères qui</w:t>
      </w:r>
      <w:r w:rsidRPr="00262910">
        <w:rPr>
          <w:lang w:val="fr-FR"/>
        </w:rPr>
        <w:t xml:space="preserve"> allaitent ont le droit de </w:t>
      </w:r>
      <w:r>
        <w:rPr>
          <w:lang w:val="fr-FR"/>
        </w:rPr>
        <w:t>prendre une pause pour ce faire</w:t>
      </w:r>
      <w:r w:rsidRPr="00262910">
        <w:rPr>
          <w:lang w:val="fr-FR"/>
        </w:rPr>
        <w:t xml:space="preserve">. </w:t>
      </w:r>
      <w:r>
        <w:rPr>
          <w:lang w:val="fr-FR"/>
        </w:rPr>
        <w:t>L</w:t>
      </w:r>
      <w:r w:rsidRPr="00262910">
        <w:rPr>
          <w:lang w:val="fr-FR"/>
        </w:rPr>
        <w:t>a mère a droit à une heure</w:t>
      </w:r>
      <w:r w:rsidRPr="00356DCF">
        <w:rPr>
          <w:lang w:val="fr-FR"/>
        </w:rPr>
        <w:t xml:space="preserve"> d</w:t>
      </w:r>
      <w:r>
        <w:rPr>
          <w:lang w:val="fr-FR"/>
        </w:rPr>
        <w:t xml:space="preserve">e </w:t>
      </w:r>
      <w:r w:rsidRPr="00356DCF">
        <w:rPr>
          <w:lang w:val="fr-FR"/>
        </w:rPr>
        <w:t>congé payé</w:t>
      </w:r>
      <w:r w:rsidRPr="00262910">
        <w:rPr>
          <w:lang w:val="fr-FR"/>
        </w:rPr>
        <w:t xml:space="preserve"> par jour pour allaiter</w:t>
      </w:r>
      <w:r w:rsidRPr="00356DCF">
        <w:rPr>
          <w:lang w:val="fr-FR"/>
        </w:rPr>
        <w:t xml:space="preserve"> </w:t>
      </w:r>
      <w:r>
        <w:rPr>
          <w:lang w:val="fr-FR"/>
        </w:rPr>
        <w:t>son e</w:t>
      </w:r>
      <w:r w:rsidRPr="00356DCF">
        <w:rPr>
          <w:lang w:val="fr-FR"/>
        </w:rPr>
        <w:t>nfant</w:t>
      </w:r>
      <w:r>
        <w:rPr>
          <w:lang w:val="fr-FR"/>
        </w:rPr>
        <w:t>,</w:t>
      </w:r>
      <w:r w:rsidRPr="00356DCF">
        <w:rPr>
          <w:lang w:val="fr-FR"/>
        </w:rPr>
        <w:t xml:space="preserve"> </w:t>
      </w:r>
      <w:r>
        <w:rPr>
          <w:lang w:val="fr-FR"/>
        </w:rPr>
        <w:t>jusqu’à l’</w:t>
      </w:r>
      <w:r w:rsidRPr="00356DCF">
        <w:rPr>
          <w:lang w:val="fr-FR"/>
        </w:rPr>
        <w:t>âge d</w:t>
      </w:r>
      <w:r w:rsidR="006560E0">
        <w:rPr>
          <w:lang w:val="fr-FR"/>
        </w:rPr>
        <w:t>e 1</w:t>
      </w:r>
      <w:r w:rsidRPr="00356DCF">
        <w:rPr>
          <w:lang w:val="fr-FR"/>
        </w:rPr>
        <w:t xml:space="preserve"> an</w:t>
      </w:r>
      <w:r w:rsidRPr="00262910">
        <w:rPr>
          <w:bCs/>
          <w:iCs/>
          <w:lang w:val="fr-FR"/>
        </w:rPr>
        <w:t>.</w:t>
      </w:r>
    </w:p>
    <w:p w:rsidR="001771B8" w:rsidRPr="00262910" w:rsidRDefault="001771B8" w:rsidP="001771B8">
      <w:pPr>
        <w:pStyle w:val="SingleTxtG"/>
        <w:rPr>
          <w:lang w:val="fr-FR"/>
        </w:rPr>
      </w:pPr>
      <w:r w:rsidRPr="00262910">
        <w:rPr>
          <w:lang w:val="fr-FR"/>
        </w:rPr>
        <w:t>140.</w:t>
      </w:r>
      <w:r w:rsidRPr="00262910">
        <w:rPr>
          <w:lang w:val="fr-FR"/>
        </w:rPr>
        <w:tab/>
        <w:t>Le nombre de semaines de la période de</w:t>
      </w:r>
      <w:r>
        <w:rPr>
          <w:lang w:val="fr-FR"/>
        </w:rPr>
        <w:t xml:space="preserve"> congé parental </w:t>
      </w:r>
      <w:r w:rsidRPr="00262910">
        <w:rPr>
          <w:lang w:val="fr-FR"/>
        </w:rPr>
        <w:t xml:space="preserve">réservé </w:t>
      </w:r>
      <w:r>
        <w:rPr>
          <w:lang w:val="fr-FR"/>
        </w:rPr>
        <w:t xml:space="preserve">respectivement </w:t>
      </w:r>
      <w:r w:rsidRPr="00262910">
        <w:rPr>
          <w:lang w:val="fr-FR"/>
        </w:rPr>
        <w:t>à la mère et au père a varié au fil des ans. Les statistiques montrent que l</w:t>
      </w:r>
      <w:r>
        <w:rPr>
          <w:lang w:val="fr-FR"/>
        </w:rPr>
        <w:t>’</w:t>
      </w:r>
      <w:r w:rsidRPr="00262910">
        <w:rPr>
          <w:lang w:val="fr-FR"/>
        </w:rPr>
        <w:t>évolution du nombre de</w:t>
      </w:r>
      <w:r>
        <w:rPr>
          <w:lang w:val="fr-FR"/>
        </w:rPr>
        <w:t>s</w:t>
      </w:r>
      <w:r w:rsidRPr="00262910">
        <w:rPr>
          <w:lang w:val="fr-FR"/>
        </w:rPr>
        <w:t xml:space="preserve"> semaines réservées </w:t>
      </w:r>
      <w:r>
        <w:rPr>
          <w:lang w:val="fr-FR"/>
        </w:rPr>
        <w:t xml:space="preserve">aux </w:t>
      </w:r>
      <w:r w:rsidRPr="00262910">
        <w:rPr>
          <w:lang w:val="fr-FR"/>
        </w:rPr>
        <w:t>père</w:t>
      </w:r>
      <w:r>
        <w:rPr>
          <w:lang w:val="fr-FR"/>
        </w:rPr>
        <w:t>s</w:t>
      </w:r>
      <w:r w:rsidRPr="00262910">
        <w:rPr>
          <w:lang w:val="fr-FR"/>
        </w:rPr>
        <w:t xml:space="preserve"> a </w:t>
      </w:r>
      <w:r>
        <w:rPr>
          <w:lang w:val="fr-FR"/>
        </w:rPr>
        <w:t xml:space="preserve">influé </w:t>
      </w:r>
      <w:r w:rsidRPr="00262910">
        <w:rPr>
          <w:lang w:val="fr-FR"/>
        </w:rPr>
        <w:t xml:space="preserve">sur le nombre de semaines de </w:t>
      </w:r>
      <w:r>
        <w:rPr>
          <w:lang w:val="fr-FR"/>
        </w:rPr>
        <w:t xml:space="preserve">congé </w:t>
      </w:r>
      <w:r w:rsidRPr="00262910">
        <w:rPr>
          <w:lang w:val="fr-FR"/>
        </w:rPr>
        <w:t xml:space="preserve">parental </w:t>
      </w:r>
      <w:r>
        <w:rPr>
          <w:lang w:val="fr-FR"/>
        </w:rPr>
        <w:t>dont ils ont bénéficié</w:t>
      </w:r>
      <w:r w:rsidRPr="00262910">
        <w:rPr>
          <w:lang w:val="fr-FR"/>
        </w:rPr>
        <w:t xml:space="preserve">. Les pères </w:t>
      </w:r>
      <w:r>
        <w:rPr>
          <w:lang w:val="fr-FR"/>
        </w:rPr>
        <w:t>t</w:t>
      </w:r>
      <w:r w:rsidRPr="00262910">
        <w:rPr>
          <w:lang w:val="fr-FR"/>
        </w:rPr>
        <w:t>end</w:t>
      </w:r>
      <w:r>
        <w:rPr>
          <w:lang w:val="fr-FR"/>
        </w:rPr>
        <w:t xml:space="preserve">ent à se contenter du nombre de </w:t>
      </w:r>
      <w:r w:rsidRPr="00262910">
        <w:rPr>
          <w:lang w:val="fr-FR"/>
        </w:rPr>
        <w:t xml:space="preserve">semaines qui leur </w:t>
      </w:r>
      <w:r>
        <w:rPr>
          <w:lang w:val="fr-FR"/>
        </w:rPr>
        <w:t xml:space="preserve">est </w:t>
      </w:r>
      <w:r w:rsidRPr="00262910">
        <w:rPr>
          <w:lang w:val="fr-FR"/>
        </w:rPr>
        <w:t xml:space="preserve">réservé, tandis que les mères </w:t>
      </w:r>
      <w:r>
        <w:rPr>
          <w:lang w:val="fr-FR"/>
        </w:rPr>
        <w:t xml:space="preserve">tendent </w:t>
      </w:r>
      <w:r w:rsidRPr="00262910">
        <w:rPr>
          <w:lang w:val="fr-FR"/>
        </w:rPr>
        <w:t xml:space="preserve">à utiliser le reste de la période de </w:t>
      </w:r>
      <w:r>
        <w:rPr>
          <w:lang w:val="fr-FR"/>
        </w:rPr>
        <w:t xml:space="preserve">congé </w:t>
      </w:r>
      <w:r w:rsidRPr="00262910">
        <w:rPr>
          <w:lang w:val="fr-FR"/>
        </w:rPr>
        <w:t>parental.</w:t>
      </w:r>
    </w:p>
    <w:p w:rsidR="001771B8" w:rsidRPr="00262910" w:rsidRDefault="001771B8" w:rsidP="001771B8">
      <w:pPr>
        <w:pStyle w:val="SingleTxtG"/>
        <w:rPr>
          <w:lang w:val="fr-FR"/>
        </w:rPr>
      </w:pPr>
      <w:r w:rsidRPr="00262910">
        <w:rPr>
          <w:lang w:val="fr-FR"/>
        </w:rPr>
        <w:t>141.</w:t>
      </w:r>
      <w:r w:rsidRPr="00262910">
        <w:rPr>
          <w:lang w:val="fr-FR"/>
        </w:rPr>
        <w:tab/>
      </w:r>
      <w:r>
        <w:rPr>
          <w:lang w:val="fr-FR"/>
        </w:rPr>
        <w:t>L</w:t>
      </w:r>
      <w:r w:rsidRPr="00262910">
        <w:rPr>
          <w:lang w:val="fr-FR"/>
        </w:rPr>
        <w:t xml:space="preserve">e nombre de semaines de </w:t>
      </w:r>
      <w:r>
        <w:rPr>
          <w:lang w:val="fr-FR"/>
        </w:rPr>
        <w:t xml:space="preserve">congé parental réservé à </w:t>
      </w:r>
      <w:r w:rsidRPr="00262910">
        <w:rPr>
          <w:lang w:val="fr-FR"/>
        </w:rPr>
        <w:t>chacun des parents a été ramené</w:t>
      </w:r>
      <w:r w:rsidRPr="00226223">
        <w:rPr>
          <w:lang w:val="fr-FR"/>
        </w:rPr>
        <w:t xml:space="preserve"> de 14 à 10 </w:t>
      </w:r>
      <w:r>
        <w:rPr>
          <w:lang w:val="fr-FR"/>
        </w:rPr>
        <w:t xml:space="preserve">au </w:t>
      </w:r>
      <w:r w:rsidRPr="00356DCF">
        <w:rPr>
          <w:lang w:val="fr-FR"/>
        </w:rPr>
        <w:t>1</w:t>
      </w:r>
      <w:r w:rsidRPr="00356DCF">
        <w:rPr>
          <w:vertAlign w:val="superscript"/>
          <w:lang w:val="fr-FR"/>
        </w:rPr>
        <w:t>er</w:t>
      </w:r>
      <w:r w:rsidRPr="00356DCF">
        <w:rPr>
          <w:lang w:val="fr-FR"/>
        </w:rPr>
        <w:t xml:space="preserve"> juillet 2014 </w:t>
      </w:r>
      <w:r w:rsidRPr="00262910">
        <w:rPr>
          <w:lang w:val="fr-FR"/>
        </w:rPr>
        <w:t xml:space="preserve">afin de donner plus de </w:t>
      </w:r>
      <w:r>
        <w:rPr>
          <w:lang w:val="fr-FR"/>
        </w:rPr>
        <w:t xml:space="preserve">latitude </w:t>
      </w:r>
      <w:r w:rsidRPr="00262910">
        <w:rPr>
          <w:lang w:val="fr-FR"/>
        </w:rPr>
        <w:t>aux parents. Les statistiques montrent que c</w:t>
      </w:r>
      <w:r>
        <w:rPr>
          <w:lang w:val="fr-FR"/>
        </w:rPr>
        <w:t xml:space="preserve">ette modification a influé sur </w:t>
      </w:r>
      <w:r w:rsidRPr="00262910">
        <w:rPr>
          <w:lang w:val="fr-FR"/>
        </w:rPr>
        <w:t>la</w:t>
      </w:r>
      <w:r>
        <w:rPr>
          <w:lang w:val="fr-FR"/>
        </w:rPr>
        <w:t xml:space="preserve"> répartition entre les </w:t>
      </w:r>
      <w:r w:rsidRPr="00262910">
        <w:rPr>
          <w:lang w:val="fr-FR"/>
        </w:rPr>
        <w:t xml:space="preserve">parents </w:t>
      </w:r>
      <w:r>
        <w:rPr>
          <w:lang w:val="fr-FR"/>
        </w:rPr>
        <w:t xml:space="preserve">de </w:t>
      </w:r>
      <w:r w:rsidRPr="00262910">
        <w:rPr>
          <w:lang w:val="fr-FR"/>
        </w:rPr>
        <w:t xml:space="preserve">la période de </w:t>
      </w:r>
      <w:r>
        <w:rPr>
          <w:lang w:val="fr-FR"/>
        </w:rPr>
        <w:t>congé parental</w:t>
      </w:r>
      <w:r w:rsidR="006339BA">
        <w:rPr>
          <w:lang w:val="fr-FR"/>
        </w:rPr>
        <w:t> </w:t>
      </w:r>
      <w:r w:rsidRPr="00262910">
        <w:rPr>
          <w:lang w:val="fr-FR"/>
        </w:rPr>
        <w:t xml:space="preserve">: </w:t>
      </w:r>
      <w:r>
        <w:rPr>
          <w:lang w:val="fr-FR"/>
        </w:rPr>
        <w:t>l</w:t>
      </w:r>
      <w:r w:rsidRPr="00262910">
        <w:rPr>
          <w:lang w:val="fr-FR"/>
        </w:rPr>
        <w:t>es pères ont réduit l</w:t>
      </w:r>
      <w:r>
        <w:rPr>
          <w:lang w:val="fr-FR"/>
        </w:rPr>
        <w:t>a durée de leur c</w:t>
      </w:r>
      <w:r w:rsidRPr="00262910">
        <w:rPr>
          <w:lang w:val="fr-FR"/>
        </w:rPr>
        <w:t xml:space="preserve">ongé parental aux </w:t>
      </w:r>
      <w:r w:rsidR="009977AA">
        <w:rPr>
          <w:lang w:val="fr-FR"/>
        </w:rPr>
        <w:t>dix</w:t>
      </w:r>
      <w:r w:rsidRPr="00262910">
        <w:rPr>
          <w:lang w:val="fr-FR"/>
        </w:rPr>
        <w:t xml:space="preserve"> semaines qui leur étaient réservées, tandis que les mères ont utilisé le reste de la durée de congé parental. </w:t>
      </w:r>
    </w:p>
    <w:p w:rsidR="001771B8" w:rsidRPr="00262910" w:rsidRDefault="001771B8" w:rsidP="001771B8">
      <w:pPr>
        <w:pStyle w:val="SingleTxtG"/>
        <w:rPr>
          <w:lang w:val="fr-FR"/>
        </w:rPr>
      </w:pPr>
      <w:r w:rsidRPr="00262910">
        <w:rPr>
          <w:lang w:val="fr-FR"/>
        </w:rPr>
        <w:t>142.</w:t>
      </w:r>
      <w:r w:rsidRPr="00262910">
        <w:rPr>
          <w:lang w:val="fr-FR"/>
        </w:rPr>
        <w:tab/>
      </w:r>
      <w:r w:rsidRPr="00D54D6C">
        <w:rPr>
          <w:lang w:val="fr-FR"/>
        </w:rPr>
        <w:t>En 2018 et 2019</w:t>
      </w:r>
      <w:r w:rsidRPr="00262910">
        <w:rPr>
          <w:lang w:val="fr-FR"/>
        </w:rPr>
        <w:t>, la durée d</w:t>
      </w:r>
      <w:r>
        <w:rPr>
          <w:lang w:val="fr-FR"/>
        </w:rPr>
        <w:t>u</w:t>
      </w:r>
      <w:r w:rsidRPr="00262910">
        <w:rPr>
          <w:lang w:val="fr-FR"/>
        </w:rPr>
        <w:t xml:space="preserve"> congé parental a été divisée en trois parties égales </w:t>
      </w:r>
      <w:r>
        <w:rPr>
          <w:lang w:val="fr-FR"/>
        </w:rPr>
        <w:t xml:space="preserve">à compter de </w:t>
      </w:r>
      <w:r w:rsidRPr="00262910">
        <w:rPr>
          <w:lang w:val="fr-FR"/>
        </w:rPr>
        <w:t>la naissance de l</w:t>
      </w:r>
      <w:r>
        <w:rPr>
          <w:lang w:val="fr-FR"/>
        </w:rPr>
        <w:t>’</w:t>
      </w:r>
      <w:r w:rsidRPr="00262910">
        <w:rPr>
          <w:lang w:val="fr-FR"/>
        </w:rPr>
        <w:t xml:space="preserve">enfant </w:t>
      </w:r>
      <w:r>
        <w:rPr>
          <w:lang w:val="fr-FR"/>
        </w:rPr>
        <w:t xml:space="preserve">en vue de </w:t>
      </w:r>
      <w:r w:rsidRPr="00262910">
        <w:rPr>
          <w:lang w:val="fr-FR"/>
        </w:rPr>
        <w:t>favoriser le partage des responsabilités parentales</w:t>
      </w:r>
      <w:r>
        <w:rPr>
          <w:lang w:val="fr-FR"/>
        </w:rPr>
        <w:t xml:space="preserve">. Le </w:t>
      </w:r>
      <w:r w:rsidRPr="00262910">
        <w:rPr>
          <w:lang w:val="fr-FR"/>
        </w:rPr>
        <w:t>nombre de semaines réservé</w:t>
      </w:r>
      <w:r w:rsidRPr="00BC68AA">
        <w:rPr>
          <w:lang w:val="fr-FR"/>
        </w:rPr>
        <w:t xml:space="preserve"> respectivement </w:t>
      </w:r>
      <w:r w:rsidRPr="00262910">
        <w:rPr>
          <w:lang w:val="fr-FR"/>
        </w:rPr>
        <w:t>à la mère et au père</w:t>
      </w:r>
      <w:r>
        <w:rPr>
          <w:lang w:val="fr-FR"/>
        </w:rPr>
        <w:t xml:space="preserve"> a été relevé</w:t>
      </w:r>
      <w:r w:rsidRPr="00262910">
        <w:rPr>
          <w:lang w:val="fr-FR"/>
        </w:rPr>
        <w:t xml:space="preserve">. Si les parents choisissent </w:t>
      </w:r>
      <w:r w:rsidR="00373E41">
        <w:rPr>
          <w:lang w:val="fr-FR"/>
        </w:rPr>
        <w:t>quarante-six</w:t>
      </w:r>
      <w:r w:rsidRPr="00262910">
        <w:rPr>
          <w:lang w:val="fr-FR"/>
        </w:rPr>
        <w:t xml:space="preserve"> semaines de congé parental </w:t>
      </w:r>
      <w:r>
        <w:rPr>
          <w:lang w:val="fr-FR"/>
        </w:rPr>
        <w:t>au taux plein</w:t>
      </w:r>
      <w:r w:rsidRPr="00262910">
        <w:rPr>
          <w:lang w:val="fr-FR"/>
        </w:rPr>
        <w:t xml:space="preserve">, </w:t>
      </w:r>
      <w:r w:rsidR="00373E41">
        <w:rPr>
          <w:lang w:val="fr-FR"/>
        </w:rPr>
        <w:t>quinze</w:t>
      </w:r>
      <w:r w:rsidRPr="00262910">
        <w:rPr>
          <w:lang w:val="fr-FR"/>
        </w:rPr>
        <w:t xml:space="preserve"> semaines sont réservées </w:t>
      </w:r>
      <w:r>
        <w:rPr>
          <w:lang w:val="fr-FR"/>
        </w:rPr>
        <w:t>à</w:t>
      </w:r>
      <w:r w:rsidRPr="00262910">
        <w:rPr>
          <w:lang w:val="fr-FR"/>
        </w:rPr>
        <w:t xml:space="preserve"> chaque parent. Si les parents choisissent </w:t>
      </w:r>
      <w:r w:rsidR="00373E41">
        <w:rPr>
          <w:lang w:val="fr-FR"/>
        </w:rPr>
        <w:t>cinquante-six</w:t>
      </w:r>
      <w:r w:rsidRPr="00262910">
        <w:rPr>
          <w:lang w:val="fr-FR"/>
        </w:rPr>
        <w:t xml:space="preserve"> semaines </w:t>
      </w:r>
      <w:r>
        <w:rPr>
          <w:lang w:val="fr-FR"/>
        </w:rPr>
        <w:t>au taux réduit</w:t>
      </w:r>
      <w:r w:rsidRPr="00262910">
        <w:rPr>
          <w:lang w:val="fr-FR"/>
        </w:rPr>
        <w:t xml:space="preserve">, </w:t>
      </w:r>
      <w:r w:rsidR="00373E41">
        <w:rPr>
          <w:lang w:val="fr-FR"/>
        </w:rPr>
        <w:t>vingt-deux</w:t>
      </w:r>
      <w:r w:rsidRPr="00262910">
        <w:rPr>
          <w:lang w:val="fr-FR"/>
        </w:rPr>
        <w:t xml:space="preserve"> semaines sont réservées </w:t>
      </w:r>
      <w:r>
        <w:rPr>
          <w:lang w:val="fr-FR"/>
        </w:rPr>
        <w:t xml:space="preserve">à </w:t>
      </w:r>
      <w:r w:rsidRPr="00262910">
        <w:rPr>
          <w:lang w:val="fr-FR"/>
        </w:rPr>
        <w:t>cha</w:t>
      </w:r>
      <w:r>
        <w:rPr>
          <w:lang w:val="fr-FR"/>
        </w:rPr>
        <w:t>cun et t</w:t>
      </w:r>
      <w:r w:rsidRPr="00262910">
        <w:rPr>
          <w:lang w:val="fr-FR"/>
        </w:rPr>
        <w:t xml:space="preserve">rois semaines sont réservées à la mère avant </w:t>
      </w:r>
      <w:r>
        <w:rPr>
          <w:lang w:val="fr-FR"/>
        </w:rPr>
        <w:t xml:space="preserve">la date prévue de son </w:t>
      </w:r>
      <w:r w:rsidRPr="00262910">
        <w:rPr>
          <w:lang w:val="fr-FR"/>
        </w:rPr>
        <w:t>accouchement.</w:t>
      </w:r>
    </w:p>
    <w:p w:rsidR="001771B8" w:rsidRPr="00262910" w:rsidRDefault="001771B8" w:rsidP="00373E41">
      <w:pPr>
        <w:pStyle w:val="H1G"/>
        <w:rPr>
          <w:lang w:val="fr-FR"/>
        </w:rPr>
      </w:pPr>
      <w:r w:rsidRPr="00262910">
        <w:rPr>
          <w:lang w:val="fr-FR"/>
        </w:rPr>
        <w:tab/>
      </w:r>
      <w:r w:rsidRPr="00262910">
        <w:rPr>
          <w:lang w:val="fr-FR"/>
        </w:rPr>
        <w:tab/>
      </w:r>
      <w:r w:rsidRPr="000C3F9D">
        <w:rPr>
          <w:lang w:val="fr-FR"/>
        </w:rPr>
        <w:t>Réponse au paragraphe 20 de la liste de points</w:t>
      </w:r>
    </w:p>
    <w:p w:rsidR="001771B8" w:rsidRPr="00262910" w:rsidRDefault="001771B8" w:rsidP="001771B8">
      <w:pPr>
        <w:pStyle w:val="SingleTxtG"/>
        <w:rPr>
          <w:lang w:val="fr-FR"/>
        </w:rPr>
      </w:pPr>
      <w:r w:rsidRPr="00262910">
        <w:rPr>
          <w:lang w:val="fr-FR"/>
        </w:rPr>
        <w:t>143.</w:t>
      </w:r>
      <w:r w:rsidRPr="00262910">
        <w:rPr>
          <w:lang w:val="fr-FR"/>
        </w:rPr>
        <w:tab/>
      </w:r>
      <w:r w:rsidRPr="00590E5B">
        <w:rPr>
          <w:lang w:val="fr-FR"/>
        </w:rPr>
        <w:t>Il n</w:t>
      </w:r>
      <w:r>
        <w:rPr>
          <w:lang w:val="fr-FR"/>
        </w:rPr>
        <w:t>’</w:t>
      </w:r>
      <w:r w:rsidRPr="00590E5B">
        <w:rPr>
          <w:lang w:val="fr-FR"/>
        </w:rPr>
        <w:t>existe pas de salaire minimum</w:t>
      </w:r>
      <w:r w:rsidRPr="00262910">
        <w:rPr>
          <w:lang w:val="fr-FR"/>
        </w:rPr>
        <w:t xml:space="preserve"> légal au niveau national en Norvège, mais dans les cas où </w:t>
      </w:r>
      <w:r>
        <w:rPr>
          <w:lang w:val="fr-FR"/>
        </w:rPr>
        <w:t>d</w:t>
      </w:r>
      <w:r w:rsidRPr="00262910">
        <w:rPr>
          <w:lang w:val="fr-FR"/>
        </w:rPr>
        <w:t xml:space="preserve">es travailleurs étrangers </w:t>
      </w:r>
      <w:r>
        <w:rPr>
          <w:lang w:val="fr-FR"/>
        </w:rPr>
        <w:t xml:space="preserve">reçoivent un salaire et travaillent dans des </w:t>
      </w:r>
      <w:r w:rsidRPr="00262910">
        <w:rPr>
          <w:lang w:val="fr-FR"/>
        </w:rPr>
        <w:t xml:space="preserve">conditions </w:t>
      </w:r>
      <w:r>
        <w:rPr>
          <w:lang w:val="fr-FR"/>
        </w:rPr>
        <w:t xml:space="preserve">ne correspondant pas aux pratiques </w:t>
      </w:r>
      <w:r w:rsidRPr="00262910">
        <w:rPr>
          <w:lang w:val="fr-FR"/>
        </w:rPr>
        <w:t>habituelle</w:t>
      </w:r>
      <w:r>
        <w:rPr>
          <w:lang w:val="fr-FR"/>
        </w:rPr>
        <w:t xml:space="preserve">s </w:t>
      </w:r>
      <w:r w:rsidRPr="00262910">
        <w:rPr>
          <w:lang w:val="fr-FR"/>
        </w:rPr>
        <w:t xml:space="preserve">en Norvège, </w:t>
      </w:r>
      <w:r>
        <w:rPr>
          <w:lang w:val="fr-FR"/>
        </w:rPr>
        <w:t xml:space="preserve">la possibilité existe </w:t>
      </w:r>
      <w:r w:rsidRPr="00262910">
        <w:rPr>
          <w:lang w:val="fr-FR"/>
        </w:rPr>
        <w:t>d</w:t>
      </w:r>
      <w:r>
        <w:rPr>
          <w:lang w:val="fr-FR"/>
        </w:rPr>
        <w:t>’</w:t>
      </w:r>
      <w:r w:rsidRPr="00262910">
        <w:rPr>
          <w:lang w:val="fr-FR"/>
        </w:rPr>
        <w:t xml:space="preserve">introduire un salaire minimum </w:t>
      </w:r>
      <w:r>
        <w:rPr>
          <w:lang w:val="fr-FR"/>
        </w:rPr>
        <w:t xml:space="preserve">en vertu de la </w:t>
      </w:r>
      <w:r w:rsidRPr="00262910">
        <w:rPr>
          <w:lang w:val="fr-FR"/>
        </w:rPr>
        <w:t xml:space="preserve">loi </w:t>
      </w:r>
      <w:r>
        <w:rPr>
          <w:lang w:val="fr-FR"/>
        </w:rPr>
        <w:t>sur l’</w:t>
      </w:r>
      <w:r w:rsidRPr="00262910">
        <w:rPr>
          <w:lang w:val="fr-FR"/>
        </w:rPr>
        <w:t>application générale</w:t>
      </w:r>
      <w:r>
        <w:rPr>
          <w:lang w:val="fr-FR"/>
        </w:rPr>
        <w:t xml:space="preserve"> des</w:t>
      </w:r>
      <w:r w:rsidRPr="00590E5B">
        <w:rPr>
          <w:lang w:val="fr-FR"/>
        </w:rPr>
        <w:t xml:space="preserve"> conventions collectives</w:t>
      </w:r>
      <w:r w:rsidRPr="00262910">
        <w:rPr>
          <w:lang w:val="fr-FR"/>
        </w:rPr>
        <w:t xml:space="preserve">. </w:t>
      </w:r>
      <w:r>
        <w:rPr>
          <w:lang w:val="fr-FR"/>
        </w:rPr>
        <w:t>L’</w:t>
      </w:r>
      <w:r w:rsidRPr="00D760CA">
        <w:rPr>
          <w:lang w:val="fr-FR"/>
        </w:rPr>
        <w:t xml:space="preserve">application générale </w:t>
      </w:r>
      <w:r>
        <w:rPr>
          <w:lang w:val="fr-FR"/>
        </w:rPr>
        <w:t xml:space="preserve">d’une </w:t>
      </w:r>
      <w:r w:rsidRPr="00D760CA">
        <w:rPr>
          <w:lang w:val="fr-FR"/>
        </w:rPr>
        <w:t>convention collective</w:t>
      </w:r>
      <w:r>
        <w:rPr>
          <w:lang w:val="fr-FR"/>
        </w:rPr>
        <w:t xml:space="preserve"> d</w:t>
      </w:r>
      <w:r w:rsidRPr="00D760CA">
        <w:rPr>
          <w:lang w:val="fr-FR"/>
        </w:rPr>
        <w:t xml:space="preserve">ans un secteur </w:t>
      </w:r>
      <w:r>
        <w:rPr>
          <w:lang w:val="fr-FR"/>
        </w:rPr>
        <w:t xml:space="preserve">signifie que la </w:t>
      </w:r>
      <w:r w:rsidRPr="00262910">
        <w:rPr>
          <w:lang w:val="fr-FR"/>
        </w:rPr>
        <w:t xml:space="preserve">rémunération et les conditions de travail </w:t>
      </w:r>
      <w:r>
        <w:rPr>
          <w:lang w:val="fr-FR"/>
        </w:rPr>
        <w:t xml:space="preserve">prévues </w:t>
      </w:r>
      <w:r w:rsidRPr="00262910">
        <w:rPr>
          <w:lang w:val="fr-FR"/>
        </w:rPr>
        <w:t>s</w:t>
      </w:r>
      <w:r>
        <w:rPr>
          <w:lang w:val="fr-FR"/>
        </w:rPr>
        <w:t>’</w:t>
      </w:r>
      <w:r w:rsidRPr="00262910">
        <w:rPr>
          <w:lang w:val="fr-FR"/>
        </w:rPr>
        <w:t xml:space="preserve">appliquent à toutes les personnes </w:t>
      </w:r>
      <w:r>
        <w:rPr>
          <w:lang w:val="fr-FR"/>
        </w:rPr>
        <w:t xml:space="preserve">employées </w:t>
      </w:r>
      <w:r w:rsidRPr="00262910">
        <w:rPr>
          <w:lang w:val="fr-FR"/>
        </w:rPr>
        <w:t>dans ce secteur, qu</w:t>
      </w:r>
      <w:r>
        <w:rPr>
          <w:lang w:val="fr-FR"/>
        </w:rPr>
        <w:t>’</w:t>
      </w:r>
      <w:r w:rsidRPr="00262910">
        <w:rPr>
          <w:lang w:val="fr-FR"/>
        </w:rPr>
        <w:t xml:space="preserve">elles soient ou non parties à la convention. </w:t>
      </w:r>
    </w:p>
    <w:p w:rsidR="001771B8" w:rsidRPr="00262910" w:rsidRDefault="001771B8" w:rsidP="000A1C5F">
      <w:pPr>
        <w:pStyle w:val="SingleTxtG"/>
        <w:rPr>
          <w:lang w:val="fr-FR"/>
        </w:rPr>
      </w:pPr>
      <w:r w:rsidRPr="00262910">
        <w:rPr>
          <w:lang w:val="fr-FR"/>
        </w:rPr>
        <w:t>144.</w:t>
      </w:r>
      <w:r w:rsidRPr="00262910">
        <w:rPr>
          <w:lang w:val="fr-FR"/>
        </w:rPr>
        <w:tab/>
      </w:r>
      <w:r>
        <w:rPr>
          <w:lang w:val="fr-FR"/>
        </w:rPr>
        <w:t xml:space="preserve">En </w:t>
      </w:r>
      <w:r w:rsidRPr="00D760CA">
        <w:rPr>
          <w:lang w:val="fr-FR"/>
        </w:rPr>
        <w:t>2019</w:t>
      </w:r>
      <w:r>
        <w:rPr>
          <w:lang w:val="fr-FR"/>
        </w:rPr>
        <w:t>, d</w:t>
      </w:r>
      <w:r w:rsidRPr="00D464E8">
        <w:rPr>
          <w:lang w:val="fr-FR"/>
        </w:rPr>
        <w:t>es conventions</w:t>
      </w:r>
      <w:r w:rsidRPr="00262910">
        <w:rPr>
          <w:lang w:val="fr-FR"/>
        </w:rPr>
        <w:t xml:space="preserve"> collectives d</w:t>
      </w:r>
      <w:r>
        <w:rPr>
          <w:lang w:val="fr-FR"/>
        </w:rPr>
        <w:t>’</w:t>
      </w:r>
      <w:r w:rsidRPr="00262910">
        <w:rPr>
          <w:lang w:val="fr-FR"/>
        </w:rPr>
        <w:t>application générale</w:t>
      </w:r>
      <w:r>
        <w:rPr>
          <w:lang w:val="fr-FR"/>
        </w:rPr>
        <w:t xml:space="preserve"> étaient en effet </w:t>
      </w:r>
      <w:r w:rsidRPr="00262910">
        <w:rPr>
          <w:lang w:val="fr-FR"/>
        </w:rPr>
        <w:t>dans les secteurs suivants</w:t>
      </w:r>
      <w:r w:rsidR="000A1C5F">
        <w:rPr>
          <w:lang w:val="fr-FR"/>
        </w:rPr>
        <w:t> </w:t>
      </w:r>
      <w:r w:rsidRPr="00262910">
        <w:rPr>
          <w:lang w:val="fr-FR"/>
        </w:rPr>
        <w:t xml:space="preserve">: </w:t>
      </w:r>
      <w:r>
        <w:rPr>
          <w:lang w:val="fr-FR"/>
        </w:rPr>
        <w:t>construction ;</w:t>
      </w:r>
      <w:r w:rsidRPr="00262910">
        <w:rPr>
          <w:lang w:val="fr-FR"/>
        </w:rPr>
        <w:t xml:space="preserve"> construction </w:t>
      </w:r>
      <w:r>
        <w:rPr>
          <w:lang w:val="fr-FR"/>
        </w:rPr>
        <w:t>navale ;</w:t>
      </w:r>
      <w:r w:rsidRPr="00262910">
        <w:rPr>
          <w:lang w:val="fr-FR"/>
        </w:rPr>
        <w:t xml:space="preserve"> agriculture et horticulture</w:t>
      </w:r>
      <w:r>
        <w:rPr>
          <w:lang w:val="fr-FR"/>
        </w:rPr>
        <w:t> ;</w:t>
      </w:r>
      <w:r w:rsidRPr="00262910">
        <w:rPr>
          <w:lang w:val="fr-FR"/>
        </w:rPr>
        <w:t xml:space="preserve"> personnel de nettoyage</w:t>
      </w:r>
      <w:r>
        <w:rPr>
          <w:lang w:val="fr-FR"/>
        </w:rPr>
        <w:t> ;</w:t>
      </w:r>
      <w:r w:rsidRPr="00262910">
        <w:rPr>
          <w:lang w:val="fr-FR"/>
        </w:rPr>
        <w:t xml:space="preserve"> entreprises de transformation du poisson</w:t>
      </w:r>
      <w:r>
        <w:rPr>
          <w:lang w:val="fr-FR"/>
        </w:rPr>
        <w:t> ;</w:t>
      </w:r>
      <w:r w:rsidRPr="00262910">
        <w:rPr>
          <w:lang w:val="fr-FR"/>
        </w:rPr>
        <w:t xml:space="preserve"> électriciens</w:t>
      </w:r>
      <w:r>
        <w:rPr>
          <w:lang w:val="fr-FR"/>
        </w:rPr>
        <w:t> ;</w:t>
      </w:r>
      <w:r w:rsidRPr="00262910">
        <w:rPr>
          <w:lang w:val="fr-FR"/>
        </w:rPr>
        <w:t xml:space="preserve"> transport </w:t>
      </w:r>
      <w:r>
        <w:rPr>
          <w:lang w:val="fr-FR"/>
        </w:rPr>
        <w:t xml:space="preserve">routier </w:t>
      </w:r>
      <w:r w:rsidRPr="00262910">
        <w:rPr>
          <w:lang w:val="fr-FR"/>
        </w:rPr>
        <w:t xml:space="preserve">de </w:t>
      </w:r>
      <w:r>
        <w:rPr>
          <w:lang w:val="fr-FR"/>
        </w:rPr>
        <w:t>fret</w:t>
      </w:r>
      <w:r w:rsidRPr="00262910">
        <w:rPr>
          <w:lang w:val="fr-FR"/>
        </w:rPr>
        <w:t>, transport de passagers par autocar</w:t>
      </w:r>
      <w:r>
        <w:rPr>
          <w:lang w:val="fr-FR"/>
        </w:rPr>
        <w:t xml:space="preserve"> ; </w:t>
      </w:r>
      <w:r w:rsidRPr="00262910">
        <w:rPr>
          <w:lang w:val="fr-FR"/>
        </w:rPr>
        <w:t>hôtellerie</w:t>
      </w:r>
      <w:r>
        <w:rPr>
          <w:lang w:val="fr-FR"/>
        </w:rPr>
        <w:t xml:space="preserve"> et services de </w:t>
      </w:r>
      <w:r w:rsidRPr="00262910">
        <w:rPr>
          <w:lang w:val="fr-FR"/>
        </w:rPr>
        <w:t>restauration</w:t>
      </w:r>
      <w:r>
        <w:rPr>
          <w:lang w:val="fr-FR"/>
        </w:rPr>
        <w:t xml:space="preserve"> et de traiteur</w:t>
      </w:r>
      <w:r w:rsidRPr="00262910">
        <w:rPr>
          <w:lang w:val="fr-FR"/>
        </w:rPr>
        <w:t xml:space="preserve">. </w:t>
      </w:r>
    </w:p>
    <w:p w:rsidR="001771B8" w:rsidRPr="00262910" w:rsidRDefault="001771B8" w:rsidP="001771B8">
      <w:pPr>
        <w:pStyle w:val="SingleTxtG"/>
        <w:rPr>
          <w:lang w:val="fr-FR"/>
        </w:rPr>
      </w:pPr>
      <w:r w:rsidRPr="00262910">
        <w:rPr>
          <w:lang w:val="fr-FR"/>
        </w:rPr>
        <w:t>145.</w:t>
      </w:r>
      <w:r w:rsidRPr="00262910">
        <w:rPr>
          <w:lang w:val="fr-FR"/>
        </w:rPr>
        <w:tab/>
      </w:r>
      <w:r w:rsidRPr="006D1266">
        <w:rPr>
          <w:lang w:val="fr-FR"/>
        </w:rPr>
        <w:t xml:space="preserve">Les femmes gagnent autour de </w:t>
      </w:r>
      <w:r w:rsidRPr="00262910">
        <w:rPr>
          <w:lang w:val="fr-FR"/>
        </w:rPr>
        <w:t xml:space="preserve">11 % de moins que les hommes en </w:t>
      </w:r>
      <w:r>
        <w:rPr>
          <w:lang w:val="fr-FR"/>
        </w:rPr>
        <w:t>« </w:t>
      </w:r>
      <w:r w:rsidRPr="00262910">
        <w:rPr>
          <w:lang w:val="fr-FR"/>
        </w:rPr>
        <w:t>équivalent temps plein</w:t>
      </w:r>
      <w:r>
        <w:rPr>
          <w:lang w:val="fr-FR"/>
        </w:rPr>
        <w:t> »</w:t>
      </w:r>
      <w:r w:rsidRPr="00262910">
        <w:rPr>
          <w:lang w:val="fr-FR"/>
        </w:rPr>
        <w:t xml:space="preserve"> (c</w:t>
      </w:r>
      <w:r>
        <w:rPr>
          <w:lang w:val="fr-FR"/>
        </w:rPr>
        <w:t>’</w:t>
      </w:r>
      <w:r w:rsidRPr="00262910">
        <w:rPr>
          <w:lang w:val="fr-FR"/>
        </w:rPr>
        <w:t xml:space="preserve">est-à-dire corrigé du travail à temps partiel) et 13 % de moins </w:t>
      </w:r>
      <w:r>
        <w:rPr>
          <w:lang w:val="fr-FR"/>
        </w:rPr>
        <w:t xml:space="preserve">dans le cas des </w:t>
      </w:r>
      <w:r w:rsidRPr="00262910">
        <w:rPr>
          <w:lang w:val="fr-FR"/>
        </w:rPr>
        <w:t xml:space="preserve">personnes effectivement </w:t>
      </w:r>
      <w:r>
        <w:rPr>
          <w:lang w:val="fr-FR"/>
        </w:rPr>
        <w:t xml:space="preserve">employées </w:t>
      </w:r>
      <w:r w:rsidRPr="00262910">
        <w:rPr>
          <w:lang w:val="fr-FR"/>
        </w:rPr>
        <w:t>à temps plein. Cet</w:t>
      </w:r>
      <w:r>
        <w:rPr>
          <w:lang w:val="fr-FR"/>
        </w:rPr>
        <w:t xml:space="preserve"> écart est environ moitié moindre </w:t>
      </w:r>
      <w:r w:rsidRPr="00262910">
        <w:rPr>
          <w:lang w:val="fr-FR"/>
        </w:rPr>
        <w:t>(</w:t>
      </w:r>
      <w:r>
        <w:rPr>
          <w:lang w:val="fr-FR"/>
        </w:rPr>
        <w:t xml:space="preserve">à savoir </w:t>
      </w:r>
      <w:r w:rsidRPr="00262910">
        <w:rPr>
          <w:lang w:val="fr-FR"/>
        </w:rPr>
        <w:t xml:space="preserve">7 % </w:t>
      </w:r>
      <w:r>
        <w:rPr>
          <w:lang w:val="fr-FR"/>
        </w:rPr>
        <w:t xml:space="preserve">selon les </w:t>
      </w:r>
      <w:r w:rsidRPr="00262910">
        <w:rPr>
          <w:lang w:val="fr-FR"/>
        </w:rPr>
        <w:t>chiffres de 2014) s</w:t>
      </w:r>
      <w:r>
        <w:rPr>
          <w:lang w:val="fr-FR"/>
        </w:rPr>
        <w:t xml:space="preserve">’il est tenu </w:t>
      </w:r>
      <w:r w:rsidRPr="00262910">
        <w:rPr>
          <w:lang w:val="fr-FR"/>
        </w:rPr>
        <w:t xml:space="preserve">compte de différents </w:t>
      </w:r>
      <w:r>
        <w:rPr>
          <w:lang w:val="fr-FR"/>
        </w:rPr>
        <w:t xml:space="preserve">paramètres </w:t>
      </w:r>
      <w:r w:rsidRPr="00262910">
        <w:rPr>
          <w:lang w:val="fr-FR"/>
        </w:rPr>
        <w:t>du marché du travail (</w:t>
      </w:r>
      <w:r>
        <w:rPr>
          <w:lang w:val="fr-FR"/>
        </w:rPr>
        <w:t>degré d’instruction</w:t>
      </w:r>
      <w:r w:rsidRPr="00262910">
        <w:rPr>
          <w:lang w:val="fr-FR"/>
        </w:rPr>
        <w:t xml:space="preserve">, </w:t>
      </w:r>
      <w:r>
        <w:rPr>
          <w:lang w:val="fr-FR"/>
        </w:rPr>
        <w:t xml:space="preserve">branche </w:t>
      </w:r>
      <w:r w:rsidRPr="00262910">
        <w:rPr>
          <w:lang w:val="fr-FR"/>
        </w:rPr>
        <w:t>d</w:t>
      </w:r>
      <w:r>
        <w:rPr>
          <w:lang w:val="fr-FR"/>
        </w:rPr>
        <w:t>’</w:t>
      </w:r>
      <w:r w:rsidRPr="00262910">
        <w:rPr>
          <w:lang w:val="fr-FR"/>
        </w:rPr>
        <w:t>activité, expérience professionnelle, etc.). Depuis 2015, l</w:t>
      </w:r>
      <w:r>
        <w:rPr>
          <w:lang w:val="fr-FR"/>
        </w:rPr>
        <w:t>’</w:t>
      </w:r>
      <w:r w:rsidRPr="00262910">
        <w:rPr>
          <w:lang w:val="fr-FR"/>
        </w:rPr>
        <w:t>écart salarial entre hommes et femmes s</w:t>
      </w:r>
      <w:r>
        <w:rPr>
          <w:lang w:val="fr-FR"/>
        </w:rPr>
        <w:t>’</w:t>
      </w:r>
      <w:r w:rsidRPr="00262910">
        <w:rPr>
          <w:lang w:val="fr-FR"/>
        </w:rPr>
        <w:t xml:space="preserve">est réduit </w:t>
      </w:r>
      <w:r>
        <w:rPr>
          <w:lang w:val="fr-FR"/>
        </w:rPr>
        <w:t xml:space="preserve">au sein de chaque </w:t>
      </w:r>
      <w:r w:rsidRPr="00262910">
        <w:rPr>
          <w:lang w:val="fr-FR"/>
        </w:rPr>
        <w:t>groupe d</w:t>
      </w:r>
      <w:r>
        <w:rPr>
          <w:lang w:val="fr-FR"/>
        </w:rPr>
        <w:t>’</w:t>
      </w:r>
      <w:r w:rsidRPr="00262910">
        <w:rPr>
          <w:lang w:val="fr-FR"/>
        </w:rPr>
        <w:t>âge</w:t>
      </w:r>
      <w:r>
        <w:rPr>
          <w:lang w:val="fr-FR"/>
        </w:rPr>
        <w:t xml:space="preserve"> ainsi que pour la </w:t>
      </w:r>
      <w:r w:rsidRPr="00262910">
        <w:rPr>
          <w:lang w:val="fr-FR"/>
        </w:rPr>
        <w:t xml:space="preserve">plupart des </w:t>
      </w:r>
      <w:r>
        <w:rPr>
          <w:lang w:val="fr-FR"/>
        </w:rPr>
        <w:t xml:space="preserve">degrés d’instruction </w:t>
      </w:r>
      <w:r w:rsidRPr="00262910">
        <w:rPr>
          <w:lang w:val="fr-FR"/>
        </w:rPr>
        <w:t>et dans la plupart des</w:t>
      </w:r>
      <w:r>
        <w:rPr>
          <w:lang w:val="fr-FR"/>
        </w:rPr>
        <w:t xml:space="preserve"> branches d’activité</w:t>
      </w:r>
      <w:r w:rsidRPr="00262910">
        <w:rPr>
          <w:lang w:val="fr-FR"/>
        </w:rPr>
        <w:t xml:space="preserve">. </w:t>
      </w:r>
    </w:p>
    <w:p w:rsidR="001771B8" w:rsidRPr="00262910" w:rsidRDefault="001771B8" w:rsidP="001771B8">
      <w:pPr>
        <w:pStyle w:val="SingleTxtG"/>
        <w:rPr>
          <w:lang w:val="fr-FR"/>
        </w:rPr>
      </w:pPr>
      <w:r w:rsidRPr="00262910">
        <w:rPr>
          <w:lang w:val="fr-FR"/>
        </w:rPr>
        <w:t>146.</w:t>
      </w:r>
      <w:r w:rsidRPr="00262910">
        <w:rPr>
          <w:lang w:val="fr-FR"/>
        </w:rPr>
        <w:tab/>
      </w:r>
      <w:r w:rsidRPr="00604D9E">
        <w:rPr>
          <w:lang w:val="fr-FR"/>
        </w:rPr>
        <w:t>L</w:t>
      </w:r>
      <w:r>
        <w:rPr>
          <w:lang w:val="fr-FR"/>
        </w:rPr>
        <w:t>’</w:t>
      </w:r>
      <w:r w:rsidRPr="00604D9E">
        <w:rPr>
          <w:lang w:val="fr-FR"/>
        </w:rPr>
        <w:t xml:space="preserve">écart salarial </w:t>
      </w:r>
      <w:r w:rsidRPr="00262910">
        <w:rPr>
          <w:lang w:val="fr-FR"/>
        </w:rPr>
        <w:t>moyen entre femmes et hommes continue de diminuer. En 2018, les femmes gagnaient l</w:t>
      </w:r>
      <w:r>
        <w:rPr>
          <w:lang w:val="fr-FR"/>
        </w:rPr>
        <w:t>’</w:t>
      </w:r>
      <w:r w:rsidRPr="00262910">
        <w:rPr>
          <w:lang w:val="fr-FR"/>
        </w:rPr>
        <w:t xml:space="preserve">équivalent de 87,1 % du salaire des hommes </w:t>
      </w:r>
      <w:r>
        <w:rPr>
          <w:lang w:val="fr-FR"/>
        </w:rPr>
        <w:t>(</w:t>
      </w:r>
      <w:r w:rsidRPr="00262910">
        <w:rPr>
          <w:lang w:val="fr-FR"/>
        </w:rPr>
        <w:t>emplo</w:t>
      </w:r>
      <w:r>
        <w:rPr>
          <w:lang w:val="fr-FR"/>
        </w:rPr>
        <w:t xml:space="preserve">i </w:t>
      </w:r>
      <w:r w:rsidRPr="00262910">
        <w:rPr>
          <w:lang w:val="fr-FR"/>
        </w:rPr>
        <w:t xml:space="preserve">à </w:t>
      </w:r>
      <w:r>
        <w:rPr>
          <w:lang w:val="fr-FR"/>
        </w:rPr>
        <w:t xml:space="preserve">plein </w:t>
      </w:r>
      <w:r w:rsidRPr="00262910">
        <w:rPr>
          <w:lang w:val="fr-FR"/>
        </w:rPr>
        <w:t>temps et à temps partiel</w:t>
      </w:r>
      <w:r>
        <w:rPr>
          <w:lang w:val="fr-FR"/>
        </w:rPr>
        <w:t xml:space="preserve"> regroupé), contre </w:t>
      </w:r>
      <w:r w:rsidRPr="00262910">
        <w:rPr>
          <w:lang w:val="fr-FR"/>
        </w:rPr>
        <w:t>86</w:t>
      </w:r>
      <w:r>
        <w:rPr>
          <w:lang w:val="fr-FR"/>
        </w:rPr>
        <w:t>,</w:t>
      </w:r>
      <w:r w:rsidRPr="00262910">
        <w:rPr>
          <w:lang w:val="fr-FR"/>
        </w:rPr>
        <w:t>7</w:t>
      </w:r>
      <w:r w:rsidR="00642D6B">
        <w:rPr>
          <w:lang w:val="fr-FR"/>
        </w:rPr>
        <w:t> </w:t>
      </w:r>
      <w:r>
        <w:rPr>
          <w:lang w:val="fr-FR"/>
        </w:rPr>
        <w:t>% en 2017.</w:t>
      </w:r>
      <w:r w:rsidRPr="00262910">
        <w:rPr>
          <w:lang w:val="fr-FR"/>
        </w:rPr>
        <w:t xml:space="preserve"> </w:t>
      </w:r>
    </w:p>
    <w:p w:rsidR="001771B8" w:rsidRPr="00262910" w:rsidRDefault="001771B8" w:rsidP="001771B8">
      <w:pPr>
        <w:pStyle w:val="SingleTxtG"/>
        <w:rPr>
          <w:lang w:val="fr-FR"/>
        </w:rPr>
      </w:pPr>
      <w:r w:rsidRPr="00262910">
        <w:rPr>
          <w:lang w:val="fr-FR"/>
        </w:rPr>
        <w:t>147.</w:t>
      </w:r>
      <w:r w:rsidRPr="00262910">
        <w:rPr>
          <w:lang w:val="fr-FR"/>
        </w:rPr>
        <w:tab/>
      </w:r>
      <w:r w:rsidRPr="000C1F51">
        <w:rPr>
          <w:lang w:val="fr-FR"/>
        </w:rPr>
        <w:t>Le salaire des femmes</w:t>
      </w:r>
      <w:r w:rsidRPr="00262910">
        <w:rPr>
          <w:lang w:val="fr-FR"/>
        </w:rPr>
        <w:t xml:space="preserve"> représente 85,6 % de celui des hommes</w:t>
      </w:r>
      <w:r w:rsidRPr="006E0475">
        <w:rPr>
          <w:lang w:val="fr-FR"/>
        </w:rPr>
        <w:t xml:space="preserve"> </w:t>
      </w:r>
      <w:r>
        <w:rPr>
          <w:lang w:val="fr-FR"/>
        </w:rPr>
        <w:t>d</w:t>
      </w:r>
      <w:r w:rsidRPr="006E0475">
        <w:rPr>
          <w:lang w:val="fr-FR"/>
        </w:rPr>
        <w:t>ans le secteur privé et les entreprises publiques</w:t>
      </w:r>
      <w:r>
        <w:rPr>
          <w:lang w:val="fr-FR"/>
        </w:rPr>
        <w:t xml:space="preserve">. L’écart est moindre dans </w:t>
      </w:r>
      <w:r w:rsidRPr="00262910">
        <w:rPr>
          <w:lang w:val="fr-FR"/>
        </w:rPr>
        <w:t>l</w:t>
      </w:r>
      <w:r>
        <w:rPr>
          <w:lang w:val="fr-FR"/>
        </w:rPr>
        <w:t xml:space="preserve">a fonction publique </w:t>
      </w:r>
      <w:r w:rsidRPr="00262910">
        <w:rPr>
          <w:lang w:val="fr-FR"/>
        </w:rPr>
        <w:t>centrale</w:t>
      </w:r>
      <w:r>
        <w:rPr>
          <w:lang w:val="fr-FR"/>
        </w:rPr>
        <w:t xml:space="preserve">, le salaire </w:t>
      </w:r>
      <w:r w:rsidRPr="00262910">
        <w:rPr>
          <w:lang w:val="fr-FR"/>
        </w:rPr>
        <w:t xml:space="preserve">des femmes </w:t>
      </w:r>
      <w:r>
        <w:rPr>
          <w:lang w:val="fr-FR"/>
        </w:rPr>
        <w:t xml:space="preserve">y atteignant </w:t>
      </w:r>
      <w:r w:rsidRPr="00262910">
        <w:rPr>
          <w:lang w:val="fr-FR"/>
        </w:rPr>
        <w:t>88,4 % de ce</w:t>
      </w:r>
      <w:r>
        <w:rPr>
          <w:lang w:val="fr-FR"/>
        </w:rPr>
        <w:t xml:space="preserve">lui </w:t>
      </w:r>
      <w:r w:rsidRPr="00262910">
        <w:rPr>
          <w:lang w:val="fr-FR"/>
        </w:rPr>
        <w:t>des hommes</w:t>
      </w:r>
      <w:r>
        <w:rPr>
          <w:lang w:val="fr-FR"/>
        </w:rPr>
        <w:t>, et d</w:t>
      </w:r>
      <w:r w:rsidRPr="006E0475">
        <w:rPr>
          <w:lang w:val="fr-FR"/>
        </w:rPr>
        <w:t xml:space="preserve">ans </w:t>
      </w:r>
      <w:r>
        <w:rPr>
          <w:lang w:val="fr-FR"/>
        </w:rPr>
        <w:t xml:space="preserve">la fonction publique locale </w:t>
      </w:r>
      <w:r w:rsidR="00642D6B">
        <w:rPr>
          <w:lang w:val="fr-FR"/>
        </w:rPr>
        <w:t>−</w:t>
      </w:r>
      <w:r>
        <w:rPr>
          <w:lang w:val="fr-FR"/>
        </w:rPr>
        <w:t xml:space="preserve"> moins bien rémunérée </w:t>
      </w:r>
      <w:r w:rsidR="00642D6B">
        <w:rPr>
          <w:lang w:val="fr-FR"/>
        </w:rPr>
        <w:t>−</w:t>
      </w:r>
      <w:r>
        <w:rPr>
          <w:lang w:val="fr-FR"/>
        </w:rPr>
        <w:t xml:space="preserve"> avec </w:t>
      </w:r>
      <w:r w:rsidRPr="000C1F51">
        <w:rPr>
          <w:lang w:val="fr-FR"/>
        </w:rPr>
        <w:t>94,1 %</w:t>
      </w:r>
      <w:r>
        <w:rPr>
          <w:lang w:val="fr-FR"/>
        </w:rPr>
        <w:t>.</w:t>
      </w:r>
      <w:r w:rsidRPr="00262910">
        <w:rPr>
          <w:lang w:val="fr-FR"/>
        </w:rPr>
        <w:t xml:space="preserve"> </w:t>
      </w:r>
    </w:p>
    <w:p w:rsidR="001771B8" w:rsidRPr="00262910" w:rsidRDefault="001771B8" w:rsidP="001771B8">
      <w:pPr>
        <w:pStyle w:val="SingleTxtG"/>
        <w:rPr>
          <w:lang w:val="fr-FR"/>
        </w:rPr>
      </w:pPr>
      <w:r w:rsidRPr="00262910">
        <w:rPr>
          <w:lang w:val="fr-FR"/>
        </w:rPr>
        <w:t>148.</w:t>
      </w:r>
      <w:r w:rsidRPr="00262910">
        <w:rPr>
          <w:lang w:val="fr-FR"/>
        </w:rPr>
        <w:tab/>
      </w:r>
      <w:r>
        <w:rPr>
          <w:lang w:val="fr-FR"/>
        </w:rPr>
        <w:t xml:space="preserve">Pour ce qui est de </w:t>
      </w:r>
      <w:r w:rsidRPr="001D0A00">
        <w:rPr>
          <w:lang w:val="fr-FR"/>
        </w:rPr>
        <w:t>l</w:t>
      </w:r>
      <w:r>
        <w:rPr>
          <w:lang w:val="fr-FR"/>
        </w:rPr>
        <w:t>’</w:t>
      </w:r>
      <w:r w:rsidRPr="001D0A00">
        <w:rPr>
          <w:lang w:val="fr-FR"/>
        </w:rPr>
        <w:t>application</w:t>
      </w:r>
      <w:r>
        <w:rPr>
          <w:lang w:val="fr-FR"/>
        </w:rPr>
        <w:t xml:space="preserve"> </w:t>
      </w:r>
      <w:r w:rsidRPr="00262910">
        <w:rPr>
          <w:lang w:val="fr-FR"/>
        </w:rPr>
        <w:t xml:space="preserve">de la décision parlementaire 612 (2015-2016), les partenaires sociaux sont responsables de la conduite des négociations salariales. Les autorités agissent en tant que législateur et facilitateur. Les accords sur les augmentations salariales sont </w:t>
      </w:r>
      <w:r>
        <w:rPr>
          <w:lang w:val="fr-FR"/>
        </w:rPr>
        <w:t xml:space="preserve">conclus à l’issue </w:t>
      </w:r>
      <w:r w:rsidRPr="00262910">
        <w:rPr>
          <w:lang w:val="fr-FR"/>
        </w:rPr>
        <w:t xml:space="preserve">de négociations entre organisations syndicales et patronales, ainsi que </w:t>
      </w:r>
      <w:r>
        <w:rPr>
          <w:lang w:val="fr-FR"/>
        </w:rPr>
        <w:t xml:space="preserve">de </w:t>
      </w:r>
      <w:r w:rsidRPr="00262910">
        <w:rPr>
          <w:lang w:val="fr-FR"/>
        </w:rPr>
        <w:t xml:space="preserve">négociations locales et individuelles. </w:t>
      </w:r>
    </w:p>
    <w:p w:rsidR="001771B8" w:rsidRPr="00262910" w:rsidRDefault="001771B8" w:rsidP="001771B8">
      <w:pPr>
        <w:pStyle w:val="SingleTxtG"/>
        <w:rPr>
          <w:lang w:val="fr-FR"/>
        </w:rPr>
      </w:pPr>
      <w:r w:rsidRPr="00262910">
        <w:rPr>
          <w:lang w:val="fr-FR"/>
        </w:rPr>
        <w:t>149.</w:t>
      </w:r>
      <w:r w:rsidRPr="00262910">
        <w:rPr>
          <w:lang w:val="fr-FR"/>
        </w:rPr>
        <w:tab/>
        <w:t xml:space="preserve">Les </w:t>
      </w:r>
      <w:r>
        <w:rPr>
          <w:lang w:val="fr-FR"/>
        </w:rPr>
        <w:t xml:space="preserve">questions relatives à </w:t>
      </w:r>
      <w:r w:rsidRPr="00262910">
        <w:rPr>
          <w:lang w:val="fr-FR"/>
        </w:rPr>
        <w:t>l</w:t>
      </w:r>
      <w:r>
        <w:rPr>
          <w:lang w:val="fr-FR"/>
        </w:rPr>
        <w:t>’</w:t>
      </w:r>
      <w:r w:rsidRPr="00262910">
        <w:rPr>
          <w:lang w:val="fr-FR"/>
        </w:rPr>
        <w:t>égalité de rémunération</w:t>
      </w:r>
      <w:r>
        <w:rPr>
          <w:lang w:val="fr-FR"/>
        </w:rPr>
        <w:t xml:space="preserve"> sont </w:t>
      </w:r>
      <w:r w:rsidRPr="00262910">
        <w:rPr>
          <w:lang w:val="fr-FR"/>
        </w:rPr>
        <w:t>examiné</w:t>
      </w:r>
      <w:r>
        <w:rPr>
          <w:lang w:val="fr-FR"/>
        </w:rPr>
        <w:t>e</w:t>
      </w:r>
      <w:r w:rsidRPr="00262910">
        <w:rPr>
          <w:lang w:val="fr-FR"/>
        </w:rPr>
        <w:t>s dans le cadre de la coopération tripartite (</w:t>
      </w:r>
      <w:r>
        <w:rPr>
          <w:lang w:val="fr-FR"/>
        </w:rPr>
        <w:t>a</w:t>
      </w:r>
      <w:r w:rsidRPr="00262910">
        <w:rPr>
          <w:lang w:val="fr-FR"/>
        </w:rPr>
        <w:t xml:space="preserve">u sein du Conseil pour la politique relative à la vie professionnelle et aux retraites </w:t>
      </w:r>
      <w:r>
        <w:rPr>
          <w:lang w:val="fr-FR"/>
        </w:rPr>
        <w:t xml:space="preserve">et </w:t>
      </w:r>
      <w:r w:rsidRPr="00262910">
        <w:rPr>
          <w:lang w:val="fr-FR"/>
        </w:rPr>
        <w:t>du groupe de travail sur l</w:t>
      </w:r>
      <w:r>
        <w:rPr>
          <w:lang w:val="fr-FR"/>
        </w:rPr>
        <w:t>’</w:t>
      </w:r>
      <w:r w:rsidRPr="00262910">
        <w:rPr>
          <w:lang w:val="fr-FR"/>
        </w:rPr>
        <w:t xml:space="preserve">égalité dans la vie professionnelle </w:t>
      </w:r>
      <w:r>
        <w:rPr>
          <w:lang w:val="fr-FR"/>
        </w:rPr>
        <w:t xml:space="preserve">établi </w:t>
      </w:r>
      <w:r w:rsidRPr="00262910">
        <w:rPr>
          <w:lang w:val="fr-FR"/>
        </w:rPr>
        <w:t>par le Conseil). La responsabilité des partenaires sociaux dans l</w:t>
      </w:r>
      <w:r>
        <w:rPr>
          <w:lang w:val="fr-FR"/>
        </w:rPr>
        <w:t xml:space="preserve">’application </w:t>
      </w:r>
      <w:r w:rsidRPr="00262910">
        <w:rPr>
          <w:lang w:val="fr-FR"/>
        </w:rPr>
        <w:t xml:space="preserve">des accords salariaux </w:t>
      </w:r>
      <w:r>
        <w:rPr>
          <w:lang w:val="fr-FR"/>
        </w:rPr>
        <w:t xml:space="preserve">demeure entière </w:t>
      </w:r>
      <w:r w:rsidRPr="00262910">
        <w:rPr>
          <w:lang w:val="fr-FR"/>
        </w:rPr>
        <w:t>et il est important que les partenaires sociaux con</w:t>
      </w:r>
      <w:r>
        <w:rPr>
          <w:lang w:val="fr-FR"/>
        </w:rPr>
        <w:t xml:space="preserve">courent </w:t>
      </w:r>
      <w:r w:rsidRPr="00262910">
        <w:rPr>
          <w:lang w:val="fr-FR"/>
        </w:rPr>
        <w:t xml:space="preserve">à réduire les </w:t>
      </w:r>
      <w:r>
        <w:rPr>
          <w:lang w:val="fr-FR"/>
        </w:rPr>
        <w:t xml:space="preserve">écarts de rémunération injustifiés </w:t>
      </w:r>
      <w:r w:rsidRPr="00262910">
        <w:rPr>
          <w:lang w:val="fr-FR"/>
        </w:rPr>
        <w:t>entre les femmes et les hommes.</w:t>
      </w:r>
    </w:p>
    <w:p w:rsidR="001771B8" w:rsidRPr="00262910" w:rsidRDefault="001771B8" w:rsidP="001771B8">
      <w:pPr>
        <w:pStyle w:val="SingleTxtG"/>
        <w:rPr>
          <w:lang w:val="fr-FR"/>
        </w:rPr>
      </w:pPr>
      <w:r w:rsidRPr="009564B2">
        <w:rPr>
          <w:lang w:val="fr-FR"/>
        </w:rPr>
        <w:t>150.</w:t>
      </w:r>
      <w:r w:rsidRPr="009564B2">
        <w:rPr>
          <w:lang w:val="fr-FR"/>
        </w:rPr>
        <w:tab/>
        <w:t>Le Storting a adopté une loi portant modification de la loi sur l’égalité et la lutte contre la discrimination qui renforce les obligations des employeurs et des autorités publiques en matière d’actions à mener et de rapports à présenter. À compter du 1</w:t>
      </w:r>
      <w:r w:rsidRPr="009564B2">
        <w:rPr>
          <w:vertAlign w:val="superscript"/>
          <w:lang w:val="fr-FR"/>
        </w:rPr>
        <w:t>er</w:t>
      </w:r>
      <w:r w:rsidRPr="009564B2">
        <w:rPr>
          <w:lang w:val="fr-FR"/>
        </w:rPr>
        <w:t xml:space="preserve"> janvier 2020, les grandes entreprises seront tenues, entre autres, de présenter un bilan de l’égalité salariale entre les genres au titre de leurs obligations en matière de présentation de rapports. Des documents d’orientation et des modèles sont en cours d’élaboration afin d’assurer la bonne mise en œuvre de ces obligations élargies.</w:t>
      </w:r>
      <w:r w:rsidRPr="00262910">
        <w:rPr>
          <w:lang w:val="fr-FR"/>
        </w:rPr>
        <w:t xml:space="preserve"> </w:t>
      </w:r>
    </w:p>
    <w:p w:rsidR="001771B8" w:rsidRPr="00262910" w:rsidRDefault="001771B8" w:rsidP="001771B8">
      <w:pPr>
        <w:pStyle w:val="SingleTxtG"/>
        <w:rPr>
          <w:lang w:val="fr-FR"/>
        </w:rPr>
      </w:pPr>
      <w:r w:rsidRPr="00262910">
        <w:rPr>
          <w:lang w:val="fr-FR"/>
        </w:rPr>
        <w:t>151.</w:t>
      </w:r>
      <w:r w:rsidRPr="00262910">
        <w:rPr>
          <w:lang w:val="fr-FR"/>
        </w:rPr>
        <w:tab/>
      </w:r>
      <w:r w:rsidRPr="00074FC8">
        <w:rPr>
          <w:lang w:val="fr-FR"/>
        </w:rPr>
        <w:t>Le Ministère de la culture</w:t>
      </w:r>
      <w:r w:rsidRPr="00262910">
        <w:rPr>
          <w:lang w:val="fr-FR"/>
        </w:rPr>
        <w:t xml:space="preserve"> a procédé à </w:t>
      </w:r>
      <w:r>
        <w:rPr>
          <w:lang w:val="fr-FR"/>
        </w:rPr>
        <w:t>l’examen des affaires concernant l’</w:t>
      </w:r>
      <w:r w:rsidRPr="00262910">
        <w:rPr>
          <w:lang w:val="fr-FR"/>
        </w:rPr>
        <w:t>égalité de rémunération</w:t>
      </w:r>
      <w:r>
        <w:rPr>
          <w:lang w:val="fr-FR"/>
        </w:rPr>
        <w:t xml:space="preserve"> pour en cerner les contours ; l’examen a porté sur des </w:t>
      </w:r>
      <w:r w:rsidRPr="00262910">
        <w:rPr>
          <w:lang w:val="fr-FR"/>
        </w:rPr>
        <w:t xml:space="preserve">affaires traitées par le Tribunal </w:t>
      </w:r>
      <w:r w:rsidRPr="00C405A9">
        <w:rPr>
          <w:lang w:val="fr-FR"/>
        </w:rPr>
        <w:t>pour l</w:t>
      </w:r>
      <w:r>
        <w:rPr>
          <w:lang w:val="fr-FR"/>
        </w:rPr>
        <w:t>’</w:t>
      </w:r>
      <w:r w:rsidRPr="00C405A9">
        <w:rPr>
          <w:lang w:val="fr-FR"/>
        </w:rPr>
        <w:t xml:space="preserve">égalité et la non-discrimination </w:t>
      </w:r>
      <w:r w:rsidRPr="00262910">
        <w:rPr>
          <w:lang w:val="fr-FR"/>
        </w:rPr>
        <w:t xml:space="preserve">et </w:t>
      </w:r>
      <w:r>
        <w:rPr>
          <w:lang w:val="fr-FR"/>
        </w:rPr>
        <w:t xml:space="preserve">des juridictions </w:t>
      </w:r>
      <w:r w:rsidRPr="00832BC6">
        <w:rPr>
          <w:lang w:val="fr-FR"/>
        </w:rPr>
        <w:t xml:space="preserve">judiciaires </w:t>
      </w:r>
      <w:r>
        <w:rPr>
          <w:lang w:val="fr-FR"/>
        </w:rPr>
        <w:t>de j</w:t>
      </w:r>
      <w:r w:rsidRPr="00262910">
        <w:rPr>
          <w:lang w:val="fr-FR"/>
        </w:rPr>
        <w:t xml:space="preserve">anvier 2014 à 2019. </w:t>
      </w:r>
      <w:r>
        <w:rPr>
          <w:lang w:val="fr-FR"/>
        </w:rPr>
        <w:t xml:space="preserve">Sur </w:t>
      </w:r>
      <w:r w:rsidRPr="00262910">
        <w:rPr>
          <w:lang w:val="fr-FR"/>
        </w:rPr>
        <w:t xml:space="preserve">cette période, le Tribunal a traité six demandes </w:t>
      </w:r>
      <w:r>
        <w:rPr>
          <w:lang w:val="fr-FR"/>
        </w:rPr>
        <w:t xml:space="preserve">concernant </w:t>
      </w:r>
      <w:r w:rsidRPr="00262910">
        <w:rPr>
          <w:lang w:val="fr-FR"/>
        </w:rPr>
        <w:t>l</w:t>
      </w:r>
      <w:r>
        <w:rPr>
          <w:lang w:val="fr-FR"/>
        </w:rPr>
        <w:t>’</w:t>
      </w:r>
      <w:r w:rsidRPr="00262910">
        <w:rPr>
          <w:lang w:val="fr-FR"/>
        </w:rPr>
        <w:t>égalité salariale entre hommes et femmes pour un travail de valeur égale. Le Tribunal n</w:t>
      </w:r>
      <w:r>
        <w:rPr>
          <w:lang w:val="fr-FR"/>
        </w:rPr>
        <w:t>’</w:t>
      </w:r>
      <w:r w:rsidRPr="00262910">
        <w:rPr>
          <w:lang w:val="fr-FR"/>
        </w:rPr>
        <w:t xml:space="preserve">a </w:t>
      </w:r>
      <w:r>
        <w:rPr>
          <w:lang w:val="fr-FR"/>
        </w:rPr>
        <w:t xml:space="preserve">constaté </w:t>
      </w:r>
      <w:r w:rsidRPr="00262910">
        <w:rPr>
          <w:lang w:val="fr-FR"/>
        </w:rPr>
        <w:t xml:space="preserve">aucune violation des obligations </w:t>
      </w:r>
      <w:r>
        <w:rPr>
          <w:lang w:val="fr-FR"/>
        </w:rPr>
        <w:t>légales dans ces affaires</w:t>
      </w:r>
      <w:r w:rsidRPr="00262910">
        <w:rPr>
          <w:lang w:val="fr-FR"/>
        </w:rPr>
        <w:t xml:space="preserve">. </w:t>
      </w:r>
      <w:r>
        <w:rPr>
          <w:lang w:val="fr-FR"/>
        </w:rPr>
        <w:t xml:space="preserve">Sur </w:t>
      </w:r>
      <w:r w:rsidRPr="00262910">
        <w:rPr>
          <w:lang w:val="fr-FR"/>
        </w:rPr>
        <w:t xml:space="preserve">cette période, les </w:t>
      </w:r>
      <w:r>
        <w:rPr>
          <w:lang w:val="fr-FR"/>
        </w:rPr>
        <w:t xml:space="preserve">juridictions </w:t>
      </w:r>
      <w:r w:rsidRPr="00832BC6">
        <w:rPr>
          <w:lang w:val="fr-FR"/>
        </w:rPr>
        <w:t xml:space="preserve">judiciaires </w:t>
      </w:r>
      <w:r w:rsidRPr="00262910">
        <w:rPr>
          <w:lang w:val="fr-FR"/>
        </w:rPr>
        <w:t>n</w:t>
      </w:r>
      <w:r>
        <w:rPr>
          <w:lang w:val="fr-FR"/>
        </w:rPr>
        <w:t>’</w:t>
      </w:r>
      <w:r w:rsidRPr="00262910">
        <w:rPr>
          <w:lang w:val="fr-FR"/>
        </w:rPr>
        <w:t xml:space="preserve">ont statué sur </w:t>
      </w:r>
      <w:r>
        <w:rPr>
          <w:lang w:val="fr-FR"/>
        </w:rPr>
        <w:t xml:space="preserve">aucune </w:t>
      </w:r>
      <w:r w:rsidRPr="00262910">
        <w:rPr>
          <w:lang w:val="fr-FR"/>
        </w:rPr>
        <w:t>plainte</w:t>
      </w:r>
      <w:r>
        <w:rPr>
          <w:lang w:val="fr-FR"/>
        </w:rPr>
        <w:t xml:space="preserve"> concernant l’</w:t>
      </w:r>
      <w:r w:rsidRPr="00262910">
        <w:rPr>
          <w:lang w:val="fr-FR"/>
        </w:rPr>
        <w:t xml:space="preserve">égalité de rémunération </w:t>
      </w:r>
      <w:r>
        <w:rPr>
          <w:lang w:val="fr-FR"/>
        </w:rPr>
        <w:t>relevant d</w:t>
      </w:r>
      <w:r w:rsidRPr="00262910">
        <w:rPr>
          <w:lang w:val="fr-FR"/>
        </w:rPr>
        <w:t>es précédentes lois</w:t>
      </w:r>
      <w:r>
        <w:rPr>
          <w:lang w:val="fr-FR"/>
        </w:rPr>
        <w:t xml:space="preserve"> sur </w:t>
      </w:r>
      <w:r w:rsidRPr="00262910">
        <w:rPr>
          <w:lang w:val="fr-FR"/>
        </w:rPr>
        <w:t>l</w:t>
      </w:r>
      <w:r>
        <w:rPr>
          <w:lang w:val="fr-FR"/>
        </w:rPr>
        <w:t>’</w:t>
      </w:r>
      <w:r w:rsidRPr="00262910">
        <w:rPr>
          <w:lang w:val="fr-FR"/>
        </w:rPr>
        <w:t xml:space="preserve">égalité des </w:t>
      </w:r>
      <w:r>
        <w:rPr>
          <w:lang w:val="fr-FR"/>
        </w:rPr>
        <w:t>genres</w:t>
      </w:r>
      <w:r w:rsidRPr="00262910">
        <w:rPr>
          <w:lang w:val="fr-FR"/>
        </w:rPr>
        <w:t xml:space="preserve"> (lois n</w:t>
      </w:r>
      <w:r w:rsidRPr="008238E3">
        <w:rPr>
          <w:vertAlign w:val="superscript"/>
          <w:lang w:val="fr-FR"/>
        </w:rPr>
        <w:t>o</w:t>
      </w:r>
      <w:r w:rsidR="00CA4369">
        <w:rPr>
          <w:vertAlign w:val="superscript"/>
          <w:lang w:val="fr-FR"/>
        </w:rPr>
        <w:t>s</w:t>
      </w:r>
      <w:r w:rsidRPr="00262910">
        <w:rPr>
          <w:lang w:val="fr-FR"/>
        </w:rPr>
        <w:t xml:space="preserve"> 45/1978 </w:t>
      </w:r>
      <w:r>
        <w:rPr>
          <w:lang w:val="fr-FR"/>
        </w:rPr>
        <w:t xml:space="preserve">et </w:t>
      </w:r>
      <w:r w:rsidRPr="00262910">
        <w:rPr>
          <w:lang w:val="fr-FR"/>
        </w:rPr>
        <w:t xml:space="preserve">59/2013). Ni le Tribunal ni les </w:t>
      </w:r>
      <w:r>
        <w:rPr>
          <w:lang w:val="fr-FR"/>
        </w:rPr>
        <w:t xml:space="preserve">juridictions </w:t>
      </w:r>
      <w:r w:rsidRPr="00832BC6">
        <w:rPr>
          <w:lang w:val="fr-FR"/>
        </w:rPr>
        <w:t xml:space="preserve">judiciaires </w:t>
      </w:r>
      <w:r>
        <w:rPr>
          <w:lang w:val="fr-FR"/>
        </w:rPr>
        <w:t xml:space="preserve">de la Norvège </w:t>
      </w:r>
      <w:r w:rsidRPr="00262910">
        <w:rPr>
          <w:lang w:val="fr-FR"/>
        </w:rPr>
        <w:t>n</w:t>
      </w:r>
      <w:r>
        <w:rPr>
          <w:lang w:val="fr-FR"/>
        </w:rPr>
        <w:t>’</w:t>
      </w:r>
      <w:r w:rsidRPr="00262910">
        <w:rPr>
          <w:lang w:val="fr-FR"/>
        </w:rPr>
        <w:t xml:space="preserve">ont rendu de décision concernant des questions </w:t>
      </w:r>
      <w:r>
        <w:rPr>
          <w:lang w:val="fr-FR"/>
        </w:rPr>
        <w:t xml:space="preserve">en lien avec </w:t>
      </w:r>
      <w:r w:rsidRPr="00262910">
        <w:rPr>
          <w:lang w:val="fr-FR"/>
        </w:rPr>
        <w:t>l</w:t>
      </w:r>
      <w:r>
        <w:rPr>
          <w:lang w:val="fr-FR"/>
        </w:rPr>
        <w:t>’</w:t>
      </w:r>
      <w:r w:rsidRPr="00262910">
        <w:rPr>
          <w:lang w:val="fr-FR"/>
        </w:rPr>
        <w:t>article 34 de la nouvelle loi sur l</w:t>
      </w:r>
      <w:r>
        <w:rPr>
          <w:lang w:val="fr-FR"/>
        </w:rPr>
        <w:t>’</w:t>
      </w:r>
      <w:r w:rsidRPr="00262910">
        <w:rPr>
          <w:lang w:val="fr-FR"/>
        </w:rPr>
        <w:t>égalité et la lutte contre la discrimination.</w:t>
      </w:r>
    </w:p>
    <w:p w:rsidR="001771B8" w:rsidRPr="00262910" w:rsidRDefault="001771B8" w:rsidP="002633A1">
      <w:pPr>
        <w:pStyle w:val="H1G"/>
        <w:rPr>
          <w:lang w:val="fr-FR"/>
        </w:rPr>
      </w:pPr>
      <w:r w:rsidRPr="00262910">
        <w:rPr>
          <w:lang w:val="fr-FR"/>
        </w:rPr>
        <w:tab/>
      </w:r>
      <w:r w:rsidRPr="00262910">
        <w:rPr>
          <w:lang w:val="fr-FR"/>
        </w:rPr>
        <w:tab/>
      </w:r>
      <w:r w:rsidRPr="002633A1">
        <w:rPr>
          <w:lang w:val="fr-FR"/>
        </w:rPr>
        <w:t>Réponse au paragraphe 21 de la liste de points</w:t>
      </w:r>
    </w:p>
    <w:p w:rsidR="001771B8" w:rsidRPr="00262910" w:rsidRDefault="001771B8" w:rsidP="001771B8">
      <w:pPr>
        <w:pStyle w:val="SingleTxtG"/>
        <w:rPr>
          <w:lang w:val="fr-FR"/>
        </w:rPr>
      </w:pPr>
      <w:r w:rsidRPr="00262910">
        <w:rPr>
          <w:lang w:val="fr-FR"/>
        </w:rPr>
        <w:t>152.</w:t>
      </w:r>
      <w:r w:rsidRPr="00262910">
        <w:rPr>
          <w:lang w:val="fr-FR"/>
        </w:rPr>
        <w:tab/>
      </w:r>
      <w:r w:rsidRPr="004A6288">
        <w:rPr>
          <w:lang w:val="fr-FR"/>
        </w:rPr>
        <w:t>La Norvège ne dispose</w:t>
      </w:r>
      <w:r w:rsidRPr="00262910">
        <w:rPr>
          <w:lang w:val="fr-FR"/>
        </w:rPr>
        <w:t xml:space="preserve"> pas de données statistiques sur la mesure dans laquelle les initiatives prises ont permis de prévenir et de réduire l</w:t>
      </w:r>
      <w:r>
        <w:rPr>
          <w:lang w:val="fr-FR"/>
        </w:rPr>
        <w:t>’</w:t>
      </w:r>
      <w:r w:rsidRPr="00262910">
        <w:rPr>
          <w:lang w:val="fr-FR"/>
        </w:rPr>
        <w:t xml:space="preserve">exposition aux produits chimiques. </w:t>
      </w:r>
      <w:r>
        <w:rPr>
          <w:lang w:val="fr-FR"/>
        </w:rPr>
        <w:t>Cela étant, il convient d</w:t>
      </w:r>
      <w:r w:rsidRPr="001C04D2">
        <w:rPr>
          <w:lang w:val="fr-FR"/>
        </w:rPr>
        <w:t>e s</w:t>
      </w:r>
      <w:r w:rsidRPr="00262910">
        <w:rPr>
          <w:lang w:val="fr-FR"/>
        </w:rPr>
        <w:t>ignaler que l</w:t>
      </w:r>
      <w:r>
        <w:rPr>
          <w:lang w:val="fr-FR"/>
        </w:rPr>
        <w:t xml:space="preserve">’Inspection nationale </w:t>
      </w:r>
      <w:r w:rsidRPr="00262910">
        <w:rPr>
          <w:lang w:val="fr-FR"/>
        </w:rPr>
        <w:t>du travail a mis en œuvre un programme d</w:t>
      </w:r>
      <w:r>
        <w:rPr>
          <w:lang w:val="fr-FR"/>
        </w:rPr>
        <w:t>’</w:t>
      </w:r>
      <w:r w:rsidRPr="00262910">
        <w:rPr>
          <w:lang w:val="fr-FR"/>
        </w:rPr>
        <w:t>inspection prioritaire axé sur la sécurité et la santé au travail des pompiers et des ramoneurs (2016-2017)</w:t>
      </w:r>
      <w:r>
        <w:rPr>
          <w:lang w:val="fr-FR"/>
        </w:rPr>
        <w:t xml:space="preserve"> en vue </w:t>
      </w:r>
      <w:r w:rsidRPr="00262910">
        <w:rPr>
          <w:lang w:val="fr-FR"/>
        </w:rPr>
        <w:t>de prévenir l</w:t>
      </w:r>
      <w:r>
        <w:rPr>
          <w:lang w:val="fr-FR"/>
        </w:rPr>
        <w:t>’</w:t>
      </w:r>
      <w:r w:rsidRPr="00262910">
        <w:rPr>
          <w:lang w:val="fr-FR"/>
        </w:rPr>
        <w:t>exposition de ces travailleurs à la poussière, aux gaz et</w:t>
      </w:r>
      <w:r>
        <w:rPr>
          <w:lang w:val="fr-FR"/>
        </w:rPr>
        <w:t xml:space="preserve"> aux </w:t>
      </w:r>
      <w:r w:rsidRPr="00262910">
        <w:rPr>
          <w:lang w:val="fr-FR"/>
        </w:rPr>
        <w:t>fumée</w:t>
      </w:r>
      <w:r>
        <w:rPr>
          <w:lang w:val="fr-FR"/>
        </w:rPr>
        <w:t>s</w:t>
      </w:r>
      <w:r w:rsidRPr="00262910">
        <w:rPr>
          <w:lang w:val="fr-FR"/>
        </w:rPr>
        <w:t xml:space="preserve"> contenant des substances chimiques. </w:t>
      </w:r>
    </w:p>
    <w:p w:rsidR="001771B8" w:rsidRPr="00DA3767" w:rsidRDefault="001771B8" w:rsidP="001771B8">
      <w:pPr>
        <w:pStyle w:val="SingleTxtG"/>
        <w:rPr>
          <w:lang w:val="fr-FR"/>
        </w:rPr>
      </w:pPr>
      <w:r w:rsidRPr="00DA3767">
        <w:rPr>
          <w:lang w:val="fr-FR"/>
        </w:rPr>
        <w:t>153.</w:t>
      </w:r>
      <w:r w:rsidRPr="00DA3767">
        <w:rPr>
          <w:lang w:val="fr-FR"/>
        </w:rPr>
        <w:tab/>
        <w:t>L</w:t>
      </w:r>
      <w:r>
        <w:rPr>
          <w:lang w:val="fr-FR"/>
        </w:rPr>
        <w:t>’</w:t>
      </w:r>
      <w:r w:rsidRPr="00DA3767">
        <w:rPr>
          <w:lang w:val="fr-FR"/>
        </w:rPr>
        <w:t>Inspection du travail a effectué 317 inspections et trouvé dans 225 cas des raisons de prendre des mesures, les constatations les plus courantes étant</w:t>
      </w:r>
      <w:r w:rsidR="002633A1">
        <w:rPr>
          <w:lang w:val="fr-FR"/>
        </w:rPr>
        <w:t> </w:t>
      </w:r>
      <w:r w:rsidRPr="00DA3767">
        <w:rPr>
          <w:lang w:val="fr-FR"/>
        </w:rPr>
        <w:t>: 1) le défaut de mise en œuvre des moyens applicables pour réduire les risques d</w:t>
      </w:r>
      <w:r>
        <w:rPr>
          <w:lang w:val="fr-FR"/>
        </w:rPr>
        <w:t>’</w:t>
      </w:r>
      <w:r w:rsidRPr="00DA3767">
        <w:rPr>
          <w:lang w:val="fr-FR"/>
        </w:rPr>
        <w:t xml:space="preserve">exposition à la poussière, au gaz et aux fumées </w:t>
      </w:r>
      <w:r w:rsidR="002633A1">
        <w:rPr>
          <w:lang w:val="fr-FR"/>
        </w:rPr>
        <w:t>−</w:t>
      </w:r>
      <w:r w:rsidRPr="00DA3767">
        <w:rPr>
          <w:lang w:val="fr-FR"/>
        </w:rPr>
        <w:t xml:space="preserve"> en particulier la non-utilisation du matériel de protection individuelle pour des opérations « non urgent</w:t>
      </w:r>
      <w:r>
        <w:rPr>
          <w:lang w:val="fr-FR"/>
        </w:rPr>
        <w:t>e</w:t>
      </w:r>
      <w:r w:rsidRPr="00DA3767">
        <w:rPr>
          <w:lang w:val="fr-FR"/>
        </w:rPr>
        <w:t xml:space="preserve">s », </w:t>
      </w:r>
      <w:r>
        <w:rPr>
          <w:lang w:val="fr-FR"/>
        </w:rPr>
        <w:t xml:space="preserve">comme </w:t>
      </w:r>
      <w:r w:rsidRPr="00DA3767">
        <w:rPr>
          <w:lang w:val="fr-FR"/>
        </w:rPr>
        <w:t>le nettoyage d</w:t>
      </w:r>
      <w:r>
        <w:rPr>
          <w:lang w:val="fr-FR"/>
        </w:rPr>
        <w:t>’</w:t>
      </w:r>
      <w:r w:rsidRPr="00DA3767">
        <w:rPr>
          <w:lang w:val="fr-FR"/>
        </w:rPr>
        <w:t>équipement après usage et autres opérations d</w:t>
      </w:r>
      <w:r>
        <w:rPr>
          <w:lang w:val="fr-FR"/>
        </w:rPr>
        <w:t>’</w:t>
      </w:r>
      <w:r w:rsidRPr="00DA3767">
        <w:rPr>
          <w:lang w:val="fr-FR"/>
        </w:rPr>
        <w:t>entretien</w:t>
      </w:r>
      <w:r w:rsidR="002633A1">
        <w:rPr>
          <w:lang w:val="fr-FR"/>
        </w:rPr>
        <w:t> </w:t>
      </w:r>
      <w:r w:rsidRPr="00DA3767">
        <w:rPr>
          <w:lang w:val="fr-FR"/>
        </w:rPr>
        <w:t>; 2) la méconnaissances des modalités d</w:t>
      </w:r>
      <w:r>
        <w:rPr>
          <w:lang w:val="fr-FR"/>
        </w:rPr>
        <w:t>’</w:t>
      </w:r>
      <w:r w:rsidRPr="00DA3767">
        <w:rPr>
          <w:lang w:val="fr-FR"/>
        </w:rPr>
        <w:t>application d</w:t>
      </w:r>
      <w:r>
        <w:rPr>
          <w:lang w:val="fr-FR"/>
        </w:rPr>
        <w:t>’</w:t>
      </w:r>
      <w:r w:rsidRPr="00DA3767">
        <w:rPr>
          <w:lang w:val="fr-FR"/>
        </w:rPr>
        <w:t>un programme systématique de détection et de prévention des risques professionnels ; 3) le manque de renseignements et de formation sur les procédures de sécurité et l</w:t>
      </w:r>
      <w:r>
        <w:rPr>
          <w:lang w:val="fr-FR"/>
        </w:rPr>
        <w:t>’</w:t>
      </w:r>
      <w:r w:rsidRPr="00DA3767">
        <w:rPr>
          <w:lang w:val="fr-FR"/>
        </w:rPr>
        <w:t>usage des équipements.</w:t>
      </w:r>
    </w:p>
    <w:p w:rsidR="001771B8" w:rsidRPr="00262910" w:rsidRDefault="001771B8" w:rsidP="001771B8">
      <w:pPr>
        <w:pStyle w:val="SingleTxtG"/>
        <w:rPr>
          <w:lang w:val="fr-FR"/>
        </w:rPr>
      </w:pPr>
      <w:r w:rsidRPr="00262910">
        <w:rPr>
          <w:lang w:val="fr-FR"/>
        </w:rPr>
        <w:t>154.</w:t>
      </w:r>
      <w:r w:rsidRPr="00262910">
        <w:rPr>
          <w:lang w:val="fr-FR"/>
        </w:rPr>
        <w:tab/>
      </w:r>
      <w:r w:rsidRPr="00F76364">
        <w:rPr>
          <w:lang w:val="fr-FR"/>
        </w:rPr>
        <w:t>À l</w:t>
      </w:r>
      <w:r>
        <w:rPr>
          <w:lang w:val="fr-FR"/>
        </w:rPr>
        <w:t>’</w:t>
      </w:r>
      <w:r w:rsidRPr="00F76364">
        <w:rPr>
          <w:lang w:val="fr-FR"/>
        </w:rPr>
        <w:t>issue de ce programme</w:t>
      </w:r>
      <w:r w:rsidRPr="00262910">
        <w:rPr>
          <w:lang w:val="fr-FR"/>
        </w:rPr>
        <w:t>, l</w:t>
      </w:r>
      <w:r>
        <w:rPr>
          <w:lang w:val="fr-FR"/>
        </w:rPr>
        <w:t>’</w:t>
      </w:r>
      <w:r w:rsidRPr="00262910">
        <w:rPr>
          <w:lang w:val="fr-FR"/>
        </w:rPr>
        <w:t xml:space="preserve">Inspection du travail a </w:t>
      </w:r>
      <w:r>
        <w:rPr>
          <w:lang w:val="fr-FR"/>
        </w:rPr>
        <w:t xml:space="preserve">réalisé </w:t>
      </w:r>
      <w:r w:rsidRPr="00262910">
        <w:rPr>
          <w:lang w:val="fr-FR"/>
        </w:rPr>
        <w:t xml:space="preserve">une enquête auprès des </w:t>
      </w:r>
      <w:r>
        <w:rPr>
          <w:lang w:val="fr-FR"/>
        </w:rPr>
        <w:t>brigades de p</w:t>
      </w:r>
      <w:r w:rsidRPr="00262910">
        <w:rPr>
          <w:lang w:val="fr-FR"/>
        </w:rPr>
        <w:t xml:space="preserve">ompiers </w:t>
      </w:r>
      <w:r>
        <w:rPr>
          <w:lang w:val="fr-FR"/>
        </w:rPr>
        <w:t>inspectées dans son cadre</w:t>
      </w:r>
      <w:r w:rsidRPr="00262910">
        <w:rPr>
          <w:lang w:val="fr-FR"/>
        </w:rPr>
        <w:t xml:space="preserve">. Une grande majorité des </w:t>
      </w:r>
      <w:r>
        <w:rPr>
          <w:lang w:val="fr-FR"/>
        </w:rPr>
        <w:t xml:space="preserve">répondants </w:t>
      </w:r>
      <w:r w:rsidRPr="00262910">
        <w:rPr>
          <w:lang w:val="fr-FR"/>
        </w:rPr>
        <w:t xml:space="preserve">ont </w:t>
      </w:r>
      <w:r>
        <w:rPr>
          <w:lang w:val="fr-FR"/>
        </w:rPr>
        <w:t>estimé q</w:t>
      </w:r>
      <w:r w:rsidRPr="00262910">
        <w:rPr>
          <w:lang w:val="fr-FR"/>
        </w:rPr>
        <w:t>ue les inspections avaient permis de mieux comprendre et connaître les moyens de détecter les risques d</w:t>
      </w:r>
      <w:r>
        <w:rPr>
          <w:lang w:val="fr-FR"/>
        </w:rPr>
        <w:t>’</w:t>
      </w:r>
      <w:r w:rsidRPr="00262910">
        <w:rPr>
          <w:lang w:val="fr-FR"/>
        </w:rPr>
        <w:t xml:space="preserve">exposition à la poussière, au gaz et </w:t>
      </w:r>
      <w:r>
        <w:rPr>
          <w:lang w:val="fr-FR"/>
        </w:rPr>
        <w:t xml:space="preserve">aux </w:t>
      </w:r>
      <w:r w:rsidRPr="00262910">
        <w:rPr>
          <w:lang w:val="fr-FR"/>
        </w:rPr>
        <w:t>fumée</w:t>
      </w:r>
      <w:r>
        <w:rPr>
          <w:lang w:val="fr-FR"/>
        </w:rPr>
        <w:t>s</w:t>
      </w:r>
      <w:r w:rsidRPr="00262910">
        <w:rPr>
          <w:lang w:val="fr-FR"/>
        </w:rPr>
        <w:t xml:space="preserve">, </w:t>
      </w:r>
      <w:r>
        <w:rPr>
          <w:lang w:val="fr-FR"/>
        </w:rPr>
        <w:t xml:space="preserve">ainsi que </w:t>
      </w:r>
      <w:r w:rsidRPr="00262910">
        <w:rPr>
          <w:lang w:val="fr-FR"/>
        </w:rPr>
        <w:t xml:space="preserve">les moyens applicables pour </w:t>
      </w:r>
      <w:r>
        <w:rPr>
          <w:lang w:val="fr-FR"/>
        </w:rPr>
        <w:t xml:space="preserve">les </w:t>
      </w:r>
      <w:r w:rsidRPr="00262910">
        <w:rPr>
          <w:lang w:val="fr-FR"/>
        </w:rPr>
        <w:t xml:space="preserve">prévenir et </w:t>
      </w:r>
      <w:r>
        <w:rPr>
          <w:lang w:val="fr-FR"/>
        </w:rPr>
        <w:t xml:space="preserve">les </w:t>
      </w:r>
      <w:r w:rsidRPr="00262910">
        <w:rPr>
          <w:lang w:val="fr-FR"/>
        </w:rPr>
        <w:t xml:space="preserve">réduire. </w:t>
      </w:r>
      <w:r>
        <w:rPr>
          <w:lang w:val="fr-FR"/>
        </w:rPr>
        <w:t>S</w:t>
      </w:r>
      <w:r w:rsidRPr="00262910">
        <w:rPr>
          <w:lang w:val="fr-FR"/>
        </w:rPr>
        <w:t xml:space="preserve">uite </w:t>
      </w:r>
      <w:r>
        <w:rPr>
          <w:lang w:val="fr-FR"/>
        </w:rPr>
        <w:t>à</w:t>
      </w:r>
      <w:r w:rsidRPr="00262910">
        <w:rPr>
          <w:lang w:val="fr-FR"/>
        </w:rPr>
        <w:t xml:space="preserve"> ces constatations, plusieurs municipalités ont apporté ou prévoient </w:t>
      </w:r>
      <w:r>
        <w:rPr>
          <w:lang w:val="fr-FR"/>
        </w:rPr>
        <w:t>d’</w:t>
      </w:r>
      <w:r w:rsidRPr="00262910">
        <w:rPr>
          <w:lang w:val="fr-FR"/>
        </w:rPr>
        <w:t xml:space="preserve">apporter des modifications aux lieux de travail actuels ou </w:t>
      </w:r>
      <w:r>
        <w:rPr>
          <w:lang w:val="fr-FR"/>
        </w:rPr>
        <w:t xml:space="preserve">à venir </w:t>
      </w:r>
      <w:r w:rsidRPr="00262910">
        <w:rPr>
          <w:lang w:val="fr-FR"/>
        </w:rPr>
        <w:t>afin d</w:t>
      </w:r>
      <w:r>
        <w:rPr>
          <w:lang w:val="fr-FR"/>
        </w:rPr>
        <w:t>’</w:t>
      </w:r>
      <w:r w:rsidRPr="00262910">
        <w:rPr>
          <w:lang w:val="fr-FR"/>
        </w:rPr>
        <w:t>assurer de meilleures conditions de travail à leurs pompiers et ramoneurs.</w:t>
      </w:r>
    </w:p>
    <w:p w:rsidR="001771B8" w:rsidRPr="00262910" w:rsidRDefault="001771B8" w:rsidP="001771B8">
      <w:pPr>
        <w:pStyle w:val="SingleTxtG"/>
        <w:rPr>
          <w:lang w:val="fr-FR"/>
        </w:rPr>
      </w:pPr>
      <w:r w:rsidRPr="00262910">
        <w:rPr>
          <w:lang w:val="fr-FR"/>
        </w:rPr>
        <w:t>155.</w:t>
      </w:r>
      <w:r w:rsidRPr="00262910">
        <w:rPr>
          <w:lang w:val="fr-FR"/>
        </w:rPr>
        <w:tab/>
      </w:r>
      <w:r w:rsidRPr="00BB02A4">
        <w:rPr>
          <w:lang w:val="fr-FR"/>
        </w:rPr>
        <w:t>À la fin de 2015</w:t>
      </w:r>
      <w:r>
        <w:rPr>
          <w:lang w:val="fr-FR"/>
        </w:rPr>
        <w:t xml:space="preserve"> a été lancée une </w:t>
      </w:r>
      <w:r w:rsidRPr="00833629">
        <w:rPr>
          <w:lang w:val="fr-FR"/>
        </w:rPr>
        <w:t>étude préliminaire</w:t>
      </w:r>
      <w:r w:rsidRPr="00262910">
        <w:rPr>
          <w:lang w:val="fr-FR"/>
        </w:rPr>
        <w:t xml:space="preserve"> sur les accidents et les maladies </w:t>
      </w:r>
      <w:r>
        <w:rPr>
          <w:lang w:val="fr-FR"/>
        </w:rPr>
        <w:t xml:space="preserve">du travail à laquelle ont participé diverses </w:t>
      </w:r>
      <w:r w:rsidRPr="00262910">
        <w:rPr>
          <w:lang w:val="fr-FR"/>
        </w:rPr>
        <w:t>organisations</w:t>
      </w:r>
      <w:r>
        <w:rPr>
          <w:lang w:val="fr-FR"/>
        </w:rPr>
        <w:t xml:space="preserve">, dont </w:t>
      </w:r>
      <w:r w:rsidRPr="00262910">
        <w:rPr>
          <w:lang w:val="fr-FR"/>
        </w:rPr>
        <w:t>l</w:t>
      </w:r>
      <w:r>
        <w:rPr>
          <w:lang w:val="fr-FR"/>
        </w:rPr>
        <w:t>’</w:t>
      </w:r>
      <w:r w:rsidRPr="00262910">
        <w:rPr>
          <w:lang w:val="fr-FR"/>
        </w:rPr>
        <w:t>Administration du travail et de la protection sociale, l</w:t>
      </w:r>
      <w:r>
        <w:rPr>
          <w:lang w:val="fr-FR"/>
        </w:rPr>
        <w:t>’</w:t>
      </w:r>
      <w:r w:rsidRPr="00262910">
        <w:rPr>
          <w:lang w:val="fr-FR"/>
        </w:rPr>
        <w:t>Institut national de la santé des travailleurs, l</w:t>
      </w:r>
      <w:r>
        <w:rPr>
          <w:lang w:val="fr-FR"/>
        </w:rPr>
        <w:t>’</w:t>
      </w:r>
      <w:r w:rsidRPr="00262910">
        <w:rPr>
          <w:lang w:val="fr-FR"/>
        </w:rPr>
        <w:t xml:space="preserve">Inspection du travail et le Bureau norvégien de statistique. </w:t>
      </w:r>
      <w:r>
        <w:rPr>
          <w:lang w:val="fr-FR"/>
        </w:rPr>
        <w:t xml:space="preserve">Dans l’étude ont été analysées les obligations en matière de signalement </w:t>
      </w:r>
      <w:r w:rsidRPr="00262910">
        <w:rPr>
          <w:lang w:val="fr-FR"/>
        </w:rPr>
        <w:t>et évalu</w:t>
      </w:r>
      <w:r>
        <w:rPr>
          <w:lang w:val="fr-FR"/>
        </w:rPr>
        <w:t xml:space="preserve">ées les options envisageables </w:t>
      </w:r>
      <w:r w:rsidRPr="00BB02A4">
        <w:rPr>
          <w:lang w:val="fr-FR"/>
        </w:rPr>
        <w:t>pour leur exercice à l</w:t>
      </w:r>
      <w:r>
        <w:rPr>
          <w:lang w:val="fr-FR"/>
        </w:rPr>
        <w:t>’</w:t>
      </w:r>
      <w:r w:rsidRPr="00BB02A4">
        <w:rPr>
          <w:lang w:val="fr-FR"/>
        </w:rPr>
        <w:t>avenir</w:t>
      </w:r>
      <w:r w:rsidRPr="00262910">
        <w:rPr>
          <w:lang w:val="fr-FR"/>
        </w:rPr>
        <w:t xml:space="preserve">. </w:t>
      </w:r>
      <w:r>
        <w:rPr>
          <w:lang w:val="fr-FR"/>
        </w:rPr>
        <w:t xml:space="preserve">Cette étude exige </w:t>
      </w:r>
      <w:r w:rsidRPr="00262910">
        <w:rPr>
          <w:lang w:val="fr-FR"/>
        </w:rPr>
        <w:t xml:space="preserve">un suivi à long terme et les autorités </w:t>
      </w:r>
      <w:r>
        <w:rPr>
          <w:lang w:val="fr-FR"/>
        </w:rPr>
        <w:t xml:space="preserve">réfléchissent aux </w:t>
      </w:r>
      <w:r w:rsidRPr="00262910">
        <w:rPr>
          <w:lang w:val="fr-FR"/>
        </w:rPr>
        <w:t>différents aspects de la mise en œuvre des recommandations</w:t>
      </w:r>
      <w:r>
        <w:rPr>
          <w:lang w:val="fr-FR"/>
        </w:rPr>
        <w:t xml:space="preserve"> qu’elle contient</w:t>
      </w:r>
      <w:r w:rsidRPr="00262910">
        <w:rPr>
          <w:lang w:val="fr-FR"/>
        </w:rPr>
        <w:t>.</w:t>
      </w:r>
    </w:p>
    <w:p w:rsidR="001771B8" w:rsidRPr="00262910" w:rsidRDefault="001771B8" w:rsidP="001771B8">
      <w:pPr>
        <w:pStyle w:val="SingleTxtG"/>
        <w:rPr>
          <w:lang w:val="fr-FR"/>
        </w:rPr>
      </w:pPr>
      <w:r w:rsidRPr="00262910">
        <w:rPr>
          <w:lang w:val="fr-FR"/>
        </w:rPr>
        <w:t>156.</w:t>
      </w:r>
      <w:r w:rsidRPr="00262910">
        <w:rPr>
          <w:lang w:val="fr-FR"/>
        </w:rPr>
        <w:tab/>
      </w:r>
      <w:r w:rsidRPr="003B21EB">
        <w:rPr>
          <w:lang w:val="fr-FR"/>
        </w:rPr>
        <w:t>Diverses mesures ont</w:t>
      </w:r>
      <w:r w:rsidRPr="00262910">
        <w:rPr>
          <w:lang w:val="fr-FR"/>
        </w:rPr>
        <w:t xml:space="preserve"> été mises en œuvre dans ce domaine. Il convient </w:t>
      </w:r>
      <w:r>
        <w:rPr>
          <w:lang w:val="fr-FR"/>
        </w:rPr>
        <w:t xml:space="preserve">par exemple de </w:t>
      </w:r>
      <w:r w:rsidRPr="00262910">
        <w:rPr>
          <w:lang w:val="fr-FR"/>
        </w:rPr>
        <w:t xml:space="preserve">mentionner </w:t>
      </w:r>
      <w:r>
        <w:rPr>
          <w:lang w:val="fr-FR"/>
        </w:rPr>
        <w:t xml:space="preserve">la modification apportée </w:t>
      </w:r>
      <w:r w:rsidRPr="00F8278A">
        <w:rPr>
          <w:lang w:val="fr-FR"/>
        </w:rPr>
        <w:t>en 2014</w:t>
      </w:r>
      <w:r>
        <w:rPr>
          <w:lang w:val="fr-FR"/>
        </w:rPr>
        <w:t xml:space="preserve"> à </w:t>
      </w:r>
      <w:r w:rsidRPr="00262910">
        <w:rPr>
          <w:lang w:val="fr-FR"/>
        </w:rPr>
        <w:t xml:space="preserve">la loi sur le milieu de travail, qui a </w:t>
      </w:r>
      <w:r>
        <w:rPr>
          <w:lang w:val="fr-FR"/>
        </w:rPr>
        <w:t xml:space="preserve">habilité </w:t>
      </w:r>
      <w:r w:rsidRPr="00262910">
        <w:rPr>
          <w:lang w:val="fr-FR"/>
        </w:rPr>
        <w:t>l</w:t>
      </w:r>
      <w:r>
        <w:rPr>
          <w:lang w:val="fr-FR"/>
        </w:rPr>
        <w:t>’</w:t>
      </w:r>
      <w:r w:rsidRPr="00262910">
        <w:rPr>
          <w:lang w:val="fr-FR"/>
        </w:rPr>
        <w:t xml:space="preserve">Inspection du travail </w:t>
      </w:r>
      <w:r>
        <w:rPr>
          <w:lang w:val="fr-FR"/>
        </w:rPr>
        <w:t xml:space="preserve">à </w:t>
      </w:r>
      <w:r w:rsidRPr="00262910">
        <w:rPr>
          <w:lang w:val="fr-FR"/>
        </w:rPr>
        <w:t>infliger des amendes administratives aux employeurs ne s</w:t>
      </w:r>
      <w:r>
        <w:rPr>
          <w:lang w:val="fr-FR"/>
        </w:rPr>
        <w:t>’</w:t>
      </w:r>
      <w:r w:rsidRPr="00262910">
        <w:rPr>
          <w:lang w:val="fr-FR"/>
        </w:rPr>
        <w:t>acquitt</w:t>
      </w:r>
      <w:r>
        <w:rPr>
          <w:lang w:val="fr-FR"/>
        </w:rPr>
        <w:t>a</w:t>
      </w:r>
      <w:r w:rsidRPr="00262910">
        <w:rPr>
          <w:lang w:val="fr-FR"/>
        </w:rPr>
        <w:t>nt pas d</w:t>
      </w:r>
      <w:r>
        <w:rPr>
          <w:lang w:val="fr-FR"/>
        </w:rPr>
        <w:t xml:space="preserve">es </w:t>
      </w:r>
      <w:r w:rsidRPr="00262910">
        <w:rPr>
          <w:lang w:val="fr-FR"/>
        </w:rPr>
        <w:t xml:space="preserve">obligations </w:t>
      </w:r>
      <w:r>
        <w:rPr>
          <w:lang w:val="fr-FR"/>
        </w:rPr>
        <w:t xml:space="preserve">que </w:t>
      </w:r>
      <w:r w:rsidRPr="00F8278A">
        <w:rPr>
          <w:lang w:val="fr-FR"/>
        </w:rPr>
        <w:t>leur impose</w:t>
      </w:r>
      <w:r w:rsidRPr="003B21EB">
        <w:rPr>
          <w:lang w:val="fr-FR"/>
        </w:rPr>
        <w:t xml:space="preserve"> cette loi</w:t>
      </w:r>
      <w:r w:rsidRPr="00262910">
        <w:rPr>
          <w:lang w:val="fr-FR"/>
        </w:rPr>
        <w:t xml:space="preserve">. </w:t>
      </w:r>
      <w:r w:rsidRPr="00D3031A">
        <w:rPr>
          <w:lang w:val="fr-FR"/>
        </w:rPr>
        <w:t>Des amendes administratives</w:t>
      </w:r>
      <w:r w:rsidRPr="00262910">
        <w:rPr>
          <w:lang w:val="fr-FR"/>
        </w:rPr>
        <w:t xml:space="preserve"> ont depuis </w:t>
      </w:r>
      <w:r>
        <w:rPr>
          <w:lang w:val="fr-FR"/>
        </w:rPr>
        <w:t>été infligées en sanction d’</w:t>
      </w:r>
      <w:r w:rsidRPr="00262910">
        <w:rPr>
          <w:lang w:val="fr-FR"/>
        </w:rPr>
        <w:t>infraction</w:t>
      </w:r>
      <w:r>
        <w:rPr>
          <w:lang w:val="fr-FR"/>
        </w:rPr>
        <w:t>s</w:t>
      </w:r>
      <w:r w:rsidRPr="00262910">
        <w:rPr>
          <w:lang w:val="fr-FR"/>
        </w:rPr>
        <w:t xml:space="preserve"> grave</w:t>
      </w:r>
      <w:r>
        <w:rPr>
          <w:lang w:val="fr-FR"/>
        </w:rPr>
        <w:t>s</w:t>
      </w:r>
      <w:r w:rsidRPr="00262910">
        <w:rPr>
          <w:lang w:val="fr-FR"/>
        </w:rPr>
        <w:t xml:space="preserve"> à la loi sur le milieu de travail, en particulier dans </w:t>
      </w:r>
      <w:r>
        <w:rPr>
          <w:lang w:val="fr-FR"/>
        </w:rPr>
        <w:t xml:space="preserve">le secteur </w:t>
      </w:r>
      <w:r w:rsidRPr="00262910">
        <w:rPr>
          <w:lang w:val="fr-FR"/>
        </w:rPr>
        <w:t>de la construction, où l</w:t>
      </w:r>
      <w:r>
        <w:rPr>
          <w:lang w:val="fr-FR"/>
        </w:rPr>
        <w:t xml:space="preserve">es violations de la réglementation relative à la </w:t>
      </w:r>
      <w:r w:rsidRPr="00262910">
        <w:rPr>
          <w:lang w:val="fr-FR"/>
        </w:rPr>
        <w:t xml:space="preserve">santé et </w:t>
      </w:r>
      <w:r>
        <w:rPr>
          <w:lang w:val="fr-FR"/>
        </w:rPr>
        <w:t xml:space="preserve">à la </w:t>
      </w:r>
      <w:r w:rsidRPr="00262910">
        <w:rPr>
          <w:lang w:val="fr-FR"/>
        </w:rPr>
        <w:t>sécurité constitue</w:t>
      </w:r>
      <w:r>
        <w:rPr>
          <w:lang w:val="fr-FR"/>
        </w:rPr>
        <w:t>nt</w:t>
      </w:r>
      <w:r w:rsidRPr="00262910">
        <w:rPr>
          <w:lang w:val="fr-FR"/>
        </w:rPr>
        <w:t xml:space="preserve">, dans la plupart des cas, </w:t>
      </w:r>
      <w:r>
        <w:rPr>
          <w:lang w:val="fr-FR"/>
        </w:rPr>
        <w:t xml:space="preserve">des </w:t>
      </w:r>
      <w:r w:rsidRPr="00262910">
        <w:rPr>
          <w:lang w:val="fr-FR"/>
        </w:rPr>
        <w:t>infraction</w:t>
      </w:r>
      <w:r>
        <w:rPr>
          <w:lang w:val="fr-FR"/>
        </w:rPr>
        <w:t>s</w:t>
      </w:r>
      <w:r w:rsidRPr="00262910">
        <w:rPr>
          <w:lang w:val="fr-FR"/>
        </w:rPr>
        <w:t xml:space="preserve"> grave</w:t>
      </w:r>
      <w:r>
        <w:rPr>
          <w:lang w:val="fr-FR"/>
        </w:rPr>
        <w:t>s</w:t>
      </w:r>
      <w:r w:rsidRPr="00262910">
        <w:rPr>
          <w:lang w:val="fr-FR"/>
        </w:rPr>
        <w:t xml:space="preserve">. </w:t>
      </w:r>
    </w:p>
    <w:p w:rsidR="001771B8" w:rsidRPr="00262910" w:rsidRDefault="001771B8" w:rsidP="001771B8">
      <w:pPr>
        <w:pStyle w:val="SingleTxtG"/>
        <w:rPr>
          <w:lang w:val="fr-FR"/>
        </w:rPr>
      </w:pPr>
      <w:r w:rsidRPr="00262910">
        <w:rPr>
          <w:lang w:val="fr-FR"/>
        </w:rPr>
        <w:t>157.</w:t>
      </w:r>
      <w:r w:rsidRPr="00262910">
        <w:rPr>
          <w:lang w:val="fr-FR"/>
        </w:rPr>
        <w:tab/>
      </w:r>
      <w:r w:rsidRPr="00F84F4E">
        <w:rPr>
          <w:lang w:val="fr-FR"/>
        </w:rPr>
        <w:t>L</w:t>
      </w:r>
      <w:r>
        <w:rPr>
          <w:lang w:val="fr-FR"/>
        </w:rPr>
        <w:t>’</w:t>
      </w:r>
      <w:r w:rsidRPr="00F84F4E">
        <w:rPr>
          <w:lang w:val="fr-FR"/>
        </w:rPr>
        <w:t>Inspection du travail</w:t>
      </w:r>
      <w:r w:rsidRPr="00262910">
        <w:rPr>
          <w:lang w:val="fr-FR"/>
        </w:rPr>
        <w:t xml:space="preserve"> </w:t>
      </w:r>
      <w:r>
        <w:rPr>
          <w:lang w:val="fr-FR"/>
        </w:rPr>
        <w:t xml:space="preserve">a constaté une évolution positive dans le secteur de </w:t>
      </w:r>
      <w:r w:rsidRPr="00262910">
        <w:rPr>
          <w:lang w:val="fr-FR"/>
        </w:rPr>
        <w:t xml:space="preserve">la construction. En 2018, </w:t>
      </w:r>
      <w:r>
        <w:rPr>
          <w:lang w:val="fr-FR"/>
        </w:rPr>
        <w:t xml:space="preserve">elle </w:t>
      </w:r>
      <w:r w:rsidRPr="00262910">
        <w:rPr>
          <w:lang w:val="fr-FR"/>
        </w:rPr>
        <w:t xml:space="preserve">a </w:t>
      </w:r>
      <w:r>
        <w:rPr>
          <w:lang w:val="fr-FR"/>
        </w:rPr>
        <w:t xml:space="preserve">durci son action en infligeant davantage d’amendes en cas d’infraction </w:t>
      </w:r>
      <w:r w:rsidRPr="00262910">
        <w:rPr>
          <w:lang w:val="fr-FR"/>
        </w:rPr>
        <w:t xml:space="preserve">et en </w:t>
      </w:r>
      <w:r>
        <w:rPr>
          <w:lang w:val="fr-FR"/>
        </w:rPr>
        <w:t>imposant la cessation d’</w:t>
      </w:r>
      <w:r w:rsidRPr="00262910">
        <w:rPr>
          <w:lang w:val="fr-FR"/>
        </w:rPr>
        <w:t xml:space="preserve">activité </w:t>
      </w:r>
      <w:r>
        <w:rPr>
          <w:lang w:val="fr-FR"/>
        </w:rPr>
        <w:t>aux e</w:t>
      </w:r>
      <w:r w:rsidRPr="00262910">
        <w:rPr>
          <w:lang w:val="fr-FR"/>
        </w:rPr>
        <w:t>ntreprises n</w:t>
      </w:r>
      <w:r>
        <w:rPr>
          <w:lang w:val="fr-FR"/>
        </w:rPr>
        <w:t>’</w:t>
      </w:r>
      <w:r w:rsidRPr="00262910">
        <w:rPr>
          <w:lang w:val="fr-FR"/>
        </w:rPr>
        <w:t xml:space="preserve">assurant pas </w:t>
      </w:r>
      <w:r>
        <w:rPr>
          <w:lang w:val="fr-FR"/>
        </w:rPr>
        <w:t xml:space="preserve">dûment </w:t>
      </w:r>
      <w:r w:rsidRPr="00262910">
        <w:rPr>
          <w:lang w:val="fr-FR"/>
        </w:rPr>
        <w:t xml:space="preserve">la sécurité de leurs employés. </w:t>
      </w:r>
      <w:r w:rsidRPr="000B7725">
        <w:rPr>
          <w:lang w:val="fr-FR"/>
        </w:rPr>
        <w:t>L</w:t>
      </w:r>
      <w:r>
        <w:rPr>
          <w:lang w:val="fr-FR"/>
        </w:rPr>
        <w:t>’</w:t>
      </w:r>
      <w:r w:rsidRPr="000B7725">
        <w:rPr>
          <w:lang w:val="fr-FR"/>
        </w:rPr>
        <w:t>expérience montre</w:t>
      </w:r>
      <w:r w:rsidRPr="00262910">
        <w:rPr>
          <w:lang w:val="fr-FR"/>
        </w:rPr>
        <w:t xml:space="preserve"> qu</w:t>
      </w:r>
      <w:r>
        <w:rPr>
          <w:lang w:val="fr-FR"/>
        </w:rPr>
        <w:t>’infliger des amendes en cas d’</w:t>
      </w:r>
      <w:r w:rsidRPr="00262910">
        <w:rPr>
          <w:lang w:val="fr-FR"/>
        </w:rPr>
        <w:t xml:space="preserve">infraction a un effet </w:t>
      </w:r>
      <w:r>
        <w:rPr>
          <w:lang w:val="fr-FR"/>
        </w:rPr>
        <w:t>positif</w:t>
      </w:r>
      <w:r w:rsidRPr="003B21EB">
        <w:rPr>
          <w:lang w:val="fr-FR"/>
        </w:rPr>
        <w:t xml:space="preserve"> </w:t>
      </w:r>
      <w:r>
        <w:rPr>
          <w:lang w:val="fr-FR"/>
        </w:rPr>
        <w:t xml:space="preserve">et </w:t>
      </w:r>
      <w:r w:rsidRPr="003B21EB">
        <w:rPr>
          <w:lang w:val="fr-FR"/>
        </w:rPr>
        <w:t>préventif</w:t>
      </w:r>
      <w:r>
        <w:rPr>
          <w:lang w:val="fr-FR"/>
        </w:rPr>
        <w:t>.</w:t>
      </w:r>
      <w:r w:rsidRPr="00262910">
        <w:rPr>
          <w:lang w:val="fr-FR"/>
        </w:rPr>
        <w:t xml:space="preserve"> </w:t>
      </w:r>
      <w:r>
        <w:rPr>
          <w:lang w:val="fr-FR"/>
        </w:rPr>
        <w:t>E</w:t>
      </w:r>
      <w:r w:rsidRPr="004145D7">
        <w:rPr>
          <w:lang w:val="fr-FR"/>
        </w:rPr>
        <w:t>n 2018</w:t>
      </w:r>
      <w:r>
        <w:rPr>
          <w:lang w:val="fr-FR"/>
        </w:rPr>
        <w:t>, l’</w:t>
      </w:r>
      <w:r w:rsidRPr="00262910">
        <w:rPr>
          <w:lang w:val="fr-FR"/>
        </w:rPr>
        <w:t xml:space="preserve">Inspection a </w:t>
      </w:r>
      <w:r>
        <w:rPr>
          <w:lang w:val="fr-FR"/>
        </w:rPr>
        <w:t xml:space="preserve">signalé </w:t>
      </w:r>
      <w:r w:rsidRPr="00262910">
        <w:rPr>
          <w:lang w:val="fr-FR"/>
        </w:rPr>
        <w:t>que le nombre de</w:t>
      </w:r>
      <w:r>
        <w:rPr>
          <w:lang w:val="fr-FR"/>
        </w:rPr>
        <w:t xml:space="preserve">s </w:t>
      </w:r>
      <w:r w:rsidRPr="00262910">
        <w:rPr>
          <w:lang w:val="fr-FR"/>
        </w:rPr>
        <w:t xml:space="preserve">décès </w:t>
      </w:r>
      <w:r>
        <w:rPr>
          <w:lang w:val="fr-FR"/>
        </w:rPr>
        <w:t xml:space="preserve">causés par une </w:t>
      </w:r>
      <w:r w:rsidRPr="00262910">
        <w:rPr>
          <w:lang w:val="fr-FR"/>
        </w:rPr>
        <w:t>chute</w:t>
      </w:r>
      <w:r>
        <w:rPr>
          <w:lang w:val="fr-FR"/>
        </w:rPr>
        <w:t xml:space="preserve"> accidentelle au travail avait connu son plus bas </w:t>
      </w:r>
      <w:r w:rsidRPr="00262910">
        <w:rPr>
          <w:lang w:val="fr-FR"/>
        </w:rPr>
        <w:t>historiqu</w:t>
      </w:r>
      <w:r>
        <w:rPr>
          <w:lang w:val="fr-FR"/>
        </w:rPr>
        <w:t>e</w:t>
      </w:r>
      <w:r w:rsidRPr="00262910">
        <w:rPr>
          <w:lang w:val="fr-FR"/>
        </w:rPr>
        <w:t>.</w:t>
      </w:r>
    </w:p>
    <w:p w:rsidR="001771B8" w:rsidRPr="00262910" w:rsidRDefault="001771B8" w:rsidP="001771B8">
      <w:pPr>
        <w:pStyle w:val="SingleTxtG"/>
        <w:rPr>
          <w:lang w:val="fr-FR"/>
        </w:rPr>
      </w:pPr>
      <w:r w:rsidRPr="00262910">
        <w:rPr>
          <w:lang w:val="fr-FR"/>
        </w:rPr>
        <w:t>158.</w:t>
      </w:r>
      <w:r w:rsidRPr="00262910">
        <w:rPr>
          <w:lang w:val="fr-FR"/>
        </w:rPr>
        <w:tab/>
      </w:r>
      <w:r>
        <w:rPr>
          <w:lang w:val="fr-FR"/>
        </w:rPr>
        <w:t>Ci-après figure u</w:t>
      </w:r>
      <w:r w:rsidRPr="00262910">
        <w:rPr>
          <w:lang w:val="fr-FR"/>
        </w:rPr>
        <w:t xml:space="preserve">n aperçu des statistiques </w:t>
      </w:r>
      <w:r w:rsidRPr="003233DD">
        <w:rPr>
          <w:lang w:val="fr-FR"/>
        </w:rPr>
        <w:t>émanant de l</w:t>
      </w:r>
      <w:r>
        <w:rPr>
          <w:lang w:val="fr-FR"/>
        </w:rPr>
        <w:t>’</w:t>
      </w:r>
      <w:r w:rsidRPr="003233DD">
        <w:rPr>
          <w:lang w:val="fr-FR"/>
        </w:rPr>
        <w:t xml:space="preserve">Inspection du travail </w:t>
      </w:r>
      <w:r>
        <w:rPr>
          <w:lang w:val="fr-FR"/>
        </w:rPr>
        <w:t>relatives aux d</w:t>
      </w:r>
      <w:r w:rsidRPr="00262910">
        <w:rPr>
          <w:lang w:val="fr-FR"/>
        </w:rPr>
        <w:t xml:space="preserve">écès </w:t>
      </w:r>
      <w:r>
        <w:rPr>
          <w:lang w:val="fr-FR"/>
        </w:rPr>
        <w:t xml:space="preserve">causés par </w:t>
      </w:r>
      <w:r w:rsidRPr="00262910">
        <w:rPr>
          <w:lang w:val="fr-FR"/>
        </w:rPr>
        <w:t xml:space="preserve">des accidents </w:t>
      </w:r>
      <w:r>
        <w:rPr>
          <w:lang w:val="fr-FR"/>
        </w:rPr>
        <w:t xml:space="preserve">du travail sur </w:t>
      </w:r>
      <w:r w:rsidRPr="00262910">
        <w:rPr>
          <w:lang w:val="fr-FR"/>
        </w:rPr>
        <w:t>terre</w:t>
      </w:r>
      <w:r>
        <w:rPr>
          <w:lang w:val="fr-FR"/>
        </w:rPr>
        <w:t xml:space="preserve"> (</w:t>
      </w:r>
      <w:r w:rsidRPr="00262910">
        <w:rPr>
          <w:lang w:val="fr-FR"/>
        </w:rPr>
        <w:t>2011-23 mai 2019</w:t>
      </w:r>
      <w:r>
        <w:rPr>
          <w:lang w:val="fr-FR"/>
        </w:rPr>
        <w:t>)</w:t>
      </w:r>
      <w:r w:rsidRPr="00262910">
        <w:rPr>
          <w:lang w:val="fr-FR"/>
        </w:rPr>
        <w:t xml:space="preserve">. </w:t>
      </w:r>
    </w:p>
    <w:p w:rsidR="001771B8" w:rsidRPr="00262910" w:rsidRDefault="001771B8" w:rsidP="001771B8">
      <w:pPr>
        <w:pStyle w:val="SingleTxtG"/>
        <w:rPr>
          <w:lang w:val="fr-FR"/>
        </w:rPr>
      </w:pPr>
      <w:r w:rsidRPr="00262910">
        <w:rPr>
          <w:lang w:val="fr-FR"/>
        </w:rPr>
        <w:t>159.</w:t>
      </w:r>
      <w:r w:rsidRPr="00262910">
        <w:rPr>
          <w:lang w:val="fr-FR"/>
        </w:rPr>
        <w:tab/>
      </w:r>
      <w:r w:rsidRPr="00E54985">
        <w:rPr>
          <w:lang w:val="fr-FR"/>
        </w:rPr>
        <w:t>L</w:t>
      </w:r>
      <w:r>
        <w:rPr>
          <w:lang w:val="fr-FR"/>
        </w:rPr>
        <w:t>’</w:t>
      </w:r>
      <w:r w:rsidRPr="00E54985">
        <w:rPr>
          <w:lang w:val="fr-FR"/>
        </w:rPr>
        <w:t>Inspection du</w:t>
      </w:r>
      <w:r w:rsidRPr="00262910">
        <w:rPr>
          <w:lang w:val="fr-FR"/>
        </w:rPr>
        <w:t xml:space="preserve"> travail a enregistré un total de 304 décès liés au travail au cours de cette période, dont 236 </w:t>
      </w:r>
      <w:r>
        <w:rPr>
          <w:lang w:val="fr-FR"/>
        </w:rPr>
        <w:t xml:space="preserve">travailleurs </w:t>
      </w:r>
      <w:r w:rsidRPr="00262910">
        <w:rPr>
          <w:lang w:val="fr-FR"/>
        </w:rPr>
        <w:t xml:space="preserve">norvégiens et 68 étrangers. </w:t>
      </w:r>
      <w:r>
        <w:rPr>
          <w:lang w:val="fr-FR"/>
        </w:rPr>
        <w:t>C</w:t>
      </w:r>
      <w:r w:rsidRPr="00262910">
        <w:rPr>
          <w:lang w:val="fr-FR"/>
        </w:rPr>
        <w:t xml:space="preserve">es statistiques </w:t>
      </w:r>
      <w:r>
        <w:rPr>
          <w:lang w:val="fr-FR"/>
        </w:rPr>
        <w:t xml:space="preserve">sont ventilées selon la nationalité et la branche d’activité de </w:t>
      </w:r>
      <w:r w:rsidRPr="00262910">
        <w:rPr>
          <w:lang w:val="fr-FR"/>
        </w:rPr>
        <w:t>la personne décédée.</w:t>
      </w:r>
    </w:p>
    <w:p w:rsidR="001771B8" w:rsidRPr="00262910" w:rsidRDefault="001771B8" w:rsidP="001771B8">
      <w:pPr>
        <w:pStyle w:val="SingleTxtG"/>
        <w:rPr>
          <w:lang w:val="fr-FR"/>
        </w:rPr>
      </w:pPr>
      <w:r w:rsidRPr="00262910">
        <w:rPr>
          <w:lang w:val="fr-FR"/>
        </w:rPr>
        <w:t>160.</w:t>
      </w:r>
      <w:r w:rsidRPr="00262910">
        <w:rPr>
          <w:lang w:val="fr-FR"/>
        </w:rPr>
        <w:tab/>
        <w:t xml:space="preserve">Décès </w:t>
      </w:r>
      <w:r>
        <w:rPr>
          <w:lang w:val="fr-FR"/>
        </w:rPr>
        <w:t xml:space="preserve">dans le cadre d’une </w:t>
      </w:r>
      <w:r w:rsidRPr="00262910">
        <w:rPr>
          <w:lang w:val="fr-FR"/>
        </w:rPr>
        <w:t xml:space="preserve">activité professionnelle </w:t>
      </w:r>
      <w:r>
        <w:rPr>
          <w:lang w:val="fr-FR"/>
        </w:rPr>
        <w:t>terrestre</w:t>
      </w:r>
      <w:r w:rsidRPr="00262910">
        <w:rPr>
          <w:lang w:val="fr-FR"/>
        </w:rPr>
        <w:t xml:space="preserve"> 2011-23 mai 2019.</w:t>
      </w:r>
    </w:p>
    <w:p w:rsidR="001771B8" w:rsidRPr="00262910" w:rsidRDefault="001771B8" w:rsidP="001771B8">
      <w:pPr>
        <w:pStyle w:val="SingleTxtG"/>
        <w:rPr>
          <w:lang w:val="fr-FR"/>
        </w:rPr>
      </w:pPr>
      <w:r w:rsidRPr="00262910">
        <w:rPr>
          <w:lang w:val="fr-FR"/>
        </w:rPr>
        <w:t>161.</w:t>
      </w:r>
      <w:r w:rsidRPr="00262910">
        <w:rPr>
          <w:lang w:val="fr-FR"/>
        </w:rPr>
        <w:tab/>
      </w:r>
      <w:r w:rsidRPr="006F538A">
        <w:rPr>
          <w:lang w:val="fr-FR"/>
        </w:rPr>
        <w:t>L</w:t>
      </w:r>
      <w:r>
        <w:rPr>
          <w:lang w:val="fr-FR"/>
        </w:rPr>
        <w:t>’</w:t>
      </w:r>
      <w:r w:rsidRPr="006F538A">
        <w:rPr>
          <w:lang w:val="fr-FR"/>
        </w:rPr>
        <w:t>Inspection du travail recueille</w:t>
      </w:r>
      <w:r w:rsidRPr="00262910">
        <w:rPr>
          <w:lang w:val="fr-FR"/>
        </w:rPr>
        <w:t xml:space="preserve"> et produit des données statistiques sur les décès professionnels surven</w:t>
      </w:r>
      <w:r>
        <w:rPr>
          <w:lang w:val="fr-FR"/>
        </w:rPr>
        <w:t xml:space="preserve">ant </w:t>
      </w:r>
      <w:r w:rsidRPr="006F538A">
        <w:rPr>
          <w:lang w:val="fr-FR"/>
        </w:rPr>
        <w:t xml:space="preserve">en Norvège </w:t>
      </w:r>
      <w:r w:rsidRPr="00262910">
        <w:rPr>
          <w:lang w:val="fr-FR"/>
        </w:rPr>
        <w:t>dans le cadre d</w:t>
      </w:r>
      <w:r>
        <w:rPr>
          <w:lang w:val="fr-FR"/>
        </w:rPr>
        <w:t>’</w:t>
      </w:r>
      <w:r w:rsidRPr="00262910">
        <w:rPr>
          <w:lang w:val="fr-FR"/>
        </w:rPr>
        <w:t>activités</w:t>
      </w:r>
      <w:r>
        <w:rPr>
          <w:lang w:val="fr-FR"/>
        </w:rPr>
        <w:t xml:space="preserve"> sur terre</w:t>
      </w:r>
      <w:r w:rsidRPr="00262910">
        <w:rPr>
          <w:lang w:val="fr-FR"/>
        </w:rPr>
        <w:t xml:space="preserve">. </w:t>
      </w:r>
      <w:r>
        <w:rPr>
          <w:lang w:val="fr-FR"/>
        </w:rPr>
        <w:t>Elles ne couvrent pas l</w:t>
      </w:r>
      <w:r w:rsidRPr="00262910">
        <w:rPr>
          <w:lang w:val="fr-FR"/>
        </w:rPr>
        <w:t xml:space="preserve">es décès professionnels </w:t>
      </w:r>
      <w:r>
        <w:rPr>
          <w:lang w:val="fr-FR"/>
        </w:rPr>
        <w:t xml:space="preserve">survenant en </w:t>
      </w:r>
      <w:r w:rsidRPr="00262910">
        <w:rPr>
          <w:lang w:val="fr-FR"/>
        </w:rPr>
        <w:t>mer ou dans le cadre d</w:t>
      </w:r>
      <w:r>
        <w:rPr>
          <w:lang w:val="fr-FR"/>
        </w:rPr>
        <w:t>’</w:t>
      </w:r>
      <w:r w:rsidRPr="00262910">
        <w:rPr>
          <w:lang w:val="fr-FR"/>
        </w:rPr>
        <w:t>activités aéronautiques</w:t>
      </w:r>
      <w:r>
        <w:rPr>
          <w:lang w:val="fr-FR"/>
        </w:rPr>
        <w:t>.</w:t>
      </w:r>
      <w:r w:rsidRPr="00262910">
        <w:rPr>
          <w:lang w:val="fr-FR"/>
        </w:rPr>
        <w:t xml:space="preserve"> Les décès professionnels liés à des activités militaires sont </w:t>
      </w:r>
      <w:r>
        <w:rPr>
          <w:lang w:val="fr-FR"/>
        </w:rPr>
        <w:t>couverts, hormis l</w:t>
      </w:r>
      <w:r w:rsidRPr="00262910">
        <w:rPr>
          <w:lang w:val="fr-FR"/>
        </w:rPr>
        <w:t>es décès au combat.</w:t>
      </w:r>
    </w:p>
    <w:p w:rsidR="001771B8" w:rsidRPr="00262910" w:rsidRDefault="001771B8" w:rsidP="001771B8">
      <w:pPr>
        <w:pStyle w:val="SingleTxtG"/>
        <w:rPr>
          <w:lang w:val="fr-FR"/>
        </w:rPr>
      </w:pPr>
      <w:r w:rsidRPr="00262910">
        <w:rPr>
          <w:lang w:val="fr-FR"/>
        </w:rPr>
        <w:t>162.</w:t>
      </w:r>
      <w:r w:rsidRPr="00262910">
        <w:rPr>
          <w:lang w:val="fr-FR"/>
        </w:rPr>
        <w:tab/>
      </w:r>
      <w:r w:rsidRPr="002A76FC">
        <w:rPr>
          <w:lang w:val="fr-FR"/>
        </w:rPr>
        <w:t>Sur la période</w:t>
      </w:r>
      <w:r>
        <w:rPr>
          <w:lang w:val="fr-FR"/>
        </w:rPr>
        <w:t xml:space="preserve"> allant de </w:t>
      </w:r>
      <w:r w:rsidRPr="00262910">
        <w:rPr>
          <w:lang w:val="fr-FR"/>
        </w:rPr>
        <w:t>2011</w:t>
      </w:r>
      <w:r>
        <w:rPr>
          <w:lang w:val="fr-FR"/>
        </w:rPr>
        <w:t xml:space="preserve"> au </w:t>
      </w:r>
      <w:r w:rsidRPr="00262910">
        <w:rPr>
          <w:lang w:val="fr-FR"/>
        </w:rPr>
        <w:t>23 mai 2019</w:t>
      </w:r>
      <w:r w:rsidRPr="008648B2">
        <w:rPr>
          <w:rStyle w:val="Appelnotedebasdep"/>
        </w:rPr>
        <w:footnoteReference w:id="9"/>
      </w:r>
      <w:r w:rsidRPr="00262910">
        <w:rPr>
          <w:lang w:val="fr-FR"/>
        </w:rPr>
        <w:t>, l</w:t>
      </w:r>
      <w:r>
        <w:rPr>
          <w:lang w:val="fr-FR"/>
        </w:rPr>
        <w:t>’</w:t>
      </w:r>
      <w:r w:rsidRPr="00262910">
        <w:rPr>
          <w:lang w:val="fr-FR"/>
        </w:rPr>
        <w:t>Inspection du travail a enregistré 304</w:t>
      </w:r>
      <w:r w:rsidR="008817F9">
        <w:rPr>
          <w:lang w:val="fr-FR"/>
        </w:rPr>
        <w:t> </w:t>
      </w:r>
      <w:r w:rsidRPr="00262910">
        <w:rPr>
          <w:lang w:val="fr-FR"/>
        </w:rPr>
        <w:t xml:space="preserve">décès professionnels </w:t>
      </w:r>
      <w:r>
        <w:rPr>
          <w:lang w:val="fr-FR"/>
        </w:rPr>
        <w:t xml:space="preserve">dans le cadre d’une </w:t>
      </w:r>
      <w:r w:rsidRPr="00262910">
        <w:rPr>
          <w:lang w:val="fr-FR"/>
        </w:rPr>
        <w:t xml:space="preserve">activité </w:t>
      </w:r>
      <w:r>
        <w:rPr>
          <w:lang w:val="fr-FR"/>
        </w:rPr>
        <w:t>sur terre (</w:t>
      </w:r>
      <w:r w:rsidRPr="00262910">
        <w:rPr>
          <w:lang w:val="fr-FR"/>
        </w:rPr>
        <w:t xml:space="preserve">236 </w:t>
      </w:r>
      <w:r>
        <w:rPr>
          <w:lang w:val="fr-FR"/>
        </w:rPr>
        <w:t xml:space="preserve">travailleurs </w:t>
      </w:r>
      <w:r w:rsidRPr="00262910">
        <w:rPr>
          <w:lang w:val="fr-FR"/>
        </w:rPr>
        <w:t>norvégien</w:t>
      </w:r>
      <w:r>
        <w:rPr>
          <w:lang w:val="fr-FR"/>
        </w:rPr>
        <w:t xml:space="preserve">s et </w:t>
      </w:r>
      <w:r w:rsidRPr="00262910">
        <w:rPr>
          <w:lang w:val="fr-FR"/>
        </w:rPr>
        <w:t xml:space="preserve">68 </w:t>
      </w:r>
      <w:r>
        <w:rPr>
          <w:lang w:val="fr-FR"/>
        </w:rPr>
        <w:t>t</w:t>
      </w:r>
      <w:r w:rsidRPr="00262910">
        <w:rPr>
          <w:lang w:val="fr-FR"/>
        </w:rPr>
        <w:t>ravailleur</w:t>
      </w:r>
      <w:r>
        <w:rPr>
          <w:lang w:val="fr-FR"/>
        </w:rPr>
        <w:t>s</w:t>
      </w:r>
      <w:r w:rsidRPr="00262910">
        <w:rPr>
          <w:lang w:val="fr-FR"/>
        </w:rPr>
        <w:t xml:space="preserve"> étranger</w:t>
      </w:r>
      <w:r>
        <w:rPr>
          <w:lang w:val="fr-FR"/>
        </w:rPr>
        <w:t>s</w:t>
      </w:r>
      <w:r w:rsidRPr="00580AB4">
        <w:rPr>
          <w:lang w:val="fr-FR"/>
        </w:rPr>
        <w:t>). Le tableau ci-après indique le nombre des décès professionnels ventilé selon la nationalité et l</w:t>
      </w:r>
      <w:r>
        <w:rPr>
          <w:lang w:val="fr-FR"/>
        </w:rPr>
        <w:t>a</w:t>
      </w:r>
      <w:r w:rsidRPr="00580AB4">
        <w:rPr>
          <w:lang w:val="fr-FR"/>
        </w:rPr>
        <w:t xml:space="preserve"> branche d</w:t>
      </w:r>
      <w:r>
        <w:rPr>
          <w:lang w:val="fr-FR"/>
        </w:rPr>
        <w:t>’</w:t>
      </w:r>
      <w:r w:rsidRPr="00580AB4">
        <w:rPr>
          <w:lang w:val="fr-FR"/>
        </w:rPr>
        <w:t>activité principale</w:t>
      </w:r>
      <w:r>
        <w:rPr>
          <w:lang w:val="fr-FR"/>
        </w:rPr>
        <w:t xml:space="preserve"> de la personne décédée</w:t>
      </w:r>
      <w:r w:rsidRPr="00262910">
        <w:rPr>
          <w:lang w:val="fr-FR"/>
        </w:rPr>
        <w:t>.</w:t>
      </w:r>
    </w:p>
    <w:tbl>
      <w:tblPr>
        <w:tblW w:w="7371" w:type="dxa"/>
        <w:tblInd w:w="1134" w:type="dxa"/>
        <w:tblLayout w:type="fixed"/>
        <w:tblCellMar>
          <w:left w:w="0" w:type="dxa"/>
          <w:right w:w="0" w:type="dxa"/>
        </w:tblCellMar>
        <w:tblLook w:val="04A0" w:firstRow="1" w:lastRow="0" w:firstColumn="1" w:lastColumn="0" w:noHBand="0" w:noVBand="1"/>
      </w:tblPr>
      <w:tblGrid>
        <w:gridCol w:w="850"/>
        <w:gridCol w:w="382"/>
        <w:gridCol w:w="4013"/>
        <w:gridCol w:w="2126"/>
      </w:tblGrid>
      <w:tr w:rsidR="001771B8" w:rsidRPr="00262910" w:rsidTr="00CE3294">
        <w:trPr>
          <w:tblHeader/>
        </w:trPr>
        <w:tc>
          <w:tcPr>
            <w:tcW w:w="577"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left"/>
              <w:rPr>
                <w:bCs/>
                <w:i/>
                <w:sz w:val="16"/>
                <w:lang w:val="fr-FR"/>
              </w:rPr>
            </w:pPr>
            <w:r w:rsidRPr="00E44FE9">
              <w:rPr>
                <w:bCs/>
                <w:i/>
                <w:sz w:val="16"/>
                <w:lang w:val="fr-FR"/>
              </w:rPr>
              <w:t>Nationalité</w:t>
            </w:r>
          </w:p>
        </w:tc>
        <w:tc>
          <w:tcPr>
            <w:tcW w:w="2981" w:type="pct"/>
            <w:gridSpan w:val="2"/>
            <w:tcBorders>
              <w:top w:val="single" w:sz="4" w:space="0" w:color="auto"/>
              <w:bottom w:val="single" w:sz="12" w:space="0" w:color="auto"/>
            </w:tcBorders>
          </w:tcPr>
          <w:p w:rsidR="001771B8" w:rsidRPr="00262910" w:rsidRDefault="001771B8" w:rsidP="001771B8">
            <w:pPr>
              <w:pStyle w:val="SingleTxtG"/>
              <w:suppressAutoHyphens w:val="0"/>
              <w:spacing w:before="80" w:after="80" w:line="200" w:lineRule="exact"/>
              <w:ind w:left="0" w:right="0"/>
              <w:jc w:val="center"/>
              <w:rPr>
                <w:bCs/>
                <w:i/>
                <w:sz w:val="16"/>
                <w:lang w:val="fr-FR"/>
              </w:rPr>
            </w:pPr>
            <w:r>
              <w:rPr>
                <w:bCs/>
                <w:i/>
                <w:sz w:val="16"/>
                <w:lang w:val="fr-FR"/>
              </w:rPr>
              <w:t xml:space="preserve">Branche </w:t>
            </w:r>
            <w:r w:rsidRPr="00262910">
              <w:rPr>
                <w:bCs/>
                <w:i/>
                <w:sz w:val="16"/>
                <w:lang w:val="fr-FR"/>
              </w:rPr>
              <w:t>d</w:t>
            </w:r>
            <w:r>
              <w:rPr>
                <w:bCs/>
                <w:i/>
                <w:sz w:val="16"/>
                <w:lang w:val="fr-FR"/>
              </w:rPr>
              <w:t>’</w:t>
            </w:r>
            <w:r w:rsidRPr="00262910">
              <w:rPr>
                <w:bCs/>
                <w:i/>
                <w:sz w:val="16"/>
                <w:lang w:val="fr-FR"/>
              </w:rPr>
              <w:t>activité principal</w:t>
            </w:r>
            <w:r>
              <w:rPr>
                <w:bCs/>
                <w:i/>
                <w:sz w:val="16"/>
                <w:lang w:val="fr-FR"/>
              </w:rPr>
              <w:t>e</w:t>
            </w:r>
          </w:p>
        </w:tc>
        <w:tc>
          <w:tcPr>
            <w:tcW w:w="1442"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00" w:lineRule="exact"/>
              <w:ind w:left="0" w:right="0"/>
              <w:jc w:val="right"/>
              <w:rPr>
                <w:bCs/>
                <w:i/>
                <w:sz w:val="16"/>
                <w:lang w:val="fr-FR"/>
              </w:rPr>
            </w:pPr>
            <w:r w:rsidRPr="00262910">
              <w:rPr>
                <w:bCs/>
                <w:i/>
                <w:sz w:val="16"/>
                <w:lang w:val="fr-FR"/>
              </w:rPr>
              <w:t>Nombre de décès professionnels</w:t>
            </w:r>
          </w:p>
        </w:tc>
      </w:tr>
      <w:tr w:rsidR="001771B8" w:rsidRPr="00262910" w:rsidTr="00CE3294">
        <w:tc>
          <w:tcPr>
            <w:tcW w:w="577" w:type="pct"/>
            <w:vMerge w:val="restart"/>
            <w:tcBorders>
              <w:top w:val="single" w:sz="12" w:space="0" w:color="auto"/>
            </w:tcBorders>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r w:rsidRPr="00262910">
              <w:rPr>
                <w:bCs/>
                <w:sz w:val="18"/>
                <w:lang w:val="fr-FR"/>
              </w:rPr>
              <w:t>Bulgarie</w:t>
            </w:r>
          </w:p>
        </w:tc>
        <w:tc>
          <w:tcPr>
            <w:tcW w:w="259" w:type="pct"/>
            <w:tcBorders>
              <w:top w:val="single" w:sz="12" w:space="0" w:color="auto"/>
            </w:tcBorders>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G</w:t>
            </w:r>
          </w:p>
        </w:tc>
        <w:tc>
          <w:tcPr>
            <w:tcW w:w="2722" w:type="pct"/>
            <w:tcBorders>
              <w:top w:val="single" w:sz="12" w:space="0" w:color="auto"/>
            </w:tcBorders>
            <w:shd w:val="clear" w:color="auto" w:fill="auto"/>
            <w:noWrap/>
          </w:tcPr>
          <w:p w:rsidR="001771B8" w:rsidRPr="00262910" w:rsidRDefault="001771B8" w:rsidP="001771B8">
            <w:pPr>
              <w:pStyle w:val="SingleTxtG"/>
              <w:suppressAutoHyphens w:val="0"/>
              <w:spacing w:before="40" w:after="40" w:line="220" w:lineRule="exact"/>
              <w:ind w:left="0" w:right="0"/>
              <w:jc w:val="left"/>
              <w:rPr>
                <w:b/>
                <w:bCs/>
                <w:sz w:val="18"/>
                <w:lang w:val="fr-FR"/>
              </w:rPr>
            </w:pPr>
            <w:r w:rsidRPr="00262910">
              <w:rPr>
                <w:sz w:val="18"/>
                <w:lang w:val="fr-FR"/>
              </w:rPr>
              <w:t>Commerce de gros et de détail</w:t>
            </w:r>
            <w:r w:rsidR="00D411A7">
              <w:rPr>
                <w:sz w:val="18"/>
                <w:lang w:val="fr-FR"/>
              </w:rPr>
              <w:t> </w:t>
            </w:r>
            <w:r w:rsidRPr="00262910">
              <w:rPr>
                <w:sz w:val="18"/>
                <w:lang w:val="fr-FR"/>
              </w:rPr>
              <w:t>: réparation de véhicules automobiles et de motocycles</w:t>
            </w:r>
          </w:p>
        </w:tc>
        <w:tc>
          <w:tcPr>
            <w:tcW w:w="1442" w:type="pct"/>
            <w:tcBorders>
              <w:top w:val="single" w:sz="12"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r>
      <w:tr w:rsidR="001771B8" w:rsidRPr="00262910" w:rsidTr="00CE3294">
        <w:tc>
          <w:tcPr>
            <w:tcW w:w="577" w:type="pct"/>
            <w:vMerge/>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F</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b/>
                <w:bCs/>
                <w:sz w:val="18"/>
                <w:lang w:val="fr-FR"/>
              </w:rPr>
            </w:pPr>
            <w:r w:rsidRPr="00262910">
              <w:rPr>
                <w:sz w:val="18"/>
                <w:lang w:val="fr-FR"/>
              </w:rPr>
              <w:t>Construction</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r>
      <w:tr w:rsidR="001771B8" w:rsidRPr="00262910" w:rsidTr="00CE3294">
        <w:tc>
          <w:tcPr>
            <w:tcW w:w="577" w:type="pct"/>
            <w:vMerge/>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A</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b/>
                <w:bCs/>
                <w:sz w:val="18"/>
                <w:lang w:val="fr-FR"/>
              </w:rPr>
            </w:pPr>
            <w:r w:rsidRPr="00262910">
              <w:rPr>
                <w:sz w:val="18"/>
                <w:lang w:val="fr-FR"/>
              </w:rPr>
              <w:t>Agriculture, sylviculture et pêche</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r>
      <w:tr w:rsidR="001771B8" w:rsidRPr="00262910" w:rsidTr="00CE3294">
        <w:tc>
          <w:tcPr>
            <w:tcW w:w="577" w:type="pct"/>
            <w:vMerge/>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C</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b/>
                <w:bCs/>
                <w:sz w:val="18"/>
                <w:lang w:val="fr-FR"/>
              </w:rPr>
            </w:pPr>
            <w:r>
              <w:rPr>
                <w:sz w:val="18"/>
                <w:lang w:val="fr-FR"/>
              </w:rPr>
              <w:t>Industrie manufacturière</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r>
      <w:tr w:rsidR="001771B8" w:rsidRPr="00262910" w:rsidTr="00CE3294">
        <w:tc>
          <w:tcPr>
            <w:tcW w:w="577" w:type="pct"/>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r w:rsidRPr="00262910">
              <w:rPr>
                <w:bCs/>
                <w:sz w:val="18"/>
                <w:lang w:val="fr-FR"/>
              </w:rPr>
              <w:t>Myanmar</w:t>
            </w: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S</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Autres activités de services</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r>
      <w:tr w:rsidR="001771B8" w:rsidRPr="00262910" w:rsidTr="00CE3294">
        <w:tc>
          <w:tcPr>
            <w:tcW w:w="577" w:type="pct"/>
            <w:vMerge w:val="restart"/>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r w:rsidRPr="00262910">
              <w:rPr>
                <w:bCs/>
                <w:sz w:val="18"/>
                <w:lang w:val="fr-FR"/>
              </w:rPr>
              <w:t>Danemark</w:t>
            </w: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A</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Agriculture, sylviculture et pêche</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1</w:t>
            </w:r>
          </w:p>
        </w:tc>
      </w:tr>
      <w:tr w:rsidR="001771B8" w:rsidRPr="00262910" w:rsidTr="00CE3294">
        <w:tc>
          <w:tcPr>
            <w:tcW w:w="577" w:type="pct"/>
            <w:vMerge/>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H</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 xml:space="preserve">Transport et </w:t>
            </w:r>
            <w:r w:rsidRPr="003B21EB">
              <w:rPr>
                <w:sz w:val="18"/>
                <w:lang w:val="fr-FR"/>
              </w:rPr>
              <w:t>stockage</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1</w:t>
            </w:r>
          </w:p>
        </w:tc>
      </w:tr>
      <w:tr w:rsidR="001771B8" w:rsidRPr="00262910" w:rsidTr="00CE3294">
        <w:tc>
          <w:tcPr>
            <w:tcW w:w="577" w:type="pct"/>
            <w:vMerge/>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C</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9904B9">
              <w:rPr>
                <w:sz w:val="18"/>
                <w:lang w:val="fr-FR"/>
              </w:rPr>
              <w:t>Industrie manufacturière</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1</w:t>
            </w:r>
          </w:p>
        </w:tc>
      </w:tr>
      <w:tr w:rsidR="001771B8" w:rsidRPr="00262910" w:rsidTr="00CE3294">
        <w:tc>
          <w:tcPr>
            <w:tcW w:w="577" w:type="pct"/>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r w:rsidRPr="00262910">
              <w:rPr>
                <w:bCs/>
                <w:sz w:val="18"/>
                <w:lang w:val="fr-FR"/>
              </w:rPr>
              <w:t>Grèce</w:t>
            </w: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C</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9904B9">
              <w:rPr>
                <w:sz w:val="18"/>
                <w:lang w:val="fr-FR"/>
              </w:rPr>
              <w:t>Industrie manufacturière</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bCs/>
                <w:sz w:val="18"/>
                <w:lang w:val="fr-FR"/>
              </w:rPr>
              <w:t>1</w:t>
            </w:r>
          </w:p>
        </w:tc>
      </w:tr>
      <w:tr w:rsidR="001771B8" w:rsidRPr="00262910" w:rsidTr="00CE3294">
        <w:tc>
          <w:tcPr>
            <w:tcW w:w="577" w:type="pct"/>
            <w:vMerge w:val="restart"/>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r w:rsidRPr="00262910">
              <w:rPr>
                <w:bCs/>
                <w:sz w:val="18"/>
                <w:lang w:val="fr-FR"/>
              </w:rPr>
              <w:t>Croatie</w:t>
            </w: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F</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Construction</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2</w:t>
            </w:r>
          </w:p>
        </w:tc>
      </w:tr>
      <w:tr w:rsidR="001771B8" w:rsidRPr="00262910" w:rsidTr="00CE3294">
        <w:tc>
          <w:tcPr>
            <w:tcW w:w="577" w:type="pct"/>
            <w:vMerge/>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D</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Électricité, gaz et vapeur</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1</w:t>
            </w:r>
          </w:p>
        </w:tc>
      </w:tr>
      <w:tr w:rsidR="001771B8" w:rsidRPr="00262910" w:rsidTr="00CE3294">
        <w:tc>
          <w:tcPr>
            <w:tcW w:w="577" w:type="pct"/>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r w:rsidRPr="00262910">
              <w:rPr>
                <w:bCs/>
                <w:sz w:val="18"/>
                <w:lang w:val="fr-FR"/>
              </w:rPr>
              <w:t>Lettonie</w:t>
            </w: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F</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Construction</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2</w:t>
            </w:r>
          </w:p>
        </w:tc>
      </w:tr>
      <w:tr w:rsidR="001771B8" w:rsidRPr="00262910" w:rsidTr="00CE3294">
        <w:tc>
          <w:tcPr>
            <w:tcW w:w="577" w:type="pct"/>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H</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Transport et stockage</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1</w:t>
            </w:r>
          </w:p>
        </w:tc>
      </w:tr>
      <w:tr w:rsidR="001771B8" w:rsidRPr="00262910" w:rsidTr="00CE3294">
        <w:tc>
          <w:tcPr>
            <w:tcW w:w="577" w:type="pct"/>
            <w:vMerge w:val="restart"/>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r w:rsidRPr="00262910">
              <w:rPr>
                <w:bCs/>
                <w:sz w:val="18"/>
                <w:lang w:val="fr-FR"/>
              </w:rPr>
              <w:t>Lituanie</w:t>
            </w: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A</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Agriculture, sylviculture et pêche</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4</w:t>
            </w:r>
          </w:p>
        </w:tc>
      </w:tr>
      <w:tr w:rsidR="001771B8" w:rsidRPr="00262910" w:rsidTr="00CE3294">
        <w:tc>
          <w:tcPr>
            <w:tcW w:w="577" w:type="pct"/>
            <w:vMerge/>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F</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bookmarkStart w:id="11" w:name="_Hlk13043525"/>
            <w:r w:rsidRPr="00262910">
              <w:rPr>
                <w:sz w:val="18"/>
                <w:lang w:val="fr-FR"/>
              </w:rPr>
              <w:t>Construction</w:t>
            </w:r>
            <w:bookmarkEnd w:id="11"/>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3</w:t>
            </w:r>
          </w:p>
        </w:tc>
      </w:tr>
      <w:tr w:rsidR="001771B8" w:rsidRPr="00262910" w:rsidTr="00CE3294">
        <w:tc>
          <w:tcPr>
            <w:tcW w:w="577" w:type="pct"/>
            <w:vMerge/>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N</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Activités de services administratifs et de soutien</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1</w:t>
            </w:r>
          </w:p>
        </w:tc>
      </w:tr>
      <w:tr w:rsidR="001771B8" w:rsidRPr="00262910" w:rsidTr="00CE3294">
        <w:tc>
          <w:tcPr>
            <w:tcW w:w="577" w:type="pct"/>
            <w:vMerge/>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E</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Approvisionnement en eau, assainissement et gestion des déchets</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1</w:t>
            </w:r>
          </w:p>
        </w:tc>
      </w:tr>
      <w:tr w:rsidR="001771B8" w:rsidRPr="00262910" w:rsidTr="00CE3294">
        <w:tc>
          <w:tcPr>
            <w:tcW w:w="577" w:type="pct"/>
            <w:vMerge/>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S</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Autres activités de services</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1</w:t>
            </w:r>
          </w:p>
        </w:tc>
      </w:tr>
      <w:tr w:rsidR="001771B8" w:rsidRPr="00262910" w:rsidTr="00CE3294">
        <w:tc>
          <w:tcPr>
            <w:tcW w:w="577" w:type="pct"/>
            <w:vMerge/>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C</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9904B9">
              <w:rPr>
                <w:sz w:val="18"/>
                <w:lang w:val="fr-FR"/>
              </w:rPr>
              <w:t>Industrie manufacturière</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1</w:t>
            </w:r>
          </w:p>
        </w:tc>
      </w:tr>
      <w:tr w:rsidR="001771B8" w:rsidRPr="00262910" w:rsidTr="00CE3294">
        <w:tc>
          <w:tcPr>
            <w:tcW w:w="577" w:type="pct"/>
            <w:vMerge/>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H</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Transport et stockage</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1</w:t>
            </w:r>
          </w:p>
        </w:tc>
      </w:tr>
      <w:tr w:rsidR="001771B8" w:rsidRPr="00262910" w:rsidTr="00CE3294">
        <w:tc>
          <w:tcPr>
            <w:tcW w:w="577" w:type="pct"/>
            <w:vMerge w:val="restart"/>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r w:rsidRPr="00262910">
              <w:rPr>
                <w:bCs/>
                <w:sz w:val="18"/>
                <w:lang w:val="fr-FR"/>
              </w:rPr>
              <w:t>Norvège</w:t>
            </w: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F</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FB6D87">
              <w:rPr>
                <w:sz w:val="18"/>
                <w:lang w:val="fr-FR"/>
              </w:rPr>
              <w:t>Construction</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45</w:t>
            </w:r>
          </w:p>
        </w:tc>
      </w:tr>
      <w:tr w:rsidR="001771B8" w:rsidRPr="00262910" w:rsidTr="00CE3294">
        <w:tc>
          <w:tcPr>
            <w:tcW w:w="577" w:type="pct"/>
            <w:vMerge/>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A</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Agriculture, sylviculture et pêche</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38</w:t>
            </w:r>
          </w:p>
        </w:tc>
      </w:tr>
      <w:tr w:rsidR="001771B8" w:rsidRPr="00262910" w:rsidTr="00CE3294">
        <w:tc>
          <w:tcPr>
            <w:tcW w:w="577" w:type="pct"/>
            <w:vMerge/>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H</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Transport et stockage</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37</w:t>
            </w:r>
          </w:p>
        </w:tc>
      </w:tr>
      <w:tr w:rsidR="001771B8" w:rsidRPr="00262910" w:rsidTr="00CE3294">
        <w:tc>
          <w:tcPr>
            <w:tcW w:w="577" w:type="pct"/>
            <w:vMerge/>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C</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9904B9">
              <w:rPr>
                <w:sz w:val="18"/>
                <w:lang w:val="fr-FR"/>
              </w:rPr>
              <w:t>Industrie manufacturière</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27</w:t>
            </w:r>
          </w:p>
        </w:tc>
      </w:tr>
      <w:tr w:rsidR="001771B8" w:rsidRPr="00262910" w:rsidTr="00CE3294">
        <w:tc>
          <w:tcPr>
            <w:tcW w:w="577" w:type="pct"/>
            <w:vMerge/>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O</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Administration publique et défense</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18</w:t>
            </w:r>
          </w:p>
        </w:tc>
      </w:tr>
      <w:tr w:rsidR="001771B8" w:rsidRPr="00262910" w:rsidTr="00CE3294">
        <w:tc>
          <w:tcPr>
            <w:tcW w:w="577" w:type="pct"/>
            <w:vMerge/>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B</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Industries extractives</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15</w:t>
            </w:r>
          </w:p>
        </w:tc>
      </w:tr>
      <w:tr w:rsidR="001771B8" w:rsidRPr="00262910" w:rsidTr="00CE3294">
        <w:tc>
          <w:tcPr>
            <w:tcW w:w="577" w:type="pct"/>
            <w:vMerge/>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G</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Commerce de gros et de détail</w:t>
            </w:r>
            <w:r w:rsidR="00740CC6">
              <w:rPr>
                <w:sz w:val="18"/>
                <w:lang w:val="fr-FR"/>
              </w:rPr>
              <w:t> </w:t>
            </w:r>
            <w:r w:rsidRPr="00262910">
              <w:rPr>
                <w:sz w:val="18"/>
                <w:lang w:val="fr-FR"/>
              </w:rPr>
              <w:t>: réparation de véhicules automobiles et de motocycles</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11</w:t>
            </w:r>
          </w:p>
        </w:tc>
      </w:tr>
      <w:tr w:rsidR="001771B8" w:rsidRPr="00262910" w:rsidTr="00CE3294">
        <w:tc>
          <w:tcPr>
            <w:tcW w:w="577" w:type="pct"/>
            <w:vMerge/>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N</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Activités de services administratifs et de soutien</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10</w:t>
            </w:r>
          </w:p>
        </w:tc>
      </w:tr>
      <w:tr w:rsidR="001771B8" w:rsidRPr="00262910" w:rsidTr="00CE3294">
        <w:tc>
          <w:tcPr>
            <w:tcW w:w="577" w:type="pct"/>
            <w:vMerge/>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Q</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Santé humaine et action sociale</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9</w:t>
            </w:r>
          </w:p>
        </w:tc>
      </w:tr>
      <w:tr w:rsidR="001771B8" w:rsidRPr="00262910" w:rsidTr="00CE3294">
        <w:tc>
          <w:tcPr>
            <w:tcW w:w="577" w:type="pct"/>
            <w:vMerge/>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E</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Approvisionnement en eau, assainissement et gestion des déchets</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6</w:t>
            </w:r>
          </w:p>
        </w:tc>
      </w:tr>
      <w:tr w:rsidR="001771B8" w:rsidRPr="00262910" w:rsidTr="00CE3294">
        <w:tc>
          <w:tcPr>
            <w:tcW w:w="577" w:type="pct"/>
            <w:vMerge/>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M</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Activités spécialisées, scientifiques et techniques</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5</w:t>
            </w:r>
          </w:p>
        </w:tc>
      </w:tr>
      <w:tr w:rsidR="001771B8" w:rsidRPr="00262910" w:rsidTr="00CE3294">
        <w:tc>
          <w:tcPr>
            <w:tcW w:w="577" w:type="pct"/>
            <w:vMerge/>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I</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Pr>
                <w:sz w:val="18"/>
                <w:lang w:val="fr-FR"/>
              </w:rPr>
              <w:t>Hôtellerie e</w:t>
            </w:r>
            <w:r w:rsidRPr="00262910">
              <w:rPr>
                <w:sz w:val="18"/>
                <w:lang w:val="fr-FR"/>
              </w:rPr>
              <w:t>t restauration</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5</w:t>
            </w:r>
          </w:p>
        </w:tc>
      </w:tr>
      <w:tr w:rsidR="001771B8" w:rsidRPr="00262910" w:rsidTr="00CE3294">
        <w:tc>
          <w:tcPr>
            <w:tcW w:w="577" w:type="pct"/>
            <w:vMerge/>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J</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bookmarkStart w:id="12" w:name="_Hlk13050790"/>
            <w:r w:rsidRPr="00262910">
              <w:rPr>
                <w:sz w:val="18"/>
                <w:lang w:val="fr-FR"/>
              </w:rPr>
              <w:t xml:space="preserve">Information </w:t>
            </w:r>
            <w:r>
              <w:rPr>
                <w:sz w:val="18"/>
                <w:lang w:val="fr-FR"/>
              </w:rPr>
              <w:t xml:space="preserve">et </w:t>
            </w:r>
            <w:r w:rsidRPr="00262910">
              <w:rPr>
                <w:sz w:val="18"/>
                <w:lang w:val="fr-FR"/>
              </w:rPr>
              <w:t>communication</w:t>
            </w:r>
            <w:bookmarkEnd w:id="12"/>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3</w:t>
            </w:r>
          </w:p>
        </w:tc>
      </w:tr>
      <w:tr w:rsidR="001771B8" w:rsidRPr="00262910" w:rsidTr="00CE3294">
        <w:tc>
          <w:tcPr>
            <w:tcW w:w="577" w:type="pct"/>
            <w:vMerge/>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R</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Arts, spectacles et loisirs</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2</w:t>
            </w:r>
          </w:p>
        </w:tc>
      </w:tr>
      <w:tr w:rsidR="001771B8" w:rsidRPr="00262910" w:rsidTr="00CE3294">
        <w:tc>
          <w:tcPr>
            <w:tcW w:w="577" w:type="pct"/>
            <w:vMerge/>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S</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Autres activités de services</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2</w:t>
            </w:r>
          </w:p>
        </w:tc>
      </w:tr>
      <w:tr w:rsidR="001771B8" w:rsidRPr="00262910" w:rsidTr="00CE3294">
        <w:tc>
          <w:tcPr>
            <w:tcW w:w="577" w:type="pct"/>
            <w:vMerge/>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D</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Électricité, gaz et vapeur</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1</w:t>
            </w:r>
          </w:p>
        </w:tc>
      </w:tr>
      <w:tr w:rsidR="001771B8" w:rsidRPr="00262910" w:rsidTr="00CE3294">
        <w:tc>
          <w:tcPr>
            <w:tcW w:w="577" w:type="pct"/>
            <w:vMerge/>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P</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Enseignement</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1</w:t>
            </w:r>
          </w:p>
        </w:tc>
      </w:tr>
      <w:tr w:rsidR="001771B8" w:rsidRPr="00262910" w:rsidTr="00CE3294">
        <w:tc>
          <w:tcPr>
            <w:tcW w:w="577" w:type="pct"/>
            <w:vMerge/>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 xml:space="preserve">00.000 non </w:t>
            </w:r>
            <w:r>
              <w:rPr>
                <w:sz w:val="18"/>
                <w:lang w:val="fr-FR"/>
              </w:rPr>
              <w:t>précisé</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1</w:t>
            </w:r>
          </w:p>
        </w:tc>
      </w:tr>
      <w:tr w:rsidR="001771B8" w:rsidRPr="00262910" w:rsidTr="00CE3294">
        <w:tc>
          <w:tcPr>
            <w:tcW w:w="577" w:type="pct"/>
            <w:vMerge w:val="restart"/>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r w:rsidRPr="00262910">
              <w:rPr>
                <w:bCs/>
                <w:sz w:val="18"/>
                <w:lang w:val="fr-FR"/>
              </w:rPr>
              <w:t>Pologne</w:t>
            </w: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F</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Pr>
                <w:sz w:val="18"/>
                <w:lang w:val="fr-FR"/>
              </w:rPr>
              <w:t>Construction</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8</w:t>
            </w:r>
          </w:p>
        </w:tc>
      </w:tr>
      <w:tr w:rsidR="001771B8" w:rsidRPr="00262910" w:rsidTr="00CE3294">
        <w:tc>
          <w:tcPr>
            <w:tcW w:w="577" w:type="pct"/>
            <w:vMerge/>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N</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Activités de services administratifs et de soutien</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5</w:t>
            </w:r>
          </w:p>
        </w:tc>
      </w:tr>
      <w:tr w:rsidR="001771B8" w:rsidRPr="00262910" w:rsidTr="00CE3294">
        <w:tc>
          <w:tcPr>
            <w:tcW w:w="577" w:type="pct"/>
            <w:vMerge/>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H</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Transport et stockage</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5</w:t>
            </w:r>
          </w:p>
        </w:tc>
      </w:tr>
      <w:tr w:rsidR="001771B8" w:rsidRPr="00262910" w:rsidTr="00CE3294">
        <w:tc>
          <w:tcPr>
            <w:tcW w:w="577" w:type="pct"/>
            <w:vMerge/>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A</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Agriculture, sylviculture et pêche</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3</w:t>
            </w:r>
          </w:p>
        </w:tc>
      </w:tr>
      <w:tr w:rsidR="001771B8" w:rsidRPr="00262910" w:rsidTr="00CE3294">
        <w:tc>
          <w:tcPr>
            <w:tcW w:w="577" w:type="pct"/>
            <w:vMerge/>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L</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Activités immobilières</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1</w:t>
            </w:r>
          </w:p>
        </w:tc>
      </w:tr>
      <w:tr w:rsidR="001771B8" w:rsidRPr="00262910" w:rsidTr="00CE3294">
        <w:tc>
          <w:tcPr>
            <w:tcW w:w="577" w:type="pct"/>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r w:rsidRPr="00262910">
              <w:rPr>
                <w:bCs/>
                <w:sz w:val="18"/>
                <w:lang w:val="fr-FR"/>
              </w:rPr>
              <w:t>Portugal</w:t>
            </w: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F</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Construction</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bCs/>
                <w:sz w:val="18"/>
                <w:lang w:val="fr-FR"/>
              </w:rPr>
            </w:pPr>
            <w:r w:rsidRPr="00262910">
              <w:rPr>
                <w:sz w:val="18"/>
                <w:lang w:val="fr-FR"/>
              </w:rPr>
              <w:t>1</w:t>
            </w:r>
          </w:p>
        </w:tc>
      </w:tr>
      <w:tr w:rsidR="001771B8" w:rsidRPr="00262910" w:rsidTr="00CE3294">
        <w:tc>
          <w:tcPr>
            <w:tcW w:w="577" w:type="pct"/>
            <w:vMerge w:val="restart"/>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r w:rsidRPr="00262910">
              <w:rPr>
                <w:bCs/>
                <w:sz w:val="18"/>
                <w:lang w:val="fr-FR"/>
              </w:rPr>
              <w:t>Roumanie</w:t>
            </w: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R</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Arts, spectacles et loisirs</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p>
        </w:tc>
      </w:tr>
      <w:tr w:rsidR="001771B8" w:rsidRPr="00262910" w:rsidTr="00CE3294">
        <w:tc>
          <w:tcPr>
            <w:tcW w:w="577" w:type="pct"/>
            <w:vMerge/>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A</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Agriculture, sylviculture et pêche</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p>
        </w:tc>
      </w:tr>
      <w:tr w:rsidR="001771B8" w:rsidRPr="00262910" w:rsidTr="00CE3294">
        <w:tc>
          <w:tcPr>
            <w:tcW w:w="577" w:type="pct"/>
            <w:shd w:val="clear" w:color="auto" w:fill="auto"/>
            <w:noWrap/>
          </w:tcPr>
          <w:p w:rsidR="001771B8" w:rsidRPr="00262910" w:rsidRDefault="001771B8" w:rsidP="001771B8">
            <w:pPr>
              <w:pStyle w:val="SingleTxtG"/>
              <w:suppressAutoHyphens w:val="0"/>
              <w:spacing w:before="40" w:after="40" w:line="220" w:lineRule="exact"/>
              <w:ind w:left="0" w:right="0"/>
              <w:jc w:val="left"/>
              <w:rPr>
                <w:bCs/>
                <w:sz w:val="18"/>
                <w:lang w:val="fr-FR"/>
              </w:rPr>
            </w:pPr>
            <w:r w:rsidRPr="00262910">
              <w:rPr>
                <w:sz w:val="18"/>
                <w:lang w:val="fr-FR"/>
              </w:rPr>
              <w:t>Russie</w:t>
            </w: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B</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Industries extractives</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p>
        </w:tc>
      </w:tr>
      <w:tr w:rsidR="001771B8" w:rsidRPr="00262910" w:rsidTr="00CE3294">
        <w:tc>
          <w:tcPr>
            <w:tcW w:w="577" w:type="pct"/>
            <w:vMerge w:val="restar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Slova</w:t>
            </w:r>
            <w:r>
              <w:rPr>
                <w:sz w:val="18"/>
                <w:lang w:val="fr-FR"/>
              </w:rPr>
              <w:t>quie</w:t>
            </w: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R</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Arts, spectacles et loisirs</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p>
        </w:tc>
      </w:tr>
      <w:tr w:rsidR="001771B8" w:rsidRPr="00262910" w:rsidTr="00CE3294">
        <w:tc>
          <w:tcPr>
            <w:tcW w:w="577" w:type="pct"/>
            <w:vMerge/>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H</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Transport et stockage</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p>
        </w:tc>
      </w:tr>
      <w:tr w:rsidR="001771B8" w:rsidRPr="00262910" w:rsidTr="00CE3294">
        <w:tc>
          <w:tcPr>
            <w:tcW w:w="577" w:type="pct"/>
            <w:vMerge/>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C</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9904B9">
              <w:rPr>
                <w:sz w:val="18"/>
                <w:lang w:val="fr-FR"/>
              </w:rPr>
              <w:t>Industrie manufacturière</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p>
        </w:tc>
      </w:tr>
      <w:tr w:rsidR="001771B8" w:rsidRPr="00262910" w:rsidTr="00CE3294">
        <w:tc>
          <w:tcPr>
            <w:tcW w:w="577" w:type="pct"/>
            <w:vMerge/>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F</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Construction</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p>
        </w:tc>
      </w:tr>
      <w:tr w:rsidR="001771B8" w:rsidRPr="00262910" w:rsidTr="00CE3294">
        <w:tc>
          <w:tcPr>
            <w:tcW w:w="577" w:type="pct"/>
            <w:vMerge w:val="restar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Suède</w:t>
            </w: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H</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Transport et stockage</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3</w:t>
            </w:r>
          </w:p>
        </w:tc>
      </w:tr>
      <w:tr w:rsidR="001771B8" w:rsidRPr="00262910" w:rsidTr="00CE3294">
        <w:tc>
          <w:tcPr>
            <w:tcW w:w="577" w:type="pct"/>
            <w:vMerge/>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F</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Construction</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2</w:t>
            </w:r>
          </w:p>
        </w:tc>
      </w:tr>
      <w:tr w:rsidR="001771B8" w:rsidRPr="00262910" w:rsidTr="00CE3294">
        <w:tc>
          <w:tcPr>
            <w:tcW w:w="577" w:type="pct"/>
            <w:vMerge/>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L</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Activités immobilières</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p>
        </w:tc>
      </w:tr>
      <w:tr w:rsidR="001771B8" w:rsidRPr="00262910" w:rsidTr="00CE3294">
        <w:tc>
          <w:tcPr>
            <w:tcW w:w="577" w:type="pct"/>
            <w:vMerge/>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O</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Administration publique et défense</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p>
        </w:tc>
      </w:tr>
      <w:tr w:rsidR="001771B8" w:rsidRPr="00262910" w:rsidTr="00CE3294">
        <w:tc>
          <w:tcPr>
            <w:tcW w:w="577" w:type="pct"/>
            <w:vMerge/>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I</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Pr>
                <w:sz w:val="18"/>
                <w:lang w:val="fr-FR"/>
              </w:rPr>
              <w:t xml:space="preserve">Hôtellerie </w:t>
            </w:r>
            <w:r w:rsidRPr="00262910">
              <w:rPr>
                <w:sz w:val="18"/>
                <w:lang w:val="fr-FR"/>
              </w:rPr>
              <w:t>et restauration</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p>
        </w:tc>
      </w:tr>
      <w:tr w:rsidR="001771B8" w:rsidRPr="00262910" w:rsidTr="00CE3294">
        <w:tc>
          <w:tcPr>
            <w:tcW w:w="577"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Allemagne</w:t>
            </w: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B</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Industries extractives</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p>
        </w:tc>
      </w:tr>
      <w:tr w:rsidR="001771B8" w:rsidRPr="00262910" w:rsidTr="00CE3294">
        <w:tc>
          <w:tcPr>
            <w:tcW w:w="577"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Ukraine</w:t>
            </w:r>
          </w:p>
        </w:tc>
        <w:tc>
          <w:tcPr>
            <w:tcW w:w="259" w:type="pct"/>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B</w:t>
            </w:r>
          </w:p>
        </w:tc>
        <w:tc>
          <w:tcPr>
            <w:tcW w:w="2722" w:type="pct"/>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Industries extractives</w:t>
            </w:r>
          </w:p>
        </w:tc>
        <w:tc>
          <w:tcPr>
            <w:tcW w:w="1442" w:type="pct"/>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p>
        </w:tc>
      </w:tr>
      <w:tr w:rsidR="001771B8" w:rsidRPr="00262910" w:rsidTr="00CE3294">
        <w:tc>
          <w:tcPr>
            <w:tcW w:w="577" w:type="pct"/>
            <w:tcBorders>
              <w:bottom w:val="single" w:sz="4" w:space="0" w:color="auto"/>
            </w:tcBorders>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Hongrie</w:t>
            </w:r>
          </w:p>
        </w:tc>
        <w:tc>
          <w:tcPr>
            <w:tcW w:w="259" w:type="pct"/>
            <w:tcBorders>
              <w:bottom w:val="single" w:sz="4" w:space="0" w:color="auto"/>
            </w:tcBorders>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N</w:t>
            </w:r>
          </w:p>
        </w:tc>
        <w:tc>
          <w:tcPr>
            <w:tcW w:w="2722" w:type="pct"/>
            <w:tcBorders>
              <w:bottom w:val="single" w:sz="4" w:space="0" w:color="auto"/>
            </w:tcBorders>
            <w:shd w:val="clear" w:color="auto" w:fill="auto"/>
            <w:noWrap/>
          </w:tcPr>
          <w:p w:rsidR="001771B8" w:rsidRPr="00262910" w:rsidRDefault="001771B8" w:rsidP="001771B8">
            <w:pPr>
              <w:pStyle w:val="SingleTxtG"/>
              <w:suppressAutoHyphens w:val="0"/>
              <w:spacing w:before="40" w:after="40" w:line="220" w:lineRule="exact"/>
              <w:ind w:left="0" w:right="0"/>
              <w:jc w:val="left"/>
              <w:rPr>
                <w:sz w:val="18"/>
                <w:lang w:val="fr-FR"/>
              </w:rPr>
            </w:pPr>
            <w:r w:rsidRPr="00262910">
              <w:rPr>
                <w:sz w:val="18"/>
                <w:lang w:val="fr-FR"/>
              </w:rPr>
              <w:t>Activités de services administratifs et de soutien</w:t>
            </w:r>
          </w:p>
        </w:tc>
        <w:tc>
          <w:tcPr>
            <w:tcW w:w="1442" w:type="pct"/>
            <w:tcBorders>
              <w:bottom w:val="single" w:sz="4" w:space="0" w:color="auto"/>
            </w:tcBorders>
            <w:shd w:val="clear" w:color="auto" w:fill="auto"/>
            <w:noWrap/>
            <w:vAlign w:val="bottom"/>
          </w:tcPr>
          <w:p w:rsidR="001771B8" w:rsidRPr="00262910" w:rsidRDefault="001771B8" w:rsidP="001771B8">
            <w:pPr>
              <w:pStyle w:val="SingleTxtG"/>
              <w:suppressAutoHyphens w:val="0"/>
              <w:spacing w:before="40" w:after="40" w:line="220" w:lineRule="exact"/>
              <w:ind w:left="0" w:right="0"/>
              <w:jc w:val="right"/>
              <w:rPr>
                <w:sz w:val="18"/>
                <w:lang w:val="fr-FR"/>
              </w:rPr>
            </w:pPr>
            <w:r w:rsidRPr="00262910">
              <w:rPr>
                <w:sz w:val="18"/>
                <w:lang w:val="fr-FR"/>
              </w:rPr>
              <w:t>1</w:t>
            </w:r>
          </w:p>
        </w:tc>
      </w:tr>
      <w:tr w:rsidR="001771B8" w:rsidRPr="00262910" w:rsidTr="00CE3294">
        <w:tc>
          <w:tcPr>
            <w:tcW w:w="577" w:type="pct"/>
            <w:tcBorders>
              <w:top w:val="single" w:sz="4" w:space="0" w:color="auto"/>
              <w:bottom w:val="single" w:sz="12" w:space="0" w:color="auto"/>
            </w:tcBorders>
            <w:shd w:val="clear" w:color="auto" w:fill="auto"/>
            <w:noWrap/>
          </w:tcPr>
          <w:p w:rsidR="001771B8" w:rsidRPr="00262910" w:rsidRDefault="001771B8" w:rsidP="001771B8">
            <w:pPr>
              <w:pStyle w:val="SingleTxtG"/>
              <w:suppressAutoHyphens w:val="0"/>
              <w:spacing w:before="80" w:after="80" w:line="220" w:lineRule="exact"/>
              <w:ind w:left="283" w:right="0"/>
              <w:jc w:val="left"/>
              <w:rPr>
                <w:b/>
                <w:sz w:val="18"/>
                <w:lang w:val="fr-FR"/>
              </w:rPr>
            </w:pPr>
            <w:r w:rsidRPr="00262910">
              <w:rPr>
                <w:b/>
                <w:sz w:val="18"/>
                <w:lang w:val="fr-FR"/>
              </w:rPr>
              <w:t>Total</w:t>
            </w:r>
          </w:p>
        </w:tc>
        <w:tc>
          <w:tcPr>
            <w:tcW w:w="259" w:type="pct"/>
            <w:tcBorders>
              <w:top w:val="single" w:sz="4" w:space="0" w:color="auto"/>
              <w:bottom w:val="single" w:sz="12" w:space="0" w:color="auto"/>
            </w:tcBorders>
            <w:shd w:val="clear" w:color="auto" w:fill="auto"/>
          </w:tcPr>
          <w:p w:rsidR="001771B8" w:rsidRPr="00262910" w:rsidRDefault="001771B8" w:rsidP="001771B8">
            <w:pPr>
              <w:pStyle w:val="SingleTxtG"/>
              <w:suppressAutoHyphens w:val="0"/>
              <w:spacing w:before="80" w:after="80" w:line="220" w:lineRule="exact"/>
              <w:ind w:left="0" w:right="0"/>
              <w:jc w:val="left"/>
              <w:rPr>
                <w:b/>
                <w:sz w:val="18"/>
                <w:lang w:val="fr-FR"/>
              </w:rPr>
            </w:pPr>
          </w:p>
        </w:tc>
        <w:tc>
          <w:tcPr>
            <w:tcW w:w="2722" w:type="pct"/>
            <w:tcBorders>
              <w:top w:val="single" w:sz="4" w:space="0" w:color="auto"/>
              <w:bottom w:val="single" w:sz="12" w:space="0" w:color="auto"/>
            </w:tcBorders>
            <w:shd w:val="clear" w:color="auto" w:fill="auto"/>
            <w:noWrap/>
          </w:tcPr>
          <w:p w:rsidR="001771B8" w:rsidRPr="00262910" w:rsidRDefault="001771B8" w:rsidP="001771B8">
            <w:pPr>
              <w:pStyle w:val="SingleTxtG"/>
              <w:suppressAutoHyphens w:val="0"/>
              <w:spacing w:before="80" w:after="80" w:line="220" w:lineRule="exact"/>
              <w:ind w:left="0" w:right="0"/>
              <w:jc w:val="left"/>
              <w:rPr>
                <w:b/>
                <w:sz w:val="18"/>
                <w:lang w:val="fr-FR"/>
              </w:rPr>
            </w:pPr>
          </w:p>
        </w:tc>
        <w:tc>
          <w:tcPr>
            <w:tcW w:w="1442" w:type="pct"/>
            <w:tcBorders>
              <w:top w:val="single" w:sz="4" w:space="0" w:color="auto"/>
              <w:bottom w:val="single" w:sz="12" w:space="0" w:color="auto"/>
            </w:tcBorders>
            <w:shd w:val="clear" w:color="auto" w:fill="auto"/>
            <w:noWrap/>
            <w:vAlign w:val="bottom"/>
          </w:tcPr>
          <w:p w:rsidR="001771B8" w:rsidRPr="00262910" w:rsidRDefault="001771B8" w:rsidP="001771B8">
            <w:pPr>
              <w:pStyle w:val="SingleTxtG"/>
              <w:suppressAutoHyphens w:val="0"/>
              <w:spacing w:before="80" w:after="80" w:line="220" w:lineRule="exact"/>
              <w:ind w:left="0" w:right="0"/>
              <w:jc w:val="right"/>
              <w:rPr>
                <w:b/>
                <w:sz w:val="18"/>
                <w:lang w:val="fr-FR"/>
              </w:rPr>
            </w:pPr>
            <w:r w:rsidRPr="00262910">
              <w:rPr>
                <w:b/>
                <w:sz w:val="18"/>
                <w:lang w:val="fr-FR"/>
              </w:rPr>
              <w:t>304</w:t>
            </w:r>
          </w:p>
        </w:tc>
      </w:tr>
    </w:tbl>
    <w:p w:rsidR="001771B8" w:rsidRPr="00262910" w:rsidRDefault="001771B8" w:rsidP="001771B8">
      <w:pPr>
        <w:pStyle w:val="H1G"/>
        <w:rPr>
          <w:lang w:val="fr-FR"/>
        </w:rPr>
      </w:pPr>
      <w:r w:rsidRPr="00262910">
        <w:rPr>
          <w:lang w:val="fr-FR"/>
        </w:rPr>
        <w:tab/>
      </w:r>
      <w:r w:rsidRPr="00262910">
        <w:rPr>
          <w:lang w:val="fr-FR"/>
        </w:rPr>
        <w:tab/>
      </w:r>
      <w:r w:rsidRPr="001E0684">
        <w:rPr>
          <w:lang w:val="fr-FR"/>
        </w:rPr>
        <w:t>Réponse au paragraphe</w:t>
      </w:r>
      <w:r w:rsidRPr="00262910">
        <w:rPr>
          <w:lang w:val="fr-FR"/>
        </w:rPr>
        <w:t xml:space="preserve"> 22 de la liste de points</w:t>
      </w:r>
    </w:p>
    <w:p w:rsidR="001771B8" w:rsidRPr="00262910" w:rsidRDefault="001771B8" w:rsidP="001771B8">
      <w:pPr>
        <w:pStyle w:val="SingleTxtG"/>
        <w:rPr>
          <w:lang w:val="fr-FR"/>
        </w:rPr>
      </w:pPr>
      <w:r w:rsidRPr="00262910">
        <w:rPr>
          <w:lang w:val="fr-FR"/>
        </w:rPr>
        <w:t>163.</w:t>
      </w:r>
      <w:r w:rsidRPr="00262910">
        <w:rPr>
          <w:lang w:val="fr-FR"/>
        </w:rPr>
        <w:tab/>
      </w:r>
      <w:r w:rsidRPr="00AA51E2">
        <w:rPr>
          <w:lang w:val="fr-FR"/>
        </w:rPr>
        <w:t>Le régime d</w:t>
      </w:r>
      <w:r>
        <w:rPr>
          <w:lang w:val="fr-FR"/>
        </w:rPr>
        <w:t>’</w:t>
      </w:r>
      <w:r w:rsidRPr="00AA51E2">
        <w:rPr>
          <w:lang w:val="fr-FR"/>
        </w:rPr>
        <w:t>assurance</w:t>
      </w:r>
      <w:r w:rsidRPr="00262910">
        <w:rPr>
          <w:lang w:val="fr-FR"/>
        </w:rPr>
        <w:t xml:space="preserve"> national norvégien couvre toutes les branches traditionnelles de la sécurité sociale, définies dans la Convention n</w:t>
      </w:r>
      <w:r w:rsidRPr="00262910">
        <w:rPr>
          <w:bCs/>
          <w:vertAlign w:val="superscript"/>
          <w:lang w:val="fr-FR"/>
        </w:rPr>
        <w:t>o</w:t>
      </w:r>
      <w:r>
        <w:rPr>
          <w:bCs/>
          <w:vertAlign w:val="superscript"/>
          <w:lang w:val="fr-FR"/>
        </w:rPr>
        <w:t xml:space="preserve"> </w:t>
      </w:r>
      <w:r w:rsidRPr="00262910">
        <w:rPr>
          <w:lang w:val="fr-FR"/>
        </w:rPr>
        <w:t>102 de l</w:t>
      </w:r>
      <w:r>
        <w:rPr>
          <w:lang w:val="fr-FR"/>
        </w:rPr>
        <w:t>’</w:t>
      </w:r>
      <w:r w:rsidRPr="00262910">
        <w:rPr>
          <w:lang w:val="fr-FR"/>
        </w:rPr>
        <w:t>OIT (</w:t>
      </w:r>
      <w:r>
        <w:rPr>
          <w:lang w:val="fr-FR"/>
        </w:rPr>
        <w:t>hormis l</w:t>
      </w:r>
      <w:r w:rsidRPr="00262910">
        <w:rPr>
          <w:lang w:val="fr-FR"/>
        </w:rPr>
        <w:t>es prestations familiales, couvertes par un régime distinct). En règle générale, l</w:t>
      </w:r>
      <w:r>
        <w:rPr>
          <w:lang w:val="fr-FR"/>
        </w:rPr>
        <w:t>’</w:t>
      </w:r>
      <w:r w:rsidRPr="00262910">
        <w:rPr>
          <w:lang w:val="fr-FR"/>
        </w:rPr>
        <w:t xml:space="preserve">assurance est obligatoire pour toute personne résidant légalement en Norvège, ainsi que </w:t>
      </w:r>
      <w:r>
        <w:rPr>
          <w:lang w:val="fr-FR"/>
        </w:rPr>
        <w:t xml:space="preserve">pour </w:t>
      </w:r>
      <w:r w:rsidRPr="00262910">
        <w:rPr>
          <w:lang w:val="fr-FR"/>
        </w:rPr>
        <w:t>les personnes qui résident à l</w:t>
      </w:r>
      <w:r>
        <w:rPr>
          <w:lang w:val="fr-FR"/>
        </w:rPr>
        <w:t>’</w:t>
      </w:r>
      <w:r w:rsidRPr="00262910">
        <w:rPr>
          <w:lang w:val="fr-FR"/>
        </w:rPr>
        <w:t xml:space="preserve">étranger mais travaillent en Norvège. </w:t>
      </w:r>
      <w:r>
        <w:rPr>
          <w:lang w:val="fr-FR"/>
        </w:rPr>
        <w:t>L</w:t>
      </w:r>
      <w:r w:rsidRPr="00262910">
        <w:rPr>
          <w:lang w:val="fr-FR"/>
        </w:rPr>
        <w:t xml:space="preserve">es travailleurs migrants sont </w:t>
      </w:r>
      <w:r>
        <w:rPr>
          <w:lang w:val="fr-FR"/>
        </w:rPr>
        <w:t xml:space="preserve">ainsi </w:t>
      </w:r>
      <w:r w:rsidRPr="00262910">
        <w:rPr>
          <w:lang w:val="fr-FR"/>
        </w:rPr>
        <w:t xml:space="preserve">traités </w:t>
      </w:r>
      <w:r>
        <w:rPr>
          <w:lang w:val="fr-FR"/>
        </w:rPr>
        <w:t xml:space="preserve">comme </w:t>
      </w:r>
      <w:r w:rsidRPr="00262910">
        <w:rPr>
          <w:lang w:val="fr-FR"/>
        </w:rPr>
        <w:t>les ressortissants norvégiens en matière d</w:t>
      </w:r>
      <w:r>
        <w:rPr>
          <w:lang w:val="fr-FR"/>
        </w:rPr>
        <w:t>’</w:t>
      </w:r>
      <w:r w:rsidRPr="00262910">
        <w:rPr>
          <w:lang w:val="fr-FR"/>
        </w:rPr>
        <w:t>indemnisation des accidents du travail.</w:t>
      </w:r>
    </w:p>
    <w:p w:rsidR="001771B8" w:rsidRPr="00262910" w:rsidRDefault="001771B8" w:rsidP="001771B8">
      <w:pPr>
        <w:pStyle w:val="SingleTxtG"/>
        <w:rPr>
          <w:lang w:val="fr-FR"/>
        </w:rPr>
      </w:pPr>
      <w:r w:rsidRPr="00262910">
        <w:rPr>
          <w:lang w:val="fr-FR"/>
        </w:rPr>
        <w:t>164.</w:t>
      </w:r>
      <w:r w:rsidRPr="00262910">
        <w:rPr>
          <w:lang w:val="fr-FR"/>
        </w:rPr>
        <w:tab/>
        <w:t>Le Ministère n</w:t>
      </w:r>
      <w:r>
        <w:rPr>
          <w:lang w:val="fr-FR"/>
        </w:rPr>
        <w:t>’</w:t>
      </w:r>
      <w:r w:rsidRPr="00262910">
        <w:rPr>
          <w:lang w:val="fr-FR"/>
        </w:rPr>
        <w:t>a connaissance d</w:t>
      </w:r>
      <w:r>
        <w:rPr>
          <w:lang w:val="fr-FR"/>
        </w:rPr>
        <w:t>’</w:t>
      </w:r>
      <w:r w:rsidRPr="00262910">
        <w:rPr>
          <w:lang w:val="fr-FR"/>
        </w:rPr>
        <w:t xml:space="preserve">aucune convention collective </w:t>
      </w:r>
      <w:r>
        <w:rPr>
          <w:lang w:val="fr-FR"/>
        </w:rPr>
        <w:t xml:space="preserve">norvégienne </w:t>
      </w:r>
      <w:r w:rsidRPr="00262910">
        <w:rPr>
          <w:lang w:val="fr-FR"/>
        </w:rPr>
        <w:t>couvr</w:t>
      </w:r>
      <w:r>
        <w:rPr>
          <w:lang w:val="fr-FR"/>
        </w:rPr>
        <w:t>ant</w:t>
      </w:r>
      <w:r w:rsidRPr="00262910">
        <w:rPr>
          <w:lang w:val="fr-FR"/>
        </w:rPr>
        <w:t xml:space="preserve"> spécifiquement les droits relatifs aux conditions de travail des travailleurs migrants. </w:t>
      </w:r>
    </w:p>
    <w:p w:rsidR="001771B8" w:rsidRPr="00262910" w:rsidRDefault="001771B8" w:rsidP="001771B8">
      <w:pPr>
        <w:pStyle w:val="SingleTxtG"/>
        <w:rPr>
          <w:lang w:val="fr-FR"/>
        </w:rPr>
      </w:pPr>
      <w:r w:rsidRPr="00262910">
        <w:rPr>
          <w:lang w:val="fr-FR"/>
        </w:rPr>
        <w:t>165.</w:t>
      </w:r>
      <w:r w:rsidRPr="00262910">
        <w:rPr>
          <w:lang w:val="fr-FR"/>
        </w:rPr>
        <w:tab/>
      </w:r>
      <w:r w:rsidRPr="00C6559F">
        <w:rPr>
          <w:lang w:val="fr-FR"/>
        </w:rPr>
        <w:t>Lorsqu</w:t>
      </w:r>
      <w:r>
        <w:rPr>
          <w:lang w:val="fr-FR"/>
        </w:rPr>
        <w:t>’</w:t>
      </w:r>
      <w:r w:rsidRPr="00C6559F">
        <w:rPr>
          <w:lang w:val="fr-FR"/>
        </w:rPr>
        <w:t>une entreprise est</w:t>
      </w:r>
      <w:r w:rsidRPr="00262910">
        <w:rPr>
          <w:lang w:val="fr-FR"/>
        </w:rPr>
        <w:t xml:space="preserve"> liée par une convention collective, elle est tenue d</w:t>
      </w:r>
      <w:r>
        <w:rPr>
          <w:lang w:val="fr-FR"/>
        </w:rPr>
        <w:t>’accorder à</w:t>
      </w:r>
      <w:r w:rsidRPr="00262910">
        <w:rPr>
          <w:lang w:val="fr-FR"/>
        </w:rPr>
        <w:t xml:space="preserve"> tous ses salariés les droits rel</w:t>
      </w:r>
      <w:r>
        <w:rPr>
          <w:lang w:val="fr-FR"/>
        </w:rPr>
        <w:t xml:space="preserve">evant de </w:t>
      </w:r>
      <w:r w:rsidRPr="00262910">
        <w:rPr>
          <w:lang w:val="fr-FR"/>
        </w:rPr>
        <w:t>son champ d</w:t>
      </w:r>
      <w:r>
        <w:rPr>
          <w:lang w:val="fr-FR"/>
        </w:rPr>
        <w:t>’</w:t>
      </w:r>
      <w:r w:rsidRPr="00262910">
        <w:rPr>
          <w:lang w:val="fr-FR"/>
        </w:rPr>
        <w:t xml:space="preserve">application. </w:t>
      </w:r>
      <w:r>
        <w:rPr>
          <w:lang w:val="fr-FR"/>
        </w:rPr>
        <w:t>Les clauses des conventions</w:t>
      </w:r>
      <w:r w:rsidRPr="00262910">
        <w:rPr>
          <w:lang w:val="fr-FR"/>
        </w:rPr>
        <w:t xml:space="preserve"> doivent </w:t>
      </w:r>
      <w:r>
        <w:rPr>
          <w:lang w:val="fr-FR"/>
        </w:rPr>
        <w:t xml:space="preserve">donc </w:t>
      </w:r>
      <w:r w:rsidRPr="00262910">
        <w:rPr>
          <w:lang w:val="fr-FR"/>
        </w:rPr>
        <w:t>être appliqué</w:t>
      </w:r>
      <w:r>
        <w:rPr>
          <w:lang w:val="fr-FR"/>
        </w:rPr>
        <w:t>e</w:t>
      </w:r>
      <w:r w:rsidRPr="00262910">
        <w:rPr>
          <w:lang w:val="fr-FR"/>
        </w:rPr>
        <w:t xml:space="preserve">s </w:t>
      </w:r>
      <w:r>
        <w:rPr>
          <w:lang w:val="fr-FR"/>
        </w:rPr>
        <w:t>à tous les travailleurs, qu’ils soient ou non syndiqués</w:t>
      </w:r>
      <w:r w:rsidRPr="00262910">
        <w:rPr>
          <w:lang w:val="fr-FR"/>
        </w:rPr>
        <w:t xml:space="preserve">. </w:t>
      </w:r>
    </w:p>
    <w:p w:rsidR="001771B8" w:rsidRPr="00262910" w:rsidRDefault="001771B8" w:rsidP="001771B8">
      <w:pPr>
        <w:pStyle w:val="SingleTxtG"/>
        <w:rPr>
          <w:lang w:val="fr-FR"/>
        </w:rPr>
      </w:pPr>
      <w:r w:rsidRPr="00262910">
        <w:rPr>
          <w:lang w:val="fr-FR"/>
        </w:rPr>
        <w:t>166.</w:t>
      </w:r>
      <w:r w:rsidRPr="00262910">
        <w:rPr>
          <w:lang w:val="fr-FR"/>
        </w:rPr>
        <w:tab/>
        <w:t>Il n</w:t>
      </w:r>
      <w:r>
        <w:rPr>
          <w:lang w:val="fr-FR"/>
        </w:rPr>
        <w:t>’</w:t>
      </w:r>
      <w:r w:rsidRPr="00262910">
        <w:rPr>
          <w:lang w:val="fr-FR"/>
        </w:rPr>
        <w:t>existe pas de salaire minimum au niveau national en Norvège. Les salaires minima sont convenus dans les conventions collectives</w:t>
      </w:r>
      <w:r>
        <w:rPr>
          <w:lang w:val="fr-FR"/>
        </w:rPr>
        <w:t xml:space="preserve"> salariales, lesquelles </w:t>
      </w:r>
      <w:r w:rsidRPr="00262910">
        <w:rPr>
          <w:lang w:val="fr-FR"/>
        </w:rPr>
        <w:t xml:space="preserve">sont </w:t>
      </w:r>
      <w:r>
        <w:rPr>
          <w:lang w:val="fr-FR"/>
        </w:rPr>
        <w:t xml:space="preserve">en </w:t>
      </w:r>
      <w:r w:rsidRPr="00262910">
        <w:rPr>
          <w:lang w:val="fr-FR"/>
        </w:rPr>
        <w:t>général</w:t>
      </w:r>
      <w:r>
        <w:rPr>
          <w:lang w:val="fr-FR"/>
        </w:rPr>
        <w:t xml:space="preserve"> </w:t>
      </w:r>
      <w:r w:rsidRPr="00262910">
        <w:rPr>
          <w:lang w:val="fr-FR"/>
        </w:rPr>
        <w:t xml:space="preserve">conclues </w:t>
      </w:r>
      <w:r>
        <w:rPr>
          <w:lang w:val="fr-FR"/>
        </w:rPr>
        <w:t>secteur par secteur</w:t>
      </w:r>
      <w:r w:rsidRPr="00262910">
        <w:rPr>
          <w:lang w:val="fr-FR"/>
        </w:rPr>
        <w:t xml:space="preserve">. </w:t>
      </w:r>
      <w:r>
        <w:rPr>
          <w:lang w:val="fr-FR"/>
        </w:rPr>
        <w:t xml:space="preserve">Un </w:t>
      </w:r>
      <w:r w:rsidRPr="00262910">
        <w:rPr>
          <w:lang w:val="fr-FR"/>
        </w:rPr>
        <w:t xml:space="preserve">salaire minimum a </w:t>
      </w:r>
      <w:r>
        <w:rPr>
          <w:lang w:val="fr-FR"/>
        </w:rPr>
        <w:t xml:space="preserve">cependant </w:t>
      </w:r>
      <w:r w:rsidRPr="00262910">
        <w:rPr>
          <w:lang w:val="fr-FR"/>
        </w:rPr>
        <w:t>été in</w:t>
      </w:r>
      <w:r>
        <w:rPr>
          <w:lang w:val="fr-FR"/>
        </w:rPr>
        <w:t xml:space="preserve">stitué dans quelques </w:t>
      </w:r>
      <w:r w:rsidRPr="00262910">
        <w:rPr>
          <w:lang w:val="fr-FR"/>
        </w:rPr>
        <w:t>secteurs par l</w:t>
      </w:r>
      <w:r>
        <w:rPr>
          <w:lang w:val="fr-FR"/>
        </w:rPr>
        <w:t xml:space="preserve">a voie de </w:t>
      </w:r>
      <w:r w:rsidRPr="00262910">
        <w:rPr>
          <w:lang w:val="fr-FR"/>
        </w:rPr>
        <w:t xml:space="preserve">règlements </w:t>
      </w:r>
      <w:r>
        <w:rPr>
          <w:lang w:val="fr-FR"/>
        </w:rPr>
        <w:t xml:space="preserve">relatifs à </w:t>
      </w:r>
      <w:r w:rsidRPr="00262910">
        <w:rPr>
          <w:lang w:val="fr-FR"/>
        </w:rPr>
        <w:t>l</w:t>
      </w:r>
      <w:r>
        <w:rPr>
          <w:lang w:val="fr-FR"/>
        </w:rPr>
        <w:t>’</w:t>
      </w:r>
      <w:r w:rsidRPr="00262910">
        <w:rPr>
          <w:lang w:val="fr-FR"/>
        </w:rPr>
        <w:t xml:space="preserve">application générale des conventions collectives. </w:t>
      </w:r>
    </w:p>
    <w:p w:rsidR="001771B8" w:rsidRPr="00262910" w:rsidRDefault="001771B8" w:rsidP="001771B8">
      <w:pPr>
        <w:pStyle w:val="SingleTxtG"/>
        <w:rPr>
          <w:lang w:val="fr-FR"/>
        </w:rPr>
      </w:pPr>
      <w:r w:rsidRPr="00262910">
        <w:rPr>
          <w:lang w:val="fr-FR"/>
        </w:rPr>
        <w:t>167.</w:t>
      </w:r>
      <w:r w:rsidRPr="00262910">
        <w:rPr>
          <w:lang w:val="fr-FR"/>
        </w:rPr>
        <w:tab/>
        <w:t>L</w:t>
      </w:r>
      <w:r>
        <w:rPr>
          <w:lang w:val="fr-FR"/>
        </w:rPr>
        <w:t>’</w:t>
      </w:r>
      <w:r w:rsidRPr="00262910">
        <w:rPr>
          <w:lang w:val="fr-FR"/>
        </w:rPr>
        <w:t>application générale des conventions collectives est un instrument important pour éviter que de</w:t>
      </w:r>
      <w:r>
        <w:rPr>
          <w:lang w:val="fr-FR"/>
        </w:rPr>
        <w:t>s</w:t>
      </w:r>
      <w:r w:rsidRPr="00262910">
        <w:rPr>
          <w:lang w:val="fr-FR"/>
        </w:rPr>
        <w:t xml:space="preserve"> </w:t>
      </w:r>
      <w:r>
        <w:rPr>
          <w:lang w:val="fr-FR"/>
        </w:rPr>
        <w:t xml:space="preserve">rémunérations </w:t>
      </w:r>
      <w:r w:rsidRPr="00262910">
        <w:rPr>
          <w:lang w:val="fr-FR"/>
        </w:rPr>
        <w:t>et de</w:t>
      </w:r>
      <w:r>
        <w:rPr>
          <w:lang w:val="fr-FR"/>
        </w:rPr>
        <w:t>s</w:t>
      </w:r>
      <w:r w:rsidRPr="00262910">
        <w:rPr>
          <w:lang w:val="fr-FR"/>
        </w:rPr>
        <w:t xml:space="preserve"> conditions de travail moins favorables qu</w:t>
      </w:r>
      <w:r>
        <w:rPr>
          <w:lang w:val="fr-FR"/>
        </w:rPr>
        <w:t xml:space="preserve">e la normale en </w:t>
      </w:r>
      <w:r w:rsidRPr="00262910">
        <w:rPr>
          <w:lang w:val="fr-FR"/>
        </w:rPr>
        <w:t>Norvège</w:t>
      </w:r>
      <w:r>
        <w:rPr>
          <w:lang w:val="fr-FR"/>
        </w:rPr>
        <w:t xml:space="preserve"> ne soient imposées aux</w:t>
      </w:r>
      <w:r w:rsidRPr="0002215C">
        <w:rPr>
          <w:lang w:val="fr-FR"/>
        </w:rPr>
        <w:t xml:space="preserve"> travailleurs étrangers</w:t>
      </w:r>
      <w:r w:rsidRPr="00262910">
        <w:rPr>
          <w:lang w:val="fr-FR"/>
        </w:rPr>
        <w:t xml:space="preserve">. </w:t>
      </w:r>
    </w:p>
    <w:p w:rsidR="001771B8" w:rsidRPr="00262910" w:rsidRDefault="001771B8" w:rsidP="001771B8">
      <w:pPr>
        <w:pStyle w:val="SingleTxtG"/>
        <w:rPr>
          <w:lang w:val="fr-FR"/>
        </w:rPr>
      </w:pPr>
      <w:r w:rsidRPr="00262910">
        <w:rPr>
          <w:lang w:val="fr-FR"/>
        </w:rPr>
        <w:t>168.</w:t>
      </w:r>
      <w:r w:rsidRPr="00262910">
        <w:rPr>
          <w:lang w:val="fr-FR"/>
        </w:rPr>
        <w:tab/>
      </w:r>
      <w:r w:rsidRPr="00E90B84">
        <w:rPr>
          <w:lang w:val="fr-FR"/>
        </w:rPr>
        <w:t>Les conventions collectives</w:t>
      </w:r>
      <w:r w:rsidRPr="00262910">
        <w:rPr>
          <w:lang w:val="fr-FR"/>
        </w:rPr>
        <w:t xml:space="preserve"> d</w:t>
      </w:r>
      <w:r>
        <w:rPr>
          <w:lang w:val="fr-FR"/>
        </w:rPr>
        <w:t>’</w:t>
      </w:r>
      <w:r w:rsidRPr="00262910">
        <w:rPr>
          <w:lang w:val="fr-FR"/>
        </w:rPr>
        <w:t xml:space="preserve">application générale </w:t>
      </w:r>
      <w:r>
        <w:rPr>
          <w:lang w:val="fr-FR"/>
        </w:rPr>
        <w:t>p</w:t>
      </w:r>
      <w:r w:rsidRPr="00262910">
        <w:rPr>
          <w:lang w:val="fr-FR"/>
        </w:rPr>
        <w:t>ort</w:t>
      </w:r>
      <w:r>
        <w:rPr>
          <w:lang w:val="fr-FR"/>
        </w:rPr>
        <w:t>e</w:t>
      </w:r>
      <w:r w:rsidRPr="00262910">
        <w:rPr>
          <w:lang w:val="fr-FR"/>
        </w:rPr>
        <w:t>nt sur les salaires et les conditions de travail appli</w:t>
      </w:r>
      <w:r>
        <w:rPr>
          <w:lang w:val="fr-FR"/>
        </w:rPr>
        <w:t xml:space="preserve">cables </w:t>
      </w:r>
      <w:r w:rsidRPr="00262910">
        <w:rPr>
          <w:lang w:val="fr-FR"/>
        </w:rPr>
        <w:t>à toutes les personnes</w:t>
      </w:r>
      <w:r>
        <w:rPr>
          <w:lang w:val="fr-FR"/>
        </w:rPr>
        <w:t xml:space="preserve"> employées </w:t>
      </w:r>
      <w:r w:rsidRPr="00262910">
        <w:rPr>
          <w:lang w:val="fr-FR"/>
        </w:rPr>
        <w:t xml:space="preserve">dans </w:t>
      </w:r>
      <w:r>
        <w:rPr>
          <w:lang w:val="fr-FR"/>
        </w:rPr>
        <w:t xml:space="preserve">le </w:t>
      </w:r>
      <w:r w:rsidRPr="00262910">
        <w:rPr>
          <w:lang w:val="fr-FR"/>
        </w:rPr>
        <w:t xml:space="preserve">secteur </w:t>
      </w:r>
      <w:r>
        <w:rPr>
          <w:lang w:val="fr-FR"/>
        </w:rPr>
        <w:t>couvert</w:t>
      </w:r>
      <w:r w:rsidRPr="00262910">
        <w:rPr>
          <w:lang w:val="fr-FR"/>
        </w:rPr>
        <w:t>, qu</w:t>
      </w:r>
      <w:r>
        <w:rPr>
          <w:lang w:val="fr-FR"/>
        </w:rPr>
        <w:t>’</w:t>
      </w:r>
      <w:r w:rsidRPr="00262910">
        <w:rPr>
          <w:lang w:val="fr-FR"/>
        </w:rPr>
        <w:t xml:space="preserve">elles soient parties à la convention collective ou travaillent dans une entreprise liée par </w:t>
      </w:r>
      <w:r>
        <w:rPr>
          <w:lang w:val="fr-FR"/>
        </w:rPr>
        <w:t xml:space="preserve">la </w:t>
      </w:r>
      <w:r w:rsidRPr="00262910">
        <w:rPr>
          <w:lang w:val="fr-FR"/>
        </w:rPr>
        <w:t xml:space="preserve">convention. </w:t>
      </w:r>
      <w:r>
        <w:rPr>
          <w:lang w:val="fr-FR"/>
        </w:rPr>
        <w:t xml:space="preserve">Des </w:t>
      </w:r>
      <w:r w:rsidRPr="00262910">
        <w:rPr>
          <w:lang w:val="fr-FR"/>
        </w:rPr>
        <w:t>conventions collectives d</w:t>
      </w:r>
      <w:r>
        <w:rPr>
          <w:lang w:val="fr-FR"/>
        </w:rPr>
        <w:t>’</w:t>
      </w:r>
      <w:r w:rsidRPr="00262910">
        <w:rPr>
          <w:lang w:val="fr-FR"/>
        </w:rPr>
        <w:t xml:space="preserve">application </w:t>
      </w:r>
      <w:r>
        <w:rPr>
          <w:lang w:val="fr-FR"/>
        </w:rPr>
        <w:t xml:space="preserve">générale </w:t>
      </w:r>
      <w:r w:rsidRPr="00E90B84">
        <w:rPr>
          <w:lang w:val="fr-FR"/>
        </w:rPr>
        <w:t xml:space="preserve">sont actuellement </w:t>
      </w:r>
      <w:r>
        <w:rPr>
          <w:lang w:val="fr-FR"/>
        </w:rPr>
        <w:t>en vigueur dans l</w:t>
      </w:r>
      <w:r w:rsidRPr="00E90B84">
        <w:rPr>
          <w:lang w:val="fr-FR"/>
        </w:rPr>
        <w:t>es secteurs suivants</w:t>
      </w:r>
      <w:r w:rsidR="00CE3294">
        <w:rPr>
          <w:lang w:val="fr-FR"/>
        </w:rPr>
        <w:t> </w:t>
      </w:r>
      <w:r w:rsidRPr="00262910">
        <w:rPr>
          <w:lang w:val="fr-FR"/>
        </w:rPr>
        <w:t>: construction</w:t>
      </w:r>
      <w:r>
        <w:rPr>
          <w:lang w:val="fr-FR"/>
        </w:rPr>
        <w:t xml:space="preserve"> ; </w:t>
      </w:r>
      <w:r w:rsidRPr="00262910">
        <w:rPr>
          <w:lang w:val="fr-FR"/>
        </w:rPr>
        <w:t xml:space="preserve">construction </w:t>
      </w:r>
      <w:r>
        <w:rPr>
          <w:lang w:val="fr-FR"/>
        </w:rPr>
        <w:t>navale ;</w:t>
      </w:r>
      <w:r w:rsidRPr="00262910">
        <w:rPr>
          <w:lang w:val="fr-FR"/>
        </w:rPr>
        <w:t xml:space="preserve"> agriculture et horticulture</w:t>
      </w:r>
      <w:r>
        <w:rPr>
          <w:lang w:val="fr-FR"/>
        </w:rPr>
        <w:t xml:space="preserve"> ; </w:t>
      </w:r>
      <w:r w:rsidRPr="00262910">
        <w:rPr>
          <w:lang w:val="fr-FR"/>
        </w:rPr>
        <w:t>nettoyage</w:t>
      </w:r>
      <w:r>
        <w:rPr>
          <w:lang w:val="fr-FR"/>
        </w:rPr>
        <w:t xml:space="preserve"> ; </w:t>
      </w:r>
      <w:r w:rsidRPr="00262910">
        <w:rPr>
          <w:lang w:val="fr-FR"/>
        </w:rPr>
        <w:t>transformation du poisson</w:t>
      </w:r>
      <w:r>
        <w:rPr>
          <w:lang w:val="fr-FR"/>
        </w:rPr>
        <w:t xml:space="preserve"> ; </w:t>
      </w:r>
      <w:r w:rsidRPr="00262910">
        <w:rPr>
          <w:lang w:val="fr-FR"/>
        </w:rPr>
        <w:t>électriciens</w:t>
      </w:r>
      <w:r>
        <w:rPr>
          <w:lang w:val="fr-FR"/>
        </w:rPr>
        <w:t xml:space="preserve"> ; </w:t>
      </w:r>
      <w:r w:rsidRPr="00262910">
        <w:rPr>
          <w:lang w:val="fr-FR"/>
        </w:rPr>
        <w:t xml:space="preserve">transport </w:t>
      </w:r>
      <w:r>
        <w:rPr>
          <w:lang w:val="fr-FR"/>
        </w:rPr>
        <w:t xml:space="preserve">routier </w:t>
      </w:r>
      <w:r w:rsidRPr="00262910">
        <w:rPr>
          <w:lang w:val="fr-FR"/>
        </w:rPr>
        <w:t>de marchandises</w:t>
      </w:r>
      <w:r>
        <w:rPr>
          <w:lang w:val="fr-FR"/>
        </w:rPr>
        <w:t xml:space="preserve"> ; </w:t>
      </w:r>
      <w:r w:rsidRPr="00262910">
        <w:rPr>
          <w:lang w:val="fr-FR"/>
        </w:rPr>
        <w:t>transport de passagers par autocar</w:t>
      </w:r>
      <w:r>
        <w:rPr>
          <w:lang w:val="fr-FR"/>
        </w:rPr>
        <w:t xml:space="preserve"> ; </w:t>
      </w:r>
      <w:r w:rsidRPr="00262910">
        <w:rPr>
          <w:lang w:val="fr-FR"/>
        </w:rPr>
        <w:t>hôtellerie</w:t>
      </w:r>
      <w:r>
        <w:rPr>
          <w:lang w:val="fr-FR"/>
        </w:rPr>
        <w:t>, restauration et services de traiteur</w:t>
      </w:r>
      <w:r w:rsidRPr="00262910">
        <w:rPr>
          <w:lang w:val="fr-FR"/>
        </w:rPr>
        <w:t>.</w:t>
      </w:r>
    </w:p>
    <w:p w:rsidR="001771B8" w:rsidRPr="00262910" w:rsidRDefault="001771B8" w:rsidP="001771B8">
      <w:pPr>
        <w:pStyle w:val="SingleTxtG"/>
        <w:rPr>
          <w:lang w:val="fr-FR"/>
        </w:rPr>
      </w:pPr>
      <w:r w:rsidRPr="00262910">
        <w:rPr>
          <w:lang w:val="fr-FR"/>
        </w:rPr>
        <w:t>169.</w:t>
      </w:r>
      <w:r w:rsidRPr="00262910">
        <w:rPr>
          <w:lang w:val="fr-FR"/>
        </w:rPr>
        <w:tab/>
      </w:r>
      <w:r w:rsidRPr="00B9006F">
        <w:rPr>
          <w:lang w:val="fr-FR"/>
        </w:rPr>
        <w:t>La majeure partie des dispositions</w:t>
      </w:r>
      <w:r w:rsidRPr="00BF143D">
        <w:rPr>
          <w:lang w:val="fr-FR"/>
        </w:rPr>
        <w:t xml:space="preserve"> </w:t>
      </w:r>
      <w:r>
        <w:rPr>
          <w:lang w:val="fr-FR"/>
        </w:rPr>
        <w:t xml:space="preserve">du droit norvégien du travail </w:t>
      </w:r>
      <w:r w:rsidRPr="00262910">
        <w:rPr>
          <w:lang w:val="fr-FR"/>
        </w:rPr>
        <w:t>s</w:t>
      </w:r>
      <w:r>
        <w:rPr>
          <w:lang w:val="fr-FR"/>
        </w:rPr>
        <w:t>’</w:t>
      </w:r>
      <w:r w:rsidRPr="00262910">
        <w:rPr>
          <w:lang w:val="fr-FR"/>
        </w:rPr>
        <w:t>applique</w:t>
      </w:r>
      <w:r>
        <w:rPr>
          <w:lang w:val="fr-FR"/>
        </w:rPr>
        <w:t>nt</w:t>
      </w:r>
      <w:r w:rsidRPr="00262910">
        <w:rPr>
          <w:lang w:val="fr-FR"/>
        </w:rPr>
        <w:t xml:space="preserve"> à tou</w:t>
      </w:r>
      <w:r>
        <w:rPr>
          <w:lang w:val="fr-FR"/>
        </w:rPr>
        <w:t>tes les personnes qui travaillent dans le pays</w:t>
      </w:r>
      <w:r w:rsidRPr="00262910">
        <w:rPr>
          <w:lang w:val="fr-FR"/>
        </w:rPr>
        <w:t>, y compris les non-</w:t>
      </w:r>
      <w:r>
        <w:rPr>
          <w:lang w:val="fr-FR"/>
        </w:rPr>
        <w:t>ressortissants</w:t>
      </w:r>
      <w:r w:rsidRPr="00262910">
        <w:rPr>
          <w:lang w:val="fr-FR"/>
        </w:rPr>
        <w:t>. Les principa</w:t>
      </w:r>
      <w:r>
        <w:rPr>
          <w:lang w:val="fr-FR"/>
        </w:rPr>
        <w:t xml:space="preserve">ux textes en la matière </w:t>
      </w:r>
      <w:r w:rsidRPr="00262910">
        <w:rPr>
          <w:lang w:val="fr-FR"/>
        </w:rPr>
        <w:t xml:space="preserve">sont la loi sur le milieu de travail et la loi sur les congés payés. </w:t>
      </w:r>
      <w:r>
        <w:rPr>
          <w:lang w:val="fr-FR"/>
        </w:rPr>
        <w:t>P</w:t>
      </w:r>
      <w:r w:rsidRPr="00262910">
        <w:rPr>
          <w:lang w:val="fr-FR"/>
        </w:rPr>
        <w:t xml:space="preserve">lusieurs règlements ont </w:t>
      </w:r>
      <w:r>
        <w:rPr>
          <w:lang w:val="fr-FR"/>
        </w:rPr>
        <w:t xml:space="preserve">en outre été adoptés </w:t>
      </w:r>
      <w:r w:rsidRPr="00262910">
        <w:rPr>
          <w:lang w:val="fr-FR"/>
        </w:rPr>
        <w:t xml:space="preserve">en </w:t>
      </w:r>
      <w:r>
        <w:rPr>
          <w:lang w:val="fr-FR"/>
        </w:rPr>
        <w:t xml:space="preserve">application de </w:t>
      </w:r>
      <w:r w:rsidRPr="00262910">
        <w:rPr>
          <w:lang w:val="fr-FR"/>
        </w:rPr>
        <w:t>la loi sur le</w:t>
      </w:r>
      <w:r>
        <w:rPr>
          <w:lang w:val="fr-FR"/>
        </w:rPr>
        <w:t xml:space="preserve"> milieu </w:t>
      </w:r>
      <w:r w:rsidRPr="00262910">
        <w:rPr>
          <w:lang w:val="fr-FR"/>
        </w:rPr>
        <w:t xml:space="preserve">de travail. </w:t>
      </w:r>
    </w:p>
    <w:p w:rsidR="001771B8" w:rsidRPr="00262910" w:rsidRDefault="001771B8" w:rsidP="001771B8">
      <w:pPr>
        <w:pStyle w:val="SingleTxtG"/>
        <w:rPr>
          <w:lang w:val="fr-FR"/>
        </w:rPr>
      </w:pPr>
      <w:r w:rsidRPr="00262910">
        <w:rPr>
          <w:lang w:val="fr-FR"/>
        </w:rPr>
        <w:t>170.</w:t>
      </w:r>
      <w:r w:rsidRPr="00262910">
        <w:rPr>
          <w:lang w:val="fr-FR"/>
        </w:rPr>
        <w:tab/>
      </w:r>
      <w:r w:rsidRPr="00BF143D">
        <w:rPr>
          <w:lang w:val="fr-FR"/>
        </w:rPr>
        <w:t>L</w:t>
      </w:r>
      <w:r>
        <w:rPr>
          <w:lang w:val="fr-FR"/>
        </w:rPr>
        <w:t xml:space="preserve">a totalité </w:t>
      </w:r>
      <w:r w:rsidRPr="00BF143D">
        <w:rPr>
          <w:lang w:val="fr-FR"/>
        </w:rPr>
        <w:t>d</w:t>
      </w:r>
      <w:r>
        <w:rPr>
          <w:lang w:val="fr-FR"/>
        </w:rPr>
        <w:t xml:space="preserve">u droit du </w:t>
      </w:r>
      <w:r w:rsidRPr="00BF143D">
        <w:rPr>
          <w:lang w:val="fr-FR"/>
        </w:rPr>
        <w:t xml:space="preserve">travail </w:t>
      </w:r>
      <w:r>
        <w:rPr>
          <w:lang w:val="fr-FR"/>
        </w:rPr>
        <w:t xml:space="preserve">norvégien s’applique aux </w:t>
      </w:r>
      <w:r w:rsidRPr="00262910">
        <w:rPr>
          <w:lang w:val="fr-FR"/>
        </w:rPr>
        <w:t xml:space="preserve">non-ressortissants employés </w:t>
      </w:r>
      <w:r>
        <w:rPr>
          <w:lang w:val="fr-FR"/>
        </w:rPr>
        <w:t>par d</w:t>
      </w:r>
      <w:r w:rsidRPr="00262910">
        <w:rPr>
          <w:lang w:val="fr-FR"/>
        </w:rPr>
        <w:t xml:space="preserve">es entreprises norvégiennes. </w:t>
      </w:r>
      <w:r>
        <w:rPr>
          <w:lang w:val="fr-FR"/>
        </w:rPr>
        <w:t>L</w:t>
      </w:r>
      <w:r w:rsidRPr="00262910">
        <w:rPr>
          <w:lang w:val="fr-FR"/>
        </w:rPr>
        <w:t>es princip</w:t>
      </w:r>
      <w:r>
        <w:rPr>
          <w:lang w:val="fr-FR"/>
        </w:rPr>
        <w:t xml:space="preserve">aux éléments du droit du travail, </w:t>
      </w:r>
      <w:r w:rsidRPr="00262910">
        <w:rPr>
          <w:lang w:val="fr-FR"/>
        </w:rPr>
        <w:t>à savoir les dispositions concernant la santé et la sécurité, la non-discrimination, le temps de travail, l</w:t>
      </w:r>
      <w:r>
        <w:rPr>
          <w:lang w:val="fr-FR"/>
        </w:rPr>
        <w:t>a rémunération minimale et l</w:t>
      </w:r>
      <w:r w:rsidRPr="00262910">
        <w:rPr>
          <w:lang w:val="fr-FR"/>
        </w:rPr>
        <w:t xml:space="preserve">es </w:t>
      </w:r>
      <w:r>
        <w:rPr>
          <w:lang w:val="fr-FR"/>
        </w:rPr>
        <w:t>travailleurs des agences d’in</w:t>
      </w:r>
      <w:r w:rsidRPr="00262910">
        <w:rPr>
          <w:lang w:val="fr-FR"/>
        </w:rPr>
        <w:t>térim, s</w:t>
      </w:r>
      <w:r>
        <w:rPr>
          <w:lang w:val="fr-FR"/>
        </w:rPr>
        <w:t xml:space="preserve">’appliquent aux </w:t>
      </w:r>
      <w:r w:rsidRPr="00CB460E">
        <w:rPr>
          <w:lang w:val="fr-FR"/>
        </w:rPr>
        <w:t>non</w:t>
      </w:r>
      <w:r w:rsidR="007E0244">
        <w:rPr>
          <w:lang w:val="fr-FR"/>
        </w:rPr>
        <w:noBreakHyphen/>
      </w:r>
      <w:r w:rsidRPr="00CB460E">
        <w:rPr>
          <w:lang w:val="fr-FR"/>
        </w:rPr>
        <w:t xml:space="preserve">ressortissants employés par des entreprises étrangères </w:t>
      </w:r>
      <w:r>
        <w:rPr>
          <w:lang w:val="fr-FR"/>
        </w:rPr>
        <w:t xml:space="preserve">qui </w:t>
      </w:r>
      <w:r w:rsidRPr="00CB460E">
        <w:rPr>
          <w:lang w:val="fr-FR"/>
        </w:rPr>
        <w:t xml:space="preserve">travaillent </w:t>
      </w:r>
      <w:r w:rsidRPr="00B9006F">
        <w:rPr>
          <w:lang w:val="fr-FR"/>
        </w:rPr>
        <w:t xml:space="preserve">en Norvège </w:t>
      </w:r>
      <w:r>
        <w:rPr>
          <w:lang w:val="fr-FR"/>
        </w:rPr>
        <w:t xml:space="preserve">pour une durée déterminée pour la </w:t>
      </w:r>
      <w:r w:rsidRPr="00CB460E">
        <w:rPr>
          <w:lang w:val="fr-FR"/>
        </w:rPr>
        <w:t>prestation de services</w:t>
      </w:r>
      <w:r w:rsidRPr="00262910">
        <w:rPr>
          <w:lang w:val="fr-FR"/>
        </w:rPr>
        <w:t xml:space="preserve">. </w:t>
      </w:r>
    </w:p>
    <w:p w:rsidR="001771B8" w:rsidRPr="00262910" w:rsidRDefault="001771B8" w:rsidP="001771B8">
      <w:pPr>
        <w:pStyle w:val="SingleTxtG"/>
        <w:rPr>
          <w:lang w:val="fr-FR"/>
        </w:rPr>
      </w:pPr>
      <w:r w:rsidRPr="00262910">
        <w:rPr>
          <w:lang w:val="fr-FR"/>
        </w:rPr>
        <w:t>171.</w:t>
      </w:r>
      <w:r w:rsidRPr="00262910">
        <w:rPr>
          <w:lang w:val="fr-FR"/>
        </w:rPr>
        <w:tab/>
      </w:r>
      <w:r>
        <w:rPr>
          <w:lang w:val="fr-FR"/>
        </w:rPr>
        <w:t>L’emploi au domicile d’un particulier</w:t>
      </w:r>
      <w:r w:rsidR="007E0244">
        <w:rPr>
          <w:lang w:val="fr-FR"/>
        </w:rPr>
        <w:t xml:space="preserve"> </w:t>
      </w:r>
      <w:r>
        <w:rPr>
          <w:lang w:val="fr-FR"/>
        </w:rPr>
        <w:t>est régi par u</w:t>
      </w:r>
      <w:r w:rsidRPr="00584148">
        <w:rPr>
          <w:lang w:val="fr-FR"/>
        </w:rPr>
        <w:t xml:space="preserve">n règlement </w:t>
      </w:r>
      <w:r>
        <w:rPr>
          <w:lang w:val="fr-FR"/>
        </w:rPr>
        <w:t xml:space="preserve">spécial fixant les </w:t>
      </w:r>
      <w:r w:rsidRPr="00262910">
        <w:rPr>
          <w:lang w:val="fr-FR"/>
        </w:rPr>
        <w:t>conditions de travail</w:t>
      </w:r>
      <w:r>
        <w:rPr>
          <w:lang w:val="fr-FR"/>
        </w:rPr>
        <w:t xml:space="preserve"> des personnes employées par un particulier pour effectuer des tâches ménagères</w:t>
      </w:r>
      <w:r w:rsidRPr="00262910">
        <w:rPr>
          <w:lang w:val="fr-FR"/>
        </w:rPr>
        <w:t xml:space="preserve">, </w:t>
      </w:r>
      <w:r>
        <w:rPr>
          <w:lang w:val="fr-FR"/>
        </w:rPr>
        <w:t>assurer une surveillance ou fournir des soins à domicile</w:t>
      </w:r>
      <w:r w:rsidRPr="00262910">
        <w:rPr>
          <w:lang w:val="fr-FR"/>
        </w:rPr>
        <w:t xml:space="preserve">. </w:t>
      </w:r>
      <w:r>
        <w:rPr>
          <w:lang w:val="fr-FR"/>
        </w:rPr>
        <w:t xml:space="preserve">Ses </w:t>
      </w:r>
      <w:r w:rsidRPr="00262910">
        <w:rPr>
          <w:lang w:val="fr-FR"/>
        </w:rPr>
        <w:t xml:space="preserve">dispositions </w:t>
      </w:r>
      <w:r>
        <w:rPr>
          <w:lang w:val="fr-FR"/>
        </w:rPr>
        <w:t xml:space="preserve">portent notamment sur </w:t>
      </w:r>
      <w:r w:rsidRPr="00262910">
        <w:rPr>
          <w:lang w:val="fr-FR"/>
        </w:rPr>
        <w:t>le contrat de travail écrit, les congés, les obligations des employeurs et des employés, les h</w:t>
      </w:r>
      <w:r>
        <w:rPr>
          <w:lang w:val="fr-FR"/>
        </w:rPr>
        <w:t xml:space="preserve">eures </w:t>
      </w:r>
      <w:r w:rsidRPr="00262910">
        <w:rPr>
          <w:lang w:val="fr-FR"/>
        </w:rPr>
        <w:t>de travail et de loisirs, l</w:t>
      </w:r>
      <w:r>
        <w:rPr>
          <w:lang w:val="fr-FR"/>
        </w:rPr>
        <w:t>e salaire</w:t>
      </w:r>
      <w:r w:rsidRPr="00262910">
        <w:rPr>
          <w:lang w:val="fr-FR"/>
        </w:rPr>
        <w:t>, les vacances</w:t>
      </w:r>
      <w:r>
        <w:rPr>
          <w:lang w:val="fr-FR"/>
        </w:rPr>
        <w:t xml:space="preserve"> et </w:t>
      </w:r>
      <w:r w:rsidRPr="00262910">
        <w:rPr>
          <w:lang w:val="fr-FR"/>
        </w:rPr>
        <w:t>la démission</w:t>
      </w:r>
      <w:r>
        <w:rPr>
          <w:lang w:val="fr-FR"/>
        </w:rPr>
        <w:t>.</w:t>
      </w:r>
      <w:r w:rsidRPr="00262910">
        <w:rPr>
          <w:lang w:val="fr-FR"/>
        </w:rPr>
        <w:t xml:space="preserve"> </w:t>
      </w:r>
    </w:p>
    <w:p w:rsidR="001771B8" w:rsidRPr="00262910" w:rsidRDefault="001771B8" w:rsidP="001771B8">
      <w:pPr>
        <w:pStyle w:val="SingleTxtG"/>
        <w:rPr>
          <w:lang w:val="fr-FR"/>
        </w:rPr>
      </w:pPr>
      <w:r w:rsidRPr="00262910">
        <w:rPr>
          <w:lang w:val="fr-FR"/>
        </w:rPr>
        <w:t>172.</w:t>
      </w:r>
      <w:r w:rsidRPr="00262910">
        <w:rPr>
          <w:lang w:val="fr-FR"/>
        </w:rPr>
        <w:tab/>
      </w:r>
      <w:r w:rsidRPr="009C14D7">
        <w:rPr>
          <w:lang w:val="fr-FR"/>
        </w:rPr>
        <w:t>L</w:t>
      </w:r>
      <w:r>
        <w:rPr>
          <w:lang w:val="fr-FR"/>
        </w:rPr>
        <w:t>’</w:t>
      </w:r>
      <w:r w:rsidRPr="009C14D7">
        <w:rPr>
          <w:lang w:val="fr-FR"/>
        </w:rPr>
        <w:t>Inspection</w:t>
      </w:r>
      <w:r w:rsidRPr="00262910">
        <w:rPr>
          <w:lang w:val="fr-FR"/>
        </w:rPr>
        <w:t xml:space="preserve"> du travail exerce un contrôle </w:t>
      </w:r>
      <w:r>
        <w:rPr>
          <w:lang w:val="fr-FR"/>
        </w:rPr>
        <w:t xml:space="preserve">en vertu de </w:t>
      </w:r>
      <w:r w:rsidRPr="00262910">
        <w:rPr>
          <w:lang w:val="fr-FR"/>
        </w:rPr>
        <w:t>la loi sur le milieu de travail,</w:t>
      </w:r>
      <w:r>
        <w:rPr>
          <w:lang w:val="fr-FR"/>
        </w:rPr>
        <w:t xml:space="preserve"> de </w:t>
      </w:r>
      <w:r w:rsidRPr="00262910">
        <w:rPr>
          <w:lang w:val="fr-FR"/>
        </w:rPr>
        <w:t xml:space="preserve">la loi </w:t>
      </w:r>
      <w:r>
        <w:rPr>
          <w:lang w:val="fr-FR"/>
        </w:rPr>
        <w:t xml:space="preserve">sur </w:t>
      </w:r>
      <w:r w:rsidRPr="00262910">
        <w:rPr>
          <w:lang w:val="fr-FR"/>
        </w:rPr>
        <w:t>l</w:t>
      </w:r>
      <w:r>
        <w:rPr>
          <w:lang w:val="fr-FR"/>
        </w:rPr>
        <w:t>’</w:t>
      </w:r>
      <w:r w:rsidRPr="00262910">
        <w:rPr>
          <w:lang w:val="fr-FR"/>
        </w:rPr>
        <w:t xml:space="preserve">application générale des conventions collectives et </w:t>
      </w:r>
      <w:r>
        <w:rPr>
          <w:lang w:val="fr-FR"/>
        </w:rPr>
        <w:t xml:space="preserve">de </w:t>
      </w:r>
      <w:r w:rsidRPr="00262910">
        <w:rPr>
          <w:lang w:val="fr-FR"/>
        </w:rPr>
        <w:t xml:space="preserve">certaines dispositions de la loi </w:t>
      </w:r>
      <w:r>
        <w:rPr>
          <w:lang w:val="fr-FR"/>
        </w:rPr>
        <w:t xml:space="preserve">sur </w:t>
      </w:r>
      <w:r w:rsidRPr="00262910">
        <w:rPr>
          <w:lang w:val="fr-FR"/>
        </w:rPr>
        <w:t>l</w:t>
      </w:r>
      <w:r>
        <w:rPr>
          <w:lang w:val="fr-FR"/>
        </w:rPr>
        <w:t>’</w:t>
      </w:r>
      <w:r w:rsidRPr="00262910">
        <w:rPr>
          <w:lang w:val="fr-FR"/>
        </w:rPr>
        <w:t>immigration. L</w:t>
      </w:r>
      <w:r>
        <w:rPr>
          <w:lang w:val="fr-FR"/>
        </w:rPr>
        <w:t>’</w:t>
      </w:r>
      <w:r w:rsidRPr="00262910">
        <w:rPr>
          <w:lang w:val="fr-FR"/>
        </w:rPr>
        <w:t>Inspection s</w:t>
      </w:r>
      <w:r>
        <w:rPr>
          <w:lang w:val="fr-FR"/>
        </w:rPr>
        <w:t>’</w:t>
      </w:r>
      <w:r w:rsidRPr="00262910">
        <w:rPr>
          <w:lang w:val="fr-FR"/>
        </w:rPr>
        <w:t xml:space="preserve">intéresse </w:t>
      </w:r>
      <w:r>
        <w:rPr>
          <w:lang w:val="fr-FR"/>
        </w:rPr>
        <w:t xml:space="preserve">plus </w:t>
      </w:r>
      <w:r w:rsidRPr="00262910">
        <w:rPr>
          <w:lang w:val="fr-FR"/>
        </w:rPr>
        <w:t>particulièrement aux conditions de travail des immigr</w:t>
      </w:r>
      <w:r>
        <w:rPr>
          <w:lang w:val="fr-FR"/>
        </w:rPr>
        <w:t>és</w:t>
      </w:r>
      <w:r w:rsidRPr="00262910">
        <w:rPr>
          <w:lang w:val="fr-FR"/>
        </w:rPr>
        <w:t xml:space="preserve">, aux normes de santé et de sécurité et </w:t>
      </w:r>
      <w:r>
        <w:rPr>
          <w:lang w:val="fr-FR"/>
        </w:rPr>
        <w:t>aux infractions au droit du travail</w:t>
      </w:r>
      <w:r w:rsidRPr="00262910">
        <w:rPr>
          <w:lang w:val="fr-FR"/>
        </w:rPr>
        <w:t xml:space="preserve">. </w:t>
      </w:r>
    </w:p>
    <w:p w:rsidR="001771B8" w:rsidRPr="00262910" w:rsidRDefault="001771B8" w:rsidP="001771B8">
      <w:pPr>
        <w:pStyle w:val="SingleTxtG"/>
        <w:rPr>
          <w:lang w:val="fr-FR"/>
        </w:rPr>
      </w:pPr>
      <w:r w:rsidRPr="00262910">
        <w:rPr>
          <w:lang w:val="fr-FR"/>
        </w:rPr>
        <w:t>173.</w:t>
      </w:r>
      <w:r w:rsidRPr="00262910">
        <w:rPr>
          <w:lang w:val="fr-FR"/>
        </w:rPr>
        <w:tab/>
      </w:r>
      <w:r w:rsidRPr="000E4DEF">
        <w:rPr>
          <w:lang w:val="fr-FR"/>
        </w:rPr>
        <w:t>Cinq centres de services</w:t>
      </w:r>
      <w:r w:rsidRPr="00D01A05">
        <w:rPr>
          <w:lang w:val="fr-FR"/>
        </w:rPr>
        <w:t xml:space="preserve"> pour</w:t>
      </w:r>
      <w:r w:rsidRPr="00262910">
        <w:rPr>
          <w:lang w:val="fr-FR"/>
        </w:rPr>
        <w:t xml:space="preserve"> travailleurs étrangers</w:t>
      </w:r>
      <w:r>
        <w:rPr>
          <w:lang w:val="fr-FR"/>
        </w:rPr>
        <w:t xml:space="preserve"> sont en activité dans d</w:t>
      </w:r>
      <w:r w:rsidRPr="00262910">
        <w:rPr>
          <w:lang w:val="fr-FR"/>
        </w:rPr>
        <w:t xml:space="preserve">es </w:t>
      </w:r>
      <w:r>
        <w:rPr>
          <w:lang w:val="fr-FR"/>
        </w:rPr>
        <w:t xml:space="preserve">grandes </w:t>
      </w:r>
      <w:r w:rsidRPr="00262910">
        <w:rPr>
          <w:lang w:val="fr-FR"/>
        </w:rPr>
        <w:t xml:space="preserve">villes </w:t>
      </w:r>
      <w:r>
        <w:rPr>
          <w:lang w:val="fr-FR"/>
        </w:rPr>
        <w:t>du pays.</w:t>
      </w:r>
      <w:r w:rsidRPr="00262910">
        <w:rPr>
          <w:lang w:val="fr-FR"/>
        </w:rPr>
        <w:t xml:space="preserve"> </w:t>
      </w:r>
      <w:r>
        <w:rPr>
          <w:lang w:val="fr-FR"/>
        </w:rPr>
        <w:t xml:space="preserve">Des agents </w:t>
      </w:r>
      <w:r w:rsidRPr="00262910">
        <w:rPr>
          <w:lang w:val="fr-FR"/>
        </w:rPr>
        <w:t>de l</w:t>
      </w:r>
      <w:r>
        <w:rPr>
          <w:lang w:val="fr-FR"/>
        </w:rPr>
        <w:t>’</w:t>
      </w:r>
      <w:r w:rsidRPr="00262910">
        <w:rPr>
          <w:lang w:val="fr-FR"/>
        </w:rPr>
        <w:t xml:space="preserve">Inspection du travail, de la police, </w:t>
      </w:r>
      <w:r>
        <w:rPr>
          <w:lang w:val="fr-FR"/>
        </w:rPr>
        <w:t xml:space="preserve">de </w:t>
      </w:r>
      <w:r w:rsidRPr="00262910">
        <w:rPr>
          <w:lang w:val="fr-FR"/>
        </w:rPr>
        <w:t>l</w:t>
      </w:r>
      <w:r>
        <w:rPr>
          <w:lang w:val="fr-FR"/>
        </w:rPr>
        <w:t>’</w:t>
      </w:r>
      <w:r w:rsidRPr="00262910">
        <w:rPr>
          <w:lang w:val="fr-FR"/>
        </w:rPr>
        <w:t xml:space="preserve">Administration fiscale et </w:t>
      </w:r>
      <w:r>
        <w:rPr>
          <w:lang w:val="fr-FR"/>
        </w:rPr>
        <w:t xml:space="preserve">de </w:t>
      </w:r>
      <w:r w:rsidRPr="00262910">
        <w:rPr>
          <w:lang w:val="fr-FR"/>
        </w:rPr>
        <w:t>la Direction de l</w:t>
      </w:r>
      <w:r>
        <w:rPr>
          <w:lang w:val="fr-FR"/>
        </w:rPr>
        <w:t>’</w:t>
      </w:r>
      <w:r w:rsidRPr="00262910">
        <w:rPr>
          <w:lang w:val="fr-FR"/>
        </w:rPr>
        <w:t>immigration</w:t>
      </w:r>
      <w:r>
        <w:rPr>
          <w:lang w:val="fr-FR"/>
        </w:rPr>
        <w:t xml:space="preserve"> coopèrent dans leur cadre </w:t>
      </w:r>
      <w:r w:rsidRPr="00262910">
        <w:rPr>
          <w:lang w:val="fr-FR"/>
        </w:rPr>
        <w:t xml:space="preserve">pour fournir </w:t>
      </w:r>
      <w:r w:rsidRPr="00D01A05">
        <w:rPr>
          <w:lang w:val="fr-FR"/>
        </w:rPr>
        <w:t xml:space="preserve">des conseils </w:t>
      </w:r>
      <w:r>
        <w:rPr>
          <w:lang w:val="fr-FR"/>
        </w:rPr>
        <w:t>aux étrangers venus travailler en Norvège et assurer le bon traitement de leurs demandes</w:t>
      </w:r>
      <w:r w:rsidRPr="00262910">
        <w:rPr>
          <w:lang w:val="fr-FR"/>
        </w:rPr>
        <w:t>.</w:t>
      </w:r>
    </w:p>
    <w:p w:rsidR="001771B8" w:rsidRPr="00262910" w:rsidRDefault="001771B8" w:rsidP="001771B8">
      <w:pPr>
        <w:pStyle w:val="SingleTxtG"/>
        <w:rPr>
          <w:lang w:val="fr-FR"/>
        </w:rPr>
      </w:pPr>
      <w:r w:rsidRPr="00262910">
        <w:rPr>
          <w:lang w:val="fr-FR"/>
        </w:rPr>
        <w:t>174.</w:t>
      </w:r>
      <w:r w:rsidRPr="00262910">
        <w:rPr>
          <w:lang w:val="fr-FR"/>
        </w:rPr>
        <w:tab/>
        <w:t xml:space="preserve">En 2015, le Gouvernement norvégien </w:t>
      </w:r>
      <w:r>
        <w:rPr>
          <w:lang w:val="fr-FR"/>
        </w:rPr>
        <w:t>s’est doté d’</w:t>
      </w:r>
      <w:r w:rsidRPr="00262910">
        <w:rPr>
          <w:lang w:val="fr-FR"/>
        </w:rPr>
        <w:t xml:space="preserve">une stratégie de lutte contre les infractions </w:t>
      </w:r>
      <w:r>
        <w:rPr>
          <w:lang w:val="fr-FR"/>
        </w:rPr>
        <w:t xml:space="preserve">au droit du </w:t>
      </w:r>
      <w:r w:rsidRPr="00262910">
        <w:rPr>
          <w:lang w:val="fr-FR"/>
        </w:rPr>
        <w:t>travail</w:t>
      </w:r>
      <w:r>
        <w:rPr>
          <w:lang w:val="fr-FR"/>
        </w:rPr>
        <w:t>,</w:t>
      </w:r>
      <w:r w:rsidRPr="00262910">
        <w:rPr>
          <w:lang w:val="fr-FR"/>
        </w:rPr>
        <w:t xml:space="preserve"> qu</w:t>
      </w:r>
      <w:r>
        <w:rPr>
          <w:lang w:val="fr-FR"/>
        </w:rPr>
        <w:t xml:space="preserve">i a été </w:t>
      </w:r>
      <w:r w:rsidRPr="00262910">
        <w:rPr>
          <w:lang w:val="fr-FR"/>
        </w:rPr>
        <w:t>révisé</w:t>
      </w:r>
      <w:r>
        <w:rPr>
          <w:lang w:val="fr-FR"/>
        </w:rPr>
        <w:t>e</w:t>
      </w:r>
      <w:r w:rsidRPr="00262910">
        <w:rPr>
          <w:lang w:val="fr-FR"/>
        </w:rPr>
        <w:t xml:space="preserve"> en 2017. </w:t>
      </w:r>
      <w:r>
        <w:rPr>
          <w:lang w:val="fr-FR"/>
        </w:rPr>
        <w:t xml:space="preserve">Au début de l’année la stratégie a fait l’objet d’une troisième </w:t>
      </w:r>
      <w:r w:rsidRPr="00262910">
        <w:rPr>
          <w:lang w:val="fr-FR"/>
        </w:rPr>
        <w:t xml:space="preserve">révision, axée sur la prévention et la lutte contre les </w:t>
      </w:r>
      <w:r>
        <w:rPr>
          <w:lang w:val="fr-FR"/>
        </w:rPr>
        <w:t>infractions au droit du travail et les autres pratiques illicites dans le monde du travail</w:t>
      </w:r>
      <w:r w:rsidRPr="00262910">
        <w:rPr>
          <w:lang w:val="fr-FR"/>
        </w:rPr>
        <w:t>.</w:t>
      </w:r>
    </w:p>
    <w:p w:rsidR="001771B8" w:rsidRPr="00262910" w:rsidRDefault="001771B8" w:rsidP="001771B8">
      <w:pPr>
        <w:pStyle w:val="SingleTxtG"/>
        <w:rPr>
          <w:lang w:val="fr-FR"/>
        </w:rPr>
      </w:pPr>
      <w:r w:rsidRPr="00262910">
        <w:rPr>
          <w:lang w:val="fr-FR"/>
        </w:rPr>
        <w:t>175.</w:t>
      </w:r>
      <w:r w:rsidRPr="00262910">
        <w:rPr>
          <w:lang w:val="fr-FR"/>
        </w:rPr>
        <w:tab/>
      </w:r>
      <w:r w:rsidRPr="00F4344C">
        <w:rPr>
          <w:lang w:val="fr-FR"/>
        </w:rPr>
        <w:t>L</w:t>
      </w:r>
      <w:r>
        <w:rPr>
          <w:lang w:val="fr-FR"/>
        </w:rPr>
        <w:t>’</w:t>
      </w:r>
      <w:r w:rsidRPr="00F4344C">
        <w:rPr>
          <w:lang w:val="fr-FR"/>
        </w:rPr>
        <w:t>Inspection du</w:t>
      </w:r>
      <w:r w:rsidRPr="00262910">
        <w:rPr>
          <w:lang w:val="fr-FR"/>
        </w:rPr>
        <w:t xml:space="preserve"> travail </w:t>
      </w:r>
      <w:r>
        <w:rPr>
          <w:lang w:val="fr-FR"/>
        </w:rPr>
        <w:t xml:space="preserve">fournit des conseils aux employeurs et exerce l’autorité dont elle est investie à leur égard pour les amener à respecter </w:t>
      </w:r>
      <w:r w:rsidRPr="00262910">
        <w:rPr>
          <w:lang w:val="fr-FR"/>
        </w:rPr>
        <w:t xml:space="preserve">leurs obligations légales et </w:t>
      </w:r>
      <w:r>
        <w:rPr>
          <w:lang w:val="fr-FR"/>
        </w:rPr>
        <w:t xml:space="preserve">à garantir </w:t>
      </w:r>
      <w:r w:rsidRPr="002D6407">
        <w:rPr>
          <w:lang w:val="fr-FR"/>
        </w:rPr>
        <w:t xml:space="preserve">à leurs travailleurs </w:t>
      </w:r>
      <w:r>
        <w:rPr>
          <w:lang w:val="fr-FR"/>
        </w:rPr>
        <w:t xml:space="preserve">un cadre </w:t>
      </w:r>
      <w:r w:rsidRPr="00262910">
        <w:rPr>
          <w:lang w:val="fr-FR"/>
        </w:rPr>
        <w:t xml:space="preserve">de travail </w:t>
      </w:r>
      <w:r>
        <w:rPr>
          <w:lang w:val="fr-FR"/>
        </w:rPr>
        <w:t>totale</w:t>
      </w:r>
      <w:r w:rsidRPr="00262910">
        <w:rPr>
          <w:lang w:val="fr-FR"/>
        </w:rPr>
        <w:t xml:space="preserve">ment satisfaisant. </w:t>
      </w:r>
      <w:r>
        <w:rPr>
          <w:lang w:val="fr-FR"/>
        </w:rPr>
        <w:t xml:space="preserve">Elle exerce cette autorité avant tout en adressant aux employeurs des </w:t>
      </w:r>
      <w:r w:rsidRPr="00262910">
        <w:rPr>
          <w:lang w:val="fr-FR"/>
        </w:rPr>
        <w:t xml:space="preserve">décisions motivées </w:t>
      </w:r>
      <w:r>
        <w:rPr>
          <w:lang w:val="fr-FR"/>
        </w:rPr>
        <w:t xml:space="preserve">leur enjoignant de mettre </w:t>
      </w:r>
      <w:r w:rsidRPr="00262910">
        <w:rPr>
          <w:lang w:val="fr-FR"/>
        </w:rPr>
        <w:t xml:space="preserve">fin à une situation </w:t>
      </w:r>
      <w:r>
        <w:rPr>
          <w:lang w:val="fr-FR"/>
        </w:rPr>
        <w:t>intolérable</w:t>
      </w:r>
      <w:r w:rsidRPr="00262910">
        <w:rPr>
          <w:lang w:val="fr-FR"/>
        </w:rPr>
        <w:t xml:space="preserve">, soit en </w:t>
      </w:r>
      <w:r>
        <w:rPr>
          <w:lang w:val="fr-FR"/>
        </w:rPr>
        <w:t xml:space="preserve">prenant des mesures correctives soit </w:t>
      </w:r>
      <w:r w:rsidRPr="00262910">
        <w:rPr>
          <w:lang w:val="fr-FR"/>
        </w:rPr>
        <w:t xml:space="preserve">en </w:t>
      </w:r>
      <w:r>
        <w:rPr>
          <w:lang w:val="fr-FR"/>
        </w:rPr>
        <w:t>cessant l’</w:t>
      </w:r>
      <w:r w:rsidRPr="00262910">
        <w:rPr>
          <w:lang w:val="fr-FR"/>
        </w:rPr>
        <w:t xml:space="preserve">activité </w:t>
      </w:r>
      <w:r>
        <w:rPr>
          <w:lang w:val="fr-FR"/>
        </w:rPr>
        <w:t>en cause</w:t>
      </w:r>
      <w:r w:rsidRPr="00262910">
        <w:rPr>
          <w:lang w:val="fr-FR"/>
        </w:rPr>
        <w:t xml:space="preserve">. </w:t>
      </w:r>
      <w:r>
        <w:rPr>
          <w:lang w:val="fr-FR"/>
        </w:rPr>
        <w:t xml:space="preserve">Les effets de telles mesures </w:t>
      </w:r>
      <w:r w:rsidRPr="00D01A05">
        <w:rPr>
          <w:lang w:val="fr-FR"/>
        </w:rPr>
        <w:t>sont exposés plus haut.</w:t>
      </w:r>
      <w:r w:rsidRPr="00262910">
        <w:rPr>
          <w:lang w:val="fr-FR"/>
        </w:rPr>
        <w:t xml:space="preserve"> </w:t>
      </w:r>
    </w:p>
    <w:p w:rsidR="001771B8" w:rsidRPr="00262910" w:rsidRDefault="001771B8" w:rsidP="001771B8">
      <w:pPr>
        <w:pStyle w:val="SingleTxtG"/>
        <w:rPr>
          <w:lang w:val="fr-FR"/>
        </w:rPr>
      </w:pPr>
      <w:r w:rsidRPr="00262910">
        <w:rPr>
          <w:lang w:val="fr-FR"/>
        </w:rPr>
        <w:t>176.</w:t>
      </w:r>
      <w:r w:rsidRPr="00262910">
        <w:rPr>
          <w:lang w:val="fr-FR"/>
        </w:rPr>
        <w:tab/>
        <w:t>Ces dernières années, l</w:t>
      </w:r>
      <w:r>
        <w:rPr>
          <w:lang w:val="fr-FR"/>
        </w:rPr>
        <w:t>’</w:t>
      </w:r>
      <w:r w:rsidRPr="00262910">
        <w:rPr>
          <w:lang w:val="fr-FR"/>
        </w:rPr>
        <w:t>Inspection du travail s</w:t>
      </w:r>
      <w:r>
        <w:rPr>
          <w:lang w:val="fr-FR"/>
        </w:rPr>
        <w:t>’</w:t>
      </w:r>
      <w:r w:rsidRPr="00262910">
        <w:rPr>
          <w:lang w:val="fr-FR"/>
        </w:rPr>
        <w:t xml:space="preserve">est </w:t>
      </w:r>
      <w:r>
        <w:rPr>
          <w:lang w:val="fr-FR"/>
        </w:rPr>
        <w:t xml:space="preserve">concentrée </w:t>
      </w:r>
      <w:r w:rsidRPr="00262910">
        <w:rPr>
          <w:lang w:val="fr-FR"/>
        </w:rPr>
        <w:t>sur l</w:t>
      </w:r>
      <w:r>
        <w:rPr>
          <w:lang w:val="fr-FR"/>
        </w:rPr>
        <w:t xml:space="preserve">a question des </w:t>
      </w:r>
      <w:r w:rsidRPr="00262910">
        <w:rPr>
          <w:lang w:val="fr-FR"/>
        </w:rPr>
        <w:t xml:space="preserve">travaux dangereux </w:t>
      </w:r>
      <w:r>
        <w:rPr>
          <w:lang w:val="fr-FR"/>
        </w:rPr>
        <w:t xml:space="preserve">effectués </w:t>
      </w:r>
      <w:r w:rsidRPr="00262910">
        <w:rPr>
          <w:lang w:val="fr-FR"/>
        </w:rPr>
        <w:t xml:space="preserve">en hauteur. </w:t>
      </w:r>
      <w:r>
        <w:rPr>
          <w:lang w:val="fr-FR"/>
        </w:rPr>
        <w:t>E</w:t>
      </w:r>
      <w:r w:rsidRPr="00262910">
        <w:rPr>
          <w:lang w:val="fr-FR"/>
        </w:rPr>
        <w:t xml:space="preserve">lle </w:t>
      </w:r>
      <w:r>
        <w:rPr>
          <w:lang w:val="fr-FR"/>
        </w:rPr>
        <w:t xml:space="preserve">a mené une série de missions axées sur la supervision de ce type de travaux pour </w:t>
      </w:r>
      <w:r w:rsidRPr="002D6407">
        <w:rPr>
          <w:lang w:val="fr-FR"/>
        </w:rPr>
        <w:t>sensibiliser à l</w:t>
      </w:r>
      <w:r>
        <w:rPr>
          <w:lang w:val="fr-FR"/>
        </w:rPr>
        <w:t>’</w:t>
      </w:r>
      <w:r w:rsidRPr="002D6407">
        <w:rPr>
          <w:lang w:val="fr-FR"/>
        </w:rPr>
        <w:t>importance de la prévention des chute</w:t>
      </w:r>
      <w:r>
        <w:rPr>
          <w:lang w:val="fr-FR"/>
        </w:rPr>
        <w:t>s.</w:t>
      </w:r>
    </w:p>
    <w:p w:rsidR="001771B8" w:rsidRPr="00262910" w:rsidRDefault="001771B8" w:rsidP="001771B8">
      <w:pPr>
        <w:pStyle w:val="SingleTxtG"/>
        <w:rPr>
          <w:lang w:val="fr-FR"/>
        </w:rPr>
      </w:pPr>
      <w:r w:rsidRPr="00262910">
        <w:rPr>
          <w:lang w:val="fr-FR"/>
        </w:rPr>
        <w:t>177.</w:t>
      </w:r>
      <w:r w:rsidRPr="00262910">
        <w:rPr>
          <w:lang w:val="fr-FR"/>
        </w:rPr>
        <w:tab/>
      </w:r>
      <w:r>
        <w:rPr>
          <w:lang w:val="fr-FR"/>
        </w:rPr>
        <w:t xml:space="preserve">Des </w:t>
      </w:r>
      <w:r w:rsidRPr="00262910">
        <w:rPr>
          <w:lang w:val="fr-FR"/>
        </w:rPr>
        <w:t xml:space="preserve">modifications </w:t>
      </w:r>
      <w:r>
        <w:rPr>
          <w:lang w:val="fr-FR"/>
        </w:rPr>
        <w:t xml:space="preserve">majeures, </w:t>
      </w:r>
      <w:r w:rsidRPr="00262910">
        <w:rPr>
          <w:lang w:val="fr-FR"/>
        </w:rPr>
        <w:t>entrées en vigueur</w:t>
      </w:r>
      <w:r w:rsidRPr="00ED4D65">
        <w:rPr>
          <w:lang w:val="fr-FR"/>
        </w:rPr>
        <w:t xml:space="preserve"> </w:t>
      </w:r>
      <w:r>
        <w:rPr>
          <w:lang w:val="fr-FR"/>
        </w:rPr>
        <w:t>le 1</w:t>
      </w:r>
      <w:r w:rsidRPr="00ED4D65">
        <w:rPr>
          <w:vertAlign w:val="superscript"/>
          <w:lang w:val="fr-FR"/>
        </w:rPr>
        <w:t>er</w:t>
      </w:r>
      <w:r>
        <w:rPr>
          <w:lang w:val="fr-FR"/>
        </w:rPr>
        <w:t xml:space="preserve"> </w:t>
      </w:r>
      <w:r w:rsidRPr="00ED4D65">
        <w:rPr>
          <w:lang w:val="fr-FR"/>
        </w:rPr>
        <w:t>janvier 2016</w:t>
      </w:r>
      <w:r>
        <w:rPr>
          <w:lang w:val="fr-FR"/>
        </w:rPr>
        <w:t>, ont été apportées au</w:t>
      </w:r>
      <w:r w:rsidRPr="0088552A">
        <w:rPr>
          <w:lang w:val="fr-FR"/>
        </w:rPr>
        <w:t xml:space="preserve"> Règlement sur l</w:t>
      </w:r>
      <w:r>
        <w:rPr>
          <w:lang w:val="fr-FR"/>
        </w:rPr>
        <w:t>’</w:t>
      </w:r>
      <w:r w:rsidRPr="0088552A">
        <w:rPr>
          <w:lang w:val="fr-FR"/>
        </w:rPr>
        <w:t>exercice du travail</w:t>
      </w:r>
      <w:r>
        <w:rPr>
          <w:lang w:val="fr-FR"/>
        </w:rPr>
        <w:t xml:space="preserve"> ; elles concernent principalement </w:t>
      </w:r>
      <w:r w:rsidRPr="00262910">
        <w:rPr>
          <w:lang w:val="fr-FR"/>
        </w:rPr>
        <w:t>les</w:t>
      </w:r>
      <w:r>
        <w:rPr>
          <w:lang w:val="fr-FR"/>
        </w:rPr>
        <w:t xml:space="preserve"> prescriptions </w:t>
      </w:r>
      <w:r w:rsidRPr="00262910">
        <w:rPr>
          <w:lang w:val="fr-FR"/>
        </w:rPr>
        <w:t>relatives à l</w:t>
      </w:r>
      <w:r>
        <w:rPr>
          <w:lang w:val="fr-FR"/>
        </w:rPr>
        <w:t>’</w:t>
      </w:r>
      <w:r w:rsidRPr="00262910">
        <w:rPr>
          <w:lang w:val="fr-FR"/>
        </w:rPr>
        <w:t>évaluation des risques, la formation, l</w:t>
      </w:r>
      <w:r>
        <w:rPr>
          <w:lang w:val="fr-FR"/>
        </w:rPr>
        <w:t>’</w:t>
      </w:r>
      <w:r w:rsidRPr="00262910">
        <w:rPr>
          <w:lang w:val="fr-FR"/>
        </w:rPr>
        <w:t>ancrage et la fixation des échafaudages.</w:t>
      </w:r>
    </w:p>
    <w:p w:rsidR="001771B8" w:rsidRPr="00262910" w:rsidRDefault="001771B8" w:rsidP="001771B8">
      <w:pPr>
        <w:pStyle w:val="H1G"/>
        <w:rPr>
          <w:lang w:val="fr-FR"/>
        </w:rPr>
      </w:pPr>
      <w:r w:rsidRPr="00262910">
        <w:rPr>
          <w:lang w:val="fr-FR"/>
        </w:rPr>
        <w:tab/>
      </w:r>
      <w:r w:rsidRPr="00262910">
        <w:rPr>
          <w:lang w:val="fr-FR"/>
        </w:rPr>
        <w:tab/>
      </w:r>
      <w:r w:rsidRPr="0082222D">
        <w:rPr>
          <w:lang w:val="fr-FR"/>
        </w:rPr>
        <w:t>Réponse au paragraphe</w:t>
      </w:r>
      <w:r w:rsidRPr="00262910">
        <w:rPr>
          <w:lang w:val="fr-FR"/>
        </w:rPr>
        <w:t xml:space="preserve"> 23 de la liste de points</w:t>
      </w:r>
    </w:p>
    <w:p w:rsidR="001771B8" w:rsidRPr="00807F88" w:rsidRDefault="001771B8" w:rsidP="001771B8">
      <w:pPr>
        <w:pStyle w:val="SingleTxtG"/>
        <w:rPr>
          <w:lang w:val="fr-FR"/>
        </w:rPr>
      </w:pPr>
      <w:r w:rsidRPr="00807F88">
        <w:rPr>
          <w:lang w:val="fr-FR"/>
        </w:rPr>
        <w:t>178.</w:t>
      </w:r>
      <w:r w:rsidRPr="00807F88">
        <w:rPr>
          <w:lang w:val="fr-FR"/>
        </w:rPr>
        <w:tab/>
        <w:t>Les mesures proposées par le service de protection de l</w:t>
      </w:r>
      <w:r>
        <w:rPr>
          <w:lang w:val="fr-FR"/>
        </w:rPr>
        <w:t>’</w:t>
      </w:r>
      <w:r w:rsidRPr="00807F88">
        <w:rPr>
          <w:lang w:val="fr-FR"/>
        </w:rPr>
        <w:t>enfance sont dans leur grande majorité des mesures librement consenties d</w:t>
      </w:r>
      <w:r>
        <w:rPr>
          <w:lang w:val="fr-FR"/>
        </w:rPr>
        <w:t>’</w:t>
      </w:r>
      <w:r w:rsidRPr="00807F88">
        <w:rPr>
          <w:lang w:val="fr-FR"/>
        </w:rPr>
        <w:t>aide à domicile. Placer un enfant sous protection de remplacement sans le consentement des parents est toujours une mesure de dernier recours. Le seuil légal pour l</w:t>
      </w:r>
      <w:r>
        <w:rPr>
          <w:lang w:val="fr-FR"/>
        </w:rPr>
        <w:t xml:space="preserve">’émission </w:t>
      </w:r>
      <w:r w:rsidRPr="00807F88">
        <w:rPr>
          <w:lang w:val="fr-FR"/>
        </w:rPr>
        <w:t>d</w:t>
      </w:r>
      <w:r>
        <w:rPr>
          <w:lang w:val="fr-FR"/>
        </w:rPr>
        <w:t>’</w:t>
      </w:r>
      <w:r w:rsidRPr="00807F88">
        <w:rPr>
          <w:lang w:val="fr-FR"/>
        </w:rPr>
        <w:t>une ordonnance de prise en charge est que l</w:t>
      </w:r>
      <w:r>
        <w:rPr>
          <w:lang w:val="fr-FR"/>
        </w:rPr>
        <w:t>’</w:t>
      </w:r>
      <w:r w:rsidRPr="00807F88">
        <w:rPr>
          <w:lang w:val="fr-FR"/>
        </w:rPr>
        <w:t>enfant en cause soit victime de délaissement, de violence ou de maltraitance.</w:t>
      </w:r>
    </w:p>
    <w:p w:rsidR="001771B8" w:rsidRPr="00262910" w:rsidRDefault="001771B8" w:rsidP="001771B8">
      <w:pPr>
        <w:pStyle w:val="SingleTxtG"/>
        <w:rPr>
          <w:lang w:val="fr-FR"/>
        </w:rPr>
      </w:pPr>
      <w:r w:rsidRPr="00262910">
        <w:rPr>
          <w:lang w:val="fr-FR"/>
        </w:rPr>
        <w:t>179.</w:t>
      </w:r>
      <w:r w:rsidRPr="00262910">
        <w:rPr>
          <w:lang w:val="fr-FR"/>
        </w:rPr>
        <w:tab/>
      </w:r>
      <w:r w:rsidRPr="00807F88">
        <w:rPr>
          <w:lang w:val="fr-FR"/>
        </w:rPr>
        <w:t>Des travaux de recherche montrent que les enfants issus de familles défavorisées sur le plan socioéconomique sont surreprésentés</w:t>
      </w:r>
      <w:r w:rsidRPr="00262910">
        <w:rPr>
          <w:lang w:val="fr-FR"/>
        </w:rPr>
        <w:t xml:space="preserve"> dans les statistiques </w:t>
      </w:r>
      <w:r>
        <w:rPr>
          <w:lang w:val="fr-FR"/>
        </w:rPr>
        <w:t xml:space="preserve">relatives à </w:t>
      </w:r>
      <w:r w:rsidRPr="00262910">
        <w:rPr>
          <w:lang w:val="fr-FR"/>
        </w:rPr>
        <w:t>la protection de l</w:t>
      </w:r>
      <w:r>
        <w:rPr>
          <w:lang w:val="fr-FR"/>
        </w:rPr>
        <w:t>’</w:t>
      </w:r>
      <w:r w:rsidRPr="00262910">
        <w:rPr>
          <w:lang w:val="fr-FR"/>
        </w:rPr>
        <w:t xml:space="preserve">enfance. </w:t>
      </w:r>
      <w:r>
        <w:rPr>
          <w:lang w:val="fr-FR"/>
        </w:rPr>
        <w:t xml:space="preserve">Des éléments indiquent en outre que la </w:t>
      </w:r>
      <w:r w:rsidRPr="00262910">
        <w:rPr>
          <w:lang w:val="fr-FR"/>
        </w:rPr>
        <w:t>prévalence de certains facteurs de risque</w:t>
      </w:r>
      <w:r>
        <w:rPr>
          <w:lang w:val="fr-FR"/>
        </w:rPr>
        <w:t xml:space="preserve"> (comme </w:t>
      </w:r>
      <w:r w:rsidRPr="00263F79">
        <w:rPr>
          <w:lang w:val="fr-FR"/>
        </w:rPr>
        <w:t>le chômage, l</w:t>
      </w:r>
      <w:r>
        <w:rPr>
          <w:lang w:val="fr-FR"/>
        </w:rPr>
        <w:t>’</w:t>
      </w:r>
      <w:r w:rsidRPr="00263F79">
        <w:rPr>
          <w:lang w:val="fr-FR"/>
        </w:rPr>
        <w:t xml:space="preserve">abus de drogues et les problèmes </w:t>
      </w:r>
      <w:r>
        <w:rPr>
          <w:lang w:val="fr-FR"/>
        </w:rPr>
        <w:t xml:space="preserve">de </w:t>
      </w:r>
      <w:r w:rsidRPr="00263F79">
        <w:rPr>
          <w:lang w:val="fr-FR"/>
        </w:rPr>
        <w:t>santé</w:t>
      </w:r>
      <w:r>
        <w:rPr>
          <w:lang w:val="fr-FR"/>
        </w:rPr>
        <w:t>)</w:t>
      </w:r>
      <w:r w:rsidRPr="00263F79">
        <w:rPr>
          <w:lang w:val="fr-FR"/>
        </w:rPr>
        <w:t xml:space="preserve"> </w:t>
      </w:r>
      <w:r>
        <w:rPr>
          <w:lang w:val="fr-FR"/>
        </w:rPr>
        <w:t xml:space="preserve">est </w:t>
      </w:r>
      <w:r w:rsidRPr="00263F79">
        <w:rPr>
          <w:lang w:val="fr-FR"/>
        </w:rPr>
        <w:t xml:space="preserve">plus élevée </w:t>
      </w:r>
      <w:r>
        <w:rPr>
          <w:lang w:val="fr-FR"/>
        </w:rPr>
        <w:t xml:space="preserve">dans les </w:t>
      </w:r>
      <w:r w:rsidRPr="00262910">
        <w:rPr>
          <w:lang w:val="fr-FR"/>
        </w:rPr>
        <w:t xml:space="preserve">familles </w:t>
      </w:r>
      <w:r>
        <w:rPr>
          <w:lang w:val="fr-FR"/>
        </w:rPr>
        <w:t xml:space="preserve">avec lesquelles </w:t>
      </w:r>
      <w:r w:rsidRPr="00262910">
        <w:rPr>
          <w:lang w:val="fr-FR"/>
        </w:rPr>
        <w:t>les services de protection de l</w:t>
      </w:r>
      <w:r>
        <w:rPr>
          <w:lang w:val="fr-FR"/>
        </w:rPr>
        <w:t>’</w:t>
      </w:r>
      <w:r w:rsidRPr="00262910">
        <w:rPr>
          <w:lang w:val="fr-FR"/>
        </w:rPr>
        <w:t>enfance</w:t>
      </w:r>
      <w:r>
        <w:rPr>
          <w:lang w:val="fr-FR"/>
        </w:rPr>
        <w:t xml:space="preserve"> ont affaire</w:t>
      </w:r>
      <w:r w:rsidRPr="008648B2">
        <w:rPr>
          <w:rStyle w:val="Appelnotedebasdep"/>
        </w:rPr>
        <w:footnoteReference w:id="10"/>
      </w:r>
      <w:r w:rsidRPr="00262910">
        <w:rPr>
          <w:lang w:val="fr-FR"/>
        </w:rPr>
        <w:t xml:space="preserve">. </w:t>
      </w:r>
      <w:r>
        <w:rPr>
          <w:lang w:val="fr-FR"/>
        </w:rPr>
        <w:t>La situation n’est guère différente en matière</w:t>
      </w:r>
      <w:r w:rsidRPr="00D01A05">
        <w:rPr>
          <w:lang w:val="fr-FR"/>
        </w:rPr>
        <w:t xml:space="preserve"> </w:t>
      </w:r>
      <w:r>
        <w:rPr>
          <w:lang w:val="fr-FR"/>
        </w:rPr>
        <w:t>d’</w:t>
      </w:r>
      <w:r w:rsidRPr="00D01A05">
        <w:rPr>
          <w:lang w:val="fr-FR"/>
        </w:rPr>
        <w:t>injonctions judiciaires de soins (omsorgstiltak)</w:t>
      </w:r>
      <w:r>
        <w:rPr>
          <w:lang w:val="fr-FR"/>
        </w:rPr>
        <w:t xml:space="preserve"> qu’il s’agisse d’</w:t>
      </w:r>
      <w:r w:rsidRPr="00262910">
        <w:rPr>
          <w:lang w:val="fr-FR"/>
        </w:rPr>
        <w:t>enfants issus de l</w:t>
      </w:r>
      <w:r>
        <w:rPr>
          <w:lang w:val="fr-FR"/>
        </w:rPr>
        <w:t>’</w:t>
      </w:r>
      <w:r w:rsidRPr="00262910">
        <w:rPr>
          <w:lang w:val="fr-FR"/>
        </w:rPr>
        <w:t xml:space="preserve">immigration </w:t>
      </w:r>
      <w:r>
        <w:rPr>
          <w:lang w:val="fr-FR"/>
        </w:rPr>
        <w:t xml:space="preserve">ou du </w:t>
      </w:r>
      <w:r w:rsidRPr="00262910">
        <w:rPr>
          <w:lang w:val="fr-FR"/>
        </w:rPr>
        <w:t>reste de la population</w:t>
      </w:r>
      <w:r w:rsidRPr="008648B2">
        <w:rPr>
          <w:rStyle w:val="Appelnotedebasdep"/>
        </w:rPr>
        <w:footnoteReference w:id="11"/>
      </w:r>
      <w:r w:rsidRPr="00262910">
        <w:rPr>
          <w:lang w:val="fr-FR"/>
        </w:rPr>
        <w:t xml:space="preserve">. </w:t>
      </w:r>
    </w:p>
    <w:p w:rsidR="001771B8" w:rsidRPr="00262910" w:rsidRDefault="001771B8" w:rsidP="001771B8">
      <w:pPr>
        <w:pStyle w:val="SingleTxtG"/>
        <w:rPr>
          <w:lang w:val="fr-FR"/>
        </w:rPr>
      </w:pPr>
      <w:r w:rsidRPr="00262910">
        <w:rPr>
          <w:lang w:val="fr-FR"/>
        </w:rPr>
        <w:t>180.</w:t>
      </w:r>
      <w:r w:rsidRPr="00262910">
        <w:rPr>
          <w:lang w:val="fr-FR"/>
        </w:rPr>
        <w:tab/>
      </w:r>
      <w:r w:rsidRPr="002C580F">
        <w:rPr>
          <w:lang w:val="fr-FR"/>
        </w:rPr>
        <w:t>Des modifications</w:t>
      </w:r>
      <w:r w:rsidRPr="00713CFC">
        <w:rPr>
          <w:lang w:val="fr-FR"/>
        </w:rPr>
        <w:t xml:space="preserve"> réce</w:t>
      </w:r>
      <w:r>
        <w:rPr>
          <w:lang w:val="fr-FR"/>
        </w:rPr>
        <w:t xml:space="preserve">ntes de </w:t>
      </w:r>
      <w:r w:rsidRPr="00262910">
        <w:rPr>
          <w:lang w:val="fr-FR"/>
        </w:rPr>
        <w:t>la loi sur la protection de l</w:t>
      </w:r>
      <w:r>
        <w:rPr>
          <w:lang w:val="fr-FR"/>
        </w:rPr>
        <w:t>’</w:t>
      </w:r>
      <w:r w:rsidRPr="00262910">
        <w:rPr>
          <w:lang w:val="fr-FR"/>
        </w:rPr>
        <w:t>enfance renforcent la participation et l</w:t>
      </w:r>
      <w:r>
        <w:rPr>
          <w:lang w:val="fr-FR"/>
        </w:rPr>
        <w:t>’</w:t>
      </w:r>
      <w:r w:rsidRPr="00262910">
        <w:rPr>
          <w:lang w:val="fr-FR"/>
        </w:rPr>
        <w:t>implication des enfants et des parents dans les affaires de protection de l</w:t>
      </w:r>
      <w:r>
        <w:rPr>
          <w:lang w:val="fr-FR"/>
        </w:rPr>
        <w:t>’</w:t>
      </w:r>
      <w:r w:rsidRPr="00262910">
        <w:rPr>
          <w:lang w:val="fr-FR"/>
        </w:rPr>
        <w:t>enfance et améliorent la protection juridique des enfants et de leurs parents</w:t>
      </w:r>
      <w:r w:rsidRPr="008648B2">
        <w:rPr>
          <w:rStyle w:val="Appelnotedebasdep"/>
        </w:rPr>
        <w:footnoteReference w:id="12"/>
      </w:r>
      <w:r w:rsidRPr="00262910">
        <w:rPr>
          <w:lang w:val="fr-FR"/>
        </w:rPr>
        <w:t xml:space="preserve">. </w:t>
      </w:r>
      <w:r w:rsidRPr="00713CFC">
        <w:rPr>
          <w:lang w:val="fr-FR"/>
        </w:rPr>
        <w:t>Les enfants ont</w:t>
      </w:r>
      <w:r w:rsidRPr="00262910">
        <w:rPr>
          <w:lang w:val="fr-FR"/>
        </w:rPr>
        <w:t xml:space="preserve"> droit à des mesures de la part des services de protection de l</w:t>
      </w:r>
      <w:r>
        <w:rPr>
          <w:lang w:val="fr-FR"/>
        </w:rPr>
        <w:t>’</w:t>
      </w:r>
      <w:r w:rsidRPr="00262910">
        <w:rPr>
          <w:lang w:val="fr-FR"/>
        </w:rPr>
        <w:t>enfance</w:t>
      </w:r>
      <w:r>
        <w:rPr>
          <w:lang w:val="fr-FR"/>
        </w:rPr>
        <w:t xml:space="preserve">, ainsi que le </w:t>
      </w:r>
      <w:r w:rsidRPr="00262910">
        <w:rPr>
          <w:lang w:val="fr-FR"/>
        </w:rPr>
        <w:t>droit d</w:t>
      </w:r>
      <w:r>
        <w:rPr>
          <w:lang w:val="fr-FR"/>
        </w:rPr>
        <w:t>’</w:t>
      </w:r>
      <w:r w:rsidRPr="00262910">
        <w:rPr>
          <w:lang w:val="fr-FR"/>
        </w:rPr>
        <w:t>être entendus dans les affaires de protection de l</w:t>
      </w:r>
      <w:r>
        <w:rPr>
          <w:lang w:val="fr-FR"/>
        </w:rPr>
        <w:t>’</w:t>
      </w:r>
      <w:r w:rsidRPr="00262910">
        <w:rPr>
          <w:lang w:val="fr-FR"/>
        </w:rPr>
        <w:t xml:space="preserve">enfance. Des modifications ont </w:t>
      </w:r>
      <w:r>
        <w:rPr>
          <w:lang w:val="fr-FR"/>
        </w:rPr>
        <w:t xml:space="preserve">de plus </w:t>
      </w:r>
      <w:r w:rsidRPr="00262910">
        <w:rPr>
          <w:lang w:val="fr-FR"/>
        </w:rPr>
        <w:t xml:space="preserve">été apportées </w:t>
      </w:r>
      <w:r>
        <w:rPr>
          <w:lang w:val="fr-FR"/>
        </w:rPr>
        <w:t xml:space="preserve">en vue de </w:t>
      </w:r>
      <w:r w:rsidRPr="00262910">
        <w:rPr>
          <w:lang w:val="fr-FR"/>
        </w:rPr>
        <w:t>faciliter la recherche d</w:t>
      </w:r>
      <w:r>
        <w:rPr>
          <w:lang w:val="fr-FR"/>
        </w:rPr>
        <w:t xml:space="preserve">’un ménage d’accueil dans l’entourage familial ou parmi les proches de l’enfant en cause </w:t>
      </w:r>
      <w:r w:rsidRPr="00262910">
        <w:rPr>
          <w:lang w:val="fr-FR"/>
        </w:rPr>
        <w:t xml:space="preserve">et </w:t>
      </w:r>
      <w:r>
        <w:rPr>
          <w:lang w:val="fr-FR"/>
        </w:rPr>
        <w:t>d’</w:t>
      </w:r>
      <w:r w:rsidRPr="00262910">
        <w:rPr>
          <w:lang w:val="fr-FR"/>
        </w:rPr>
        <w:t>améliorer le suivi des enfants qui font l</w:t>
      </w:r>
      <w:r>
        <w:rPr>
          <w:lang w:val="fr-FR"/>
        </w:rPr>
        <w:t>’</w:t>
      </w:r>
      <w:r w:rsidRPr="00262910">
        <w:rPr>
          <w:lang w:val="fr-FR"/>
        </w:rPr>
        <w:t xml:space="preserve">objet de mesures de protection </w:t>
      </w:r>
      <w:r w:rsidRPr="002165E9">
        <w:rPr>
          <w:lang w:val="fr-FR"/>
        </w:rPr>
        <w:t>et de</w:t>
      </w:r>
      <w:r>
        <w:rPr>
          <w:lang w:val="fr-FR"/>
        </w:rPr>
        <w:t xml:space="preserve"> leurs </w:t>
      </w:r>
      <w:r w:rsidRPr="002165E9">
        <w:rPr>
          <w:lang w:val="fr-FR"/>
        </w:rPr>
        <w:t>parents</w:t>
      </w:r>
      <w:r w:rsidRPr="00262910">
        <w:rPr>
          <w:lang w:val="fr-FR"/>
        </w:rPr>
        <w:t xml:space="preserve">. Une stratégie de </w:t>
      </w:r>
      <w:r>
        <w:rPr>
          <w:lang w:val="fr-FR"/>
        </w:rPr>
        <w:t xml:space="preserve">renforcement des aptitudes des agents des </w:t>
      </w:r>
      <w:r w:rsidRPr="00262910">
        <w:rPr>
          <w:lang w:val="fr-FR"/>
        </w:rPr>
        <w:t>services municipaux de protection de l</w:t>
      </w:r>
      <w:r>
        <w:rPr>
          <w:lang w:val="fr-FR"/>
        </w:rPr>
        <w:t>’</w:t>
      </w:r>
      <w:r w:rsidRPr="00262910">
        <w:rPr>
          <w:lang w:val="fr-FR"/>
        </w:rPr>
        <w:t xml:space="preserve">enfance (2018-2024) </w:t>
      </w:r>
      <w:r>
        <w:rPr>
          <w:lang w:val="fr-FR"/>
        </w:rPr>
        <w:t>est en cours de m</w:t>
      </w:r>
      <w:r w:rsidRPr="00262910">
        <w:rPr>
          <w:lang w:val="fr-FR"/>
        </w:rPr>
        <w:t xml:space="preserve">ise en œuvre. </w:t>
      </w:r>
      <w:r>
        <w:rPr>
          <w:lang w:val="fr-FR"/>
        </w:rPr>
        <w:t xml:space="preserve">Il s’agit </w:t>
      </w:r>
      <w:r w:rsidRPr="00262910">
        <w:rPr>
          <w:lang w:val="fr-FR"/>
        </w:rPr>
        <w:t>d</w:t>
      </w:r>
      <w:r>
        <w:rPr>
          <w:lang w:val="fr-FR"/>
        </w:rPr>
        <w:t>’</w:t>
      </w:r>
      <w:r w:rsidRPr="00262910">
        <w:rPr>
          <w:lang w:val="fr-FR"/>
        </w:rPr>
        <w:t>offrir aux enfants une assistance</w:t>
      </w:r>
      <w:r w:rsidRPr="002165E9">
        <w:rPr>
          <w:lang w:val="fr-FR"/>
        </w:rPr>
        <w:t xml:space="preserve"> de meilleure qualité</w:t>
      </w:r>
      <w:r w:rsidRPr="00262910">
        <w:rPr>
          <w:lang w:val="fr-FR"/>
        </w:rPr>
        <w:t xml:space="preserve"> </w:t>
      </w:r>
      <w:r>
        <w:rPr>
          <w:lang w:val="fr-FR"/>
        </w:rPr>
        <w:t xml:space="preserve">à un stade </w:t>
      </w:r>
      <w:r w:rsidRPr="00262910">
        <w:rPr>
          <w:lang w:val="fr-FR"/>
        </w:rPr>
        <w:t>plus précoce</w:t>
      </w:r>
      <w:r>
        <w:rPr>
          <w:lang w:val="fr-FR"/>
        </w:rPr>
        <w:t xml:space="preserve"> et </w:t>
      </w:r>
      <w:r w:rsidRPr="00262910">
        <w:rPr>
          <w:lang w:val="fr-FR"/>
        </w:rPr>
        <w:t xml:space="preserve">de renforcer les connaissances des </w:t>
      </w:r>
      <w:r>
        <w:rPr>
          <w:lang w:val="fr-FR"/>
        </w:rPr>
        <w:t xml:space="preserve">agents relatives aux modalités de protection </w:t>
      </w:r>
      <w:r w:rsidRPr="00262910">
        <w:rPr>
          <w:lang w:val="fr-FR"/>
        </w:rPr>
        <w:t>et de faciliter la participation des enfants et des parents.</w:t>
      </w:r>
    </w:p>
    <w:p w:rsidR="001771B8" w:rsidRPr="00262910" w:rsidRDefault="001771B8" w:rsidP="001771B8">
      <w:pPr>
        <w:pStyle w:val="SingleTxtG"/>
        <w:rPr>
          <w:lang w:val="fr-FR"/>
        </w:rPr>
      </w:pPr>
      <w:r w:rsidRPr="00262910">
        <w:rPr>
          <w:lang w:val="fr-FR"/>
        </w:rPr>
        <w:t>181.</w:t>
      </w:r>
      <w:r w:rsidRPr="00262910">
        <w:rPr>
          <w:lang w:val="fr-FR"/>
        </w:rPr>
        <w:tab/>
      </w:r>
      <w:r w:rsidRPr="00ED481B">
        <w:rPr>
          <w:lang w:val="fr-FR"/>
        </w:rPr>
        <w:t>La supervision</w:t>
      </w:r>
      <w:r>
        <w:rPr>
          <w:lang w:val="fr-FR"/>
        </w:rPr>
        <w:t xml:space="preserve"> des </w:t>
      </w:r>
      <w:r w:rsidRPr="00216188">
        <w:rPr>
          <w:lang w:val="fr-FR"/>
        </w:rPr>
        <w:t>familles d</w:t>
      </w:r>
      <w:r>
        <w:rPr>
          <w:lang w:val="fr-FR"/>
        </w:rPr>
        <w:t>’</w:t>
      </w:r>
      <w:r w:rsidRPr="00216188">
        <w:rPr>
          <w:lang w:val="fr-FR"/>
        </w:rPr>
        <w:t>accueil</w:t>
      </w:r>
      <w:r>
        <w:rPr>
          <w:lang w:val="fr-FR"/>
        </w:rPr>
        <w:t xml:space="preserve"> est de la responsabilité des </w:t>
      </w:r>
      <w:r w:rsidRPr="00216188">
        <w:rPr>
          <w:lang w:val="fr-FR"/>
        </w:rPr>
        <w:t>services</w:t>
      </w:r>
      <w:r w:rsidRPr="00262910">
        <w:rPr>
          <w:lang w:val="fr-FR"/>
        </w:rPr>
        <w:t xml:space="preserve"> municipaux de protection de l</w:t>
      </w:r>
      <w:r>
        <w:rPr>
          <w:lang w:val="fr-FR"/>
        </w:rPr>
        <w:t>’</w:t>
      </w:r>
      <w:r w:rsidRPr="00262910">
        <w:rPr>
          <w:lang w:val="fr-FR"/>
        </w:rPr>
        <w:t xml:space="preserve">enfance. </w:t>
      </w:r>
      <w:r>
        <w:rPr>
          <w:lang w:val="fr-FR"/>
        </w:rPr>
        <w:t>D</w:t>
      </w:r>
      <w:r w:rsidRPr="00262910">
        <w:rPr>
          <w:lang w:val="fr-FR"/>
        </w:rPr>
        <w:t>es modifications</w:t>
      </w:r>
      <w:r>
        <w:rPr>
          <w:lang w:val="fr-FR"/>
        </w:rPr>
        <w:t>,</w:t>
      </w:r>
      <w:r w:rsidRPr="00262910">
        <w:rPr>
          <w:lang w:val="fr-FR"/>
        </w:rPr>
        <w:t xml:space="preserve"> </w:t>
      </w:r>
      <w:r w:rsidRPr="00216188">
        <w:rPr>
          <w:lang w:val="fr-FR"/>
        </w:rPr>
        <w:t>entrées en vigueur en 2014</w:t>
      </w:r>
      <w:r>
        <w:rPr>
          <w:lang w:val="fr-FR"/>
        </w:rPr>
        <w:t>, ont été</w:t>
      </w:r>
      <w:r w:rsidRPr="00216188">
        <w:rPr>
          <w:lang w:val="fr-FR"/>
        </w:rPr>
        <w:t xml:space="preserve"> </w:t>
      </w:r>
      <w:r w:rsidRPr="00262910">
        <w:rPr>
          <w:lang w:val="fr-FR"/>
        </w:rPr>
        <w:t>apportées à la loi sur la protection de l</w:t>
      </w:r>
      <w:r>
        <w:rPr>
          <w:lang w:val="fr-FR"/>
        </w:rPr>
        <w:t>’</w:t>
      </w:r>
      <w:r w:rsidRPr="00262910">
        <w:rPr>
          <w:lang w:val="fr-FR"/>
        </w:rPr>
        <w:t xml:space="preserve">enfance </w:t>
      </w:r>
      <w:r>
        <w:rPr>
          <w:lang w:val="fr-FR"/>
        </w:rPr>
        <w:t xml:space="preserve">en vue </w:t>
      </w:r>
      <w:r w:rsidRPr="00216188">
        <w:rPr>
          <w:lang w:val="fr-FR"/>
        </w:rPr>
        <w:t>d</w:t>
      </w:r>
      <w:r>
        <w:rPr>
          <w:lang w:val="fr-FR"/>
        </w:rPr>
        <w:t>’</w:t>
      </w:r>
      <w:r w:rsidRPr="00216188">
        <w:rPr>
          <w:lang w:val="fr-FR"/>
        </w:rPr>
        <w:t xml:space="preserve">améliorer la qualité de </w:t>
      </w:r>
      <w:r>
        <w:rPr>
          <w:lang w:val="fr-FR"/>
        </w:rPr>
        <w:t>cette supervision</w:t>
      </w:r>
      <w:r w:rsidRPr="00262910">
        <w:rPr>
          <w:lang w:val="fr-FR"/>
        </w:rPr>
        <w:t>. Le gouverneur d</w:t>
      </w:r>
      <w:r>
        <w:rPr>
          <w:lang w:val="fr-FR"/>
        </w:rPr>
        <w:t xml:space="preserve">e province </w:t>
      </w:r>
      <w:r w:rsidRPr="00262910">
        <w:rPr>
          <w:lang w:val="fr-FR"/>
        </w:rPr>
        <w:t xml:space="preserve">est </w:t>
      </w:r>
      <w:r>
        <w:rPr>
          <w:lang w:val="fr-FR"/>
        </w:rPr>
        <w:t>chargé de contrôler l</w:t>
      </w:r>
      <w:r w:rsidRPr="00262910">
        <w:rPr>
          <w:lang w:val="fr-FR"/>
        </w:rPr>
        <w:t>es institutions de protection de l</w:t>
      </w:r>
      <w:r>
        <w:rPr>
          <w:lang w:val="fr-FR"/>
        </w:rPr>
        <w:t>’</w:t>
      </w:r>
      <w:r w:rsidRPr="00262910">
        <w:rPr>
          <w:lang w:val="fr-FR"/>
        </w:rPr>
        <w:t xml:space="preserve">enfance. </w:t>
      </w:r>
      <w:r>
        <w:rPr>
          <w:lang w:val="fr-FR"/>
        </w:rPr>
        <w:t>Il est procédé à un contrôle de ces institutions de deux à q</w:t>
      </w:r>
      <w:r w:rsidRPr="00262910">
        <w:rPr>
          <w:lang w:val="fr-FR"/>
        </w:rPr>
        <w:t xml:space="preserve">uatre fois par an, </w:t>
      </w:r>
      <w:r>
        <w:rPr>
          <w:lang w:val="fr-FR"/>
        </w:rPr>
        <w:t xml:space="preserve">en fonction du </w:t>
      </w:r>
      <w:r w:rsidRPr="00262910">
        <w:rPr>
          <w:lang w:val="fr-FR"/>
        </w:rPr>
        <w:t>règlement de l</w:t>
      </w:r>
      <w:r>
        <w:rPr>
          <w:lang w:val="fr-FR"/>
        </w:rPr>
        <w:t>’institution concernée</w:t>
      </w:r>
      <w:r w:rsidRPr="00262910">
        <w:rPr>
          <w:lang w:val="fr-FR"/>
        </w:rPr>
        <w:t xml:space="preserve">. La moitié des inspections doivent être inopinées. </w:t>
      </w:r>
      <w:r>
        <w:rPr>
          <w:lang w:val="fr-FR"/>
        </w:rPr>
        <w:t xml:space="preserve">Ce contrôle a pour objet de </w:t>
      </w:r>
      <w:r w:rsidRPr="00262910">
        <w:rPr>
          <w:lang w:val="fr-FR"/>
        </w:rPr>
        <w:t>s</w:t>
      </w:r>
      <w:r>
        <w:rPr>
          <w:lang w:val="fr-FR"/>
        </w:rPr>
        <w:t>’</w:t>
      </w:r>
      <w:r w:rsidRPr="00262910">
        <w:rPr>
          <w:lang w:val="fr-FR"/>
        </w:rPr>
        <w:t>assurer que l</w:t>
      </w:r>
      <w:r>
        <w:rPr>
          <w:lang w:val="fr-FR"/>
        </w:rPr>
        <w:t>’</w:t>
      </w:r>
      <w:r w:rsidRPr="00262910">
        <w:rPr>
          <w:lang w:val="fr-FR"/>
        </w:rPr>
        <w:t xml:space="preserve">institution est bien gérée et que les enfants qui y résident </w:t>
      </w:r>
      <w:r>
        <w:rPr>
          <w:lang w:val="fr-FR"/>
        </w:rPr>
        <w:t xml:space="preserve">bénéficient de soins et d’un traitement </w:t>
      </w:r>
      <w:r w:rsidRPr="00262910">
        <w:rPr>
          <w:lang w:val="fr-FR"/>
        </w:rPr>
        <w:t>appropriés.</w:t>
      </w:r>
    </w:p>
    <w:p w:rsidR="001771B8" w:rsidRPr="00262910" w:rsidRDefault="001771B8" w:rsidP="001771B8">
      <w:pPr>
        <w:pStyle w:val="SingleTxtG"/>
        <w:rPr>
          <w:lang w:val="fr-FR"/>
        </w:rPr>
      </w:pPr>
      <w:r w:rsidRPr="00262910">
        <w:rPr>
          <w:lang w:val="fr-FR"/>
        </w:rPr>
        <w:t>182.</w:t>
      </w:r>
      <w:r w:rsidRPr="00262910">
        <w:rPr>
          <w:lang w:val="fr-FR"/>
        </w:rPr>
        <w:tab/>
      </w:r>
      <w:r w:rsidRPr="00B64BE9">
        <w:rPr>
          <w:lang w:val="fr-FR"/>
        </w:rPr>
        <w:t xml:space="preserve">Les pouvoirs publics ont </w:t>
      </w:r>
      <w:r w:rsidRPr="00262910">
        <w:rPr>
          <w:lang w:val="fr-FR"/>
        </w:rPr>
        <w:t>pris des mesures pour promouvoir des solutions amiables entre les parents en conflit</w:t>
      </w:r>
      <w:r>
        <w:rPr>
          <w:lang w:val="fr-FR"/>
        </w:rPr>
        <w:t xml:space="preserve"> en vue de préserver </w:t>
      </w:r>
      <w:r w:rsidRPr="00262910">
        <w:rPr>
          <w:lang w:val="fr-FR"/>
        </w:rPr>
        <w:t>l</w:t>
      </w:r>
      <w:r>
        <w:rPr>
          <w:lang w:val="fr-FR"/>
        </w:rPr>
        <w:t>’</w:t>
      </w:r>
      <w:r w:rsidRPr="00262910">
        <w:rPr>
          <w:lang w:val="fr-FR"/>
        </w:rPr>
        <w:t>intérêt supérieur de l</w:t>
      </w:r>
      <w:r>
        <w:rPr>
          <w:lang w:val="fr-FR"/>
        </w:rPr>
        <w:t>’</w:t>
      </w:r>
      <w:r w:rsidRPr="00262910">
        <w:rPr>
          <w:lang w:val="fr-FR"/>
        </w:rPr>
        <w:t>enfant et d</w:t>
      </w:r>
      <w:r>
        <w:rPr>
          <w:lang w:val="fr-FR"/>
        </w:rPr>
        <w:t>’</w:t>
      </w:r>
      <w:r w:rsidRPr="00262910">
        <w:rPr>
          <w:lang w:val="fr-FR"/>
        </w:rPr>
        <w:t xml:space="preserve">assurer le contact </w:t>
      </w:r>
      <w:r>
        <w:rPr>
          <w:lang w:val="fr-FR"/>
        </w:rPr>
        <w:t xml:space="preserve">entre l’enfant et ses </w:t>
      </w:r>
      <w:r w:rsidRPr="00262910">
        <w:rPr>
          <w:lang w:val="fr-FR"/>
        </w:rPr>
        <w:t>deux parents, qu</w:t>
      </w:r>
      <w:r>
        <w:rPr>
          <w:lang w:val="fr-FR"/>
        </w:rPr>
        <w:t xml:space="preserve">i sont </w:t>
      </w:r>
      <w:r w:rsidRPr="00262910">
        <w:rPr>
          <w:lang w:val="fr-FR"/>
        </w:rPr>
        <w:t>considér</w:t>
      </w:r>
      <w:r>
        <w:rPr>
          <w:lang w:val="fr-FR"/>
        </w:rPr>
        <w:t xml:space="preserve">és </w:t>
      </w:r>
      <w:r w:rsidRPr="00262910">
        <w:rPr>
          <w:lang w:val="fr-FR"/>
        </w:rPr>
        <w:t xml:space="preserve">comme égaux. La médiation est obligatoire pour les parents qui </w:t>
      </w:r>
      <w:r>
        <w:rPr>
          <w:lang w:val="fr-FR"/>
        </w:rPr>
        <w:t>se séparent</w:t>
      </w:r>
      <w:r w:rsidRPr="00262910">
        <w:rPr>
          <w:lang w:val="fr-FR"/>
        </w:rPr>
        <w:t xml:space="preserve"> et </w:t>
      </w:r>
      <w:r>
        <w:rPr>
          <w:lang w:val="fr-FR"/>
        </w:rPr>
        <w:t xml:space="preserve">le </w:t>
      </w:r>
      <w:r w:rsidRPr="00262910">
        <w:rPr>
          <w:lang w:val="fr-FR"/>
        </w:rPr>
        <w:t>nombre d</w:t>
      </w:r>
      <w:r>
        <w:rPr>
          <w:lang w:val="fr-FR"/>
        </w:rPr>
        <w:t>’</w:t>
      </w:r>
      <w:r w:rsidRPr="00262910">
        <w:rPr>
          <w:lang w:val="fr-FR"/>
        </w:rPr>
        <w:t>enfants entendus</w:t>
      </w:r>
      <w:r>
        <w:rPr>
          <w:lang w:val="fr-FR"/>
        </w:rPr>
        <w:t xml:space="preserve"> dans ce type d’affaires va en s’accroissant</w:t>
      </w:r>
      <w:r w:rsidRPr="00262910">
        <w:rPr>
          <w:lang w:val="fr-FR"/>
        </w:rPr>
        <w:t xml:space="preserve">. La médiation est </w:t>
      </w:r>
      <w:r>
        <w:rPr>
          <w:lang w:val="fr-FR"/>
        </w:rPr>
        <w:t xml:space="preserve">aussi </w:t>
      </w:r>
      <w:r w:rsidRPr="00262910">
        <w:rPr>
          <w:lang w:val="fr-FR"/>
        </w:rPr>
        <w:t xml:space="preserve">obligatoire pour les parents qui souhaitent </w:t>
      </w:r>
      <w:r>
        <w:rPr>
          <w:lang w:val="fr-FR"/>
        </w:rPr>
        <w:t xml:space="preserve">saisir la justice </w:t>
      </w:r>
      <w:r w:rsidRPr="00262910">
        <w:rPr>
          <w:lang w:val="fr-FR"/>
        </w:rPr>
        <w:t>et le juge chargé d</w:t>
      </w:r>
      <w:r>
        <w:rPr>
          <w:lang w:val="fr-FR"/>
        </w:rPr>
        <w:t xml:space="preserve">’un </w:t>
      </w:r>
      <w:r w:rsidRPr="00262910">
        <w:rPr>
          <w:lang w:val="fr-FR"/>
        </w:rPr>
        <w:t xml:space="preserve">litige parental a </w:t>
      </w:r>
      <w:r>
        <w:rPr>
          <w:lang w:val="fr-FR"/>
        </w:rPr>
        <w:t xml:space="preserve">compétence pour </w:t>
      </w:r>
      <w:r w:rsidRPr="00262910">
        <w:rPr>
          <w:lang w:val="fr-FR"/>
        </w:rPr>
        <w:t>renvoyer l</w:t>
      </w:r>
      <w:r>
        <w:rPr>
          <w:lang w:val="fr-FR"/>
        </w:rPr>
        <w:t>’</w:t>
      </w:r>
      <w:r w:rsidRPr="00262910">
        <w:rPr>
          <w:lang w:val="fr-FR"/>
        </w:rPr>
        <w:t xml:space="preserve">affaire au Service </w:t>
      </w:r>
      <w:r>
        <w:rPr>
          <w:lang w:val="fr-FR"/>
        </w:rPr>
        <w:t xml:space="preserve">de conseil aux familles en vue d’une </w:t>
      </w:r>
      <w:r w:rsidRPr="00262910">
        <w:rPr>
          <w:lang w:val="fr-FR"/>
        </w:rPr>
        <w:t>médiation plus poussée.</w:t>
      </w:r>
    </w:p>
    <w:p w:rsidR="001771B8" w:rsidRPr="00262910" w:rsidRDefault="001771B8" w:rsidP="001771B8">
      <w:pPr>
        <w:pStyle w:val="H1G"/>
        <w:rPr>
          <w:lang w:val="fr-FR"/>
        </w:rPr>
      </w:pPr>
      <w:r w:rsidRPr="00262910">
        <w:rPr>
          <w:lang w:val="fr-FR"/>
        </w:rPr>
        <w:tab/>
      </w:r>
      <w:r w:rsidRPr="00262910">
        <w:rPr>
          <w:lang w:val="fr-FR"/>
        </w:rPr>
        <w:tab/>
      </w:r>
      <w:r w:rsidRPr="001B5A77">
        <w:rPr>
          <w:lang w:val="fr-FR"/>
        </w:rPr>
        <w:t>Réponse au</w:t>
      </w:r>
      <w:r w:rsidRPr="00D464E8">
        <w:rPr>
          <w:lang w:val="fr-FR"/>
        </w:rPr>
        <w:t xml:space="preserve"> paragraphe</w:t>
      </w:r>
      <w:r w:rsidRPr="00262910">
        <w:rPr>
          <w:lang w:val="fr-FR"/>
        </w:rPr>
        <w:t xml:space="preserve"> 24 a) de la liste de points</w:t>
      </w:r>
    </w:p>
    <w:p w:rsidR="001771B8" w:rsidRPr="00262910" w:rsidRDefault="001771B8" w:rsidP="001771B8">
      <w:pPr>
        <w:pStyle w:val="SingleTxtG"/>
        <w:rPr>
          <w:lang w:val="fr-FR"/>
        </w:rPr>
      </w:pPr>
      <w:r w:rsidRPr="00262910">
        <w:rPr>
          <w:lang w:val="fr-FR"/>
        </w:rPr>
        <w:t>183.</w:t>
      </w:r>
      <w:r w:rsidRPr="00262910">
        <w:rPr>
          <w:lang w:val="fr-FR"/>
        </w:rPr>
        <w:tab/>
        <w:t>La définition d</w:t>
      </w:r>
      <w:r>
        <w:rPr>
          <w:lang w:val="fr-FR"/>
        </w:rPr>
        <w:t xml:space="preserve">e l’agression sexuelle inscrite </w:t>
      </w:r>
      <w:r w:rsidRPr="00262910">
        <w:rPr>
          <w:lang w:val="fr-FR"/>
        </w:rPr>
        <w:t xml:space="preserve">dans le Code pénal norvégien </w:t>
      </w:r>
      <w:r>
        <w:rPr>
          <w:lang w:val="fr-FR"/>
        </w:rPr>
        <w:t xml:space="preserve">vise les </w:t>
      </w:r>
      <w:r w:rsidRPr="00262910">
        <w:rPr>
          <w:lang w:val="fr-FR"/>
        </w:rPr>
        <w:t xml:space="preserve">relations sexuelles sans consentement. </w:t>
      </w:r>
      <w:r>
        <w:rPr>
          <w:lang w:val="fr-FR"/>
        </w:rPr>
        <w:t xml:space="preserve">Le but est de faire respecter </w:t>
      </w:r>
      <w:r w:rsidRPr="00262910">
        <w:rPr>
          <w:lang w:val="fr-FR"/>
        </w:rPr>
        <w:t>l</w:t>
      </w:r>
      <w:r>
        <w:rPr>
          <w:lang w:val="fr-FR"/>
        </w:rPr>
        <w:t>’</w:t>
      </w:r>
      <w:r w:rsidRPr="00262910">
        <w:rPr>
          <w:lang w:val="fr-FR"/>
        </w:rPr>
        <w:t xml:space="preserve">autonomie sexuelle de </w:t>
      </w:r>
      <w:r>
        <w:rPr>
          <w:lang w:val="fr-FR"/>
        </w:rPr>
        <w:t>la personne</w:t>
      </w:r>
      <w:r w:rsidRPr="00262910">
        <w:rPr>
          <w:lang w:val="fr-FR"/>
        </w:rPr>
        <w:t xml:space="preserve">. </w:t>
      </w:r>
      <w:r>
        <w:rPr>
          <w:lang w:val="fr-FR"/>
        </w:rPr>
        <w:t>L’</w:t>
      </w:r>
      <w:r w:rsidRPr="00262910">
        <w:rPr>
          <w:lang w:val="fr-FR"/>
        </w:rPr>
        <w:t>« absence de consentement libre</w:t>
      </w:r>
      <w:r>
        <w:rPr>
          <w:lang w:val="fr-FR"/>
        </w:rPr>
        <w:t> »</w:t>
      </w:r>
      <w:r w:rsidRPr="0090213B">
        <w:rPr>
          <w:lang w:val="fr-FR"/>
        </w:rPr>
        <w:t xml:space="preserve"> n</w:t>
      </w:r>
      <w:r>
        <w:rPr>
          <w:lang w:val="fr-FR"/>
        </w:rPr>
        <w:t xml:space="preserve">’est pas </w:t>
      </w:r>
      <w:r w:rsidRPr="0090213B">
        <w:rPr>
          <w:lang w:val="fr-FR"/>
        </w:rPr>
        <w:t>mentionn</w:t>
      </w:r>
      <w:r>
        <w:rPr>
          <w:lang w:val="fr-FR"/>
        </w:rPr>
        <w:t xml:space="preserve">ée </w:t>
      </w:r>
      <w:r w:rsidRPr="0090213B">
        <w:rPr>
          <w:lang w:val="fr-FR"/>
        </w:rPr>
        <w:t>expressément</w:t>
      </w:r>
      <w:r>
        <w:rPr>
          <w:lang w:val="fr-FR"/>
        </w:rPr>
        <w:t xml:space="preserve"> dans cette</w:t>
      </w:r>
      <w:r w:rsidRPr="0090213B">
        <w:rPr>
          <w:lang w:val="fr-FR"/>
        </w:rPr>
        <w:t xml:space="preserve"> définition</w:t>
      </w:r>
      <w:r>
        <w:rPr>
          <w:lang w:val="fr-FR"/>
        </w:rPr>
        <w:t xml:space="preserve">, mais </w:t>
      </w:r>
      <w:r w:rsidRPr="00262910">
        <w:rPr>
          <w:lang w:val="fr-FR"/>
        </w:rPr>
        <w:t>les circonstances impliqu</w:t>
      </w:r>
      <w:r>
        <w:rPr>
          <w:lang w:val="fr-FR"/>
        </w:rPr>
        <w:t>a</w:t>
      </w:r>
      <w:r w:rsidRPr="00262910">
        <w:rPr>
          <w:lang w:val="fr-FR"/>
        </w:rPr>
        <w:t xml:space="preserve">nt </w:t>
      </w:r>
      <w:r>
        <w:rPr>
          <w:lang w:val="fr-FR"/>
        </w:rPr>
        <w:t>l’</w:t>
      </w:r>
      <w:r w:rsidRPr="00262910">
        <w:rPr>
          <w:lang w:val="fr-FR"/>
        </w:rPr>
        <w:t xml:space="preserve">absence de consentement, telles que la violence ou un comportement menaçant ou le fait que la victime </w:t>
      </w:r>
      <w:r>
        <w:rPr>
          <w:lang w:val="fr-FR"/>
        </w:rPr>
        <w:t xml:space="preserve">est </w:t>
      </w:r>
      <w:r w:rsidRPr="00262910">
        <w:rPr>
          <w:lang w:val="fr-FR"/>
        </w:rPr>
        <w:t>inconsciente ou incapable de résister à l</w:t>
      </w:r>
      <w:r>
        <w:rPr>
          <w:lang w:val="fr-FR"/>
        </w:rPr>
        <w:t>’</w:t>
      </w:r>
      <w:r w:rsidRPr="00262910">
        <w:rPr>
          <w:lang w:val="fr-FR"/>
        </w:rPr>
        <w:t>acte pour toute autre raison</w:t>
      </w:r>
      <w:r>
        <w:rPr>
          <w:lang w:val="fr-FR"/>
        </w:rPr>
        <w:t>,</w:t>
      </w:r>
      <w:r w:rsidRPr="0090213B">
        <w:rPr>
          <w:lang w:val="fr-FR"/>
        </w:rPr>
        <w:t xml:space="preserve"> y sont </w:t>
      </w:r>
      <w:r>
        <w:rPr>
          <w:lang w:val="fr-FR"/>
        </w:rPr>
        <w:t>précisées</w:t>
      </w:r>
      <w:r w:rsidRPr="00262910">
        <w:rPr>
          <w:lang w:val="fr-FR"/>
        </w:rPr>
        <w:t xml:space="preserve">. </w:t>
      </w:r>
    </w:p>
    <w:p w:rsidR="001771B8" w:rsidRPr="00262910" w:rsidRDefault="001771B8" w:rsidP="001771B8">
      <w:pPr>
        <w:pStyle w:val="SingleTxtG"/>
        <w:rPr>
          <w:lang w:val="fr-FR"/>
        </w:rPr>
      </w:pPr>
      <w:r w:rsidRPr="00262910">
        <w:rPr>
          <w:lang w:val="fr-FR"/>
        </w:rPr>
        <w:t>184.</w:t>
      </w:r>
      <w:r w:rsidRPr="00262910">
        <w:rPr>
          <w:lang w:val="fr-FR"/>
        </w:rPr>
        <w:tab/>
      </w:r>
      <w:r>
        <w:rPr>
          <w:lang w:val="fr-FR"/>
        </w:rPr>
        <w:t xml:space="preserve">La </w:t>
      </w:r>
      <w:r w:rsidRPr="00A850EB">
        <w:rPr>
          <w:lang w:val="fr-FR"/>
        </w:rPr>
        <w:t>disposition r</w:t>
      </w:r>
      <w:r>
        <w:rPr>
          <w:lang w:val="fr-FR"/>
        </w:rPr>
        <w:t xml:space="preserve">éprimant le </w:t>
      </w:r>
      <w:r w:rsidRPr="00262910">
        <w:rPr>
          <w:lang w:val="fr-FR"/>
        </w:rPr>
        <w:t xml:space="preserve">viol </w:t>
      </w:r>
      <w:r>
        <w:rPr>
          <w:lang w:val="fr-FR"/>
        </w:rPr>
        <w:t xml:space="preserve">vise ainsi </w:t>
      </w:r>
      <w:r w:rsidRPr="00262910">
        <w:rPr>
          <w:lang w:val="fr-FR"/>
        </w:rPr>
        <w:t xml:space="preserve">déjà toutes les situations pratiques dans lesquelles </w:t>
      </w:r>
      <w:r>
        <w:rPr>
          <w:lang w:val="fr-FR"/>
        </w:rPr>
        <w:t xml:space="preserve">il a été portée atteinte à </w:t>
      </w:r>
      <w:r w:rsidRPr="00262910">
        <w:rPr>
          <w:lang w:val="fr-FR"/>
        </w:rPr>
        <w:t>l</w:t>
      </w:r>
      <w:r>
        <w:rPr>
          <w:lang w:val="fr-FR"/>
        </w:rPr>
        <w:t>’</w:t>
      </w:r>
      <w:r w:rsidRPr="00262910">
        <w:rPr>
          <w:lang w:val="fr-FR"/>
        </w:rPr>
        <w:t>autonomie sexuelle d</w:t>
      </w:r>
      <w:r>
        <w:rPr>
          <w:lang w:val="fr-FR"/>
        </w:rPr>
        <w:t>’</w:t>
      </w:r>
      <w:r w:rsidRPr="00262910">
        <w:rPr>
          <w:lang w:val="fr-FR"/>
        </w:rPr>
        <w:t xml:space="preserve">autrui. </w:t>
      </w:r>
      <w:r>
        <w:rPr>
          <w:lang w:val="fr-FR"/>
        </w:rPr>
        <w:t>L</w:t>
      </w:r>
      <w:r w:rsidRPr="00262910">
        <w:rPr>
          <w:lang w:val="fr-FR"/>
        </w:rPr>
        <w:t>a Norvège</w:t>
      </w:r>
      <w:r>
        <w:rPr>
          <w:lang w:val="fr-FR"/>
        </w:rPr>
        <w:t xml:space="preserve"> estime donc que sa législation </w:t>
      </w:r>
      <w:r w:rsidRPr="00262910">
        <w:rPr>
          <w:lang w:val="fr-FR"/>
        </w:rPr>
        <w:t xml:space="preserve">actuelle est conforme à ses obligations internationales. </w:t>
      </w:r>
      <w:r>
        <w:rPr>
          <w:lang w:val="fr-FR"/>
        </w:rPr>
        <w:t>L</w:t>
      </w:r>
      <w:r w:rsidRPr="00450040">
        <w:rPr>
          <w:lang w:val="fr-FR"/>
        </w:rPr>
        <w:t xml:space="preserve">e Gouvernement a examiné à plusieurs reprises </w:t>
      </w:r>
      <w:r>
        <w:rPr>
          <w:lang w:val="fr-FR"/>
        </w:rPr>
        <w:t>l</w:t>
      </w:r>
      <w:r w:rsidRPr="00262910">
        <w:rPr>
          <w:lang w:val="fr-FR"/>
        </w:rPr>
        <w:t xml:space="preserve">a question du viol et du consentement. </w:t>
      </w:r>
      <w:r w:rsidRPr="00863F2B">
        <w:rPr>
          <w:lang w:val="fr-FR"/>
        </w:rPr>
        <w:t>En 2013</w:t>
      </w:r>
      <w:r w:rsidRPr="00262910">
        <w:rPr>
          <w:lang w:val="fr-FR"/>
        </w:rPr>
        <w:t>, une proposition visant à modifier la définition du viol pour y inclure expressément l</w:t>
      </w:r>
      <w:r>
        <w:rPr>
          <w:lang w:val="fr-FR"/>
        </w:rPr>
        <w:t>’</w:t>
      </w:r>
      <w:r w:rsidRPr="00262910">
        <w:rPr>
          <w:lang w:val="fr-FR"/>
        </w:rPr>
        <w:t xml:space="preserve">absence de consentement a été </w:t>
      </w:r>
      <w:r>
        <w:rPr>
          <w:lang w:val="fr-FR"/>
        </w:rPr>
        <w:t>présentée p</w:t>
      </w:r>
      <w:r w:rsidRPr="00262910">
        <w:rPr>
          <w:lang w:val="fr-FR"/>
        </w:rPr>
        <w:t>our consultation</w:t>
      </w:r>
      <w:r>
        <w:rPr>
          <w:lang w:val="fr-FR"/>
        </w:rPr>
        <w:t>s</w:t>
      </w:r>
      <w:r w:rsidRPr="00262910">
        <w:rPr>
          <w:lang w:val="fr-FR"/>
        </w:rPr>
        <w:t xml:space="preserve">. Plusieurs organes consultatifs, </w:t>
      </w:r>
      <w:r>
        <w:rPr>
          <w:lang w:val="fr-FR"/>
        </w:rPr>
        <w:t xml:space="preserve">dont </w:t>
      </w:r>
      <w:r w:rsidRPr="00262910">
        <w:rPr>
          <w:lang w:val="fr-FR"/>
        </w:rPr>
        <w:t xml:space="preserve">le </w:t>
      </w:r>
      <w:r>
        <w:rPr>
          <w:lang w:val="fr-FR"/>
        </w:rPr>
        <w:t xml:space="preserve">Bureau du </w:t>
      </w:r>
      <w:r w:rsidRPr="00262910">
        <w:rPr>
          <w:lang w:val="fr-FR"/>
        </w:rPr>
        <w:t>Procureur général, ont fait valoir qu</w:t>
      </w:r>
      <w:r>
        <w:rPr>
          <w:lang w:val="fr-FR"/>
        </w:rPr>
        <w:t>’</w:t>
      </w:r>
      <w:r w:rsidRPr="00262910">
        <w:rPr>
          <w:lang w:val="fr-FR"/>
        </w:rPr>
        <w:t>un</w:t>
      </w:r>
      <w:r>
        <w:rPr>
          <w:lang w:val="fr-FR"/>
        </w:rPr>
        <w:t xml:space="preserve">e telle modification </w:t>
      </w:r>
      <w:r w:rsidRPr="00262910">
        <w:rPr>
          <w:lang w:val="fr-FR"/>
        </w:rPr>
        <w:t>n</w:t>
      </w:r>
      <w:r>
        <w:rPr>
          <w:lang w:val="fr-FR"/>
        </w:rPr>
        <w:t>’</w:t>
      </w:r>
      <w:r w:rsidRPr="00262910">
        <w:rPr>
          <w:lang w:val="fr-FR"/>
        </w:rPr>
        <w:t xml:space="preserve">était pas nécessaire dans la pratique. Le Gouvernement a décidé de ne pas proposer </w:t>
      </w:r>
      <w:r>
        <w:rPr>
          <w:lang w:val="fr-FR"/>
        </w:rPr>
        <w:t xml:space="preserve">cette </w:t>
      </w:r>
      <w:r w:rsidRPr="00262910">
        <w:rPr>
          <w:lang w:val="fr-FR"/>
        </w:rPr>
        <w:t>modification</w:t>
      </w:r>
      <w:r>
        <w:rPr>
          <w:lang w:val="fr-FR"/>
        </w:rPr>
        <w:t xml:space="preserve"> parce qu’elle </w:t>
      </w:r>
      <w:r w:rsidRPr="00262910">
        <w:rPr>
          <w:lang w:val="fr-FR"/>
        </w:rPr>
        <w:t>soulevait des questions complexes qu</w:t>
      </w:r>
      <w:r>
        <w:rPr>
          <w:lang w:val="fr-FR"/>
        </w:rPr>
        <w:t>’</w:t>
      </w:r>
      <w:r w:rsidRPr="00262910">
        <w:rPr>
          <w:lang w:val="fr-FR"/>
        </w:rPr>
        <w:t>il souhaitait réexaminer ultérieure</w:t>
      </w:r>
      <w:r>
        <w:rPr>
          <w:lang w:val="fr-FR"/>
        </w:rPr>
        <w:t>ment</w:t>
      </w:r>
      <w:r w:rsidRPr="00262910">
        <w:rPr>
          <w:lang w:val="fr-FR"/>
        </w:rPr>
        <w:t xml:space="preserve">. En mars 2018, le Storting a </w:t>
      </w:r>
      <w:r>
        <w:rPr>
          <w:lang w:val="fr-FR"/>
        </w:rPr>
        <w:t>mis aux voix u</w:t>
      </w:r>
      <w:r w:rsidRPr="00262910">
        <w:rPr>
          <w:lang w:val="fr-FR"/>
        </w:rPr>
        <w:t xml:space="preserve">ne proposition </w:t>
      </w:r>
      <w:r>
        <w:rPr>
          <w:lang w:val="fr-FR"/>
        </w:rPr>
        <w:t xml:space="preserve">émanant de </w:t>
      </w:r>
      <w:r w:rsidRPr="00262910">
        <w:rPr>
          <w:lang w:val="fr-FR"/>
        </w:rPr>
        <w:t xml:space="preserve">parlementaires </w:t>
      </w:r>
      <w:r>
        <w:rPr>
          <w:lang w:val="fr-FR"/>
        </w:rPr>
        <w:t xml:space="preserve">priant le </w:t>
      </w:r>
      <w:r w:rsidRPr="00262910">
        <w:rPr>
          <w:lang w:val="fr-FR"/>
        </w:rPr>
        <w:t xml:space="preserve">Gouvernement </w:t>
      </w:r>
      <w:r>
        <w:rPr>
          <w:lang w:val="fr-FR"/>
        </w:rPr>
        <w:t xml:space="preserve">de </w:t>
      </w:r>
      <w:r w:rsidRPr="00262910">
        <w:rPr>
          <w:lang w:val="fr-FR"/>
        </w:rPr>
        <w:t>pr</w:t>
      </w:r>
      <w:r>
        <w:rPr>
          <w:lang w:val="fr-FR"/>
        </w:rPr>
        <w:t xml:space="preserve">ésenter </w:t>
      </w:r>
      <w:r w:rsidRPr="00262910">
        <w:rPr>
          <w:lang w:val="fr-FR"/>
        </w:rPr>
        <w:t xml:space="preserve">un </w:t>
      </w:r>
      <w:r>
        <w:rPr>
          <w:lang w:val="fr-FR"/>
        </w:rPr>
        <w:t xml:space="preserve">projet de modification </w:t>
      </w:r>
      <w:r w:rsidRPr="00262910">
        <w:rPr>
          <w:lang w:val="fr-FR"/>
        </w:rPr>
        <w:t xml:space="preserve">de la définition légale du viol. Cette proposition a été </w:t>
      </w:r>
      <w:r>
        <w:rPr>
          <w:lang w:val="fr-FR"/>
        </w:rPr>
        <w:t>rejetée</w:t>
      </w:r>
      <w:r w:rsidRPr="00262910">
        <w:rPr>
          <w:lang w:val="fr-FR"/>
        </w:rPr>
        <w:t xml:space="preserve">. </w:t>
      </w:r>
      <w:r>
        <w:rPr>
          <w:lang w:val="fr-FR"/>
        </w:rPr>
        <w:t xml:space="preserve">Dans </w:t>
      </w:r>
      <w:r w:rsidRPr="00477565">
        <w:rPr>
          <w:lang w:val="fr-FR"/>
        </w:rPr>
        <w:t>le Plan d</w:t>
      </w:r>
      <w:r>
        <w:rPr>
          <w:lang w:val="fr-FR"/>
        </w:rPr>
        <w:t>’</w:t>
      </w:r>
      <w:r w:rsidRPr="00477565">
        <w:rPr>
          <w:lang w:val="fr-FR"/>
        </w:rPr>
        <w:t>action</w:t>
      </w:r>
      <w:r w:rsidRPr="00262910">
        <w:rPr>
          <w:lang w:val="fr-FR"/>
        </w:rPr>
        <w:t xml:space="preserve"> </w:t>
      </w:r>
      <w:r>
        <w:rPr>
          <w:lang w:val="fr-FR"/>
        </w:rPr>
        <w:t>g</w:t>
      </w:r>
      <w:r w:rsidRPr="00262910">
        <w:rPr>
          <w:lang w:val="fr-FR"/>
        </w:rPr>
        <w:t>ouvernement</w:t>
      </w:r>
      <w:r>
        <w:rPr>
          <w:lang w:val="fr-FR"/>
        </w:rPr>
        <w:t>al</w:t>
      </w:r>
      <w:r w:rsidRPr="00262910">
        <w:rPr>
          <w:lang w:val="fr-FR"/>
        </w:rPr>
        <w:t xml:space="preserve"> </w:t>
      </w:r>
      <w:r>
        <w:rPr>
          <w:lang w:val="fr-FR"/>
        </w:rPr>
        <w:t xml:space="preserve">contre </w:t>
      </w:r>
      <w:r w:rsidRPr="00262910">
        <w:rPr>
          <w:lang w:val="fr-FR"/>
        </w:rPr>
        <w:t>le viol (2019-2022)</w:t>
      </w:r>
      <w:r>
        <w:rPr>
          <w:lang w:val="fr-FR"/>
        </w:rPr>
        <w:t>,</w:t>
      </w:r>
      <w:r w:rsidRPr="00262910">
        <w:rPr>
          <w:lang w:val="fr-FR"/>
        </w:rPr>
        <w:t xml:space="preserve"> </w:t>
      </w:r>
      <w:r>
        <w:rPr>
          <w:lang w:val="fr-FR"/>
        </w:rPr>
        <w:t xml:space="preserve">il est indiqué </w:t>
      </w:r>
      <w:r w:rsidRPr="00262910">
        <w:rPr>
          <w:lang w:val="fr-FR"/>
        </w:rPr>
        <w:t xml:space="preserve">que le Ministère de la justice </w:t>
      </w:r>
      <w:r>
        <w:rPr>
          <w:lang w:val="fr-FR"/>
        </w:rPr>
        <w:t xml:space="preserve">déterminera </w:t>
      </w:r>
      <w:r w:rsidRPr="00262910">
        <w:rPr>
          <w:lang w:val="fr-FR"/>
        </w:rPr>
        <w:t>s</w:t>
      </w:r>
      <w:r>
        <w:rPr>
          <w:lang w:val="fr-FR"/>
        </w:rPr>
        <w:t>’</w:t>
      </w:r>
      <w:r w:rsidRPr="00262910">
        <w:rPr>
          <w:lang w:val="fr-FR"/>
        </w:rPr>
        <w:t xml:space="preserve">il </w:t>
      </w:r>
      <w:r>
        <w:rPr>
          <w:lang w:val="fr-FR"/>
        </w:rPr>
        <w:t xml:space="preserve">convient </w:t>
      </w:r>
      <w:r w:rsidRPr="00262910">
        <w:rPr>
          <w:lang w:val="fr-FR"/>
        </w:rPr>
        <w:t>de réviser le chapitre du Code pénal norvégien relatif aux infractions sexuelles. Dans le cadre d</w:t>
      </w:r>
      <w:r>
        <w:rPr>
          <w:lang w:val="fr-FR"/>
        </w:rPr>
        <w:t>’</w:t>
      </w:r>
      <w:r w:rsidRPr="00262910">
        <w:rPr>
          <w:lang w:val="fr-FR"/>
        </w:rPr>
        <w:t>un tel examen d</w:t>
      </w:r>
      <w:r>
        <w:rPr>
          <w:lang w:val="fr-FR"/>
        </w:rPr>
        <w:t>’</w:t>
      </w:r>
      <w:r w:rsidRPr="00262910">
        <w:rPr>
          <w:lang w:val="fr-FR"/>
        </w:rPr>
        <w:t>ensemble, il serait pertinent d</w:t>
      </w:r>
      <w:r>
        <w:rPr>
          <w:lang w:val="fr-FR"/>
        </w:rPr>
        <w:t>’</w:t>
      </w:r>
      <w:r w:rsidRPr="00262910">
        <w:rPr>
          <w:lang w:val="fr-FR"/>
        </w:rPr>
        <w:t xml:space="preserve">examiner le libellé de la disposition pénale </w:t>
      </w:r>
      <w:r>
        <w:rPr>
          <w:lang w:val="fr-FR"/>
        </w:rPr>
        <w:t xml:space="preserve">relative au </w:t>
      </w:r>
      <w:r w:rsidRPr="00262910">
        <w:rPr>
          <w:lang w:val="fr-FR"/>
        </w:rPr>
        <w:t xml:space="preserve">viol. </w:t>
      </w:r>
      <w:r>
        <w:rPr>
          <w:lang w:val="fr-FR"/>
        </w:rPr>
        <w:t xml:space="preserve">Il est cependant crucial de </w:t>
      </w:r>
      <w:r w:rsidRPr="00262910">
        <w:rPr>
          <w:lang w:val="fr-FR"/>
        </w:rPr>
        <w:t xml:space="preserve">veiller à ce que la définition du viol soit suffisamment claire et </w:t>
      </w:r>
      <w:r>
        <w:rPr>
          <w:lang w:val="fr-FR"/>
        </w:rPr>
        <w:t xml:space="preserve">sans </w:t>
      </w:r>
      <w:r w:rsidRPr="00262910">
        <w:rPr>
          <w:lang w:val="fr-FR"/>
        </w:rPr>
        <w:t>ambigu</w:t>
      </w:r>
      <w:r>
        <w:rPr>
          <w:lang w:val="fr-FR"/>
        </w:rPr>
        <w:t>ïté</w:t>
      </w:r>
      <w:r w:rsidRPr="00262910">
        <w:rPr>
          <w:lang w:val="fr-FR"/>
        </w:rPr>
        <w:t>. Il faut éviter d</w:t>
      </w:r>
      <w:r>
        <w:rPr>
          <w:lang w:val="fr-FR"/>
        </w:rPr>
        <w:t>’</w:t>
      </w:r>
      <w:r w:rsidRPr="00262910">
        <w:rPr>
          <w:lang w:val="fr-FR"/>
        </w:rPr>
        <w:t>introduire des concepts inutilement vagues et complexes.</w:t>
      </w:r>
    </w:p>
    <w:p w:rsidR="001771B8" w:rsidRPr="00262910" w:rsidRDefault="001771B8" w:rsidP="001771B8">
      <w:pPr>
        <w:pStyle w:val="H1G"/>
        <w:rPr>
          <w:lang w:val="fr-FR"/>
        </w:rPr>
      </w:pPr>
      <w:r w:rsidRPr="00262910">
        <w:rPr>
          <w:lang w:val="fr-FR"/>
        </w:rPr>
        <w:tab/>
      </w:r>
      <w:r w:rsidRPr="00262910">
        <w:rPr>
          <w:lang w:val="fr-FR"/>
        </w:rPr>
        <w:tab/>
        <w:t>Réponse au paragraphe 24 b) de la liste de points</w:t>
      </w:r>
    </w:p>
    <w:p w:rsidR="001771B8" w:rsidRPr="00262910" w:rsidRDefault="001771B8" w:rsidP="001771B8">
      <w:pPr>
        <w:pStyle w:val="SingleTxtG"/>
        <w:rPr>
          <w:lang w:val="fr-FR"/>
        </w:rPr>
      </w:pPr>
      <w:r w:rsidRPr="00262910">
        <w:rPr>
          <w:lang w:val="fr-FR"/>
        </w:rPr>
        <w:t>185.</w:t>
      </w:r>
      <w:r w:rsidRPr="00262910">
        <w:rPr>
          <w:lang w:val="fr-FR"/>
        </w:rPr>
        <w:tab/>
      </w:r>
      <w:r w:rsidRPr="006F0310">
        <w:rPr>
          <w:lang w:val="fr-FR"/>
        </w:rPr>
        <w:t>Lancé en mars 2019,</w:t>
      </w:r>
      <w:r>
        <w:rPr>
          <w:lang w:val="fr-FR"/>
        </w:rPr>
        <w:t xml:space="preserve"> l</w:t>
      </w:r>
      <w:r w:rsidRPr="00262910">
        <w:rPr>
          <w:lang w:val="fr-FR"/>
        </w:rPr>
        <w:t>e Plan d</w:t>
      </w:r>
      <w:r>
        <w:rPr>
          <w:lang w:val="fr-FR"/>
        </w:rPr>
        <w:t>’</w:t>
      </w:r>
      <w:r w:rsidRPr="00262910">
        <w:rPr>
          <w:lang w:val="fr-FR"/>
        </w:rPr>
        <w:t xml:space="preserve">action </w:t>
      </w:r>
      <w:r>
        <w:rPr>
          <w:lang w:val="fr-FR"/>
        </w:rPr>
        <w:t>g</w:t>
      </w:r>
      <w:r w:rsidRPr="00262910">
        <w:rPr>
          <w:lang w:val="fr-FR"/>
        </w:rPr>
        <w:t>ouvernement</w:t>
      </w:r>
      <w:r>
        <w:rPr>
          <w:lang w:val="fr-FR"/>
        </w:rPr>
        <w:t>al</w:t>
      </w:r>
      <w:r w:rsidRPr="00262910">
        <w:rPr>
          <w:lang w:val="fr-FR"/>
        </w:rPr>
        <w:t xml:space="preserve"> contre le viol (2019-2022)</w:t>
      </w:r>
      <w:r>
        <w:rPr>
          <w:lang w:val="fr-FR"/>
        </w:rPr>
        <w:t xml:space="preserve"> prévoit </w:t>
      </w:r>
      <w:r w:rsidRPr="00262910">
        <w:rPr>
          <w:lang w:val="fr-FR"/>
        </w:rPr>
        <w:t xml:space="preserve">des mesures spécifiques </w:t>
      </w:r>
      <w:r>
        <w:rPr>
          <w:lang w:val="fr-FR"/>
        </w:rPr>
        <w:t xml:space="preserve">sur le soutien et l’aide à apporter aux </w:t>
      </w:r>
      <w:r w:rsidRPr="00262910">
        <w:rPr>
          <w:lang w:val="fr-FR"/>
        </w:rPr>
        <w:t>victimes qui signale</w:t>
      </w:r>
      <w:r>
        <w:rPr>
          <w:lang w:val="fr-FR"/>
        </w:rPr>
        <w:t xml:space="preserve">nt un </w:t>
      </w:r>
      <w:r w:rsidRPr="00262910">
        <w:rPr>
          <w:lang w:val="fr-FR"/>
        </w:rPr>
        <w:t xml:space="preserve">viol </w:t>
      </w:r>
      <w:r>
        <w:rPr>
          <w:lang w:val="fr-FR"/>
        </w:rPr>
        <w:t>ou d’</w:t>
      </w:r>
      <w:r w:rsidRPr="00262910">
        <w:rPr>
          <w:lang w:val="fr-FR"/>
        </w:rPr>
        <w:t>autres violences sexuelles</w:t>
      </w:r>
      <w:r>
        <w:rPr>
          <w:lang w:val="fr-FR"/>
        </w:rPr>
        <w:t xml:space="preserve"> à la police</w:t>
      </w:r>
      <w:r w:rsidRPr="00262910">
        <w:rPr>
          <w:lang w:val="fr-FR"/>
        </w:rPr>
        <w:t>. Une section distincte d</w:t>
      </w:r>
      <w:r>
        <w:rPr>
          <w:lang w:val="fr-FR"/>
        </w:rPr>
        <w:t xml:space="preserve">e ce </w:t>
      </w:r>
      <w:r w:rsidRPr="00262910">
        <w:rPr>
          <w:lang w:val="fr-FR"/>
        </w:rPr>
        <w:t>plan d</w:t>
      </w:r>
      <w:r>
        <w:rPr>
          <w:lang w:val="fr-FR"/>
        </w:rPr>
        <w:t>’</w:t>
      </w:r>
      <w:r w:rsidRPr="00262910">
        <w:rPr>
          <w:lang w:val="fr-FR"/>
        </w:rPr>
        <w:t>action est consacrée à des mesures spécifiques visant à garantir la qualité des enquêtes et des poursuites dans les affaires de viol et de violence</w:t>
      </w:r>
      <w:r>
        <w:rPr>
          <w:lang w:val="fr-FR"/>
        </w:rPr>
        <w:t>s</w:t>
      </w:r>
      <w:r w:rsidRPr="00262910">
        <w:rPr>
          <w:lang w:val="fr-FR"/>
        </w:rPr>
        <w:t xml:space="preserve"> sexuelle</w:t>
      </w:r>
      <w:r>
        <w:rPr>
          <w:lang w:val="fr-FR"/>
        </w:rPr>
        <w:t>s</w:t>
      </w:r>
      <w:r w:rsidRPr="00262910">
        <w:rPr>
          <w:lang w:val="fr-FR"/>
        </w:rPr>
        <w:t xml:space="preserve"> </w:t>
      </w:r>
      <w:r>
        <w:rPr>
          <w:lang w:val="fr-FR"/>
        </w:rPr>
        <w:t>dont la police est saisie</w:t>
      </w:r>
      <w:r w:rsidRPr="00262910">
        <w:rPr>
          <w:lang w:val="fr-FR"/>
        </w:rPr>
        <w:t xml:space="preserve">. </w:t>
      </w:r>
    </w:p>
    <w:p w:rsidR="001771B8" w:rsidRPr="00262910" w:rsidRDefault="001771B8" w:rsidP="001771B8">
      <w:pPr>
        <w:pStyle w:val="H1G"/>
        <w:rPr>
          <w:lang w:val="fr-FR"/>
        </w:rPr>
      </w:pPr>
      <w:r w:rsidRPr="00262910">
        <w:rPr>
          <w:lang w:val="fr-FR"/>
        </w:rPr>
        <w:tab/>
      </w:r>
      <w:r w:rsidRPr="00262910">
        <w:rPr>
          <w:lang w:val="fr-FR"/>
        </w:rPr>
        <w:tab/>
      </w:r>
      <w:r w:rsidRPr="009A415E">
        <w:rPr>
          <w:lang w:val="fr-FR"/>
        </w:rPr>
        <w:t>Réponse au paragraphe 24 c) de la liste de points</w:t>
      </w:r>
    </w:p>
    <w:p w:rsidR="001771B8" w:rsidRPr="00262910" w:rsidRDefault="001771B8" w:rsidP="001771B8">
      <w:pPr>
        <w:pStyle w:val="SingleTxtG"/>
        <w:rPr>
          <w:b/>
          <w:lang w:val="fr-FR"/>
        </w:rPr>
      </w:pPr>
      <w:r w:rsidRPr="00262910">
        <w:rPr>
          <w:lang w:val="fr-FR"/>
        </w:rPr>
        <w:t>186.</w:t>
      </w:r>
      <w:r w:rsidRPr="00262910">
        <w:rPr>
          <w:lang w:val="fr-FR"/>
        </w:rPr>
        <w:tab/>
      </w:r>
      <w:r w:rsidRPr="00B75F92">
        <w:rPr>
          <w:lang w:val="fr-FR"/>
        </w:rPr>
        <w:t xml:space="preserve">Après avoir révélé </w:t>
      </w:r>
      <w:r>
        <w:rPr>
          <w:lang w:val="fr-FR"/>
        </w:rPr>
        <w:t xml:space="preserve">et enquêté sur </w:t>
      </w:r>
      <w:r w:rsidRPr="00262910">
        <w:rPr>
          <w:lang w:val="fr-FR"/>
        </w:rPr>
        <w:t>un grand nombre de cas de violence sexuelle et d</w:t>
      </w:r>
      <w:r>
        <w:rPr>
          <w:lang w:val="fr-FR"/>
        </w:rPr>
        <w:t>’</w:t>
      </w:r>
      <w:r w:rsidRPr="00262910">
        <w:rPr>
          <w:lang w:val="fr-FR"/>
        </w:rPr>
        <w:t>abus sur des enfants et des jeunes dans la municipalité de Tysfjord, la police s</w:t>
      </w:r>
      <w:r>
        <w:rPr>
          <w:lang w:val="fr-FR"/>
        </w:rPr>
        <w:t>’</w:t>
      </w:r>
      <w:r w:rsidRPr="00262910">
        <w:rPr>
          <w:lang w:val="fr-FR"/>
        </w:rPr>
        <w:t xml:space="preserve">est fortement impliquée dans </w:t>
      </w:r>
      <w:r w:rsidRPr="001B5598">
        <w:rPr>
          <w:lang w:val="fr-FR"/>
        </w:rPr>
        <w:t>le «</w:t>
      </w:r>
      <w:r w:rsidR="00F75509">
        <w:rPr>
          <w:lang w:val="fr-FR"/>
        </w:rPr>
        <w:t> </w:t>
      </w:r>
      <w:r w:rsidRPr="001B5598">
        <w:rPr>
          <w:lang w:val="fr-FR"/>
        </w:rPr>
        <w:t>Projet Jasska</w:t>
      </w:r>
      <w:r w:rsidR="00F75509">
        <w:rPr>
          <w:lang w:val="fr-FR"/>
        </w:rPr>
        <w:t> </w:t>
      </w:r>
      <w:r w:rsidRPr="001B5598">
        <w:rPr>
          <w:lang w:val="fr-FR"/>
        </w:rPr>
        <w:t>»</w:t>
      </w:r>
      <w:r>
        <w:rPr>
          <w:lang w:val="fr-FR"/>
        </w:rPr>
        <w:t xml:space="preserve"> (sécurité), v</w:t>
      </w:r>
      <w:r w:rsidRPr="00262910">
        <w:rPr>
          <w:lang w:val="fr-FR"/>
        </w:rPr>
        <w:t xml:space="preserve">aste programme interdisciplinaire </w:t>
      </w:r>
      <w:r w:rsidRPr="001B5598">
        <w:rPr>
          <w:lang w:val="fr-FR"/>
        </w:rPr>
        <w:t xml:space="preserve">de prévention </w:t>
      </w:r>
      <w:r w:rsidRPr="00262910">
        <w:rPr>
          <w:lang w:val="fr-FR"/>
        </w:rPr>
        <w:t>qui s</w:t>
      </w:r>
      <w:r>
        <w:rPr>
          <w:lang w:val="fr-FR"/>
        </w:rPr>
        <w:t>’</w:t>
      </w:r>
      <w:r w:rsidRPr="00262910">
        <w:rPr>
          <w:lang w:val="fr-FR"/>
        </w:rPr>
        <w:t xml:space="preserve">adresse aux jeunes </w:t>
      </w:r>
      <w:r>
        <w:rPr>
          <w:lang w:val="fr-FR"/>
        </w:rPr>
        <w:t xml:space="preserve">comme </w:t>
      </w:r>
      <w:r w:rsidRPr="00262910">
        <w:rPr>
          <w:lang w:val="fr-FR"/>
        </w:rPr>
        <w:t>aux adultes, ainsi qu</w:t>
      </w:r>
      <w:r>
        <w:rPr>
          <w:lang w:val="fr-FR"/>
        </w:rPr>
        <w:t>’</w:t>
      </w:r>
      <w:r w:rsidRPr="00262910">
        <w:rPr>
          <w:lang w:val="fr-FR"/>
        </w:rPr>
        <w:t xml:space="preserve">aux services publics </w:t>
      </w:r>
      <w:r>
        <w:rPr>
          <w:lang w:val="fr-FR"/>
        </w:rPr>
        <w:t xml:space="preserve">municipaux </w:t>
      </w:r>
      <w:r w:rsidRPr="00262910">
        <w:rPr>
          <w:lang w:val="fr-FR"/>
        </w:rPr>
        <w:t>d</w:t>
      </w:r>
      <w:r>
        <w:rPr>
          <w:lang w:val="fr-FR"/>
        </w:rPr>
        <w:t>’</w:t>
      </w:r>
      <w:r w:rsidRPr="00262910">
        <w:rPr>
          <w:lang w:val="fr-FR"/>
        </w:rPr>
        <w:t xml:space="preserve">appui et de santé. </w:t>
      </w:r>
      <w:r w:rsidRPr="00C034C8">
        <w:rPr>
          <w:lang w:val="fr-FR"/>
        </w:rPr>
        <w:t>La police a fourni</w:t>
      </w:r>
      <w:r w:rsidRPr="00262910">
        <w:rPr>
          <w:lang w:val="fr-FR"/>
        </w:rPr>
        <w:t xml:space="preserve"> du personnel </w:t>
      </w:r>
      <w:r>
        <w:rPr>
          <w:lang w:val="fr-FR"/>
        </w:rPr>
        <w:t xml:space="preserve">pour des </w:t>
      </w:r>
      <w:r w:rsidRPr="00262910">
        <w:rPr>
          <w:lang w:val="fr-FR"/>
        </w:rPr>
        <w:t>réunions et d</w:t>
      </w:r>
      <w:r>
        <w:rPr>
          <w:lang w:val="fr-FR"/>
        </w:rPr>
        <w:t xml:space="preserve">es </w:t>
      </w:r>
      <w:r w:rsidRPr="00262910">
        <w:rPr>
          <w:lang w:val="fr-FR"/>
        </w:rPr>
        <w:t xml:space="preserve">séminaires de formation </w:t>
      </w:r>
      <w:r>
        <w:rPr>
          <w:lang w:val="fr-FR"/>
        </w:rPr>
        <w:t xml:space="preserve">à l’intention du </w:t>
      </w:r>
      <w:r w:rsidRPr="00262910">
        <w:rPr>
          <w:lang w:val="fr-FR"/>
        </w:rPr>
        <w:t xml:space="preserve">secteur de la santé, </w:t>
      </w:r>
      <w:r>
        <w:rPr>
          <w:lang w:val="fr-FR"/>
        </w:rPr>
        <w:t xml:space="preserve">des </w:t>
      </w:r>
      <w:r w:rsidRPr="00262910">
        <w:rPr>
          <w:lang w:val="fr-FR"/>
        </w:rPr>
        <w:t xml:space="preserve">écoles et </w:t>
      </w:r>
      <w:r>
        <w:rPr>
          <w:lang w:val="fr-FR"/>
        </w:rPr>
        <w:t>des s</w:t>
      </w:r>
      <w:r w:rsidRPr="00262910">
        <w:rPr>
          <w:lang w:val="fr-FR"/>
        </w:rPr>
        <w:t>ervices de protection de l</w:t>
      </w:r>
      <w:r>
        <w:rPr>
          <w:lang w:val="fr-FR"/>
        </w:rPr>
        <w:t>’</w:t>
      </w:r>
      <w:r w:rsidRPr="00262910">
        <w:rPr>
          <w:lang w:val="fr-FR"/>
        </w:rPr>
        <w:t xml:space="preserve">enfance. </w:t>
      </w:r>
      <w:r>
        <w:rPr>
          <w:lang w:val="fr-FR"/>
        </w:rPr>
        <w:t xml:space="preserve">Le but était de veiller à ce que </w:t>
      </w:r>
      <w:r w:rsidRPr="00262910">
        <w:rPr>
          <w:lang w:val="fr-FR"/>
        </w:rPr>
        <w:t xml:space="preserve">la stratégie de prévention de la police touche </w:t>
      </w:r>
      <w:r>
        <w:rPr>
          <w:lang w:val="fr-FR"/>
        </w:rPr>
        <w:t xml:space="preserve">aussi bien les </w:t>
      </w:r>
      <w:r w:rsidRPr="00262910">
        <w:rPr>
          <w:lang w:val="fr-FR"/>
        </w:rPr>
        <w:t>victimes potentielles</w:t>
      </w:r>
      <w:r>
        <w:rPr>
          <w:lang w:val="fr-FR"/>
        </w:rPr>
        <w:t xml:space="preserve"> que les personnes susceptibles d’avoir affaire à ces victimes d</w:t>
      </w:r>
      <w:r w:rsidRPr="00262910">
        <w:rPr>
          <w:lang w:val="fr-FR"/>
        </w:rPr>
        <w:t>ans le cadre de leur travail. Le Gouvernement a décidé d</w:t>
      </w:r>
      <w:r>
        <w:rPr>
          <w:lang w:val="fr-FR"/>
        </w:rPr>
        <w:t>’</w:t>
      </w:r>
      <w:r w:rsidRPr="00262910">
        <w:rPr>
          <w:lang w:val="fr-FR"/>
        </w:rPr>
        <w:t>élaborer un nouveau plan d</w:t>
      </w:r>
      <w:r>
        <w:rPr>
          <w:lang w:val="fr-FR"/>
        </w:rPr>
        <w:t>’</w:t>
      </w:r>
      <w:r w:rsidRPr="00262910">
        <w:rPr>
          <w:lang w:val="fr-FR"/>
        </w:rPr>
        <w:t xml:space="preserve">action </w:t>
      </w:r>
      <w:r>
        <w:rPr>
          <w:lang w:val="fr-FR"/>
        </w:rPr>
        <w:t xml:space="preserve">contre </w:t>
      </w:r>
      <w:r w:rsidRPr="00262910">
        <w:rPr>
          <w:lang w:val="fr-FR"/>
        </w:rPr>
        <w:t xml:space="preserve">la violence </w:t>
      </w:r>
      <w:r>
        <w:rPr>
          <w:lang w:val="fr-FR"/>
        </w:rPr>
        <w:t>par des proches</w:t>
      </w:r>
      <w:r w:rsidRPr="00262910">
        <w:rPr>
          <w:lang w:val="fr-FR"/>
        </w:rPr>
        <w:t>. Un nouveau plan d</w:t>
      </w:r>
      <w:r>
        <w:rPr>
          <w:lang w:val="fr-FR"/>
        </w:rPr>
        <w:t>’</w:t>
      </w:r>
      <w:r w:rsidRPr="00262910">
        <w:rPr>
          <w:lang w:val="fr-FR"/>
        </w:rPr>
        <w:t>action pré</w:t>
      </w:r>
      <w:r>
        <w:rPr>
          <w:lang w:val="fr-FR"/>
        </w:rPr>
        <w:t xml:space="preserve">voira </w:t>
      </w:r>
      <w:r w:rsidRPr="00262910">
        <w:rPr>
          <w:lang w:val="fr-FR"/>
        </w:rPr>
        <w:t xml:space="preserve">des mesures concrètes dans les domaines de la prévention, de la protection et des poursuites, ainsi que des mesures spécifiques </w:t>
      </w:r>
      <w:r>
        <w:rPr>
          <w:lang w:val="fr-FR"/>
        </w:rPr>
        <w:t xml:space="preserve">visant à </w:t>
      </w:r>
      <w:r w:rsidRPr="00262910">
        <w:rPr>
          <w:lang w:val="fr-FR"/>
        </w:rPr>
        <w:t xml:space="preserve">prévenir et combattre la violence dans les communautés </w:t>
      </w:r>
      <w:r>
        <w:rPr>
          <w:lang w:val="fr-FR"/>
        </w:rPr>
        <w:t>sâmes</w:t>
      </w:r>
      <w:r w:rsidRPr="00262910">
        <w:rPr>
          <w:lang w:val="fr-FR"/>
        </w:rPr>
        <w:t>.</w:t>
      </w:r>
    </w:p>
    <w:p w:rsidR="001771B8" w:rsidRPr="00262910" w:rsidRDefault="001771B8" w:rsidP="001771B8">
      <w:pPr>
        <w:pStyle w:val="SingleTxtG"/>
        <w:rPr>
          <w:lang w:val="fr-FR"/>
        </w:rPr>
      </w:pPr>
      <w:r w:rsidRPr="00262910">
        <w:rPr>
          <w:lang w:val="fr-FR"/>
        </w:rPr>
        <w:t>187.</w:t>
      </w:r>
      <w:r w:rsidRPr="00262910">
        <w:rPr>
          <w:lang w:val="fr-FR"/>
        </w:rPr>
        <w:tab/>
      </w:r>
      <w:r w:rsidRPr="003106D4">
        <w:rPr>
          <w:lang w:val="fr-FR"/>
        </w:rPr>
        <w:t>La police</w:t>
      </w:r>
      <w:r w:rsidRPr="00262910">
        <w:rPr>
          <w:lang w:val="fr-FR"/>
        </w:rPr>
        <w:t xml:space="preserve"> a</w:t>
      </w:r>
      <w:r>
        <w:rPr>
          <w:lang w:val="fr-FR"/>
        </w:rPr>
        <w:t xml:space="preserve"> noué </w:t>
      </w:r>
      <w:r w:rsidRPr="00262910">
        <w:rPr>
          <w:lang w:val="fr-FR"/>
        </w:rPr>
        <w:t xml:space="preserve">des contacts avec la communauté </w:t>
      </w:r>
      <w:r>
        <w:rPr>
          <w:lang w:val="fr-FR"/>
        </w:rPr>
        <w:t>sâme</w:t>
      </w:r>
      <w:r w:rsidRPr="00262910">
        <w:rPr>
          <w:lang w:val="fr-FR"/>
        </w:rPr>
        <w:t xml:space="preserve"> par </w:t>
      </w:r>
      <w:r>
        <w:rPr>
          <w:lang w:val="fr-FR"/>
        </w:rPr>
        <w:t xml:space="preserve">l’intermédiaire de </w:t>
      </w:r>
      <w:r w:rsidRPr="00262910">
        <w:rPr>
          <w:lang w:val="fr-FR"/>
        </w:rPr>
        <w:t>l</w:t>
      </w:r>
      <w:r>
        <w:rPr>
          <w:lang w:val="fr-FR"/>
        </w:rPr>
        <w:t>’association « </w:t>
      </w:r>
      <w:r w:rsidRPr="00262910">
        <w:rPr>
          <w:lang w:val="fr-FR"/>
        </w:rPr>
        <w:t>Arran</w:t>
      </w:r>
      <w:r>
        <w:rPr>
          <w:lang w:val="fr-FR"/>
        </w:rPr>
        <w:t xml:space="preserve"> ». Elle </w:t>
      </w:r>
      <w:r w:rsidRPr="00262910">
        <w:rPr>
          <w:lang w:val="fr-FR"/>
        </w:rPr>
        <w:t xml:space="preserve">intervient </w:t>
      </w:r>
      <w:r>
        <w:rPr>
          <w:lang w:val="fr-FR"/>
        </w:rPr>
        <w:t xml:space="preserve">dans ce cadre pour fournir des conseils et discuter </w:t>
      </w:r>
      <w:r w:rsidRPr="00262910">
        <w:rPr>
          <w:lang w:val="fr-FR"/>
        </w:rPr>
        <w:t xml:space="preserve">les questions </w:t>
      </w:r>
      <w:r>
        <w:rPr>
          <w:lang w:val="fr-FR"/>
        </w:rPr>
        <w:t xml:space="preserve">en lien avec </w:t>
      </w:r>
      <w:r w:rsidRPr="00262910">
        <w:rPr>
          <w:lang w:val="fr-FR"/>
        </w:rPr>
        <w:t xml:space="preserve">la violence et </w:t>
      </w:r>
      <w:r>
        <w:rPr>
          <w:lang w:val="fr-FR"/>
        </w:rPr>
        <w:t xml:space="preserve">les </w:t>
      </w:r>
      <w:r w:rsidRPr="00262910">
        <w:rPr>
          <w:lang w:val="fr-FR"/>
        </w:rPr>
        <w:t xml:space="preserve">abus sexuels contre les enfants dans la communauté </w:t>
      </w:r>
      <w:r>
        <w:rPr>
          <w:lang w:val="fr-FR"/>
        </w:rPr>
        <w:t>sâme</w:t>
      </w:r>
      <w:r w:rsidRPr="00262910">
        <w:rPr>
          <w:lang w:val="fr-FR"/>
        </w:rPr>
        <w:t xml:space="preserve">. </w:t>
      </w:r>
      <w:r>
        <w:rPr>
          <w:lang w:val="fr-FR"/>
        </w:rPr>
        <w:t xml:space="preserve">La </w:t>
      </w:r>
      <w:r w:rsidRPr="00262910">
        <w:rPr>
          <w:lang w:val="fr-FR"/>
        </w:rPr>
        <w:t xml:space="preserve">police a </w:t>
      </w:r>
      <w:r>
        <w:rPr>
          <w:lang w:val="fr-FR"/>
        </w:rPr>
        <w:t xml:space="preserve">tenté de nouer des </w:t>
      </w:r>
      <w:r w:rsidRPr="00262910">
        <w:rPr>
          <w:lang w:val="fr-FR"/>
        </w:rPr>
        <w:t>contact</w:t>
      </w:r>
      <w:r>
        <w:rPr>
          <w:lang w:val="fr-FR"/>
        </w:rPr>
        <w:t xml:space="preserve">s du même ordre </w:t>
      </w:r>
      <w:r w:rsidRPr="00262910">
        <w:rPr>
          <w:lang w:val="fr-FR"/>
        </w:rPr>
        <w:t xml:space="preserve">avec la congrégation religieuse </w:t>
      </w:r>
      <w:r>
        <w:rPr>
          <w:lang w:val="fr-FR"/>
        </w:rPr>
        <w:t>laestadienne</w:t>
      </w:r>
      <w:r w:rsidRPr="00262910">
        <w:rPr>
          <w:lang w:val="fr-FR"/>
        </w:rPr>
        <w:t xml:space="preserve"> </w:t>
      </w:r>
      <w:r>
        <w:rPr>
          <w:lang w:val="fr-FR"/>
        </w:rPr>
        <w:t xml:space="preserve">étant donné que dans de nombreuses affaires ayant donné lieu à une enquête il est apparu qu’elle jouait un </w:t>
      </w:r>
      <w:r w:rsidRPr="00262910">
        <w:rPr>
          <w:lang w:val="fr-FR"/>
        </w:rPr>
        <w:t xml:space="preserve">rôle central dans la communauté. </w:t>
      </w:r>
      <w:r>
        <w:rPr>
          <w:lang w:val="fr-FR"/>
        </w:rPr>
        <w:t xml:space="preserve">Nouer de tels </w:t>
      </w:r>
      <w:r w:rsidRPr="00262910">
        <w:rPr>
          <w:lang w:val="fr-FR"/>
        </w:rPr>
        <w:t>contact</w:t>
      </w:r>
      <w:r>
        <w:rPr>
          <w:lang w:val="fr-FR"/>
        </w:rPr>
        <w:t xml:space="preserve">s s’est révélé ardu car </w:t>
      </w:r>
      <w:r w:rsidRPr="00262910">
        <w:rPr>
          <w:lang w:val="fr-FR"/>
        </w:rPr>
        <w:t xml:space="preserve">cette </w:t>
      </w:r>
      <w:r>
        <w:rPr>
          <w:lang w:val="fr-FR"/>
        </w:rPr>
        <w:t xml:space="preserve">congrégation ne s’intéressait guère à </w:t>
      </w:r>
      <w:r w:rsidRPr="00262910">
        <w:rPr>
          <w:lang w:val="fr-FR"/>
        </w:rPr>
        <w:t xml:space="preserve">une coopération </w:t>
      </w:r>
      <w:r>
        <w:rPr>
          <w:lang w:val="fr-FR"/>
        </w:rPr>
        <w:t xml:space="preserve">officielle </w:t>
      </w:r>
      <w:r w:rsidRPr="00262910">
        <w:rPr>
          <w:lang w:val="fr-FR"/>
        </w:rPr>
        <w:t>avec la police</w:t>
      </w:r>
      <w:r w:rsidRPr="009D017D">
        <w:rPr>
          <w:lang w:val="fr-FR"/>
        </w:rPr>
        <w:t xml:space="preserve"> au début</w:t>
      </w:r>
      <w:r>
        <w:rPr>
          <w:lang w:val="fr-FR"/>
        </w:rPr>
        <w:t xml:space="preserve">, mais la </w:t>
      </w:r>
      <w:r w:rsidRPr="00262910">
        <w:rPr>
          <w:lang w:val="fr-FR"/>
        </w:rPr>
        <w:t xml:space="preserve">situation a </w:t>
      </w:r>
      <w:r>
        <w:rPr>
          <w:lang w:val="fr-FR"/>
        </w:rPr>
        <w:t xml:space="preserve">évolué ces </w:t>
      </w:r>
      <w:r w:rsidRPr="00262910">
        <w:rPr>
          <w:lang w:val="fr-FR"/>
        </w:rPr>
        <w:t xml:space="preserve">six derniers mois et la police a maintenant établi </w:t>
      </w:r>
      <w:r w:rsidRPr="002E119B">
        <w:rPr>
          <w:lang w:val="fr-FR"/>
        </w:rPr>
        <w:t xml:space="preserve">avec la congrégation </w:t>
      </w:r>
      <w:r w:rsidRPr="00262910">
        <w:rPr>
          <w:lang w:val="fr-FR"/>
        </w:rPr>
        <w:t>une coopération</w:t>
      </w:r>
      <w:r>
        <w:rPr>
          <w:lang w:val="fr-FR"/>
        </w:rPr>
        <w:t xml:space="preserve"> qui augmentera </w:t>
      </w:r>
      <w:r w:rsidRPr="00262910">
        <w:rPr>
          <w:lang w:val="fr-FR"/>
        </w:rPr>
        <w:t>la possibilité d</w:t>
      </w:r>
      <w:r>
        <w:rPr>
          <w:lang w:val="fr-FR"/>
        </w:rPr>
        <w:t>’</w:t>
      </w:r>
      <w:r w:rsidRPr="00262910">
        <w:rPr>
          <w:lang w:val="fr-FR"/>
        </w:rPr>
        <w:t>atteindre davantage de personnes et de groupes dans la municipalité et jouera un rôle cl</w:t>
      </w:r>
      <w:r w:rsidR="009C2952">
        <w:rPr>
          <w:lang w:val="fr-FR"/>
        </w:rPr>
        <w:t>ef</w:t>
      </w:r>
      <w:r w:rsidRPr="00262910">
        <w:rPr>
          <w:lang w:val="fr-FR"/>
        </w:rPr>
        <w:t xml:space="preserve"> dans l</w:t>
      </w:r>
      <w:r>
        <w:rPr>
          <w:lang w:val="fr-FR"/>
        </w:rPr>
        <w:t xml:space="preserve">’action de </w:t>
      </w:r>
      <w:r w:rsidRPr="00262910">
        <w:rPr>
          <w:lang w:val="fr-FR"/>
        </w:rPr>
        <w:t>prévent</w:t>
      </w:r>
      <w:r>
        <w:rPr>
          <w:lang w:val="fr-FR"/>
        </w:rPr>
        <w:t>ion que mène l</w:t>
      </w:r>
      <w:r w:rsidRPr="00262910">
        <w:rPr>
          <w:lang w:val="fr-FR"/>
        </w:rPr>
        <w:t xml:space="preserve">a police </w:t>
      </w:r>
      <w:r>
        <w:rPr>
          <w:lang w:val="fr-FR"/>
        </w:rPr>
        <w:t>en vue d’</w:t>
      </w:r>
      <w:r w:rsidRPr="00262910">
        <w:rPr>
          <w:lang w:val="fr-FR"/>
        </w:rPr>
        <w:t>apporter la sécurité à la population de Tysfjord.</w:t>
      </w:r>
    </w:p>
    <w:p w:rsidR="001771B8" w:rsidRPr="00262910" w:rsidRDefault="001771B8" w:rsidP="001771B8">
      <w:pPr>
        <w:pStyle w:val="H1G"/>
        <w:rPr>
          <w:lang w:val="fr-FR"/>
        </w:rPr>
      </w:pPr>
      <w:r w:rsidRPr="00262910">
        <w:rPr>
          <w:lang w:val="fr-FR"/>
        </w:rPr>
        <w:tab/>
      </w:r>
      <w:r w:rsidRPr="00262910">
        <w:rPr>
          <w:lang w:val="fr-FR"/>
        </w:rPr>
        <w:tab/>
        <w:t>Réponse au paragraphe 24 d) de la liste de points</w:t>
      </w:r>
    </w:p>
    <w:p w:rsidR="001771B8" w:rsidRPr="00262910" w:rsidRDefault="001771B8" w:rsidP="001771B8">
      <w:pPr>
        <w:pStyle w:val="SingleTxtG"/>
        <w:rPr>
          <w:lang w:val="fr-FR"/>
        </w:rPr>
      </w:pPr>
      <w:r w:rsidRPr="00262910">
        <w:rPr>
          <w:lang w:val="fr-FR"/>
        </w:rPr>
        <w:t>188.</w:t>
      </w:r>
      <w:r w:rsidRPr="00262910">
        <w:rPr>
          <w:lang w:val="fr-FR"/>
        </w:rPr>
        <w:tab/>
      </w:r>
      <w:r w:rsidRPr="00E91884">
        <w:rPr>
          <w:lang w:val="fr-FR"/>
        </w:rPr>
        <w:t>Une personne</w:t>
      </w:r>
      <w:r w:rsidRPr="00EC4BDD">
        <w:rPr>
          <w:lang w:val="fr-FR"/>
        </w:rPr>
        <w:t xml:space="preserve"> de nationalité étrangère </w:t>
      </w:r>
      <w:r>
        <w:rPr>
          <w:lang w:val="fr-FR"/>
        </w:rPr>
        <w:t xml:space="preserve">qui a </w:t>
      </w:r>
      <w:r w:rsidRPr="00262910">
        <w:rPr>
          <w:lang w:val="fr-FR"/>
        </w:rPr>
        <w:t xml:space="preserve">obtenu un permis de séjour en </w:t>
      </w:r>
      <w:r>
        <w:rPr>
          <w:lang w:val="fr-FR"/>
        </w:rPr>
        <w:t xml:space="preserve">qualité de </w:t>
      </w:r>
      <w:r w:rsidRPr="00262910">
        <w:rPr>
          <w:lang w:val="fr-FR"/>
        </w:rPr>
        <w:t xml:space="preserve">conjoint ou </w:t>
      </w:r>
      <w:r>
        <w:rPr>
          <w:lang w:val="fr-FR"/>
        </w:rPr>
        <w:t xml:space="preserve">de </w:t>
      </w:r>
      <w:r w:rsidRPr="00262910">
        <w:rPr>
          <w:lang w:val="fr-FR"/>
        </w:rPr>
        <w:t>cohabitant d</w:t>
      </w:r>
      <w:r>
        <w:rPr>
          <w:lang w:val="fr-FR"/>
        </w:rPr>
        <w:t>’</w:t>
      </w:r>
      <w:r w:rsidRPr="00262910">
        <w:rPr>
          <w:lang w:val="fr-FR"/>
        </w:rPr>
        <w:t xml:space="preserve">un résident en Norvège </w:t>
      </w:r>
      <w:r>
        <w:rPr>
          <w:lang w:val="fr-FR"/>
        </w:rPr>
        <w:t xml:space="preserve">est </w:t>
      </w:r>
      <w:r w:rsidRPr="00262910">
        <w:rPr>
          <w:lang w:val="fr-FR"/>
        </w:rPr>
        <w:t xml:space="preserve">en principe </w:t>
      </w:r>
      <w:r>
        <w:rPr>
          <w:lang w:val="fr-FR"/>
        </w:rPr>
        <w:t xml:space="preserve">tenue de </w:t>
      </w:r>
      <w:r w:rsidRPr="00262910">
        <w:rPr>
          <w:lang w:val="fr-FR"/>
        </w:rPr>
        <w:t>re</w:t>
      </w:r>
      <w:r>
        <w:rPr>
          <w:lang w:val="fr-FR"/>
        </w:rPr>
        <w:t xml:space="preserve">ntrer dans son pays d’origine </w:t>
      </w:r>
      <w:r w:rsidRPr="00262910">
        <w:rPr>
          <w:lang w:val="fr-FR"/>
        </w:rPr>
        <w:t xml:space="preserve">si </w:t>
      </w:r>
      <w:r>
        <w:rPr>
          <w:lang w:val="fr-FR"/>
        </w:rPr>
        <w:t xml:space="preserve">cette </w:t>
      </w:r>
      <w:r w:rsidRPr="00262910">
        <w:rPr>
          <w:lang w:val="fr-FR"/>
        </w:rPr>
        <w:t xml:space="preserve">cohabitation </w:t>
      </w:r>
      <w:r>
        <w:rPr>
          <w:lang w:val="fr-FR"/>
        </w:rPr>
        <w:t xml:space="preserve">cesse </w:t>
      </w:r>
      <w:r w:rsidRPr="00262910">
        <w:rPr>
          <w:lang w:val="fr-FR"/>
        </w:rPr>
        <w:t>avant qu</w:t>
      </w:r>
      <w:r>
        <w:rPr>
          <w:lang w:val="fr-FR"/>
        </w:rPr>
        <w:t>’elle n’</w:t>
      </w:r>
      <w:r w:rsidRPr="00262910">
        <w:rPr>
          <w:lang w:val="fr-FR"/>
        </w:rPr>
        <w:t xml:space="preserve">ait obtenu un permis de séjour permanent en Norvège. </w:t>
      </w:r>
      <w:r>
        <w:rPr>
          <w:lang w:val="fr-FR"/>
        </w:rPr>
        <w:t xml:space="preserve">Les personnes immigrées </w:t>
      </w:r>
      <w:r w:rsidRPr="00262910">
        <w:rPr>
          <w:lang w:val="fr-FR"/>
        </w:rPr>
        <w:t xml:space="preserve">(hommes ou femmes) </w:t>
      </w:r>
      <w:r>
        <w:rPr>
          <w:lang w:val="fr-FR"/>
        </w:rPr>
        <w:t xml:space="preserve">victimes de </w:t>
      </w:r>
      <w:r w:rsidRPr="00262910">
        <w:rPr>
          <w:lang w:val="fr-FR"/>
        </w:rPr>
        <w:t xml:space="preserve">violence dans </w:t>
      </w:r>
      <w:r>
        <w:rPr>
          <w:lang w:val="fr-FR"/>
        </w:rPr>
        <w:t xml:space="preserve">leur cadre familial </w:t>
      </w:r>
      <w:r w:rsidRPr="00262910">
        <w:rPr>
          <w:lang w:val="fr-FR"/>
        </w:rPr>
        <w:t xml:space="preserve">ont </w:t>
      </w:r>
      <w:r>
        <w:rPr>
          <w:lang w:val="fr-FR"/>
        </w:rPr>
        <w:t xml:space="preserve">quant à elles </w:t>
      </w:r>
      <w:r w:rsidRPr="00262910">
        <w:rPr>
          <w:lang w:val="fr-FR"/>
        </w:rPr>
        <w:t xml:space="preserve">le droit de continuer à résider </w:t>
      </w:r>
      <w:r>
        <w:rPr>
          <w:lang w:val="fr-FR"/>
        </w:rPr>
        <w:t xml:space="preserve">en Norvège même après la dissolution du </w:t>
      </w:r>
      <w:r w:rsidRPr="00262910">
        <w:rPr>
          <w:lang w:val="fr-FR"/>
        </w:rPr>
        <w:t xml:space="preserve">mariage. </w:t>
      </w:r>
      <w:r>
        <w:rPr>
          <w:lang w:val="fr-FR"/>
        </w:rPr>
        <w:t xml:space="preserve">En 2018, cette </w:t>
      </w:r>
      <w:r w:rsidRPr="00262910">
        <w:rPr>
          <w:lang w:val="fr-FR"/>
        </w:rPr>
        <w:t xml:space="preserve">disposition </w:t>
      </w:r>
      <w:r>
        <w:rPr>
          <w:lang w:val="fr-FR"/>
        </w:rPr>
        <w:t>a é</w:t>
      </w:r>
      <w:r w:rsidRPr="00262910">
        <w:rPr>
          <w:lang w:val="fr-FR"/>
        </w:rPr>
        <w:t xml:space="preserve">té </w:t>
      </w:r>
      <w:r>
        <w:rPr>
          <w:lang w:val="fr-FR"/>
        </w:rPr>
        <w:t xml:space="preserve">élargie à la maltraitance </w:t>
      </w:r>
      <w:r w:rsidRPr="00262910">
        <w:rPr>
          <w:lang w:val="fr-FR"/>
        </w:rPr>
        <w:t>par des personnes autres que le partenaire du demandeur, y compris l</w:t>
      </w:r>
      <w:r>
        <w:rPr>
          <w:lang w:val="fr-FR"/>
        </w:rPr>
        <w:t xml:space="preserve">es membres de la belle-famille, afin qu’une personne </w:t>
      </w:r>
      <w:r w:rsidRPr="00262910">
        <w:rPr>
          <w:lang w:val="fr-FR"/>
        </w:rPr>
        <w:t>titulaire d</w:t>
      </w:r>
      <w:r>
        <w:rPr>
          <w:lang w:val="fr-FR"/>
        </w:rPr>
        <w:t>’</w:t>
      </w:r>
      <w:r w:rsidRPr="00262910">
        <w:rPr>
          <w:lang w:val="fr-FR"/>
        </w:rPr>
        <w:t xml:space="preserve">un permis de séjour </w:t>
      </w:r>
      <w:r>
        <w:rPr>
          <w:lang w:val="fr-FR"/>
        </w:rPr>
        <w:t xml:space="preserve">en tant que personne à </w:t>
      </w:r>
      <w:r w:rsidRPr="00262910">
        <w:rPr>
          <w:lang w:val="fr-FR"/>
        </w:rPr>
        <w:t>charge n</w:t>
      </w:r>
      <w:r>
        <w:rPr>
          <w:lang w:val="fr-FR"/>
        </w:rPr>
        <w:t xml:space="preserve">’ait pas à choisir entre </w:t>
      </w:r>
      <w:r w:rsidRPr="00262910">
        <w:rPr>
          <w:lang w:val="fr-FR"/>
        </w:rPr>
        <w:t>quitter la Norvège ou rester dans un</w:t>
      </w:r>
      <w:r>
        <w:rPr>
          <w:lang w:val="fr-FR"/>
        </w:rPr>
        <w:t xml:space="preserve"> cadre </w:t>
      </w:r>
      <w:r w:rsidRPr="00262910">
        <w:rPr>
          <w:lang w:val="fr-FR"/>
        </w:rPr>
        <w:t>familial</w:t>
      </w:r>
      <w:r>
        <w:rPr>
          <w:lang w:val="fr-FR"/>
        </w:rPr>
        <w:t xml:space="preserve"> </w:t>
      </w:r>
      <w:r w:rsidRPr="00262910">
        <w:rPr>
          <w:lang w:val="fr-FR"/>
        </w:rPr>
        <w:t xml:space="preserve">violent. </w:t>
      </w:r>
      <w:r>
        <w:rPr>
          <w:lang w:val="fr-FR"/>
        </w:rPr>
        <w:t xml:space="preserve">Il est procédé à une évaluation globale de la situation de </w:t>
      </w:r>
      <w:r w:rsidRPr="00262910">
        <w:rPr>
          <w:lang w:val="fr-FR"/>
        </w:rPr>
        <w:t>violence</w:t>
      </w:r>
      <w:r>
        <w:rPr>
          <w:lang w:val="fr-FR"/>
        </w:rPr>
        <w:t xml:space="preserve">, qui </w:t>
      </w:r>
      <w:r w:rsidRPr="00262910">
        <w:rPr>
          <w:lang w:val="fr-FR"/>
        </w:rPr>
        <w:t>peut être physique ou psychologique (menaces de violence</w:t>
      </w:r>
      <w:r>
        <w:rPr>
          <w:lang w:val="fr-FR"/>
        </w:rPr>
        <w:t xml:space="preserve"> par exemple</w:t>
      </w:r>
      <w:r w:rsidRPr="00262910">
        <w:rPr>
          <w:lang w:val="fr-FR"/>
        </w:rPr>
        <w:t xml:space="preserve">). </w:t>
      </w:r>
      <w:r w:rsidRPr="003560F3">
        <w:rPr>
          <w:lang w:val="fr-FR"/>
        </w:rPr>
        <w:t xml:space="preserve">Le niveau de preuve exigé en cas </w:t>
      </w:r>
      <w:r w:rsidRPr="00262910">
        <w:rPr>
          <w:lang w:val="fr-FR"/>
        </w:rPr>
        <w:t xml:space="preserve">de </w:t>
      </w:r>
      <w:r>
        <w:rPr>
          <w:lang w:val="fr-FR"/>
        </w:rPr>
        <w:t xml:space="preserve">maltraitance </w:t>
      </w:r>
      <w:r w:rsidRPr="00262910">
        <w:rPr>
          <w:lang w:val="fr-FR"/>
        </w:rPr>
        <w:t>est faible. L</w:t>
      </w:r>
      <w:r>
        <w:rPr>
          <w:lang w:val="fr-FR"/>
        </w:rPr>
        <w:t xml:space="preserve">es </w:t>
      </w:r>
      <w:r w:rsidRPr="00262910">
        <w:rPr>
          <w:lang w:val="fr-FR"/>
        </w:rPr>
        <w:t>explication</w:t>
      </w:r>
      <w:r>
        <w:rPr>
          <w:lang w:val="fr-FR"/>
        </w:rPr>
        <w:t xml:space="preserve">s apportées par le </w:t>
      </w:r>
      <w:r w:rsidRPr="00262910">
        <w:rPr>
          <w:lang w:val="fr-FR"/>
        </w:rPr>
        <w:t xml:space="preserve">demandeur </w:t>
      </w:r>
      <w:r>
        <w:rPr>
          <w:lang w:val="fr-FR"/>
        </w:rPr>
        <w:t xml:space="preserve">sont déterminantes dans la prise de </w:t>
      </w:r>
      <w:r w:rsidRPr="00262910">
        <w:rPr>
          <w:lang w:val="fr-FR"/>
        </w:rPr>
        <w:t>décision</w:t>
      </w:r>
      <w:r w:rsidR="00441C0E">
        <w:rPr>
          <w:lang w:val="fr-FR"/>
        </w:rPr>
        <w:t>s</w:t>
      </w:r>
      <w:r w:rsidRPr="00262910">
        <w:rPr>
          <w:lang w:val="fr-FR"/>
        </w:rPr>
        <w:t xml:space="preserve"> </w:t>
      </w:r>
      <w:r>
        <w:rPr>
          <w:lang w:val="fr-FR"/>
        </w:rPr>
        <w:t xml:space="preserve">par les </w:t>
      </w:r>
      <w:r w:rsidRPr="00262910">
        <w:rPr>
          <w:lang w:val="fr-FR"/>
        </w:rPr>
        <w:t>autorités de l</w:t>
      </w:r>
      <w:r>
        <w:rPr>
          <w:lang w:val="fr-FR"/>
        </w:rPr>
        <w:t>’</w:t>
      </w:r>
      <w:r w:rsidRPr="00262910">
        <w:rPr>
          <w:lang w:val="fr-FR"/>
        </w:rPr>
        <w:t xml:space="preserve">immigration. </w:t>
      </w:r>
      <w:r>
        <w:rPr>
          <w:lang w:val="fr-FR"/>
        </w:rPr>
        <w:t xml:space="preserve">La </w:t>
      </w:r>
      <w:r w:rsidRPr="00262910">
        <w:rPr>
          <w:lang w:val="fr-FR"/>
        </w:rPr>
        <w:t xml:space="preserve">police </w:t>
      </w:r>
      <w:r>
        <w:rPr>
          <w:lang w:val="fr-FR"/>
        </w:rPr>
        <w:t xml:space="preserve">est donc tenue de veiller à ce qu’un </w:t>
      </w:r>
      <w:r w:rsidRPr="00262910">
        <w:rPr>
          <w:lang w:val="fr-FR"/>
        </w:rPr>
        <w:t xml:space="preserve">interprète qualifié </w:t>
      </w:r>
      <w:r>
        <w:rPr>
          <w:lang w:val="fr-FR"/>
        </w:rPr>
        <w:t>soit présent lors de l’audition du demandeur</w:t>
      </w:r>
      <w:r w:rsidRPr="00262910">
        <w:rPr>
          <w:lang w:val="fr-FR"/>
        </w:rPr>
        <w:t>.</w:t>
      </w:r>
    </w:p>
    <w:p w:rsidR="001771B8" w:rsidRPr="00262910" w:rsidRDefault="001771B8" w:rsidP="001771B8">
      <w:pPr>
        <w:pStyle w:val="H1G"/>
        <w:rPr>
          <w:lang w:val="fr-FR"/>
        </w:rPr>
      </w:pPr>
      <w:r w:rsidRPr="00262910">
        <w:rPr>
          <w:lang w:val="fr-FR"/>
        </w:rPr>
        <w:tab/>
      </w:r>
      <w:r w:rsidRPr="00262910">
        <w:rPr>
          <w:lang w:val="fr-FR"/>
        </w:rPr>
        <w:tab/>
      </w:r>
      <w:r w:rsidRPr="00D37055">
        <w:rPr>
          <w:lang w:val="fr-FR"/>
        </w:rPr>
        <w:t>Réponse au paragraphe</w:t>
      </w:r>
      <w:r w:rsidRPr="00262910">
        <w:rPr>
          <w:lang w:val="fr-FR"/>
        </w:rPr>
        <w:t xml:space="preserve"> 24 e) de la liste de points</w:t>
      </w:r>
    </w:p>
    <w:p w:rsidR="001771B8" w:rsidRPr="00262910" w:rsidRDefault="001771B8" w:rsidP="001771B8">
      <w:pPr>
        <w:pStyle w:val="SingleTxtG"/>
        <w:rPr>
          <w:lang w:val="fr-FR"/>
        </w:rPr>
      </w:pPr>
      <w:r w:rsidRPr="00262910">
        <w:rPr>
          <w:lang w:val="fr-FR"/>
        </w:rPr>
        <w:t>189.</w:t>
      </w:r>
      <w:r w:rsidRPr="00262910">
        <w:rPr>
          <w:lang w:val="fr-FR"/>
        </w:rPr>
        <w:tab/>
      </w:r>
      <w:r w:rsidRPr="00B9776E">
        <w:rPr>
          <w:lang w:val="fr-FR"/>
        </w:rPr>
        <w:t>La prévention</w:t>
      </w:r>
      <w:r w:rsidRPr="00262910">
        <w:rPr>
          <w:lang w:val="fr-FR"/>
        </w:rPr>
        <w:t xml:space="preserve"> du contrôle social négatif, du mariage forcé et des mutilations génitales féminines est une priorité politique </w:t>
      </w:r>
      <w:r>
        <w:rPr>
          <w:lang w:val="fr-FR"/>
        </w:rPr>
        <w:t xml:space="preserve">en </w:t>
      </w:r>
      <w:r w:rsidRPr="00262910">
        <w:rPr>
          <w:lang w:val="fr-FR"/>
        </w:rPr>
        <w:t>Norvège. Les plans d</w:t>
      </w:r>
      <w:r>
        <w:rPr>
          <w:lang w:val="fr-FR"/>
        </w:rPr>
        <w:t>’</w:t>
      </w:r>
      <w:r w:rsidRPr="00262910">
        <w:rPr>
          <w:lang w:val="fr-FR"/>
        </w:rPr>
        <w:t xml:space="preserve">action </w:t>
      </w:r>
      <w:r>
        <w:rPr>
          <w:lang w:val="fr-FR"/>
        </w:rPr>
        <w:t>qui se sont succédé c</w:t>
      </w:r>
      <w:r w:rsidRPr="00262910">
        <w:rPr>
          <w:lang w:val="fr-FR"/>
        </w:rPr>
        <w:t xml:space="preserve">es </w:t>
      </w:r>
      <w:r w:rsidR="00441C0E">
        <w:rPr>
          <w:lang w:val="fr-FR"/>
        </w:rPr>
        <w:t>vingt</w:t>
      </w:r>
      <w:r w:rsidRPr="00262910">
        <w:rPr>
          <w:lang w:val="fr-FR"/>
        </w:rPr>
        <w:t xml:space="preserve"> dernières années ont </w:t>
      </w:r>
      <w:r>
        <w:rPr>
          <w:lang w:val="fr-FR"/>
        </w:rPr>
        <w:t xml:space="preserve">débouché sur </w:t>
      </w:r>
      <w:r w:rsidRPr="00262910">
        <w:rPr>
          <w:lang w:val="fr-FR"/>
        </w:rPr>
        <w:t xml:space="preserve">un </w:t>
      </w:r>
      <w:r>
        <w:rPr>
          <w:lang w:val="fr-FR"/>
        </w:rPr>
        <w:t xml:space="preserve">dispositif de </w:t>
      </w:r>
      <w:r w:rsidRPr="00262910">
        <w:rPr>
          <w:lang w:val="fr-FR"/>
        </w:rPr>
        <w:t xml:space="preserve">mesures </w:t>
      </w:r>
      <w:r>
        <w:rPr>
          <w:lang w:val="fr-FR"/>
        </w:rPr>
        <w:t xml:space="preserve">destinées </w:t>
      </w:r>
      <w:r w:rsidRPr="00262910">
        <w:rPr>
          <w:lang w:val="fr-FR"/>
        </w:rPr>
        <w:t>à prévenir</w:t>
      </w:r>
      <w:r w:rsidRPr="008E2D2A">
        <w:rPr>
          <w:lang w:val="fr-FR"/>
        </w:rPr>
        <w:t xml:space="preserve"> ces pratiques</w:t>
      </w:r>
      <w:r>
        <w:rPr>
          <w:lang w:val="fr-FR"/>
        </w:rPr>
        <w:t xml:space="preserve"> ainsi qu’à </w:t>
      </w:r>
      <w:r w:rsidRPr="00262910">
        <w:rPr>
          <w:lang w:val="fr-FR"/>
        </w:rPr>
        <w:t>protéger, soutenir et soigner les victimes. Le plan d</w:t>
      </w:r>
      <w:r>
        <w:rPr>
          <w:lang w:val="fr-FR"/>
        </w:rPr>
        <w:t>’</w:t>
      </w:r>
      <w:r w:rsidRPr="00262910">
        <w:rPr>
          <w:lang w:val="fr-FR"/>
        </w:rPr>
        <w:t xml:space="preserve">action </w:t>
      </w:r>
      <w:r>
        <w:rPr>
          <w:lang w:val="fr-FR"/>
        </w:rPr>
        <w:t xml:space="preserve">en cours </w:t>
      </w:r>
      <w:r w:rsidRPr="00262910">
        <w:rPr>
          <w:lang w:val="fr-FR"/>
        </w:rPr>
        <w:t xml:space="preserve">(2017-2020) </w:t>
      </w:r>
      <w:r>
        <w:rPr>
          <w:lang w:val="fr-FR"/>
        </w:rPr>
        <w:t>fixe c</w:t>
      </w:r>
      <w:r w:rsidRPr="00262910">
        <w:rPr>
          <w:lang w:val="fr-FR"/>
        </w:rPr>
        <w:t>inq domaines d</w:t>
      </w:r>
      <w:r>
        <w:rPr>
          <w:lang w:val="fr-FR"/>
        </w:rPr>
        <w:t>’</w:t>
      </w:r>
      <w:r w:rsidRPr="00262910">
        <w:rPr>
          <w:lang w:val="fr-FR"/>
        </w:rPr>
        <w:t>action prioritaires</w:t>
      </w:r>
      <w:r w:rsidR="00441C0E">
        <w:rPr>
          <w:lang w:val="fr-FR"/>
        </w:rPr>
        <w:t> </w:t>
      </w:r>
      <w:r w:rsidRPr="00262910">
        <w:rPr>
          <w:lang w:val="fr-FR"/>
        </w:rPr>
        <w:t>: renforcer la protection juridique des personnes vulnérables</w:t>
      </w:r>
      <w:r>
        <w:rPr>
          <w:lang w:val="fr-FR"/>
        </w:rPr>
        <w:t> ;</w:t>
      </w:r>
      <w:r w:rsidRPr="00262910">
        <w:rPr>
          <w:lang w:val="fr-FR"/>
        </w:rPr>
        <w:t xml:space="preserve"> renforcer l</w:t>
      </w:r>
      <w:r>
        <w:rPr>
          <w:lang w:val="fr-FR"/>
        </w:rPr>
        <w:t>’</w:t>
      </w:r>
      <w:r w:rsidRPr="00262910">
        <w:rPr>
          <w:lang w:val="fr-FR"/>
        </w:rPr>
        <w:t>a</w:t>
      </w:r>
      <w:r>
        <w:rPr>
          <w:lang w:val="fr-FR"/>
        </w:rPr>
        <w:t xml:space="preserve">ide </w:t>
      </w:r>
      <w:r w:rsidRPr="00262910">
        <w:rPr>
          <w:lang w:val="fr-FR"/>
        </w:rPr>
        <w:t>aux personnes qui rompent le</w:t>
      </w:r>
      <w:r>
        <w:rPr>
          <w:lang w:val="fr-FR"/>
        </w:rPr>
        <w:t>s</w:t>
      </w:r>
      <w:r w:rsidRPr="00262910">
        <w:rPr>
          <w:lang w:val="fr-FR"/>
        </w:rPr>
        <w:t xml:space="preserve"> contact</w:t>
      </w:r>
      <w:r>
        <w:rPr>
          <w:lang w:val="fr-FR"/>
        </w:rPr>
        <w:t>s</w:t>
      </w:r>
      <w:r w:rsidRPr="00262910">
        <w:rPr>
          <w:lang w:val="fr-FR"/>
        </w:rPr>
        <w:t xml:space="preserve"> avec leur famille et leur </w:t>
      </w:r>
      <w:r>
        <w:rPr>
          <w:lang w:val="fr-FR"/>
        </w:rPr>
        <w:t xml:space="preserve">entourage ; faire évoluer les </w:t>
      </w:r>
      <w:r w:rsidRPr="00262910">
        <w:rPr>
          <w:lang w:val="fr-FR"/>
        </w:rPr>
        <w:t>attitudes et les pratiques dans les communautés concernées</w:t>
      </w:r>
      <w:r>
        <w:rPr>
          <w:lang w:val="fr-FR"/>
        </w:rPr>
        <w:t> ;</w:t>
      </w:r>
      <w:r w:rsidRPr="00262910">
        <w:rPr>
          <w:lang w:val="fr-FR"/>
        </w:rPr>
        <w:t xml:space="preserve"> améliorer les connaissances dans les services de soutien</w:t>
      </w:r>
      <w:r>
        <w:rPr>
          <w:lang w:val="fr-FR"/>
        </w:rPr>
        <w:t xml:space="preserve"> ; </w:t>
      </w:r>
      <w:r w:rsidRPr="00262910">
        <w:rPr>
          <w:lang w:val="fr-FR"/>
        </w:rPr>
        <w:t>renforcer la recherche et le partage d</w:t>
      </w:r>
      <w:r>
        <w:rPr>
          <w:lang w:val="fr-FR"/>
        </w:rPr>
        <w:t>es connaissances</w:t>
      </w:r>
      <w:r w:rsidRPr="00262910">
        <w:rPr>
          <w:lang w:val="fr-FR"/>
        </w:rPr>
        <w:t xml:space="preserve">. La prévention du contrôle social négatif est </w:t>
      </w:r>
      <w:r>
        <w:rPr>
          <w:lang w:val="fr-FR"/>
        </w:rPr>
        <w:t xml:space="preserve">aussi </w:t>
      </w:r>
      <w:r w:rsidRPr="00262910">
        <w:rPr>
          <w:lang w:val="fr-FR"/>
        </w:rPr>
        <w:t xml:space="preserve">une des </w:t>
      </w:r>
      <w:r>
        <w:rPr>
          <w:lang w:val="fr-FR"/>
        </w:rPr>
        <w:t xml:space="preserve">grandes </w:t>
      </w:r>
      <w:r w:rsidRPr="00262910">
        <w:rPr>
          <w:lang w:val="fr-FR"/>
        </w:rPr>
        <w:t xml:space="preserve">priorités de la stratégie </w:t>
      </w:r>
      <w:r>
        <w:rPr>
          <w:lang w:val="fr-FR"/>
        </w:rPr>
        <w:t>g</w:t>
      </w:r>
      <w:r w:rsidRPr="00262910">
        <w:rPr>
          <w:lang w:val="fr-FR"/>
        </w:rPr>
        <w:t>ouvernement</w:t>
      </w:r>
      <w:r>
        <w:rPr>
          <w:lang w:val="fr-FR"/>
        </w:rPr>
        <w:t>ale en faveur de l’</w:t>
      </w:r>
      <w:r w:rsidRPr="008E2D2A">
        <w:rPr>
          <w:lang w:val="fr-FR"/>
        </w:rPr>
        <w:t>intégration</w:t>
      </w:r>
      <w:r w:rsidRPr="00262910">
        <w:rPr>
          <w:lang w:val="fr-FR"/>
        </w:rPr>
        <w:t xml:space="preserve"> (2019-2022).</w:t>
      </w:r>
    </w:p>
    <w:p w:rsidR="001771B8" w:rsidRPr="00262910" w:rsidRDefault="001771B8" w:rsidP="001771B8">
      <w:pPr>
        <w:pStyle w:val="H1G"/>
        <w:rPr>
          <w:lang w:val="fr-FR"/>
        </w:rPr>
      </w:pPr>
      <w:r w:rsidRPr="00262910">
        <w:rPr>
          <w:lang w:val="fr-FR"/>
        </w:rPr>
        <w:tab/>
      </w:r>
      <w:r w:rsidRPr="00262910">
        <w:rPr>
          <w:lang w:val="fr-FR"/>
        </w:rPr>
        <w:tab/>
      </w:r>
      <w:r w:rsidRPr="0000241D">
        <w:rPr>
          <w:lang w:val="fr-FR"/>
        </w:rPr>
        <w:t>Réponse au paragraphe 25 de la liste de points</w:t>
      </w:r>
    </w:p>
    <w:p w:rsidR="001771B8" w:rsidRPr="00262910" w:rsidRDefault="001771B8" w:rsidP="001771B8">
      <w:pPr>
        <w:pStyle w:val="SingleTxtG"/>
        <w:rPr>
          <w:lang w:val="fr-FR"/>
        </w:rPr>
      </w:pPr>
      <w:r w:rsidRPr="00262910">
        <w:rPr>
          <w:lang w:val="fr-FR"/>
        </w:rPr>
        <w:t>190.</w:t>
      </w:r>
      <w:r w:rsidRPr="00262910">
        <w:rPr>
          <w:lang w:val="fr-FR"/>
        </w:rPr>
        <w:tab/>
        <w:t>L</w:t>
      </w:r>
      <w:r>
        <w:rPr>
          <w:lang w:val="fr-FR"/>
        </w:rPr>
        <w:t>’application de la S</w:t>
      </w:r>
      <w:r w:rsidRPr="00262910">
        <w:rPr>
          <w:lang w:val="fr-FR"/>
        </w:rPr>
        <w:t xml:space="preserve">tratégie gouvernementale en faveur des enfants vivant dans la pauvreté (2015-2017) a </w:t>
      </w:r>
      <w:r>
        <w:rPr>
          <w:lang w:val="fr-FR"/>
        </w:rPr>
        <w:t xml:space="preserve">largement </w:t>
      </w:r>
      <w:r w:rsidRPr="00262910">
        <w:rPr>
          <w:lang w:val="fr-FR"/>
        </w:rPr>
        <w:t>donné suite aux précédentes recommandations du Comité.</w:t>
      </w:r>
    </w:p>
    <w:p w:rsidR="001771B8" w:rsidRPr="00262910" w:rsidRDefault="001771B8" w:rsidP="001771B8">
      <w:pPr>
        <w:pStyle w:val="SingleTxtG"/>
        <w:rPr>
          <w:lang w:val="fr-FR"/>
        </w:rPr>
      </w:pPr>
      <w:r w:rsidRPr="00262910">
        <w:rPr>
          <w:lang w:val="fr-FR"/>
        </w:rPr>
        <w:t>191.</w:t>
      </w:r>
      <w:r w:rsidRPr="00262910">
        <w:rPr>
          <w:lang w:val="fr-FR"/>
        </w:rPr>
        <w:tab/>
      </w:r>
      <w:r w:rsidRPr="00F0755C">
        <w:rPr>
          <w:lang w:val="fr-FR"/>
        </w:rPr>
        <w:t>La Stratégie a servi</w:t>
      </w:r>
      <w:r>
        <w:rPr>
          <w:lang w:val="fr-FR"/>
        </w:rPr>
        <w:t xml:space="preserve"> de cadre à l’application de </w:t>
      </w:r>
      <w:r w:rsidRPr="004149FC">
        <w:rPr>
          <w:lang w:val="fr-FR"/>
        </w:rPr>
        <w:t xml:space="preserve">64 mesures dans </w:t>
      </w:r>
      <w:r w:rsidR="00441C0E">
        <w:rPr>
          <w:lang w:val="fr-FR"/>
        </w:rPr>
        <w:t>six</w:t>
      </w:r>
      <w:r w:rsidRPr="004149FC">
        <w:rPr>
          <w:lang w:val="fr-FR"/>
        </w:rPr>
        <w:t xml:space="preserve"> domaines cl</w:t>
      </w:r>
      <w:r w:rsidR="00441C0E">
        <w:rPr>
          <w:lang w:val="fr-FR"/>
        </w:rPr>
        <w:t>ef</w:t>
      </w:r>
      <w:r w:rsidRPr="004149FC">
        <w:rPr>
          <w:lang w:val="fr-FR"/>
        </w:rPr>
        <w:t>s</w:t>
      </w:r>
      <w:r w:rsidR="00441C0E">
        <w:rPr>
          <w:lang w:val="fr-FR"/>
        </w:rPr>
        <w:t> </w:t>
      </w:r>
      <w:r w:rsidRPr="004149FC">
        <w:rPr>
          <w:lang w:val="fr-FR"/>
        </w:rPr>
        <w:t>: famille</w:t>
      </w:r>
      <w:r>
        <w:rPr>
          <w:lang w:val="fr-FR"/>
        </w:rPr>
        <w:t> ;</w:t>
      </w:r>
      <w:r w:rsidRPr="004149FC">
        <w:rPr>
          <w:lang w:val="fr-FR"/>
        </w:rPr>
        <w:t xml:space="preserve"> santé</w:t>
      </w:r>
      <w:r>
        <w:rPr>
          <w:lang w:val="fr-FR"/>
        </w:rPr>
        <w:t xml:space="preserve"> ; </w:t>
      </w:r>
      <w:r w:rsidRPr="004149FC">
        <w:rPr>
          <w:lang w:val="fr-FR"/>
        </w:rPr>
        <w:t>éducation</w:t>
      </w:r>
      <w:r>
        <w:rPr>
          <w:lang w:val="fr-FR"/>
        </w:rPr>
        <w:t xml:space="preserve"> ; </w:t>
      </w:r>
      <w:r w:rsidRPr="004149FC">
        <w:rPr>
          <w:lang w:val="fr-FR"/>
        </w:rPr>
        <w:t>loisirs et participation</w:t>
      </w:r>
      <w:r>
        <w:rPr>
          <w:lang w:val="fr-FR"/>
        </w:rPr>
        <w:t xml:space="preserve"> ; </w:t>
      </w:r>
      <w:r w:rsidRPr="004149FC">
        <w:rPr>
          <w:lang w:val="fr-FR"/>
        </w:rPr>
        <w:t>emploi</w:t>
      </w:r>
      <w:r>
        <w:rPr>
          <w:lang w:val="fr-FR"/>
        </w:rPr>
        <w:t xml:space="preserve"> ; </w:t>
      </w:r>
      <w:r w:rsidRPr="004149FC">
        <w:rPr>
          <w:lang w:val="fr-FR"/>
        </w:rPr>
        <w:t>recherche et données. Ces mesures s</w:t>
      </w:r>
      <w:r>
        <w:rPr>
          <w:lang w:val="fr-FR"/>
        </w:rPr>
        <w:t>’</w:t>
      </w:r>
      <w:r w:rsidRPr="004149FC">
        <w:rPr>
          <w:lang w:val="fr-FR"/>
        </w:rPr>
        <w:t>ajoute</w:t>
      </w:r>
      <w:r>
        <w:rPr>
          <w:lang w:val="fr-FR"/>
        </w:rPr>
        <w:t>nt</w:t>
      </w:r>
      <w:r w:rsidRPr="004149FC">
        <w:rPr>
          <w:lang w:val="fr-FR"/>
        </w:rPr>
        <w:t xml:space="preserve"> aux services sociaux universels déjà </w:t>
      </w:r>
      <w:r>
        <w:rPr>
          <w:lang w:val="fr-FR"/>
        </w:rPr>
        <w:t>en place</w:t>
      </w:r>
      <w:r w:rsidRPr="004149FC">
        <w:rPr>
          <w:lang w:val="fr-FR"/>
        </w:rPr>
        <w:t xml:space="preserve">, </w:t>
      </w:r>
      <w:r>
        <w:rPr>
          <w:lang w:val="fr-FR"/>
        </w:rPr>
        <w:t xml:space="preserve">à savoir </w:t>
      </w:r>
      <w:r w:rsidRPr="004149FC">
        <w:rPr>
          <w:lang w:val="fr-FR"/>
        </w:rPr>
        <w:t xml:space="preserve">soins de santé universels, éducation gratuite, allocations parentales et services </w:t>
      </w:r>
      <w:r w:rsidRPr="00F0755C">
        <w:rPr>
          <w:lang w:val="fr-FR"/>
        </w:rPr>
        <w:t>subventionnés de garde d</w:t>
      </w:r>
      <w:r>
        <w:rPr>
          <w:lang w:val="fr-FR"/>
        </w:rPr>
        <w:t>’</w:t>
      </w:r>
      <w:r w:rsidRPr="00F0755C">
        <w:rPr>
          <w:lang w:val="fr-FR"/>
        </w:rPr>
        <w:t>enfants. Des</w:t>
      </w:r>
      <w:r w:rsidRPr="00505007">
        <w:rPr>
          <w:lang w:val="fr-FR"/>
        </w:rPr>
        <w:t xml:space="preserve"> efforts considérables</w:t>
      </w:r>
      <w:r w:rsidRPr="00262910">
        <w:rPr>
          <w:lang w:val="fr-FR"/>
        </w:rPr>
        <w:t xml:space="preserve"> ont été déployés pour </w:t>
      </w:r>
      <w:r>
        <w:rPr>
          <w:lang w:val="fr-FR"/>
        </w:rPr>
        <w:t xml:space="preserve">remédier aux déterminants </w:t>
      </w:r>
      <w:r w:rsidRPr="00262910">
        <w:rPr>
          <w:lang w:val="fr-FR"/>
        </w:rPr>
        <w:t>socia</w:t>
      </w:r>
      <w:r>
        <w:rPr>
          <w:lang w:val="fr-FR"/>
        </w:rPr>
        <w:t xml:space="preserve">ux de </w:t>
      </w:r>
      <w:r w:rsidRPr="00262910">
        <w:rPr>
          <w:lang w:val="fr-FR"/>
        </w:rPr>
        <w:t>la santé physique et mentale des enfants et des familles à faible revenu. En améliorant les programmes de réduction des prix et</w:t>
      </w:r>
      <w:r>
        <w:rPr>
          <w:lang w:val="fr-FR"/>
        </w:rPr>
        <w:t xml:space="preserve"> en relevant </w:t>
      </w:r>
      <w:r w:rsidRPr="00262910">
        <w:rPr>
          <w:lang w:val="fr-FR"/>
        </w:rPr>
        <w:t xml:space="preserve">le temps de garde gratuit pour les enfants de familles à faible revenu, </w:t>
      </w:r>
      <w:r>
        <w:rPr>
          <w:lang w:val="fr-FR"/>
        </w:rPr>
        <w:t xml:space="preserve">la Norvège a </w:t>
      </w:r>
      <w:r w:rsidRPr="00262910">
        <w:rPr>
          <w:lang w:val="fr-FR"/>
        </w:rPr>
        <w:t>rendu</w:t>
      </w:r>
      <w:r w:rsidRPr="00505007">
        <w:rPr>
          <w:lang w:val="fr-FR"/>
        </w:rPr>
        <w:t xml:space="preserve"> plus abordables</w:t>
      </w:r>
      <w:r w:rsidRPr="00262910">
        <w:rPr>
          <w:lang w:val="fr-FR"/>
        </w:rPr>
        <w:t xml:space="preserve"> les services de garde. </w:t>
      </w:r>
      <w:r>
        <w:rPr>
          <w:lang w:val="fr-FR"/>
        </w:rPr>
        <w:t xml:space="preserve">Le dispositif de </w:t>
      </w:r>
      <w:r w:rsidRPr="00505007">
        <w:rPr>
          <w:lang w:val="fr-FR"/>
        </w:rPr>
        <w:t xml:space="preserve">soutien aux parents et aux familles a été </w:t>
      </w:r>
      <w:r w:rsidRPr="00402D3F">
        <w:rPr>
          <w:lang w:val="fr-FR"/>
        </w:rPr>
        <w:t>renforcé en vue de prévenir la</w:t>
      </w:r>
      <w:r w:rsidRPr="00262910">
        <w:rPr>
          <w:lang w:val="fr-FR"/>
        </w:rPr>
        <w:t xml:space="preserve"> pauvreté </w:t>
      </w:r>
      <w:r>
        <w:rPr>
          <w:lang w:val="fr-FR"/>
        </w:rPr>
        <w:t xml:space="preserve">dans les </w:t>
      </w:r>
      <w:r w:rsidRPr="00262910">
        <w:rPr>
          <w:lang w:val="fr-FR"/>
        </w:rPr>
        <w:t xml:space="preserve">familles. </w:t>
      </w:r>
      <w:r>
        <w:rPr>
          <w:lang w:val="fr-FR"/>
        </w:rPr>
        <w:t xml:space="preserve">La Norvège a de plus introduit de </w:t>
      </w:r>
      <w:r w:rsidRPr="00262910">
        <w:rPr>
          <w:lang w:val="fr-FR"/>
        </w:rPr>
        <w:t xml:space="preserve">nouvelles mesures pour aider les personnes </w:t>
      </w:r>
      <w:r>
        <w:rPr>
          <w:lang w:val="fr-FR"/>
        </w:rPr>
        <w:t xml:space="preserve">présentant divers handicaps </w:t>
      </w:r>
      <w:r w:rsidRPr="00262910">
        <w:rPr>
          <w:lang w:val="fr-FR"/>
        </w:rPr>
        <w:t xml:space="preserve">à trouver un emploi ordinaire. Le </w:t>
      </w:r>
      <w:r>
        <w:rPr>
          <w:lang w:val="fr-FR"/>
        </w:rPr>
        <w:t>S</w:t>
      </w:r>
      <w:r w:rsidRPr="00262910">
        <w:rPr>
          <w:lang w:val="fr-FR"/>
        </w:rPr>
        <w:t xml:space="preserve">ystème national de subventions contre la pauvreté des enfants a </w:t>
      </w:r>
      <w:r>
        <w:rPr>
          <w:lang w:val="fr-FR"/>
        </w:rPr>
        <w:t xml:space="preserve">lui aussi </w:t>
      </w:r>
      <w:r w:rsidRPr="00262910">
        <w:rPr>
          <w:lang w:val="fr-FR"/>
        </w:rPr>
        <w:t xml:space="preserve">été </w:t>
      </w:r>
      <w:r>
        <w:rPr>
          <w:lang w:val="fr-FR"/>
        </w:rPr>
        <w:t>grande</w:t>
      </w:r>
      <w:r w:rsidRPr="00262910">
        <w:rPr>
          <w:lang w:val="fr-FR"/>
        </w:rPr>
        <w:t>ment renforcé</w:t>
      </w:r>
      <w:r>
        <w:rPr>
          <w:lang w:val="fr-FR"/>
        </w:rPr>
        <w:t xml:space="preserve"> ; il sert à </w:t>
      </w:r>
      <w:r w:rsidRPr="00262910">
        <w:rPr>
          <w:lang w:val="fr-FR"/>
        </w:rPr>
        <w:t>finance</w:t>
      </w:r>
      <w:r>
        <w:rPr>
          <w:lang w:val="fr-FR"/>
        </w:rPr>
        <w:t>r</w:t>
      </w:r>
      <w:r w:rsidRPr="00262910">
        <w:rPr>
          <w:lang w:val="fr-FR"/>
        </w:rPr>
        <w:t xml:space="preserve"> des activités et des projets </w:t>
      </w:r>
      <w:r>
        <w:rPr>
          <w:lang w:val="fr-FR"/>
        </w:rPr>
        <w:t xml:space="preserve">mis en œuvre </w:t>
      </w:r>
      <w:r w:rsidRPr="00262910">
        <w:rPr>
          <w:lang w:val="fr-FR"/>
        </w:rPr>
        <w:t xml:space="preserve">par les municipalités et le secteur </w:t>
      </w:r>
      <w:r>
        <w:rPr>
          <w:lang w:val="fr-FR"/>
        </w:rPr>
        <w:t>associatif en vue de</w:t>
      </w:r>
      <w:r w:rsidRPr="00262910">
        <w:rPr>
          <w:lang w:val="fr-FR"/>
        </w:rPr>
        <w:t xml:space="preserve"> faire participer les enfants à des activités pertinentes dans leurs communautés. </w:t>
      </w:r>
    </w:p>
    <w:p w:rsidR="001771B8" w:rsidRPr="00754B79" w:rsidRDefault="001771B8" w:rsidP="001771B8">
      <w:pPr>
        <w:pStyle w:val="SingleTxtG"/>
        <w:rPr>
          <w:lang w:val="fr-FR"/>
        </w:rPr>
      </w:pPr>
      <w:r w:rsidRPr="00754B79">
        <w:rPr>
          <w:lang w:val="fr-FR"/>
        </w:rPr>
        <w:t>192.</w:t>
      </w:r>
      <w:r w:rsidRPr="00754B79">
        <w:rPr>
          <w:lang w:val="fr-FR"/>
        </w:rPr>
        <w:tab/>
      </w:r>
      <w:r w:rsidRPr="006A749E">
        <w:rPr>
          <w:lang w:val="fr-FR"/>
        </w:rPr>
        <w:t>La Stratégie a été élaborée</w:t>
      </w:r>
      <w:r w:rsidRPr="00262910">
        <w:rPr>
          <w:lang w:val="fr-FR"/>
        </w:rPr>
        <w:t xml:space="preserve"> et mise en œuvre en étroite coopération entre les ministères. Les enfants et les jeunes ont apporté une contribution importante sur la base de leur </w:t>
      </w:r>
      <w:r>
        <w:rPr>
          <w:lang w:val="fr-FR"/>
        </w:rPr>
        <w:t xml:space="preserve">vécu et la </w:t>
      </w:r>
      <w:r w:rsidRPr="00262910">
        <w:rPr>
          <w:lang w:val="fr-FR"/>
        </w:rPr>
        <w:t xml:space="preserve">coopération efficace entre le secteur public et le secteur associatif a </w:t>
      </w:r>
      <w:r>
        <w:rPr>
          <w:lang w:val="fr-FR"/>
        </w:rPr>
        <w:t>joué un rôle cl</w:t>
      </w:r>
      <w:r w:rsidR="00AD1FDE">
        <w:rPr>
          <w:lang w:val="fr-FR"/>
        </w:rPr>
        <w:t>ef</w:t>
      </w:r>
      <w:r>
        <w:rPr>
          <w:lang w:val="fr-FR"/>
        </w:rPr>
        <w:t xml:space="preserve"> dans </w:t>
      </w:r>
      <w:r w:rsidRPr="00262910">
        <w:rPr>
          <w:lang w:val="fr-FR"/>
        </w:rPr>
        <w:t>l</w:t>
      </w:r>
      <w:r>
        <w:rPr>
          <w:lang w:val="fr-FR"/>
        </w:rPr>
        <w:t xml:space="preserve">’application </w:t>
      </w:r>
      <w:r w:rsidRPr="00262910">
        <w:rPr>
          <w:lang w:val="fr-FR"/>
        </w:rPr>
        <w:t xml:space="preserve">de la </w:t>
      </w:r>
      <w:r>
        <w:rPr>
          <w:lang w:val="fr-FR"/>
        </w:rPr>
        <w:t>S</w:t>
      </w:r>
      <w:r w:rsidRPr="00262910">
        <w:rPr>
          <w:lang w:val="fr-FR"/>
        </w:rPr>
        <w:t xml:space="preserve">tratégie. </w:t>
      </w:r>
      <w:r w:rsidRPr="006A749E">
        <w:rPr>
          <w:lang w:val="fr-FR"/>
        </w:rPr>
        <w:t>Le Programme</w:t>
      </w:r>
      <w:r w:rsidRPr="00262910">
        <w:rPr>
          <w:lang w:val="fr-FR"/>
        </w:rPr>
        <w:t xml:space="preserve"> national de subventions contre la pauvreté des enfants a été </w:t>
      </w:r>
      <w:r>
        <w:rPr>
          <w:lang w:val="fr-FR"/>
        </w:rPr>
        <w:t xml:space="preserve">évalué </w:t>
      </w:r>
      <w:r w:rsidRPr="00262910">
        <w:rPr>
          <w:lang w:val="fr-FR"/>
        </w:rPr>
        <w:t>en 2018 et s</w:t>
      </w:r>
      <w:r>
        <w:rPr>
          <w:lang w:val="fr-FR"/>
        </w:rPr>
        <w:t>’</w:t>
      </w:r>
      <w:r w:rsidRPr="00262910">
        <w:rPr>
          <w:lang w:val="fr-FR"/>
        </w:rPr>
        <w:t>est révélé efficace pour assurer l</w:t>
      </w:r>
      <w:r>
        <w:rPr>
          <w:lang w:val="fr-FR"/>
        </w:rPr>
        <w:t>’</w:t>
      </w:r>
      <w:r w:rsidRPr="00262910">
        <w:rPr>
          <w:lang w:val="fr-FR"/>
        </w:rPr>
        <w:t>inclusion des enfants dans les domaines sociaux cl</w:t>
      </w:r>
      <w:r w:rsidR="00AD1FDE">
        <w:rPr>
          <w:lang w:val="fr-FR"/>
        </w:rPr>
        <w:t>ef</w:t>
      </w:r>
      <w:r w:rsidRPr="00262910">
        <w:rPr>
          <w:lang w:val="fr-FR"/>
        </w:rPr>
        <w:t>s. L</w:t>
      </w:r>
      <w:r>
        <w:rPr>
          <w:lang w:val="fr-FR"/>
        </w:rPr>
        <w:t xml:space="preserve">’évaluation de </w:t>
      </w:r>
      <w:r w:rsidRPr="00262910">
        <w:rPr>
          <w:lang w:val="fr-FR"/>
        </w:rPr>
        <w:t xml:space="preserve">la </w:t>
      </w:r>
      <w:r>
        <w:rPr>
          <w:lang w:val="fr-FR"/>
        </w:rPr>
        <w:t>S</w:t>
      </w:r>
      <w:r w:rsidRPr="00262910">
        <w:rPr>
          <w:lang w:val="fr-FR"/>
        </w:rPr>
        <w:t xml:space="preserve">tratégie </w:t>
      </w:r>
      <w:r w:rsidRPr="006A749E">
        <w:rPr>
          <w:lang w:val="fr-FR"/>
        </w:rPr>
        <w:t xml:space="preserve">effectuée par </w:t>
      </w:r>
      <w:r w:rsidRPr="00262910">
        <w:rPr>
          <w:lang w:val="fr-FR"/>
        </w:rPr>
        <w:t>la Direction de l</w:t>
      </w:r>
      <w:r>
        <w:rPr>
          <w:lang w:val="fr-FR"/>
        </w:rPr>
        <w:t>’</w:t>
      </w:r>
      <w:r w:rsidRPr="00262910">
        <w:rPr>
          <w:lang w:val="fr-FR"/>
        </w:rPr>
        <w:t xml:space="preserve">enfance, de la jeunesse et de la famille </w:t>
      </w:r>
      <w:r>
        <w:rPr>
          <w:lang w:val="fr-FR"/>
        </w:rPr>
        <w:t xml:space="preserve">a fait apparaître </w:t>
      </w:r>
      <w:r w:rsidRPr="00262910">
        <w:rPr>
          <w:lang w:val="fr-FR"/>
        </w:rPr>
        <w:t>qu</w:t>
      </w:r>
      <w:r>
        <w:rPr>
          <w:lang w:val="fr-FR"/>
        </w:rPr>
        <w:t>’</w:t>
      </w:r>
      <w:r w:rsidRPr="00262910">
        <w:rPr>
          <w:lang w:val="fr-FR"/>
        </w:rPr>
        <w:t xml:space="preserve">un travail considérable </w:t>
      </w:r>
      <w:r>
        <w:rPr>
          <w:lang w:val="fr-FR"/>
        </w:rPr>
        <w:t xml:space="preserve">était </w:t>
      </w:r>
      <w:r w:rsidRPr="00262910">
        <w:rPr>
          <w:lang w:val="fr-FR"/>
        </w:rPr>
        <w:t xml:space="preserve">en cours dans tous les secteurs. </w:t>
      </w:r>
      <w:r>
        <w:rPr>
          <w:lang w:val="fr-FR"/>
        </w:rPr>
        <w:t xml:space="preserve">La collaboration entre les différents </w:t>
      </w:r>
      <w:r w:rsidRPr="00262910">
        <w:rPr>
          <w:lang w:val="fr-FR"/>
        </w:rPr>
        <w:t xml:space="preserve">ministères met </w:t>
      </w:r>
      <w:r>
        <w:rPr>
          <w:lang w:val="fr-FR"/>
        </w:rPr>
        <w:t xml:space="preserve">en avant </w:t>
      </w:r>
      <w:r w:rsidRPr="00262910">
        <w:rPr>
          <w:lang w:val="fr-FR"/>
        </w:rPr>
        <w:t>la question de la pauvreté des enfants. Le</w:t>
      </w:r>
      <w:r>
        <w:rPr>
          <w:lang w:val="fr-FR"/>
        </w:rPr>
        <w:t xml:space="preserve"> bilan des travaux de </w:t>
      </w:r>
      <w:r w:rsidRPr="00262910">
        <w:rPr>
          <w:lang w:val="fr-FR"/>
        </w:rPr>
        <w:t>recherche</w:t>
      </w:r>
      <w:r>
        <w:rPr>
          <w:lang w:val="fr-FR"/>
        </w:rPr>
        <w:t xml:space="preserve"> dressé en 2018 </w:t>
      </w:r>
      <w:r w:rsidRPr="00262910">
        <w:rPr>
          <w:lang w:val="fr-FR"/>
        </w:rPr>
        <w:t>par l</w:t>
      </w:r>
      <w:r>
        <w:rPr>
          <w:lang w:val="fr-FR"/>
        </w:rPr>
        <w:t>’</w:t>
      </w:r>
      <w:r w:rsidRPr="00262910">
        <w:rPr>
          <w:lang w:val="fr-FR"/>
        </w:rPr>
        <w:t>Université métropolitaine d</w:t>
      </w:r>
      <w:r>
        <w:rPr>
          <w:lang w:val="fr-FR"/>
        </w:rPr>
        <w:t>’</w:t>
      </w:r>
      <w:r w:rsidRPr="00262910">
        <w:rPr>
          <w:lang w:val="fr-FR"/>
        </w:rPr>
        <w:t xml:space="preserve">Oslo </w:t>
      </w:r>
      <w:r>
        <w:rPr>
          <w:lang w:val="fr-FR"/>
        </w:rPr>
        <w:t xml:space="preserve">a mis en évidence </w:t>
      </w:r>
      <w:r w:rsidRPr="00262910">
        <w:rPr>
          <w:lang w:val="fr-FR"/>
        </w:rPr>
        <w:t xml:space="preserve">les domaines </w:t>
      </w:r>
      <w:r>
        <w:rPr>
          <w:lang w:val="fr-FR"/>
        </w:rPr>
        <w:t xml:space="preserve">réclamant </w:t>
      </w:r>
      <w:r w:rsidRPr="00262910">
        <w:rPr>
          <w:lang w:val="fr-FR"/>
        </w:rPr>
        <w:t>un</w:t>
      </w:r>
      <w:r>
        <w:rPr>
          <w:lang w:val="fr-FR"/>
        </w:rPr>
        <w:t xml:space="preserve"> supplément d’</w:t>
      </w:r>
      <w:r w:rsidRPr="00262910">
        <w:rPr>
          <w:lang w:val="fr-FR"/>
        </w:rPr>
        <w:t>attention</w:t>
      </w:r>
      <w:r>
        <w:rPr>
          <w:lang w:val="fr-FR"/>
        </w:rPr>
        <w:t xml:space="preserve"> </w:t>
      </w:r>
      <w:r w:rsidRPr="00262910">
        <w:rPr>
          <w:lang w:val="fr-FR"/>
        </w:rPr>
        <w:t xml:space="preserve">et </w:t>
      </w:r>
      <w:r>
        <w:rPr>
          <w:lang w:val="fr-FR"/>
        </w:rPr>
        <w:t xml:space="preserve">sur lesquels </w:t>
      </w:r>
      <w:r w:rsidRPr="00262910">
        <w:rPr>
          <w:lang w:val="fr-FR"/>
        </w:rPr>
        <w:t>les mesures devraient être</w:t>
      </w:r>
      <w:r>
        <w:rPr>
          <w:lang w:val="fr-FR"/>
        </w:rPr>
        <w:t xml:space="preserve"> axées à </w:t>
      </w:r>
      <w:r w:rsidRPr="00754B79">
        <w:rPr>
          <w:lang w:val="fr-FR"/>
        </w:rPr>
        <w:t>l</w:t>
      </w:r>
      <w:r>
        <w:rPr>
          <w:lang w:val="fr-FR"/>
        </w:rPr>
        <w:t>’</w:t>
      </w:r>
      <w:r w:rsidRPr="00754B79">
        <w:rPr>
          <w:lang w:val="fr-FR"/>
        </w:rPr>
        <w:t>avenir. Les pouvoirs publics se consacrent actuellement à l</w:t>
      </w:r>
      <w:r>
        <w:rPr>
          <w:lang w:val="fr-FR"/>
        </w:rPr>
        <w:t>’</w:t>
      </w:r>
      <w:r w:rsidRPr="00754B79">
        <w:rPr>
          <w:lang w:val="fr-FR"/>
        </w:rPr>
        <w:t>élaboration d</w:t>
      </w:r>
      <w:r>
        <w:rPr>
          <w:lang w:val="fr-FR"/>
        </w:rPr>
        <w:t>’</w:t>
      </w:r>
      <w:r w:rsidRPr="00754B79">
        <w:rPr>
          <w:lang w:val="fr-FR"/>
        </w:rPr>
        <w:t>une nouvelle stratégie de collaboration en faveur des enfants qui grandissent dans des familles à faible revenu.</w:t>
      </w:r>
    </w:p>
    <w:p w:rsidR="001771B8" w:rsidRPr="00262910" w:rsidRDefault="00AD1FDE" w:rsidP="00AD1FDE">
      <w:pPr>
        <w:pStyle w:val="H23G"/>
        <w:rPr>
          <w:lang w:val="fr-FR"/>
        </w:rPr>
      </w:pPr>
      <w:r>
        <w:rPr>
          <w:lang w:val="fr-FR"/>
        </w:rPr>
        <w:tab/>
      </w:r>
      <w:r>
        <w:rPr>
          <w:lang w:val="fr-FR"/>
        </w:rPr>
        <w:tab/>
      </w:r>
      <w:r w:rsidR="001771B8" w:rsidRPr="00262910">
        <w:rPr>
          <w:lang w:val="fr-FR"/>
        </w:rPr>
        <w:t>Pourcentage d</w:t>
      </w:r>
      <w:r w:rsidR="001771B8">
        <w:rPr>
          <w:lang w:val="fr-FR"/>
        </w:rPr>
        <w:t>’</w:t>
      </w:r>
      <w:r w:rsidR="001771B8" w:rsidRPr="00262910">
        <w:rPr>
          <w:lang w:val="fr-FR"/>
        </w:rPr>
        <w:t>enfants de moins de 18 ans viv</w:t>
      </w:r>
      <w:r w:rsidR="001771B8">
        <w:rPr>
          <w:lang w:val="fr-FR"/>
        </w:rPr>
        <w:t>a</w:t>
      </w:r>
      <w:r w:rsidR="001771B8" w:rsidRPr="00262910">
        <w:rPr>
          <w:lang w:val="fr-FR"/>
        </w:rPr>
        <w:t xml:space="preserve">nt dans une famille </w:t>
      </w:r>
      <w:r w:rsidR="001771B8">
        <w:rPr>
          <w:lang w:val="fr-FR"/>
        </w:rPr>
        <w:t xml:space="preserve">au </w:t>
      </w:r>
      <w:r w:rsidR="001771B8" w:rsidRPr="00262910">
        <w:rPr>
          <w:lang w:val="fr-FR"/>
        </w:rPr>
        <w:t>revenu inférieur à 60 % du revenu médian trois an</w:t>
      </w:r>
      <w:r w:rsidR="001771B8">
        <w:rPr>
          <w:lang w:val="fr-FR"/>
        </w:rPr>
        <w:t>nées de suite sur la période</w:t>
      </w:r>
      <w:r w:rsidR="001771B8" w:rsidRPr="00262910">
        <w:rPr>
          <w:lang w:val="fr-FR"/>
        </w:rPr>
        <w:t xml:space="preserve"> 2007</w:t>
      </w:r>
      <w:r>
        <w:rPr>
          <w:lang w:val="fr-FR"/>
        </w:rPr>
        <w:t>-</w:t>
      </w:r>
      <w:r w:rsidR="001771B8" w:rsidRPr="00262910">
        <w:rPr>
          <w:lang w:val="fr-FR"/>
        </w:rPr>
        <w:t>2017</w:t>
      </w:r>
    </w:p>
    <w:tbl>
      <w:tblPr>
        <w:tblStyle w:val="GridTable6Colourful1"/>
        <w:tblW w:w="7370" w:type="dxa"/>
        <w:tblInd w:w="1134" w:type="dxa"/>
        <w:tblBorders>
          <w:top w:val="single" w:sz="4" w:space="0" w:color="auto"/>
          <w:left w:val="none" w:sz="0" w:space="0" w:color="auto"/>
          <w:bottom w:val="single" w:sz="12" w:space="0" w:color="auto"/>
          <w:right w:val="none" w:sz="0" w:space="0" w:color="auto"/>
          <w:insideH w:val="single" w:sz="12" w:space="0" w:color="auto"/>
          <w:insideV w:val="none" w:sz="0" w:space="0" w:color="auto"/>
        </w:tblBorders>
        <w:tblLayout w:type="fixed"/>
        <w:tblCellMar>
          <w:left w:w="0" w:type="dxa"/>
          <w:right w:w="0" w:type="dxa"/>
        </w:tblCellMar>
        <w:tblLook w:val="04A0" w:firstRow="1" w:lastRow="0" w:firstColumn="1" w:lastColumn="0" w:noHBand="0" w:noVBand="1"/>
      </w:tblPr>
      <w:tblGrid>
        <w:gridCol w:w="616"/>
        <w:gridCol w:w="612"/>
        <w:gridCol w:w="611"/>
        <w:gridCol w:w="611"/>
        <w:gridCol w:w="612"/>
        <w:gridCol w:w="612"/>
        <w:gridCol w:w="612"/>
        <w:gridCol w:w="612"/>
        <w:gridCol w:w="612"/>
        <w:gridCol w:w="620"/>
        <w:gridCol w:w="620"/>
        <w:gridCol w:w="620"/>
      </w:tblGrid>
      <w:tr w:rsidR="001771B8" w:rsidRPr="00262910" w:rsidTr="001771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9" w:type="dxa"/>
            <w:tcBorders>
              <w:bottom w:val="none" w:sz="0" w:space="0" w:color="auto"/>
            </w:tcBorders>
            <w:shd w:val="clear" w:color="auto" w:fill="auto"/>
            <w:vAlign w:val="bottom"/>
          </w:tcPr>
          <w:p w:rsidR="001771B8" w:rsidRPr="00262910" w:rsidRDefault="001771B8" w:rsidP="001771B8">
            <w:pPr>
              <w:pStyle w:val="SingleTxtG"/>
              <w:spacing w:before="80" w:after="80" w:line="200" w:lineRule="exact"/>
              <w:ind w:left="0" w:right="0"/>
              <w:jc w:val="left"/>
              <w:rPr>
                <w:b w:val="0"/>
                <w:i/>
                <w:color w:val="auto"/>
                <w:sz w:val="16"/>
                <w:lang w:val="fr-FR"/>
              </w:rPr>
            </w:pPr>
            <w:r w:rsidRPr="00262910">
              <w:rPr>
                <w:b w:val="0"/>
                <w:i/>
                <w:color w:val="auto"/>
                <w:sz w:val="16"/>
                <w:lang w:val="fr-FR"/>
              </w:rPr>
              <w:t>Année</w:t>
            </w:r>
          </w:p>
        </w:tc>
        <w:tc>
          <w:tcPr>
            <w:tcW w:w="705" w:type="dxa"/>
            <w:tcBorders>
              <w:bottom w:val="none" w:sz="0" w:space="0" w:color="auto"/>
            </w:tcBorders>
            <w:shd w:val="clear" w:color="auto" w:fill="auto"/>
            <w:vAlign w:val="bottom"/>
          </w:tcPr>
          <w:p w:rsidR="001771B8" w:rsidRPr="00262910" w:rsidRDefault="001771B8" w:rsidP="001771B8">
            <w:pPr>
              <w:pStyle w:val="SingleTxtG"/>
              <w:spacing w:before="80" w:after="80" w:line="200" w:lineRule="exact"/>
              <w:ind w:left="0" w:right="0"/>
              <w:jc w:val="right"/>
              <w:cnfStyle w:val="100000000000" w:firstRow="1" w:lastRow="0" w:firstColumn="0" w:lastColumn="0" w:oddVBand="0" w:evenVBand="0" w:oddHBand="0" w:evenHBand="0" w:firstRowFirstColumn="0" w:firstRowLastColumn="0" w:lastRowFirstColumn="0" w:lastRowLastColumn="0"/>
              <w:rPr>
                <w:b w:val="0"/>
                <w:i/>
                <w:color w:val="auto"/>
                <w:sz w:val="16"/>
                <w:lang w:val="fr-FR"/>
              </w:rPr>
            </w:pPr>
            <w:r w:rsidRPr="00262910">
              <w:rPr>
                <w:b w:val="0"/>
                <w:i/>
                <w:color w:val="auto"/>
                <w:sz w:val="16"/>
                <w:lang w:val="fr-FR"/>
              </w:rPr>
              <w:t>2007</w:t>
            </w:r>
          </w:p>
        </w:tc>
        <w:tc>
          <w:tcPr>
            <w:tcW w:w="705" w:type="dxa"/>
            <w:tcBorders>
              <w:bottom w:val="none" w:sz="0" w:space="0" w:color="auto"/>
            </w:tcBorders>
            <w:shd w:val="clear" w:color="auto" w:fill="auto"/>
            <w:vAlign w:val="bottom"/>
          </w:tcPr>
          <w:p w:rsidR="001771B8" w:rsidRPr="00262910" w:rsidRDefault="001771B8" w:rsidP="001771B8">
            <w:pPr>
              <w:pStyle w:val="SingleTxtG"/>
              <w:spacing w:before="80" w:after="80" w:line="200" w:lineRule="exact"/>
              <w:ind w:left="0" w:right="0"/>
              <w:jc w:val="right"/>
              <w:cnfStyle w:val="100000000000" w:firstRow="1" w:lastRow="0" w:firstColumn="0" w:lastColumn="0" w:oddVBand="0" w:evenVBand="0" w:oddHBand="0" w:evenHBand="0" w:firstRowFirstColumn="0" w:firstRowLastColumn="0" w:lastRowFirstColumn="0" w:lastRowLastColumn="0"/>
              <w:rPr>
                <w:b w:val="0"/>
                <w:i/>
                <w:color w:val="auto"/>
                <w:sz w:val="16"/>
                <w:lang w:val="fr-FR"/>
              </w:rPr>
            </w:pPr>
            <w:r w:rsidRPr="00262910">
              <w:rPr>
                <w:b w:val="0"/>
                <w:i/>
                <w:color w:val="auto"/>
                <w:sz w:val="16"/>
                <w:lang w:val="fr-FR"/>
              </w:rPr>
              <w:t>2008</w:t>
            </w:r>
          </w:p>
        </w:tc>
        <w:tc>
          <w:tcPr>
            <w:tcW w:w="705" w:type="dxa"/>
            <w:tcBorders>
              <w:bottom w:val="none" w:sz="0" w:space="0" w:color="auto"/>
            </w:tcBorders>
            <w:shd w:val="clear" w:color="auto" w:fill="auto"/>
            <w:vAlign w:val="bottom"/>
          </w:tcPr>
          <w:p w:rsidR="001771B8" w:rsidRPr="00262910" w:rsidRDefault="001771B8" w:rsidP="001771B8">
            <w:pPr>
              <w:pStyle w:val="SingleTxtG"/>
              <w:spacing w:before="80" w:after="80" w:line="200" w:lineRule="exact"/>
              <w:ind w:left="0" w:right="0"/>
              <w:jc w:val="right"/>
              <w:cnfStyle w:val="100000000000" w:firstRow="1" w:lastRow="0" w:firstColumn="0" w:lastColumn="0" w:oddVBand="0" w:evenVBand="0" w:oddHBand="0" w:evenHBand="0" w:firstRowFirstColumn="0" w:firstRowLastColumn="0" w:lastRowFirstColumn="0" w:lastRowLastColumn="0"/>
              <w:rPr>
                <w:b w:val="0"/>
                <w:i/>
                <w:color w:val="auto"/>
                <w:sz w:val="16"/>
                <w:lang w:val="fr-FR"/>
              </w:rPr>
            </w:pPr>
            <w:r w:rsidRPr="00262910">
              <w:rPr>
                <w:b w:val="0"/>
                <w:i/>
                <w:color w:val="auto"/>
                <w:sz w:val="16"/>
                <w:lang w:val="fr-FR"/>
              </w:rPr>
              <w:t>2009</w:t>
            </w:r>
          </w:p>
        </w:tc>
        <w:tc>
          <w:tcPr>
            <w:tcW w:w="706" w:type="dxa"/>
            <w:tcBorders>
              <w:bottom w:val="none" w:sz="0" w:space="0" w:color="auto"/>
            </w:tcBorders>
            <w:shd w:val="clear" w:color="auto" w:fill="auto"/>
            <w:vAlign w:val="bottom"/>
          </w:tcPr>
          <w:p w:rsidR="001771B8" w:rsidRPr="00262910" w:rsidRDefault="001771B8" w:rsidP="001771B8">
            <w:pPr>
              <w:pStyle w:val="SingleTxtG"/>
              <w:spacing w:before="80" w:after="80" w:line="200" w:lineRule="exact"/>
              <w:ind w:left="0" w:right="0"/>
              <w:jc w:val="right"/>
              <w:cnfStyle w:val="100000000000" w:firstRow="1" w:lastRow="0" w:firstColumn="0" w:lastColumn="0" w:oddVBand="0" w:evenVBand="0" w:oddHBand="0" w:evenHBand="0" w:firstRowFirstColumn="0" w:firstRowLastColumn="0" w:lastRowFirstColumn="0" w:lastRowLastColumn="0"/>
              <w:rPr>
                <w:b w:val="0"/>
                <w:i/>
                <w:color w:val="auto"/>
                <w:sz w:val="16"/>
                <w:lang w:val="fr-FR"/>
              </w:rPr>
            </w:pPr>
            <w:r w:rsidRPr="00262910">
              <w:rPr>
                <w:b w:val="0"/>
                <w:i/>
                <w:color w:val="auto"/>
                <w:sz w:val="16"/>
                <w:lang w:val="fr-FR"/>
              </w:rPr>
              <w:t>2010</w:t>
            </w:r>
          </w:p>
        </w:tc>
        <w:tc>
          <w:tcPr>
            <w:tcW w:w="706" w:type="dxa"/>
            <w:tcBorders>
              <w:bottom w:val="none" w:sz="0" w:space="0" w:color="auto"/>
            </w:tcBorders>
            <w:shd w:val="clear" w:color="auto" w:fill="auto"/>
            <w:vAlign w:val="bottom"/>
          </w:tcPr>
          <w:p w:rsidR="001771B8" w:rsidRPr="00262910" w:rsidRDefault="001771B8" w:rsidP="001771B8">
            <w:pPr>
              <w:pStyle w:val="SingleTxtG"/>
              <w:spacing w:before="80" w:after="80" w:line="200" w:lineRule="exact"/>
              <w:ind w:left="0" w:right="0"/>
              <w:jc w:val="right"/>
              <w:cnfStyle w:val="100000000000" w:firstRow="1" w:lastRow="0" w:firstColumn="0" w:lastColumn="0" w:oddVBand="0" w:evenVBand="0" w:oddHBand="0" w:evenHBand="0" w:firstRowFirstColumn="0" w:firstRowLastColumn="0" w:lastRowFirstColumn="0" w:lastRowLastColumn="0"/>
              <w:rPr>
                <w:b w:val="0"/>
                <w:i/>
                <w:color w:val="auto"/>
                <w:sz w:val="16"/>
                <w:lang w:val="fr-FR"/>
              </w:rPr>
            </w:pPr>
            <w:r w:rsidRPr="00262910">
              <w:rPr>
                <w:b w:val="0"/>
                <w:i/>
                <w:color w:val="auto"/>
                <w:sz w:val="16"/>
                <w:lang w:val="fr-FR"/>
              </w:rPr>
              <w:t>2011</w:t>
            </w:r>
          </w:p>
        </w:tc>
        <w:tc>
          <w:tcPr>
            <w:tcW w:w="706" w:type="dxa"/>
            <w:tcBorders>
              <w:bottom w:val="none" w:sz="0" w:space="0" w:color="auto"/>
            </w:tcBorders>
            <w:shd w:val="clear" w:color="auto" w:fill="auto"/>
            <w:vAlign w:val="bottom"/>
          </w:tcPr>
          <w:p w:rsidR="001771B8" w:rsidRPr="00262910" w:rsidRDefault="001771B8" w:rsidP="001771B8">
            <w:pPr>
              <w:pStyle w:val="SingleTxtG"/>
              <w:spacing w:before="80" w:after="80" w:line="200" w:lineRule="exact"/>
              <w:ind w:left="0" w:right="0"/>
              <w:jc w:val="right"/>
              <w:cnfStyle w:val="100000000000" w:firstRow="1" w:lastRow="0" w:firstColumn="0" w:lastColumn="0" w:oddVBand="0" w:evenVBand="0" w:oddHBand="0" w:evenHBand="0" w:firstRowFirstColumn="0" w:firstRowLastColumn="0" w:lastRowFirstColumn="0" w:lastRowLastColumn="0"/>
              <w:rPr>
                <w:b w:val="0"/>
                <w:i/>
                <w:color w:val="auto"/>
                <w:sz w:val="16"/>
                <w:lang w:val="fr-FR"/>
              </w:rPr>
            </w:pPr>
            <w:r w:rsidRPr="00262910">
              <w:rPr>
                <w:b w:val="0"/>
                <w:i/>
                <w:color w:val="auto"/>
                <w:sz w:val="16"/>
                <w:lang w:val="fr-FR"/>
              </w:rPr>
              <w:t>2012</w:t>
            </w:r>
          </w:p>
        </w:tc>
        <w:tc>
          <w:tcPr>
            <w:tcW w:w="706" w:type="dxa"/>
            <w:tcBorders>
              <w:bottom w:val="none" w:sz="0" w:space="0" w:color="auto"/>
            </w:tcBorders>
            <w:shd w:val="clear" w:color="auto" w:fill="auto"/>
            <w:vAlign w:val="bottom"/>
          </w:tcPr>
          <w:p w:rsidR="001771B8" w:rsidRPr="00262910" w:rsidRDefault="001771B8" w:rsidP="001771B8">
            <w:pPr>
              <w:pStyle w:val="SingleTxtG"/>
              <w:spacing w:before="80" w:after="80" w:line="200" w:lineRule="exact"/>
              <w:ind w:left="0" w:right="0"/>
              <w:jc w:val="right"/>
              <w:cnfStyle w:val="100000000000" w:firstRow="1" w:lastRow="0" w:firstColumn="0" w:lastColumn="0" w:oddVBand="0" w:evenVBand="0" w:oddHBand="0" w:evenHBand="0" w:firstRowFirstColumn="0" w:firstRowLastColumn="0" w:lastRowFirstColumn="0" w:lastRowLastColumn="0"/>
              <w:rPr>
                <w:b w:val="0"/>
                <w:i/>
                <w:color w:val="auto"/>
                <w:sz w:val="16"/>
                <w:lang w:val="fr-FR"/>
              </w:rPr>
            </w:pPr>
            <w:r w:rsidRPr="00262910">
              <w:rPr>
                <w:b w:val="0"/>
                <w:i/>
                <w:color w:val="auto"/>
                <w:sz w:val="16"/>
                <w:lang w:val="fr-FR"/>
              </w:rPr>
              <w:t>2013</w:t>
            </w:r>
          </w:p>
        </w:tc>
        <w:tc>
          <w:tcPr>
            <w:tcW w:w="706" w:type="dxa"/>
            <w:tcBorders>
              <w:bottom w:val="none" w:sz="0" w:space="0" w:color="auto"/>
            </w:tcBorders>
            <w:shd w:val="clear" w:color="auto" w:fill="auto"/>
            <w:vAlign w:val="bottom"/>
          </w:tcPr>
          <w:p w:rsidR="001771B8" w:rsidRPr="00262910" w:rsidRDefault="001771B8" w:rsidP="001771B8">
            <w:pPr>
              <w:pStyle w:val="SingleTxtG"/>
              <w:spacing w:before="80" w:after="80" w:line="200" w:lineRule="exact"/>
              <w:ind w:left="0" w:right="0"/>
              <w:jc w:val="right"/>
              <w:cnfStyle w:val="100000000000" w:firstRow="1" w:lastRow="0" w:firstColumn="0" w:lastColumn="0" w:oddVBand="0" w:evenVBand="0" w:oddHBand="0" w:evenHBand="0" w:firstRowFirstColumn="0" w:firstRowLastColumn="0" w:lastRowFirstColumn="0" w:lastRowLastColumn="0"/>
              <w:rPr>
                <w:b w:val="0"/>
                <w:i/>
                <w:color w:val="auto"/>
                <w:sz w:val="16"/>
                <w:lang w:val="fr-FR"/>
              </w:rPr>
            </w:pPr>
            <w:r w:rsidRPr="00262910">
              <w:rPr>
                <w:b w:val="0"/>
                <w:i/>
                <w:color w:val="auto"/>
                <w:sz w:val="16"/>
                <w:lang w:val="fr-FR"/>
              </w:rPr>
              <w:t>2014</w:t>
            </w:r>
          </w:p>
        </w:tc>
        <w:tc>
          <w:tcPr>
            <w:tcW w:w="715" w:type="dxa"/>
            <w:tcBorders>
              <w:bottom w:val="none" w:sz="0" w:space="0" w:color="auto"/>
            </w:tcBorders>
            <w:shd w:val="clear" w:color="auto" w:fill="auto"/>
            <w:vAlign w:val="bottom"/>
          </w:tcPr>
          <w:p w:rsidR="001771B8" w:rsidRPr="00262910" w:rsidRDefault="001771B8" w:rsidP="001771B8">
            <w:pPr>
              <w:pStyle w:val="SingleTxtG"/>
              <w:spacing w:before="80" w:after="80" w:line="200" w:lineRule="exact"/>
              <w:ind w:left="0" w:right="0"/>
              <w:jc w:val="right"/>
              <w:cnfStyle w:val="100000000000" w:firstRow="1" w:lastRow="0" w:firstColumn="0" w:lastColumn="0" w:oddVBand="0" w:evenVBand="0" w:oddHBand="0" w:evenHBand="0" w:firstRowFirstColumn="0" w:firstRowLastColumn="0" w:lastRowFirstColumn="0" w:lastRowLastColumn="0"/>
              <w:rPr>
                <w:b w:val="0"/>
                <w:i/>
                <w:color w:val="auto"/>
                <w:sz w:val="16"/>
                <w:lang w:val="fr-FR"/>
              </w:rPr>
            </w:pPr>
            <w:r w:rsidRPr="00262910">
              <w:rPr>
                <w:b w:val="0"/>
                <w:i/>
                <w:color w:val="auto"/>
                <w:sz w:val="16"/>
                <w:lang w:val="fr-FR"/>
              </w:rPr>
              <w:t>2015</w:t>
            </w:r>
          </w:p>
        </w:tc>
        <w:tc>
          <w:tcPr>
            <w:tcW w:w="715" w:type="dxa"/>
            <w:tcBorders>
              <w:bottom w:val="none" w:sz="0" w:space="0" w:color="auto"/>
            </w:tcBorders>
            <w:shd w:val="clear" w:color="auto" w:fill="auto"/>
            <w:vAlign w:val="bottom"/>
          </w:tcPr>
          <w:p w:rsidR="001771B8" w:rsidRPr="00262910" w:rsidRDefault="001771B8" w:rsidP="001771B8">
            <w:pPr>
              <w:pStyle w:val="SingleTxtG"/>
              <w:spacing w:before="80" w:after="80" w:line="200" w:lineRule="exact"/>
              <w:ind w:left="0" w:right="0"/>
              <w:jc w:val="right"/>
              <w:cnfStyle w:val="100000000000" w:firstRow="1" w:lastRow="0" w:firstColumn="0" w:lastColumn="0" w:oddVBand="0" w:evenVBand="0" w:oddHBand="0" w:evenHBand="0" w:firstRowFirstColumn="0" w:firstRowLastColumn="0" w:lastRowFirstColumn="0" w:lastRowLastColumn="0"/>
              <w:rPr>
                <w:b w:val="0"/>
                <w:i/>
                <w:color w:val="auto"/>
                <w:sz w:val="16"/>
                <w:lang w:val="fr-FR"/>
              </w:rPr>
            </w:pPr>
            <w:r w:rsidRPr="00262910">
              <w:rPr>
                <w:b w:val="0"/>
                <w:i/>
                <w:color w:val="auto"/>
                <w:sz w:val="16"/>
                <w:lang w:val="fr-FR"/>
              </w:rPr>
              <w:t>2016</w:t>
            </w:r>
          </w:p>
        </w:tc>
        <w:tc>
          <w:tcPr>
            <w:tcW w:w="715" w:type="dxa"/>
            <w:tcBorders>
              <w:bottom w:val="none" w:sz="0" w:space="0" w:color="auto"/>
            </w:tcBorders>
            <w:shd w:val="clear" w:color="auto" w:fill="auto"/>
            <w:vAlign w:val="bottom"/>
          </w:tcPr>
          <w:p w:rsidR="001771B8" w:rsidRPr="00262910" w:rsidRDefault="001771B8" w:rsidP="001771B8">
            <w:pPr>
              <w:pStyle w:val="SingleTxtG"/>
              <w:spacing w:before="80" w:after="80" w:line="200" w:lineRule="exact"/>
              <w:ind w:left="0" w:right="0"/>
              <w:jc w:val="right"/>
              <w:cnfStyle w:val="100000000000" w:firstRow="1" w:lastRow="0" w:firstColumn="0" w:lastColumn="0" w:oddVBand="0" w:evenVBand="0" w:oddHBand="0" w:evenHBand="0" w:firstRowFirstColumn="0" w:firstRowLastColumn="0" w:lastRowFirstColumn="0" w:lastRowLastColumn="0"/>
              <w:rPr>
                <w:b w:val="0"/>
                <w:i/>
                <w:color w:val="auto"/>
                <w:sz w:val="16"/>
                <w:lang w:val="fr-FR"/>
              </w:rPr>
            </w:pPr>
            <w:r w:rsidRPr="00262910">
              <w:rPr>
                <w:b w:val="0"/>
                <w:i/>
                <w:color w:val="auto"/>
                <w:sz w:val="16"/>
                <w:lang w:val="fr-FR"/>
              </w:rPr>
              <w:t>2017</w:t>
            </w:r>
          </w:p>
        </w:tc>
      </w:tr>
      <w:tr w:rsidR="001771B8" w:rsidRPr="00262910" w:rsidTr="00177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1771B8" w:rsidRPr="00262910" w:rsidRDefault="001771B8" w:rsidP="001771B8">
            <w:pPr>
              <w:pStyle w:val="SingleTxtG"/>
              <w:spacing w:before="40" w:after="40" w:line="220" w:lineRule="exact"/>
              <w:ind w:left="0" w:right="0"/>
              <w:jc w:val="left"/>
              <w:rPr>
                <w:color w:val="auto"/>
                <w:sz w:val="18"/>
                <w:lang w:val="fr-FR"/>
              </w:rPr>
            </w:pPr>
            <w:r w:rsidRPr="00262910">
              <w:rPr>
                <w:color w:val="auto"/>
                <w:sz w:val="18"/>
                <w:lang w:val="fr-FR"/>
              </w:rPr>
              <w:t>%</w:t>
            </w:r>
          </w:p>
        </w:tc>
        <w:tc>
          <w:tcPr>
            <w:tcW w:w="705" w:type="dxa"/>
            <w:shd w:val="clear" w:color="auto" w:fill="auto"/>
            <w:vAlign w:val="bottom"/>
          </w:tcPr>
          <w:p w:rsidR="001771B8" w:rsidRPr="00262910" w:rsidRDefault="001771B8" w:rsidP="001771B8">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color w:val="auto"/>
                <w:sz w:val="18"/>
                <w:lang w:val="fr-FR"/>
              </w:rPr>
            </w:pPr>
            <w:r w:rsidRPr="00262910">
              <w:rPr>
                <w:color w:val="auto"/>
                <w:sz w:val="18"/>
                <w:lang w:val="fr-FR"/>
              </w:rPr>
              <w:t>7</w:t>
            </w:r>
            <w:r>
              <w:rPr>
                <w:color w:val="auto"/>
                <w:sz w:val="18"/>
                <w:lang w:val="fr-FR"/>
              </w:rPr>
              <w:t>,</w:t>
            </w:r>
            <w:r w:rsidRPr="00262910">
              <w:rPr>
                <w:color w:val="auto"/>
                <w:sz w:val="18"/>
                <w:lang w:val="fr-FR"/>
              </w:rPr>
              <w:t>30</w:t>
            </w:r>
          </w:p>
        </w:tc>
        <w:tc>
          <w:tcPr>
            <w:tcW w:w="705" w:type="dxa"/>
            <w:shd w:val="clear" w:color="auto" w:fill="auto"/>
            <w:vAlign w:val="bottom"/>
          </w:tcPr>
          <w:p w:rsidR="001771B8" w:rsidRPr="00262910" w:rsidRDefault="001771B8" w:rsidP="001771B8">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color w:val="auto"/>
                <w:sz w:val="18"/>
                <w:lang w:val="fr-FR"/>
              </w:rPr>
            </w:pPr>
            <w:r w:rsidRPr="00262910">
              <w:rPr>
                <w:color w:val="auto"/>
                <w:sz w:val="18"/>
                <w:lang w:val="fr-FR"/>
              </w:rPr>
              <w:t>7</w:t>
            </w:r>
            <w:r>
              <w:rPr>
                <w:color w:val="auto"/>
                <w:sz w:val="18"/>
                <w:lang w:val="fr-FR"/>
              </w:rPr>
              <w:t>,</w:t>
            </w:r>
            <w:r w:rsidRPr="00262910">
              <w:rPr>
                <w:color w:val="auto"/>
                <w:sz w:val="18"/>
                <w:lang w:val="fr-FR"/>
              </w:rPr>
              <w:t>60</w:t>
            </w:r>
          </w:p>
        </w:tc>
        <w:tc>
          <w:tcPr>
            <w:tcW w:w="705" w:type="dxa"/>
            <w:shd w:val="clear" w:color="auto" w:fill="auto"/>
            <w:vAlign w:val="bottom"/>
          </w:tcPr>
          <w:p w:rsidR="001771B8" w:rsidRPr="00262910" w:rsidRDefault="001771B8" w:rsidP="001771B8">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color w:val="auto"/>
                <w:sz w:val="18"/>
                <w:lang w:val="fr-FR"/>
              </w:rPr>
            </w:pPr>
            <w:r w:rsidRPr="00262910">
              <w:rPr>
                <w:color w:val="auto"/>
                <w:sz w:val="18"/>
                <w:lang w:val="fr-FR"/>
              </w:rPr>
              <w:t>7</w:t>
            </w:r>
            <w:r>
              <w:rPr>
                <w:color w:val="auto"/>
                <w:sz w:val="18"/>
                <w:lang w:val="fr-FR"/>
              </w:rPr>
              <w:t>,</w:t>
            </w:r>
            <w:r w:rsidRPr="00262910">
              <w:rPr>
                <w:color w:val="auto"/>
                <w:sz w:val="18"/>
                <w:lang w:val="fr-FR"/>
              </w:rPr>
              <w:t>70</w:t>
            </w:r>
          </w:p>
        </w:tc>
        <w:tc>
          <w:tcPr>
            <w:tcW w:w="706" w:type="dxa"/>
            <w:shd w:val="clear" w:color="auto" w:fill="auto"/>
            <w:vAlign w:val="bottom"/>
          </w:tcPr>
          <w:p w:rsidR="001771B8" w:rsidRPr="00262910" w:rsidRDefault="001771B8" w:rsidP="001771B8">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color w:val="auto"/>
                <w:sz w:val="18"/>
                <w:lang w:val="fr-FR"/>
              </w:rPr>
            </w:pPr>
            <w:r w:rsidRPr="00262910">
              <w:rPr>
                <w:color w:val="auto"/>
                <w:sz w:val="18"/>
                <w:lang w:val="fr-FR"/>
              </w:rPr>
              <w:t>7</w:t>
            </w:r>
            <w:r>
              <w:rPr>
                <w:color w:val="auto"/>
                <w:sz w:val="18"/>
                <w:lang w:val="fr-FR"/>
              </w:rPr>
              <w:t>,</w:t>
            </w:r>
            <w:r w:rsidRPr="00262910">
              <w:rPr>
                <w:color w:val="auto"/>
                <w:sz w:val="18"/>
                <w:lang w:val="fr-FR"/>
              </w:rPr>
              <w:t>70</w:t>
            </w:r>
          </w:p>
        </w:tc>
        <w:tc>
          <w:tcPr>
            <w:tcW w:w="706" w:type="dxa"/>
            <w:shd w:val="clear" w:color="auto" w:fill="auto"/>
            <w:vAlign w:val="bottom"/>
          </w:tcPr>
          <w:p w:rsidR="001771B8" w:rsidRPr="00262910" w:rsidRDefault="001771B8" w:rsidP="001771B8">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color w:val="auto"/>
                <w:sz w:val="18"/>
                <w:lang w:val="fr-FR"/>
              </w:rPr>
            </w:pPr>
            <w:r w:rsidRPr="00262910">
              <w:rPr>
                <w:color w:val="auto"/>
                <w:sz w:val="18"/>
                <w:lang w:val="fr-FR"/>
              </w:rPr>
              <w:t>7</w:t>
            </w:r>
            <w:r>
              <w:rPr>
                <w:color w:val="auto"/>
                <w:sz w:val="18"/>
                <w:lang w:val="fr-FR"/>
              </w:rPr>
              <w:t>,</w:t>
            </w:r>
            <w:r w:rsidRPr="00262910">
              <w:rPr>
                <w:color w:val="auto"/>
                <w:sz w:val="18"/>
                <w:lang w:val="fr-FR"/>
              </w:rPr>
              <w:t>60</w:t>
            </w:r>
          </w:p>
        </w:tc>
        <w:tc>
          <w:tcPr>
            <w:tcW w:w="706" w:type="dxa"/>
            <w:shd w:val="clear" w:color="auto" w:fill="auto"/>
            <w:vAlign w:val="bottom"/>
          </w:tcPr>
          <w:p w:rsidR="001771B8" w:rsidRPr="00262910" w:rsidRDefault="001771B8" w:rsidP="001771B8">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color w:val="auto"/>
                <w:sz w:val="18"/>
                <w:lang w:val="fr-FR"/>
              </w:rPr>
            </w:pPr>
            <w:r w:rsidRPr="00262910">
              <w:rPr>
                <w:color w:val="auto"/>
                <w:sz w:val="18"/>
                <w:lang w:val="fr-FR"/>
              </w:rPr>
              <w:t>8</w:t>
            </w:r>
            <w:r>
              <w:rPr>
                <w:color w:val="auto"/>
                <w:sz w:val="18"/>
                <w:lang w:val="fr-FR"/>
              </w:rPr>
              <w:t>,</w:t>
            </w:r>
            <w:r w:rsidRPr="00262910">
              <w:rPr>
                <w:color w:val="auto"/>
                <w:sz w:val="18"/>
                <w:lang w:val="fr-FR"/>
              </w:rPr>
              <w:t>00</w:t>
            </w:r>
          </w:p>
        </w:tc>
        <w:tc>
          <w:tcPr>
            <w:tcW w:w="706" w:type="dxa"/>
            <w:shd w:val="clear" w:color="auto" w:fill="auto"/>
            <w:vAlign w:val="bottom"/>
          </w:tcPr>
          <w:p w:rsidR="001771B8" w:rsidRPr="00262910" w:rsidRDefault="001771B8" w:rsidP="001771B8">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color w:val="auto"/>
                <w:sz w:val="18"/>
                <w:lang w:val="fr-FR"/>
              </w:rPr>
            </w:pPr>
            <w:r w:rsidRPr="00262910">
              <w:rPr>
                <w:color w:val="auto"/>
                <w:sz w:val="18"/>
                <w:lang w:val="fr-FR"/>
              </w:rPr>
              <w:t>8</w:t>
            </w:r>
            <w:r>
              <w:rPr>
                <w:color w:val="auto"/>
                <w:sz w:val="18"/>
                <w:lang w:val="fr-FR"/>
              </w:rPr>
              <w:t>,</w:t>
            </w:r>
            <w:r w:rsidRPr="00262910">
              <w:rPr>
                <w:color w:val="auto"/>
                <w:sz w:val="18"/>
                <w:lang w:val="fr-FR"/>
              </w:rPr>
              <w:t>60</w:t>
            </w:r>
          </w:p>
        </w:tc>
        <w:tc>
          <w:tcPr>
            <w:tcW w:w="706" w:type="dxa"/>
            <w:shd w:val="clear" w:color="auto" w:fill="auto"/>
            <w:vAlign w:val="bottom"/>
          </w:tcPr>
          <w:p w:rsidR="001771B8" w:rsidRPr="00262910" w:rsidRDefault="001771B8" w:rsidP="001771B8">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color w:val="auto"/>
                <w:sz w:val="18"/>
                <w:lang w:val="fr-FR"/>
              </w:rPr>
            </w:pPr>
            <w:r w:rsidRPr="00262910">
              <w:rPr>
                <w:color w:val="auto"/>
                <w:sz w:val="18"/>
                <w:lang w:val="fr-FR"/>
              </w:rPr>
              <w:t>9</w:t>
            </w:r>
            <w:r>
              <w:rPr>
                <w:color w:val="auto"/>
                <w:sz w:val="18"/>
                <w:lang w:val="fr-FR"/>
              </w:rPr>
              <w:t>,</w:t>
            </w:r>
            <w:r w:rsidRPr="00262910">
              <w:rPr>
                <w:color w:val="auto"/>
                <w:sz w:val="18"/>
                <w:lang w:val="fr-FR"/>
              </w:rPr>
              <w:t>40</w:t>
            </w:r>
          </w:p>
        </w:tc>
        <w:tc>
          <w:tcPr>
            <w:tcW w:w="715" w:type="dxa"/>
            <w:shd w:val="clear" w:color="auto" w:fill="auto"/>
            <w:vAlign w:val="bottom"/>
          </w:tcPr>
          <w:p w:rsidR="001771B8" w:rsidRPr="00262910" w:rsidRDefault="001771B8" w:rsidP="001771B8">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color w:val="auto"/>
                <w:sz w:val="18"/>
                <w:lang w:val="fr-FR"/>
              </w:rPr>
            </w:pPr>
            <w:r w:rsidRPr="00262910">
              <w:rPr>
                <w:color w:val="auto"/>
                <w:sz w:val="18"/>
                <w:lang w:val="fr-FR"/>
              </w:rPr>
              <w:t>10</w:t>
            </w:r>
            <w:r>
              <w:rPr>
                <w:color w:val="auto"/>
                <w:sz w:val="18"/>
                <w:lang w:val="fr-FR"/>
              </w:rPr>
              <w:t>,</w:t>
            </w:r>
            <w:r w:rsidRPr="00262910">
              <w:rPr>
                <w:color w:val="auto"/>
                <w:sz w:val="18"/>
                <w:lang w:val="fr-FR"/>
              </w:rPr>
              <w:t>00</w:t>
            </w:r>
          </w:p>
        </w:tc>
        <w:tc>
          <w:tcPr>
            <w:tcW w:w="715" w:type="dxa"/>
            <w:shd w:val="clear" w:color="auto" w:fill="auto"/>
            <w:vAlign w:val="bottom"/>
          </w:tcPr>
          <w:p w:rsidR="001771B8" w:rsidRPr="00262910" w:rsidRDefault="001771B8" w:rsidP="001771B8">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color w:val="auto"/>
                <w:sz w:val="18"/>
                <w:lang w:val="fr-FR"/>
              </w:rPr>
            </w:pPr>
            <w:r w:rsidRPr="00262910">
              <w:rPr>
                <w:color w:val="auto"/>
                <w:sz w:val="18"/>
                <w:lang w:val="fr-FR"/>
              </w:rPr>
              <w:t>10</w:t>
            </w:r>
            <w:r>
              <w:rPr>
                <w:color w:val="auto"/>
                <w:sz w:val="18"/>
                <w:lang w:val="fr-FR"/>
              </w:rPr>
              <w:t>,</w:t>
            </w:r>
            <w:r w:rsidRPr="00262910">
              <w:rPr>
                <w:color w:val="auto"/>
                <w:sz w:val="18"/>
                <w:lang w:val="fr-FR"/>
              </w:rPr>
              <w:t>30</w:t>
            </w:r>
          </w:p>
        </w:tc>
        <w:tc>
          <w:tcPr>
            <w:tcW w:w="715" w:type="dxa"/>
            <w:shd w:val="clear" w:color="auto" w:fill="auto"/>
            <w:vAlign w:val="bottom"/>
          </w:tcPr>
          <w:p w:rsidR="001771B8" w:rsidRPr="00262910" w:rsidRDefault="001771B8" w:rsidP="001771B8">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color w:val="auto"/>
                <w:sz w:val="18"/>
                <w:lang w:val="fr-FR"/>
              </w:rPr>
            </w:pPr>
            <w:r w:rsidRPr="00262910">
              <w:rPr>
                <w:color w:val="auto"/>
                <w:sz w:val="18"/>
                <w:lang w:val="fr-FR"/>
              </w:rPr>
              <w:t>10</w:t>
            </w:r>
            <w:r>
              <w:rPr>
                <w:color w:val="auto"/>
                <w:sz w:val="18"/>
                <w:lang w:val="fr-FR"/>
              </w:rPr>
              <w:t>,</w:t>
            </w:r>
            <w:r w:rsidRPr="00262910">
              <w:rPr>
                <w:color w:val="auto"/>
                <w:sz w:val="18"/>
                <w:lang w:val="fr-FR"/>
              </w:rPr>
              <w:t>70</w:t>
            </w:r>
          </w:p>
        </w:tc>
      </w:tr>
    </w:tbl>
    <w:p w:rsidR="001771B8" w:rsidRPr="00262910" w:rsidRDefault="001771B8" w:rsidP="001771B8">
      <w:pPr>
        <w:pStyle w:val="SingleTxtG"/>
        <w:spacing w:before="120" w:after="0" w:line="220" w:lineRule="exact"/>
        <w:ind w:firstLine="170"/>
        <w:jc w:val="left"/>
        <w:rPr>
          <w:sz w:val="18"/>
          <w:szCs w:val="18"/>
          <w:lang w:val="fr-FR"/>
        </w:rPr>
      </w:pPr>
      <w:r w:rsidRPr="00262910">
        <w:rPr>
          <w:i/>
          <w:sz w:val="18"/>
          <w:szCs w:val="18"/>
          <w:lang w:val="fr-FR"/>
        </w:rPr>
        <w:t>Source</w:t>
      </w:r>
      <w:r w:rsidR="006D05E4">
        <w:rPr>
          <w:i/>
          <w:sz w:val="18"/>
          <w:szCs w:val="18"/>
          <w:lang w:val="fr-FR"/>
        </w:rPr>
        <w:t> </w:t>
      </w:r>
      <w:r w:rsidRPr="00262910">
        <w:rPr>
          <w:sz w:val="18"/>
          <w:szCs w:val="18"/>
          <w:lang w:val="fr-FR"/>
        </w:rPr>
        <w:t>: Bureau norvégien de statistique.</w:t>
      </w:r>
    </w:p>
    <w:p w:rsidR="001771B8" w:rsidRPr="00262910" w:rsidRDefault="001771B8" w:rsidP="001771B8">
      <w:pPr>
        <w:pStyle w:val="H1G"/>
        <w:rPr>
          <w:lang w:val="fr-FR"/>
        </w:rPr>
      </w:pPr>
      <w:r w:rsidRPr="00262910">
        <w:rPr>
          <w:lang w:val="fr-FR"/>
        </w:rPr>
        <w:tab/>
      </w:r>
      <w:r w:rsidRPr="00262910">
        <w:rPr>
          <w:lang w:val="fr-FR"/>
        </w:rPr>
        <w:tab/>
      </w:r>
      <w:r w:rsidRPr="00222B04">
        <w:rPr>
          <w:lang w:val="fr-FR"/>
        </w:rPr>
        <w:t>Réponse au</w:t>
      </w:r>
      <w:r w:rsidRPr="00262910">
        <w:rPr>
          <w:lang w:val="fr-FR"/>
        </w:rPr>
        <w:t xml:space="preserve"> paragraphe 26 de la liste de points</w:t>
      </w:r>
    </w:p>
    <w:p w:rsidR="001771B8" w:rsidRPr="00262910" w:rsidRDefault="001771B8" w:rsidP="001771B8">
      <w:pPr>
        <w:pStyle w:val="SingleTxtG"/>
        <w:rPr>
          <w:spacing w:val="-2"/>
          <w:lang w:val="fr-FR"/>
        </w:rPr>
      </w:pPr>
      <w:r w:rsidRPr="00262910">
        <w:rPr>
          <w:spacing w:val="-2"/>
          <w:lang w:val="fr-FR"/>
        </w:rPr>
        <w:t>193.</w:t>
      </w:r>
      <w:r w:rsidRPr="00262910">
        <w:rPr>
          <w:spacing w:val="-2"/>
          <w:lang w:val="fr-FR"/>
        </w:rPr>
        <w:tab/>
      </w:r>
      <w:r>
        <w:rPr>
          <w:spacing w:val="-2"/>
          <w:lang w:val="fr-FR"/>
        </w:rPr>
        <w:t>V</w:t>
      </w:r>
      <w:r w:rsidRPr="00262910">
        <w:rPr>
          <w:spacing w:val="-2"/>
          <w:lang w:val="fr-FR"/>
        </w:rPr>
        <w:t xml:space="preserve">oir </w:t>
      </w:r>
      <w:r>
        <w:rPr>
          <w:spacing w:val="-2"/>
          <w:lang w:val="fr-FR"/>
        </w:rPr>
        <w:t xml:space="preserve">la partie de la </w:t>
      </w:r>
      <w:r w:rsidRPr="00262910">
        <w:rPr>
          <w:spacing w:val="-2"/>
          <w:lang w:val="fr-FR"/>
        </w:rPr>
        <w:t xml:space="preserve">réponse </w:t>
      </w:r>
      <w:r>
        <w:rPr>
          <w:spacing w:val="-2"/>
          <w:lang w:val="fr-FR"/>
        </w:rPr>
        <w:t xml:space="preserve">au paragraphe 3 relative à </w:t>
      </w:r>
      <w:r w:rsidRPr="00C703B6">
        <w:rPr>
          <w:spacing w:val="-2"/>
          <w:lang w:val="fr-FR"/>
        </w:rPr>
        <w:t>la discrimination sur le marché du logement</w:t>
      </w:r>
      <w:r w:rsidRPr="00262910">
        <w:rPr>
          <w:spacing w:val="-2"/>
          <w:lang w:val="fr-FR"/>
        </w:rPr>
        <w:t>.</w:t>
      </w:r>
    </w:p>
    <w:p w:rsidR="001771B8" w:rsidRPr="00262910" w:rsidRDefault="001771B8" w:rsidP="001771B8">
      <w:pPr>
        <w:pStyle w:val="SingleTxtG"/>
        <w:rPr>
          <w:bCs/>
          <w:lang w:val="fr-FR"/>
        </w:rPr>
      </w:pPr>
      <w:r w:rsidRPr="00262910">
        <w:rPr>
          <w:bCs/>
          <w:lang w:val="fr-FR"/>
        </w:rPr>
        <w:t>194.</w:t>
      </w:r>
      <w:r w:rsidRPr="00262910">
        <w:rPr>
          <w:bCs/>
          <w:lang w:val="fr-FR"/>
        </w:rPr>
        <w:tab/>
      </w:r>
      <w:r w:rsidRPr="0074682E">
        <w:rPr>
          <w:lang w:val="fr-FR"/>
        </w:rPr>
        <w:t>Peu de cas de discrimination</w:t>
      </w:r>
      <w:r w:rsidRPr="00262910">
        <w:rPr>
          <w:lang w:val="fr-FR"/>
        </w:rPr>
        <w:t xml:space="preserve"> sur le marché du logement ont été signalés. Entre 2007 et 2015, le Médiateur pour l</w:t>
      </w:r>
      <w:r>
        <w:rPr>
          <w:lang w:val="fr-FR"/>
        </w:rPr>
        <w:t>’</w:t>
      </w:r>
      <w:r w:rsidRPr="00262910">
        <w:rPr>
          <w:lang w:val="fr-FR"/>
        </w:rPr>
        <w:t xml:space="preserve">égalité et </w:t>
      </w:r>
      <w:r>
        <w:rPr>
          <w:lang w:val="fr-FR"/>
        </w:rPr>
        <w:t xml:space="preserve">la lutte </w:t>
      </w:r>
      <w:r w:rsidRPr="00262910">
        <w:rPr>
          <w:lang w:val="fr-FR"/>
        </w:rPr>
        <w:t>contre la discrimination a reçu 15</w:t>
      </w:r>
      <w:r w:rsidR="006D05E4">
        <w:rPr>
          <w:lang w:val="fr-FR"/>
        </w:rPr>
        <w:t> </w:t>
      </w:r>
      <w:r w:rsidRPr="00262910">
        <w:rPr>
          <w:lang w:val="fr-FR"/>
        </w:rPr>
        <w:t>027</w:t>
      </w:r>
      <w:r w:rsidR="006D05E4">
        <w:rPr>
          <w:lang w:val="fr-FR"/>
        </w:rPr>
        <w:t> </w:t>
      </w:r>
      <w:r w:rsidRPr="00262910">
        <w:rPr>
          <w:lang w:val="fr-FR"/>
        </w:rPr>
        <w:t xml:space="preserve">demandes de renseignements, dont 403 </w:t>
      </w:r>
      <w:r>
        <w:rPr>
          <w:lang w:val="fr-FR"/>
        </w:rPr>
        <w:t xml:space="preserve">visant une </w:t>
      </w:r>
      <w:r w:rsidRPr="00262910">
        <w:rPr>
          <w:lang w:val="fr-FR"/>
        </w:rPr>
        <w:t>discrimination sur le marché du logement (2,7 %)</w:t>
      </w:r>
      <w:r w:rsidRPr="00262910">
        <w:rPr>
          <w:bCs/>
          <w:lang w:val="fr-FR"/>
        </w:rPr>
        <w:t xml:space="preserve">. </w:t>
      </w:r>
    </w:p>
    <w:p w:rsidR="001771B8" w:rsidRPr="00262910" w:rsidRDefault="001771B8" w:rsidP="001771B8">
      <w:pPr>
        <w:pStyle w:val="SingleTxtG"/>
        <w:rPr>
          <w:lang w:val="fr-FR"/>
        </w:rPr>
      </w:pPr>
      <w:r w:rsidRPr="00262910">
        <w:rPr>
          <w:lang w:val="fr-FR"/>
        </w:rPr>
        <w:t>195.</w:t>
      </w:r>
      <w:r w:rsidRPr="00262910">
        <w:rPr>
          <w:lang w:val="fr-FR"/>
        </w:rPr>
        <w:tab/>
      </w:r>
      <w:r>
        <w:rPr>
          <w:bCs/>
          <w:lang w:val="fr-FR"/>
        </w:rPr>
        <w:t>Afin de combattre l</w:t>
      </w:r>
      <w:r w:rsidRPr="00262910">
        <w:rPr>
          <w:bCs/>
          <w:lang w:val="fr-FR"/>
        </w:rPr>
        <w:t>es préjugés en matière de location de logement aux personnes issues de l</w:t>
      </w:r>
      <w:r>
        <w:rPr>
          <w:bCs/>
          <w:lang w:val="fr-FR"/>
        </w:rPr>
        <w:t>’</w:t>
      </w:r>
      <w:r w:rsidRPr="00262910">
        <w:rPr>
          <w:bCs/>
          <w:lang w:val="fr-FR"/>
        </w:rPr>
        <w:t>immigration ou à d</w:t>
      </w:r>
      <w:r>
        <w:rPr>
          <w:bCs/>
          <w:lang w:val="fr-FR"/>
        </w:rPr>
        <w:t>’</w:t>
      </w:r>
      <w:r w:rsidRPr="00262910">
        <w:rPr>
          <w:bCs/>
          <w:lang w:val="fr-FR"/>
        </w:rPr>
        <w:t>autres personnes défavorisées sur le marché du logement, l</w:t>
      </w:r>
      <w:r>
        <w:rPr>
          <w:bCs/>
          <w:lang w:val="fr-FR"/>
        </w:rPr>
        <w:t>’</w:t>
      </w:r>
      <w:r w:rsidRPr="00262910">
        <w:rPr>
          <w:bCs/>
          <w:lang w:val="fr-FR"/>
        </w:rPr>
        <w:t>Association norvégienne des locataires propose à toutes les municipalités des conseils, des formations et des documents d</w:t>
      </w:r>
      <w:r>
        <w:rPr>
          <w:bCs/>
          <w:lang w:val="fr-FR"/>
        </w:rPr>
        <w:t>’</w:t>
      </w:r>
      <w:r w:rsidRPr="00262910">
        <w:rPr>
          <w:bCs/>
          <w:lang w:val="fr-FR"/>
        </w:rPr>
        <w:t>information</w:t>
      </w:r>
      <w:r>
        <w:rPr>
          <w:bCs/>
          <w:lang w:val="fr-FR"/>
        </w:rPr>
        <w:t xml:space="preserve"> en vue d’aider ces personnes </w:t>
      </w:r>
      <w:r w:rsidRPr="00262910">
        <w:rPr>
          <w:bCs/>
          <w:lang w:val="fr-FR"/>
        </w:rPr>
        <w:t xml:space="preserve">à se loger. En 2016, un nouveau document de garantie municipale a été lancé en lien </w:t>
      </w:r>
      <w:r w:rsidRPr="00574538">
        <w:rPr>
          <w:bCs/>
          <w:lang w:val="fr-FR"/>
        </w:rPr>
        <w:t>avec des accords de</w:t>
      </w:r>
      <w:r w:rsidRPr="00262910">
        <w:rPr>
          <w:bCs/>
          <w:lang w:val="fr-FR"/>
        </w:rPr>
        <w:t xml:space="preserve"> location. Ce document </w:t>
      </w:r>
      <w:r>
        <w:rPr>
          <w:bCs/>
          <w:lang w:val="fr-FR"/>
        </w:rPr>
        <w:t xml:space="preserve">protège </w:t>
      </w:r>
      <w:r w:rsidRPr="00262910">
        <w:rPr>
          <w:bCs/>
          <w:lang w:val="fr-FR"/>
        </w:rPr>
        <w:t xml:space="preserve">mieux les intérêts financiers des propriétaires et </w:t>
      </w:r>
      <w:r>
        <w:rPr>
          <w:bCs/>
          <w:lang w:val="fr-FR"/>
        </w:rPr>
        <w:t xml:space="preserve">réduit </w:t>
      </w:r>
      <w:r w:rsidRPr="00262910">
        <w:rPr>
          <w:bCs/>
          <w:lang w:val="fr-FR"/>
        </w:rPr>
        <w:t>les risques pour les propriétaires lou</w:t>
      </w:r>
      <w:r>
        <w:rPr>
          <w:bCs/>
          <w:lang w:val="fr-FR"/>
        </w:rPr>
        <w:t>a</w:t>
      </w:r>
      <w:r w:rsidRPr="00262910">
        <w:rPr>
          <w:bCs/>
          <w:lang w:val="fr-FR"/>
        </w:rPr>
        <w:t xml:space="preserve">nt </w:t>
      </w:r>
      <w:r>
        <w:rPr>
          <w:bCs/>
          <w:lang w:val="fr-FR"/>
        </w:rPr>
        <w:t xml:space="preserve">un </w:t>
      </w:r>
      <w:r w:rsidRPr="00262910">
        <w:rPr>
          <w:bCs/>
          <w:lang w:val="fr-FR"/>
        </w:rPr>
        <w:t>bien</w:t>
      </w:r>
      <w:r>
        <w:rPr>
          <w:bCs/>
          <w:lang w:val="fr-FR"/>
        </w:rPr>
        <w:t xml:space="preserve"> à des </w:t>
      </w:r>
      <w:r w:rsidRPr="00262910">
        <w:rPr>
          <w:bCs/>
          <w:lang w:val="fr-FR"/>
        </w:rPr>
        <w:t>personnes défavorisées sur le marché du logement.</w:t>
      </w:r>
    </w:p>
    <w:p w:rsidR="001771B8" w:rsidRPr="00262910" w:rsidRDefault="001771B8" w:rsidP="001771B8">
      <w:pPr>
        <w:pStyle w:val="SingleTxtG"/>
        <w:rPr>
          <w:lang w:val="fr-FR"/>
        </w:rPr>
      </w:pPr>
      <w:r w:rsidRPr="00262910">
        <w:rPr>
          <w:lang w:val="fr-FR"/>
        </w:rPr>
        <w:t>196.</w:t>
      </w:r>
      <w:r w:rsidRPr="00262910">
        <w:rPr>
          <w:lang w:val="fr-FR"/>
        </w:rPr>
        <w:tab/>
      </w:r>
      <w:r>
        <w:rPr>
          <w:lang w:val="fr-FR"/>
        </w:rPr>
        <w:t>D</w:t>
      </w:r>
      <w:r w:rsidRPr="00262910">
        <w:rPr>
          <w:lang w:val="fr-FR"/>
        </w:rPr>
        <w:t>ans son programme politique</w:t>
      </w:r>
      <w:r>
        <w:rPr>
          <w:lang w:val="fr-FR"/>
        </w:rPr>
        <w:t xml:space="preserve"> l</w:t>
      </w:r>
      <w:r w:rsidRPr="00EA484D">
        <w:rPr>
          <w:lang w:val="fr-FR"/>
        </w:rPr>
        <w:t xml:space="preserve">e Gouvernement confirme </w:t>
      </w:r>
      <w:r w:rsidRPr="00262910">
        <w:rPr>
          <w:lang w:val="fr-FR"/>
        </w:rPr>
        <w:t>qu</w:t>
      </w:r>
      <w:r>
        <w:rPr>
          <w:lang w:val="fr-FR"/>
        </w:rPr>
        <w:t>’</w:t>
      </w:r>
      <w:r w:rsidRPr="00262910">
        <w:rPr>
          <w:lang w:val="fr-FR"/>
        </w:rPr>
        <w:t xml:space="preserve">il prendra des mesures </w:t>
      </w:r>
      <w:r>
        <w:rPr>
          <w:lang w:val="fr-FR"/>
        </w:rPr>
        <w:t xml:space="preserve">contre </w:t>
      </w:r>
      <w:r w:rsidRPr="00262910">
        <w:rPr>
          <w:lang w:val="fr-FR"/>
        </w:rPr>
        <w:t>la discrimination sur le marché du logement</w:t>
      </w:r>
      <w:r>
        <w:rPr>
          <w:lang w:val="fr-FR"/>
        </w:rPr>
        <w:t xml:space="preserve"> dans le cadre du </w:t>
      </w:r>
      <w:r w:rsidRPr="00262910">
        <w:rPr>
          <w:lang w:val="fr-FR"/>
        </w:rPr>
        <w:t xml:space="preserve">nouveau </w:t>
      </w:r>
      <w:r>
        <w:rPr>
          <w:lang w:val="fr-FR"/>
        </w:rPr>
        <w:t>p</w:t>
      </w:r>
      <w:r w:rsidRPr="00262910">
        <w:rPr>
          <w:lang w:val="fr-FR"/>
        </w:rPr>
        <w:t>lan d</w:t>
      </w:r>
      <w:r>
        <w:rPr>
          <w:lang w:val="fr-FR"/>
        </w:rPr>
        <w:t>’</w:t>
      </w:r>
      <w:r w:rsidRPr="00262910">
        <w:rPr>
          <w:lang w:val="fr-FR"/>
        </w:rPr>
        <w:t>action contre le racisme et la discrimination fondé</w:t>
      </w:r>
      <w:r>
        <w:rPr>
          <w:lang w:val="fr-FR"/>
        </w:rPr>
        <w:t xml:space="preserve">e </w:t>
      </w:r>
      <w:r w:rsidRPr="00262910">
        <w:rPr>
          <w:lang w:val="fr-FR"/>
        </w:rPr>
        <w:t>sur l</w:t>
      </w:r>
      <w:r>
        <w:rPr>
          <w:lang w:val="fr-FR"/>
        </w:rPr>
        <w:t>’</w:t>
      </w:r>
      <w:r w:rsidRPr="00262910">
        <w:rPr>
          <w:lang w:val="fr-FR"/>
        </w:rPr>
        <w:t>appartenance ethnique et la religion, q</w:t>
      </w:r>
      <w:r>
        <w:rPr>
          <w:lang w:val="fr-FR"/>
        </w:rPr>
        <w:t xml:space="preserve">ui sera </w:t>
      </w:r>
      <w:r w:rsidRPr="00262910">
        <w:rPr>
          <w:lang w:val="fr-FR"/>
        </w:rPr>
        <w:t>présent</w:t>
      </w:r>
      <w:r>
        <w:rPr>
          <w:lang w:val="fr-FR"/>
        </w:rPr>
        <w:t>é</w:t>
      </w:r>
      <w:r w:rsidRPr="00262910">
        <w:rPr>
          <w:lang w:val="fr-FR"/>
        </w:rPr>
        <w:t xml:space="preserve"> à l</w:t>
      </w:r>
      <w:r>
        <w:rPr>
          <w:lang w:val="fr-FR"/>
        </w:rPr>
        <w:t>’</w:t>
      </w:r>
      <w:r w:rsidRPr="00262910">
        <w:rPr>
          <w:lang w:val="fr-FR"/>
        </w:rPr>
        <w:t xml:space="preserve">automne 2019. </w:t>
      </w:r>
    </w:p>
    <w:p w:rsidR="001771B8" w:rsidRPr="00262910" w:rsidRDefault="001771B8" w:rsidP="001771B8">
      <w:pPr>
        <w:pStyle w:val="H1G"/>
        <w:rPr>
          <w:lang w:val="fr-FR"/>
        </w:rPr>
      </w:pPr>
      <w:r w:rsidRPr="00262910">
        <w:rPr>
          <w:lang w:val="fr-FR"/>
        </w:rPr>
        <w:tab/>
      </w:r>
      <w:r w:rsidRPr="00262910">
        <w:rPr>
          <w:lang w:val="fr-FR"/>
        </w:rPr>
        <w:tab/>
        <w:t>Réponse au paragraphe 27 a) de la liste de points</w:t>
      </w:r>
    </w:p>
    <w:p w:rsidR="001771B8" w:rsidRPr="00262910" w:rsidRDefault="001771B8" w:rsidP="001771B8">
      <w:pPr>
        <w:pStyle w:val="SingleTxtG"/>
        <w:rPr>
          <w:lang w:val="fr-FR"/>
        </w:rPr>
      </w:pPr>
      <w:r w:rsidRPr="00262910">
        <w:rPr>
          <w:lang w:val="fr-FR"/>
        </w:rPr>
        <w:t>197.</w:t>
      </w:r>
      <w:r w:rsidRPr="00262910">
        <w:rPr>
          <w:lang w:val="fr-FR"/>
        </w:rPr>
        <w:tab/>
      </w:r>
      <w:r w:rsidRPr="003C13EF">
        <w:rPr>
          <w:lang w:val="fr-FR"/>
        </w:rPr>
        <w:t>Toute personne</w:t>
      </w:r>
      <w:r w:rsidRPr="00B04F9B">
        <w:rPr>
          <w:lang w:val="fr-FR"/>
        </w:rPr>
        <w:t xml:space="preserve"> qui séjourne</w:t>
      </w:r>
      <w:r w:rsidRPr="00262910">
        <w:rPr>
          <w:lang w:val="fr-FR"/>
        </w:rPr>
        <w:t xml:space="preserve"> ou vit en Norvège (</w:t>
      </w:r>
      <w:r>
        <w:rPr>
          <w:lang w:val="fr-FR"/>
        </w:rPr>
        <w:t xml:space="preserve">sans considération de </w:t>
      </w:r>
      <w:r w:rsidRPr="00262910">
        <w:rPr>
          <w:lang w:val="fr-FR"/>
        </w:rPr>
        <w:t xml:space="preserve">nationalité </w:t>
      </w:r>
      <w:r>
        <w:rPr>
          <w:lang w:val="fr-FR"/>
        </w:rPr>
        <w:t>et qu’elle y réside à titre permanent ou s’y trouve en situation irrégulière</w:t>
      </w:r>
      <w:r w:rsidRPr="00262910">
        <w:rPr>
          <w:lang w:val="fr-FR"/>
        </w:rPr>
        <w:t>) a droit à une aide d</w:t>
      </w:r>
      <w:r>
        <w:rPr>
          <w:lang w:val="fr-FR"/>
        </w:rPr>
        <w:t>’</w:t>
      </w:r>
      <w:r w:rsidRPr="00262910">
        <w:rPr>
          <w:lang w:val="fr-FR"/>
        </w:rPr>
        <w:t xml:space="preserve">urgence et à </w:t>
      </w:r>
      <w:r>
        <w:rPr>
          <w:lang w:val="fr-FR"/>
        </w:rPr>
        <w:t xml:space="preserve">tous les </w:t>
      </w:r>
      <w:r w:rsidRPr="00262910">
        <w:rPr>
          <w:lang w:val="fr-FR"/>
        </w:rPr>
        <w:t xml:space="preserve">soins de santé </w:t>
      </w:r>
      <w:r>
        <w:rPr>
          <w:lang w:val="fr-FR"/>
        </w:rPr>
        <w:t xml:space="preserve">qui ne peuvent </w:t>
      </w:r>
      <w:r w:rsidRPr="00262910">
        <w:rPr>
          <w:lang w:val="fr-FR"/>
        </w:rPr>
        <w:t xml:space="preserve">être </w:t>
      </w:r>
      <w:r>
        <w:rPr>
          <w:lang w:val="fr-FR"/>
        </w:rPr>
        <w:t xml:space="preserve">différés </w:t>
      </w:r>
      <w:r w:rsidRPr="00262910">
        <w:rPr>
          <w:lang w:val="fr-FR"/>
        </w:rPr>
        <w:t xml:space="preserve">sans </w:t>
      </w:r>
      <w:r>
        <w:rPr>
          <w:lang w:val="fr-FR"/>
        </w:rPr>
        <w:t xml:space="preserve">entraîner de </w:t>
      </w:r>
      <w:r w:rsidRPr="00262910">
        <w:rPr>
          <w:lang w:val="fr-FR"/>
        </w:rPr>
        <w:t>risque de mort imminente, d</w:t>
      </w:r>
      <w:r>
        <w:rPr>
          <w:lang w:val="fr-FR"/>
        </w:rPr>
        <w:t>’</w:t>
      </w:r>
      <w:r w:rsidRPr="00262910">
        <w:rPr>
          <w:lang w:val="fr-FR"/>
        </w:rPr>
        <w:t>invalidité ou de blessure grave permanente ou de douleur intense. Toute personne a le droit d</w:t>
      </w:r>
      <w:r>
        <w:rPr>
          <w:lang w:val="fr-FR"/>
        </w:rPr>
        <w:t>’</w:t>
      </w:r>
      <w:r w:rsidRPr="00262910">
        <w:rPr>
          <w:lang w:val="fr-FR"/>
        </w:rPr>
        <w:t xml:space="preserve">être </w:t>
      </w:r>
      <w:r>
        <w:rPr>
          <w:lang w:val="fr-FR"/>
        </w:rPr>
        <w:t xml:space="preserve">examinée </w:t>
      </w:r>
      <w:r w:rsidRPr="00262910">
        <w:rPr>
          <w:lang w:val="fr-FR"/>
        </w:rPr>
        <w:t xml:space="preserve">par </w:t>
      </w:r>
      <w:r>
        <w:rPr>
          <w:lang w:val="fr-FR"/>
        </w:rPr>
        <w:t xml:space="preserve">un </w:t>
      </w:r>
      <w:r w:rsidRPr="00262910">
        <w:rPr>
          <w:lang w:val="fr-FR"/>
        </w:rPr>
        <w:t>service de santé spécialisé pour</w:t>
      </w:r>
      <w:r>
        <w:rPr>
          <w:lang w:val="fr-FR"/>
        </w:rPr>
        <w:t xml:space="preserve"> déterminer</w:t>
      </w:r>
      <w:r w:rsidRPr="00262910">
        <w:rPr>
          <w:lang w:val="fr-FR"/>
        </w:rPr>
        <w:t xml:space="preserve"> si </w:t>
      </w:r>
      <w:r>
        <w:rPr>
          <w:lang w:val="fr-FR"/>
        </w:rPr>
        <w:t xml:space="preserve">elle a besoin de </w:t>
      </w:r>
      <w:r w:rsidRPr="00262910">
        <w:rPr>
          <w:lang w:val="fr-FR"/>
        </w:rPr>
        <w:t>soins</w:t>
      </w:r>
      <w:r>
        <w:rPr>
          <w:lang w:val="fr-FR"/>
        </w:rPr>
        <w:t xml:space="preserve"> médicaux</w:t>
      </w:r>
      <w:r w:rsidRPr="00262910">
        <w:rPr>
          <w:lang w:val="fr-FR"/>
        </w:rPr>
        <w:t xml:space="preserve">. Les personnes </w:t>
      </w:r>
      <w:r>
        <w:rPr>
          <w:lang w:val="fr-FR"/>
        </w:rPr>
        <w:t xml:space="preserve">qui n’ont pas le statut de </w:t>
      </w:r>
      <w:r w:rsidRPr="00262910">
        <w:rPr>
          <w:lang w:val="fr-FR"/>
        </w:rPr>
        <w:t>résiden</w:t>
      </w:r>
      <w:r>
        <w:rPr>
          <w:lang w:val="fr-FR"/>
        </w:rPr>
        <w:t>t</w:t>
      </w:r>
      <w:r w:rsidRPr="00262910">
        <w:rPr>
          <w:lang w:val="fr-FR"/>
        </w:rPr>
        <w:t xml:space="preserve"> permanent doivent en </w:t>
      </w:r>
      <w:r>
        <w:rPr>
          <w:lang w:val="fr-FR"/>
        </w:rPr>
        <w:t xml:space="preserve">principe </w:t>
      </w:r>
      <w:r w:rsidRPr="00262910">
        <w:rPr>
          <w:lang w:val="fr-FR"/>
        </w:rPr>
        <w:t xml:space="preserve">payer les soins </w:t>
      </w:r>
      <w:r>
        <w:rPr>
          <w:lang w:val="fr-FR"/>
        </w:rPr>
        <w:t xml:space="preserve">médicaux reçus, mais le </w:t>
      </w:r>
      <w:r w:rsidRPr="00262910">
        <w:rPr>
          <w:lang w:val="fr-FR"/>
        </w:rPr>
        <w:t xml:space="preserve">paiement </w:t>
      </w:r>
      <w:r>
        <w:rPr>
          <w:lang w:val="fr-FR"/>
        </w:rPr>
        <w:t xml:space="preserve">d’avance </w:t>
      </w:r>
      <w:r w:rsidRPr="00262910">
        <w:rPr>
          <w:lang w:val="fr-FR"/>
        </w:rPr>
        <w:t>ne peut être exigé dans les cas d</w:t>
      </w:r>
      <w:r>
        <w:rPr>
          <w:lang w:val="fr-FR"/>
        </w:rPr>
        <w:t>’</w:t>
      </w:r>
      <w:r w:rsidRPr="00262910">
        <w:rPr>
          <w:lang w:val="fr-FR"/>
        </w:rPr>
        <w:t>aide d</w:t>
      </w:r>
      <w:r>
        <w:rPr>
          <w:lang w:val="fr-FR"/>
        </w:rPr>
        <w:t>’</w:t>
      </w:r>
      <w:r w:rsidRPr="00262910">
        <w:rPr>
          <w:lang w:val="fr-FR"/>
        </w:rPr>
        <w:t>urgence et de soins de santé spécialisés ne p</w:t>
      </w:r>
      <w:r>
        <w:rPr>
          <w:lang w:val="fr-FR"/>
        </w:rPr>
        <w:t xml:space="preserve">ouvant </w:t>
      </w:r>
      <w:r w:rsidRPr="00262910">
        <w:rPr>
          <w:lang w:val="fr-FR"/>
        </w:rPr>
        <w:t xml:space="preserve">être </w:t>
      </w:r>
      <w:r>
        <w:rPr>
          <w:lang w:val="fr-FR"/>
        </w:rPr>
        <w:t>différés</w:t>
      </w:r>
      <w:r w:rsidRPr="00262910">
        <w:rPr>
          <w:lang w:val="fr-FR"/>
        </w:rPr>
        <w:t xml:space="preserve">. </w:t>
      </w:r>
    </w:p>
    <w:p w:rsidR="001771B8" w:rsidRPr="00262910" w:rsidRDefault="001771B8" w:rsidP="001771B8">
      <w:pPr>
        <w:pStyle w:val="H1G"/>
        <w:rPr>
          <w:lang w:val="fr-FR"/>
        </w:rPr>
      </w:pPr>
      <w:r w:rsidRPr="00262910">
        <w:rPr>
          <w:lang w:val="fr-FR"/>
        </w:rPr>
        <w:tab/>
      </w:r>
      <w:r w:rsidRPr="00262910">
        <w:rPr>
          <w:lang w:val="fr-FR"/>
        </w:rPr>
        <w:tab/>
      </w:r>
      <w:r w:rsidRPr="00236FD8">
        <w:rPr>
          <w:lang w:val="fr-FR"/>
        </w:rPr>
        <w:t>Réponse au paragraphe</w:t>
      </w:r>
      <w:r w:rsidRPr="00262910">
        <w:rPr>
          <w:lang w:val="fr-FR"/>
        </w:rPr>
        <w:t xml:space="preserve"> 27 b) de la liste de points</w:t>
      </w:r>
    </w:p>
    <w:p w:rsidR="001771B8" w:rsidRPr="00262910" w:rsidRDefault="001771B8" w:rsidP="001771B8">
      <w:pPr>
        <w:pStyle w:val="SingleTxtG"/>
        <w:rPr>
          <w:lang w:val="fr-FR"/>
        </w:rPr>
      </w:pPr>
      <w:r w:rsidRPr="00262910">
        <w:rPr>
          <w:lang w:val="fr-FR"/>
        </w:rPr>
        <w:t>198.</w:t>
      </w:r>
      <w:r w:rsidRPr="00262910">
        <w:rPr>
          <w:lang w:val="fr-FR"/>
        </w:rPr>
        <w:tab/>
      </w:r>
      <w:r w:rsidRPr="00F61247">
        <w:rPr>
          <w:lang w:val="fr-FR"/>
        </w:rPr>
        <w:t>L</w:t>
      </w:r>
      <w:r>
        <w:rPr>
          <w:lang w:val="fr-FR"/>
        </w:rPr>
        <w:t>’</w:t>
      </w:r>
      <w:r w:rsidRPr="00F61247">
        <w:rPr>
          <w:lang w:val="fr-FR"/>
        </w:rPr>
        <w:t>information postnatale</w:t>
      </w:r>
      <w:r w:rsidRPr="00262910">
        <w:rPr>
          <w:lang w:val="fr-FR"/>
        </w:rPr>
        <w:t xml:space="preserve">, </w:t>
      </w:r>
      <w:r>
        <w:rPr>
          <w:lang w:val="fr-FR"/>
        </w:rPr>
        <w:t xml:space="preserve">y compris </w:t>
      </w:r>
      <w:r w:rsidRPr="00262910">
        <w:rPr>
          <w:lang w:val="fr-FR"/>
        </w:rPr>
        <w:t>les lignes directrices</w:t>
      </w:r>
      <w:r>
        <w:rPr>
          <w:lang w:val="fr-FR"/>
        </w:rPr>
        <w:t xml:space="preserve"> y relatives</w:t>
      </w:r>
      <w:r w:rsidRPr="00262910">
        <w:rPr>
          <w:lang w:val="fr-FR"/>
        </w:rPr>
        <w:t xml:space="preserve">, est </w:t>
      </w:r>
      <w:r>
        <w:rPr>
          <w:lang w:val="fr-FR"/>
        </w:rPr>
        <w:t xml:space="preserve">librement </w:t>
      </w:r>
      <w:r w:rsidRPr="00262910">
        <w:rPr>
          <w:lang w:val="fr-FR"/>
        </w:rPr>
        <w:t xml:space="preserve">accessible </w:t>
      </w:r>
      <w:r>
        <w:rPr>
          <w:lang w:val="fr-FR"/>
        </w:rPr>
        <w:t xml:space="preserve">aux </w:t>
      </w:r>
      <w:r w:rsidRPr="00262910">
        <w:rPr>
          <w:lang w:val="fr-FR"/>
        </w:rPr>
        <w:t xml:space="preserve">municipalités, </w:t>
      </w:r>
      <w:r>
        <w:rPr>
          <w:lang w:val="fr-FR"/>
        </w:rPr>
        <w:t xml:space="preserve">au </w:t>
      </w:r>
      <w:r w:rsidRPr="00262910">
        <w:rPr>
          <w:lang w:val="fr-FR"/>
        </w:rPr>
        <w:t xml:space="preserve">personnel de santé, </w:t>
      </w:r>
      <w:r>
        <w:rPr>
          <w:lang w:val="fr-FR"/>
        </w:rPr>
        <w:t xml:space="preserve">aux </w:t>
      </w:r>
      <w:r w:rsidRPr="00262910">
        <w:rPr>
          <w:lang w:val="fr-FR"/>
        </w:rPr>
        <w:t xml:space="preserve">patients et </w:t>
      </w:r>
      <w:r>
        <w:rPr>
          <w:lang w:val="fr-FR"/>
        </w:rPr>
        <w:t>aux usagers</w:t>
      </w:r>
      <w:r w:rsidRPr="00262910">
        <w:rPr>
          <w:lang w:val="fr-FR"/>
        </w:rPr>
        <w:t xml:space="preserve">. Les municipalités et le personnel de santé sont </w:t>
      </w:r>
      <w:r>
        <w:rPr>
          <w:lang w:val="fr-FR"/>
        </w:rPr>
        <w:t xml:space="preserve">légalement </w:t>
      </w:r>
      <w:r w:rsidRPr="00262910">
        <w:rPr>
          <w:lang w:val="fr-FR"/>
        </w:rPr>
        <w:t xml:space="preserve">tenus de </w:t>
      </w:r>
      <w:r>
        <w:rPr>
          <w:lang w:val="fr-FR"/>
        </w:rPr>
        <w:t xml:space="preserve">prendre connaissance </w:t>
      </w:r>
      <w:r w:rsidRPr="00262910">
        <w:rPr>
          <w:lang w:val="fr-FR"/>
        </w:rPr>
        <w:t>des</w:t>
      </w:r>
      <w:r>
        <w:rPr>
          <w:lang w:val="fr-FR"/>
        </w:rPr>
        <w:t xml:space="preserve"> </w:t>
      </w:r>
      <w:r w:rsidRPr="00262910">
        <w:rPr>
          <w:lang w:val="fr-FR"/>
        </w:rPr>
        <w:t xml:space="preserve">informations </w:t>
      </w:r>
      <w:r>
        <w:rPr>
          <w:lang w:val="fr-FR"/>
        </w:rPr>
        <w:t xml:space="preserve">actualisées que diffusent les pouvoirs publics </w:t>
      </w:r>
      <w:r w:rsidRPr="00262910">
        <w:rPr>
          <w:lang w:val="fr-FR"/>
        </w:rPr>
        <w:t>afin d</w:t>
      </w:r>
      <w:r>
        <w:rPr>
          <w:lang w:val="fr-FR"/>
        </w:rPr>
        <w:t>’</w:t>
      </w:r>
      <w:r w:rsidRPr="00262910">
        <w:rPr>
          <w:lang w:val="fr-FR"/>
        </w:rPr>
        <w:t>être</w:t>
      </w:r>
      <w:r>
        <w:rPr>
          <w:lang w:val="fr-FR"/>
        </w:rPr>
        <w:t xml:space="preserve"> à même </w:t>
      </w:r>
      <w:r w:rsidRPr="00262910">
        <w:rPr>
          <w:lang w:val="fr-FR"/>
        </w:rPr>
        <w:t>de fournir au public les services de santé et de soins de haute qualité</w:t>
      </w:r>
      <w:r w:rsidRPr="00F61247">
        <w:rPr>
          <w:lang w:val="fr-FR"/>
        </w:rPr>
        <w:t xml:space="preserve"> nécessaires</w:t>
      </w:r>
      <w:r w:rsidRPr="00262910">
        <w:rPr>
          <w:lang w:val="fr-FR"/>
        </w:rPr>
        <w:t>. Le Conseil n</w:t>
      </w:r>
      <w:r>
        <w:rPr>
          <w:lang w:val="fr-FR"/>
        </w:rPr>
        <w:t xml:space="preserve">ational </w:t>
      </w:r>
      <w:r w:rsidRPr="00262910">
        <w:rPr>
          <w:lang w:val="fr-FR"/>
        </w:rPr>
        <w:t xml:space="preserve">de supervision de la santé est chargé de </w:t>
      </w:r>
      <w:r>
        <w:rPr>
          <w:lang w:val="fr-FR"/>
        </w:rPr>
        <w:t>surveiller l</w:t>
      </w:r>
      <w:r w:rsidRPr="00262910">
        <w:rPr>
          <w:lang w:val="fr-FR"/>
        </w:rPr>
        <w:t xml:space="preserve">es services </w:t>
      </w:r>
      <w:r>
        <w:rPr>
          <w:lang w:val="fr-FR"/>
        </w:rPr>
        <w:t xml:space="preserve">dans ce domaine </w:t>
      </w:r>
      <w:r w:rsidRPr="00262910">
        <w:rPr>
          <w:lang w:val="fr-FR"/>
        </w:rPr>
        <w:t xml:space="preserve">et de veiller à ce que les municipalités fournissent </w:t>
      </w:r>
      <w:r>
        <w:rPr>
          <w:lang w:val="fr-FR"/>
        </w:rPr>
        <w:t>c</w:t>
      </w:r>
      <w:r w:rsidRPr="00262910">
        <w:rPr>
          <w:lang w:val="fr-FR"/>
        </w:rPr>
        <w:t>es services conformément à la loi.</w:t>
      </w:r>
    </w:p>
    <w:p w:rsidR="001771B8" w:rsidRPr="00262910" w:rsidRDefault="001771B8" w:rsidP="001771B8">
      <w:pPr>
        <w:pStyle w:val="H1G"/>
        <w:rPr>
          <w:lang w:val="fr-FR"/>
        </w:rPr>
      </w:pPr>
      <w:r w:rsidRPr="00262910">
        <w:rPr>
          <w:lang w:val="fr-FR"/>
        </w:rPr>
        <w:tab/>
      </w:r>
      <w:r w:rsidRPr="00262910">
        <w:rPr>
          <w:lang w:val="fr-FR"/>
        </w:rPr>
        <w:tab/>
        <w:t>Réponse au paragraphe 27 c) de la liste de points</w:t>
      </w:r>
    </w:p>
    <w:p w:rsidR="001771B8" w:rsidRPr="00262910" w:rsidRDefault="001771B8" w:rsidP="001771B8">
      <w:pPr>
        <w:pStyle w:val="SingleTxtG"/>
        <w:rPr>
          <w:lang w:val="fr-FR"/>
        </w:rPr>
      </w:pPr>
      <w:r w:rsidRPr="00262910">
        <w:rPr>
          <w:lang w:val="fr-FR"/>
        </w:rPr>
        <w:t>199.</w:t>
      </w:r>
      <w:r w:rsidRPr="00262910">
        <w:rPr>
          <w:lang w:val="fr-FR"/>
        </w:rPr>
        <w:tab/>
      </w:r>
      <w:r w:rsidRPr="00D6351E">
        <w:rPr>
          <w:lang w:val="fr-FR"/>
        </w:rPr>
        <w:t>Après la catastrophe</w:t>
      </w:r>
      <w:r w:rsidRPr="00262910">
        <w:rPr>
          <w:lang w:val="fr-FR"/>
        </w:rPr>
        <w:t xml:space="preserve"> de Tchernobyl, les autorités norvégiennes ont rapidement compris, </w:t>
      </w:r>
      <w:r>
        <w:rPr>
          <w:lang w:val="fr-FR"/>
        </w:rPr>
        <w:t xml:space="preserve">à la lumière </w:t>
      </w:r>
      <w:r w:rsidRPr="00262910">
        <w:rPr>
          <w:lang w:val="fr-FR"/>
        </w:rPr>
        <w:t>d</w:t>
      </w:r>
      <w:r>
        <w:rPr>
          <w:lang w:val="fr-FR"/>
        </w:rPr>
        <w:t xml:space="preserve">es </w:t>
      </w:r>
      <w:r w:rsidRPr="00262910">
        <w:rPr>
          <w:lang w:val="fr-FR"/>
        </w:rPr>
        <w:t xml:space="preserve">études </w:t>
      </w:r>
      <w:r>
        <w:rPr>
          <w:lang w:val="fr-FR"/>
        </w:rPr>
        <w:t xml:space="preserve">consacrées aux </w:t>
      </w:r>
      <w:r w:rsidRPr="00262910">
        <w:rPr>
          <w:lang w:val="fr-FR"/>
        </w:rPr>
        <w:t xml:space="preserve">éleveurs de rennes </w:t>
      </w:r>
      <w:r>
        <w:rPr>
          <w:lang w:val="fr-FR"/>
        </w:rPr>
        <w:t>sâme</w:t>
      </w:r>
      <w:r w:rsidRPr="00262910">
        <w:rPr>
          <w:lang w:val="fr-FR"/>
        </w:rPr>
        <w:t>s d</w:t>
      </w:r>
      <w:r>
        <w:rPr>
          <w:lang w:val="fr-FR"/>
        </w:rPr>
        <w:t>e l’</w:t>
      </w:r>
      <w:r w:rsidRPr="00262910">
        <w:rPr>
          <w:lang w:val="fr-FR"/>
        </w:rPr>
        <w:t xml:space="preserve">Arctique norvégien à partir des années 1960, que la population </w:t>
      </w:r>
      <w:r>
        <w:rPr>
          <w:lang w:val="fr-FR"/>
        </w:rPr>
        <w:t>sâme</w:t>
      </w:r>
      <w:r w:rsidRPr="00262910">
        <w:rPr>
          <w:lang w:val="fr-FR"/>
        </w:rPr>
        <w:t xml:space="preserve"> d</w:t>
      </w:r>
      <w:r>
        <w:rPr>
          <w:lang w:val="fr-FR"/>
        </w:rPr>
        <w:t>’</w:t>
      </w:r>
      <w:r w:rsidRPr="00262910">
        <w:rPr>
          <w:lang w:val="fr-FR"/>
        </w:rPr>
        <w:t>éleveurs de rennes serait</w:t>
      </w:r>
      <w:r w:rsidRPr="00CB4F07">
        <w:rPr>
          <w:lang w:val="fr-FR"/>
        </w:rPr>
        <w:t xml:space="preserve"> </w:t>
      </w:r>
      <w:r>
        <w:rPr>
          <w:lang w:val="fr-FR"/>
        </w:rPr>
        <w:t>plus</w:t>
      </w:r>
      <w:r w:rsidRPr="00262910">
        <w:rPr>
          <w:lang w:val="fr-FR"/>
        </w:rPr>
        <w:t xml:space="preserve"> particulièrement</w:t>
      </w:r>
      <w:r w:rsidRPr="003C13EF">
        <w:rPr>
          <w:lang w:val="fr-FR"/>
        </w:rPr>
        <w:t xml:space="preserve"> touchée</w:t>
      </w:r>
      <w:r w:rsidRPr="00262910">
        <w:rPr>
          <w:lang w:val="fr-FR"/>
        </w:rPr>
        <w:t xml:space="preserve">. Sachant que la contamination radioactive </w:t>
      </w:r>
      <w:r>
        <w:rPr>
          <w:lang w:val="fr-FR"/>
        </w:rPr>
        <w:t xml:space="preserve">risquait de provoquer la ruine de </w:t>
      </w:r>
      <w:r w:rsidRPr="00262910">
        <w:rPr>
          <w:lang w:val="fr-FR"/>
        </w:rPr>
        <w:t>l</w:t>
      </w:r>
      <w:r>
        <w:rPr>
          <w:lang w:val="fr-FR"/>
        </w:rPr>
        <w:t xml:space="preserve">a renniculture sâme et d’avoir ainsi des </w:t>
      </w:r>
      <w:r w:rsidRPr="00262910">
        <w:rPr>
          <w:lang w:val="fr-FR"/>
        </w:rPr>
        <w:t>conséquences économiques pour les éleveurs de rennes et sociales pour la culture s</w:t>
      </w:r>
      <w:r>
        <w:rPr>
          <w:lang w:val="fr-FR"/>
        </w:rPr>
        <w:t>âm</w:t>
      </w:r>
      <w:r w:rsidRPr="00262910">
        <w:rPr>
          <w:lang w:val="fr-FR"/>
        </w:rPr>
        <w:t xml:space="preserve">e, les autorités ont </w:t>
      </w:r>
      <w:r w:rsidRPr="00F95111">
        <w:rPr>
          <w:lang w:val="fr-FR"/>
        </w:rPr>
        <w:t xml:space="preserve">mis en place </w:t>
      </w:r>
      <w:r>
        <w:rPr>
          <w:lang w:val="fr-FR"/>
        </w:rPr>
        <w:t>des</w:t>
      </w:r>
      <w:r w:rsidRPr="00262910">
        <w:rPr>
          <w:lang w:val="fr-FR"/>
        </w:rPr>
        <w:t xml:space="preserve"> contre-mesures spéciales</w:t>
      </w:r>
      <w:r>
        <w:rPr>
          <w:lang w:val="fr-FR"/>
        </w:rPr>
        <w:t xml:space="preserve"> ainsi que d</w:t>
      </w:r>
      <w:r w:rsidRPr="00262910">
        <w:rPr>
          <w:lang w:val="fr-FR"/>
        </w:rPr>
        <w:t>es programmes de rég</w:t>
      </w:r>
      <w:r>
        <w:rPr>
          <w:lang w:val="fr-FR"/>
        </w:rPr>
        <w:t xml:space="preserve">ulation </w:t>
      </w:r>
      <w:r w:rsidRPr="00262910">
        <w:rPr>
          <w:lang w:val="fr-FR"/>
        </w:rPr>
        <w:t>et de contrôle qui ont con</w:t>
      </w:r>
      <w:r>
        <w:rPr>
          <w:lang w:val="fr-FR"/>
        </w:rPr>
        <w:t xml:space="preserve">couru </w:t>
      </w:r>
      <w:r w:rsidRPr="00262910">
        <w:rPr>
          <w:lang w:val="fr-FR"/>
        </w:rPr>
        <w:t xml:space="preserve">à soutenir </w:t>
      </w:r>
      <w:r>
        <w:rPr>
          <w:lang w:val="fr-FR"/>
        </w:rPr>
        <w:t>la renniculture</w:t>
      </w:r>
      <w:r w:rsidRPr="00262910">
        <w:rPr>
          <w:lang w:val="fr-FR"/>
        </w:rPr>
        <w:t xml:space="preserve">. </w:t>
      </w:r>
      <w:r>
        <w:rPr>
          <w:lang w:val="fr-FR"/>
        </w:rPr>
        <w:t>L</w:t>
      </w:r>
      <w:r w:rsidRPr="00262910">
        <w:rPr>
          <w:lang w:val="fr-FR"/>
        </w:rPr>
        <w:t xml:space="preserve">es autorités sanitaires ont </w:t>
      </w:r>
      <w:r>
        <w:rPr>
          <w:lang w:val="fr-FR"/>
        </w:rPr>
        <w:t>en p</w:t>
      </w:r>
      <w:r w:rsidRPr="007607FB">
        <w:rPr>
          <w:lang w:val="fr-FR"/>
        </w:rPr>
        <w:t>arallèle</w:t>
      </w:r>
      <w:r>
        <w:rPr>
          <w:lang w:val="fr-FR"/>
        </w:rPr>
        <w:t xml:space="preserve"> lancé </w:t>
      </w:r>
      <w:r w:rsidRPr="00262910">
        <w:rPr>
          <w:lang w:val="fr-FR"/>
        </w:rPr>
        <w:t xml:space="preserve">des programmes de </w:t>
      </w:r>
      <w:r>
        <w:rPr>
          <w:lang w:val="fr-FR"/>
        </w:rPr>
        <w:t xml:space="preserve">suivi </w:t>
      </w:r>
      <w:r w:rsidRPr="00262910">
        <w:rPr>
          <w:lang w:val="fr-FR"/>
        </w:rPr>
        <w:t xml:space="preserve">des éleveurs de rennes </w:t>
      </w:r>
      <w:r>
        <w:rPr>
          <w:lang w:val="fr-FR"/>
        </w:rPr>
        <w:t xml:space="preserve">en vue de déterminer à quelles </w:t>
      </w:r>
      <w:r w:rsidRPr="00262910">
        <w:rPr>
          <w:lang w:val="fr-FR"/>
        </w:rPr>
        <w:t xml:space="preserve">doses de rayonnement </w:t>
      </w:r>
      <w:r>
        <w:rPr>
          <w:lang w:val="fr-FR"/>
        </w:rPr>
        <w:t xml:space="preserve">ils étaient </w:t>
      </w:r>
      <w:r w:rsidRPr="007607FB">
        <w:rPr>
          <w:lang w:val="fr-FR"/>
        </w:rPr>
        <w:t xml:space="preserve">eux-mêmes </w:t>
      </w:r>
      <w:r w:rsidRPr="00262910">
        <w:rPr>
          <w:lang w:val="fr-FR"/>
        </w:rPr>
        <w:t>exposés</w:t>
      </w:r>
      <w:r w:rsidRPr="00A0440E">
        <w:rPr>
          <w:lang w:val="fr-FR"/>
        </w:rPr>
        <w:t>. Ces programmes</w:t>
      </w:r>
      <w:r w:rsidRPr="00262910">
        <w:rPr>
          <w:lang w:val="fr-FR"/>
        </w:rPr>
        <w:t xml:space="preserve"> ont aidé les éleveurs à </w:t>
      </w:r>
      <w:r>
        <w:rPr>
          <w:lang w:val="fr-FR"/>
        </w:rPr>
        <w:t>vérifier eux-mêmes l’</w:t>
      </w:r>
      <w:r w:rsidRPr="00262910">
        <w:rPr>
          <w:lang w:val="fr-FR"/>
        </w:rPr>
        <w:t>effet des mesures qu</w:t>
      </w:r>
      <w:r>
        <w:rPr>
          <w:lang w:val="fr-FR"/>
        </w:rPr>
        <w:t>’</w:t>
      </w:r>
      <w:r w:rsidRPr="00262910">
        <w:rPr>
          <w:lang w:val="fr-FR"/>
        </w:rPr>
        <w:t xml:space="preserve">ils </w:t>
      </w:r>
      <w:r>
        <w:rPr>
          <w:lang w:val="fr-FR"/>
        </w:rPr>
        <w:t xml:space="preserve">prenaient </w:t>
      </w:r>
      <w:r w:rsidRPr="00262910">
        <w:rPr>
          <w:lang w:val="fr-FR"/>
        </w:rPr>
        <w:t>pour réduire l</w:t>
      </w:r>
      <w:r>
        <w:rPr>
          <w:lang w:val="fr-FR"/>
        </w:rPr>
        <w:t xml:space="preserve">eur exposition au </w:t>
      </w:r>
      <w:r w:rsidRPr="00262910">
        <w:rPr>
          <w:lang w:val="fr-FR"/>
        </w:rPr>
        <w:t xml:space="preserve">rayonnement. </w:t>
      </w:r>
      <w:r>
        <w:rPr>
          <w:lang w:val="fr-FR"/>
        </w:rPr>
        <w:t>C</w:t>
      </w:r>
      <w:r w:rsidRPr="00262910">
        <w:rPr>
          <w:lang w:val="fr-FR"/>
        </w:rPr>
        <w:t xml:space="preserve">es programmes (toujours en cours) ont </w:t>
      </w:r>
      <w:r>
        <w:rPr>
          <w:lang w:val="fr-FR"/>
        </w:rPr>
        <w:t>montré que le</w:t>
      </w:r>
      <w:r w:rsidRPr="00262910">
        <w:rPr>
          <w:lang w:val="fr-FR"/>
        </w:rPr>
        <w:t>s diverses mesures prises</w:t>
      </w:r>
      <w:r>
        <w:rPr>
          <w:lang w:val="fr-FR"/>
        </w:rPr>
        <w:t xml:space="preserve"> produisaient des effets et </w:t>
      </w:r>
      <w:r w:rsidRPr="00262910">
        <w:rPr>
          <w:lang w:val="fr-FR"/>
        </w:rPr>
        <w:t xml:space="preserve">que les doses de rayonnement </w:t>
      </w:r>
      <w:r>
        <w:rPr>
          <w:lang w:val="fr-FR"/>
        </w:rPr>
        <w:t xml:space="preserve">reçues </w:t>
      </w:r>
      <w:r w:rsidRPr="00262910">
        <w:rPr>
          <w:lang w:val="fr-FR"/>
        </w:rPr>
        <w:t>n</w:t>
      </w:r>
      <w:r>
        <w:rPr>
          <w:lang w:val="fr-FR"/>
        </w:rPr>
        <w:t>’</w:t>
      </w:r>
      <w:r w:rsidRPr="00262910">
        <w:rPr>
          <w:lang w:val="fr-FR"/>
        </w:rPr>
        <w:t xml:space="preserve">étaient pas assez </w:t>
      </w:r>
      <w:r>
        <w:rPr>
          <w:lang w:val="fr-FR"/>
        </w:rPr>
        <w:t xml:space="preserve">fortes </w:t>
      </w:r>
      <w:r w:rsidRPr="00262910">
        <w:rPr>
          <w:lang w:val="fr-FR"/>
        </w:rPr>
        <w:t xml:space="preserve">pour avoir des </w:t>
      </w:r>
      <w:r>
        <w:rPr>
          <w:lang w:val="fr-FR"/>
        </w:rPr>
        <w:t xml:space="preserve">répercussions </w:t>
      </w:r>
      <w:r w:rsidRPr="00262910">
        <w:rPr>
          <w:lang w:val="fr-FR"/>
        </w:rPr>
        <w:t xml:space="preserve">observables sur la santé des éleveurs. </w:t>
      </w:r>
      <w:r>
        <w:rPr>
          <w:lang w:val="fr-FR"/>
        </w:rPr>
        <w:t xml:space="preserve">Les </w:t>
      </w:r>
      <w:r w:rsidRPr="00262910">
        <w:rPr>
          <w:lang w:val="fr-FR"/>
        </w:rPr>
        <w:t xml:space="preserve">retombées de Tchernobyl ont sans aucun doute </w:t>
      </w:r>
      <w:r>
        <w:rPr>
          <w:lang w:val="fr-FR"/>
        </w:rPr>
        <w:t xml:space="preserve">constitué </w:t>
      </w:r>
      <w:r w:rsidRPr="00262910">
        <w:rPr>
          <w:lang w:val="fr-FR"/>
        </w:rPr>
        <w:t xml:space="preserve">un </w:t>
      </w:r>
      <w:r>
        <w:rPr>
          <w:lang w:val="fr-FR"/>
        </w:rPr>
        <w:t xml:space="preserve">grave </w:t>
      </w:r>
      <w:r w:rsidRPr="00262910">
        <w:rPr>
          <w:lang w:val="fr-FR"/>
        </w:rPr>
        <w:t xml:space="preserve">défi pour les éleveurs et une des </w:t>
      </w:r>
      <w:r>
        <w:rPr>
          <w:lang w:val="fr-FR"/>
        </w:rPr>
        <w:t xml:space="preserve">grandes </w:t>
      </w:r>
      <w:r w:rsidRPr="00262910">
        <w:rPr>
          <w:lang w:val="fr-FR"/>
        </w:rPr>
        <w:t xml:space="preserve">raisons </w:t>
      </w:r>
      <w:r>
        <w:rPr>
          <w:lang w:val="fr-FR"/>
        </w:rPr>
        <w:t xml:space="preserve">justifiant la poursuite des </w:t>
      </w:r>
      <w:r w:rsidRPr="00262910">
        <w:rPr>
          <w:lang w:val="fr-FR"/>
        </w:rPr>
        <w:t>activités de su</w:t>
      </w:r>
      <w:r>
        <w:rPr>
          <w:lang w:val="fr-FR"/>
        </w:rPr>
        <w:t xml:space="preserve">ivi </w:t>
      </w:r>
      <w:r w:rsidRPr="00262910">
        <w:rPr>
          <w:lang w:val="fr-FR"/>
        </w:rPr>
        <w:t>est qu</w:t>
      </w:r>
      <w:r>
        <w:rPr>
          <w:lang w:val="fr-FR"/>
        </w:rPr>
        <w:t>’</w:t>
      </w:r>
      <w:r w:rsidRPr="00262910">
        <w:rPr>
          <w:lang w:val="fr-FR"/>
        </w:rPr>
        <w:t xml:space="preserve">elles </w:t>
      </w:r>
      <w:r>
        <w:rPr>
          <w:lang w:val="fr-FR"/>
        </w:rPr>
        <w:t xml:space="preserve">offrent une filière de </w:t>
      </w:r>
      <w:r w:rsidRPr="00262910">
        <w:rPr>
          <w:lang w:val="fr-FR"/>
        </w:rPr>
        <w:t>communication avec les éleveurs</w:t>
      </w:r>
      <w:r>
        <w:rPr>
          <w:lang w:val="fr-FR"/>
        </w:rPr>
        <w:t xml:space="preserve"> concernant </w:t>
      </w:r>
      <w:r w:rsidRPr="00262910">
        <w:rPr>
          <w:lang w:val="fr-FR"/>
        </w:rPr>
        <w:t xml:space="preserve">la contamination et </w:t>
      </w:r>
      <w:r>
        <w:rPr>
          <w:lang w:val="fr-FR"/>
        </w:rPr>
        <w:t>l</w:t>
      </w:r>
      <w:r w:rsidRPr="00262910">
        <w:rPr>
          <w:lang w:val="fr-FR"/>
        </w:rPr>
        <w:t xml:space="preserve">es </w:t>
      </w:r>
      <w:r>
        <w:rPr>
          <w:lang w:val="fr-FR"/>
        </w:rPr>
        <w:t>problèmes qu’elle a suscités</w:t>
      </w:r>
      <w:r w:rsidRPr="00262910">
        <w:rPr>
          <w:lang w:val="fr-FR"/>
        </w:rPr>
        <w:t>.</w:t>
      </w:r>
    </w:p>
    <w:p w:rsidR="001771B8" w:rsidRPr="00262910" w:rsidRDefault="001771B8" w:rsidP="001771B8">
      <w:pPr>
        <w:pStyle w:val="H1G"/>
        <w:rPr>
          <w:lang w:val="fr-FR"/>
        </w:rPr>
      </w:pPr>
      <w:r w:rsidRPr="00262910">
        <w:rPr>
          <w:lang w:val="fr-FR"/>
        </w:rPr>
        <w:tab/>
      </w:r>
      <w:r w:rsidRPr="00262910">
        <w:rPr>
          <w:lang w:val="fr-FR"/>
        </w:rPr>
        <w:tab/>
      </w:r>
      <w:r w:rsidRPr="001349D9">
        <w:rPr>
          <w:lang w:val="fr-FR"/>
        </w:rPr>
        <w:t>Réponse au paragraphe</w:t>
      </w:r>
      <w:r w:rsidRPr="00262910">
        <w:rPr>
          <w:lang w:val="fr-FR"/>
        </w:rPr>
        <w:t xml:space="preserve"> 27 d) de la liste de points</w:t>
      </w:r>
    </w:p>
    <w:p w:rsidR="001771B8" w:rsidRPr="00262910" w:rsidRDefault="001771B8" w:rsidP="001771B8">
      <w:pPr>
        <w:pStyle w:val="SingleTxtG"/>
        <w:rPr>
          <w:lang w:val="fr-FR"/>
        </w:rPr>
      </w:pPr>
      <w:r w:rsidRPr="00262910">
        <w:rPr>
          <w:lang w:val="fr-FR"/>
        </w:rPr>
        <w:t>200.</w:t>
      </w:r>
      <w:r w:rsidRPr="00262910">
        <w:rPr>
          <w:lang w:val="fr-FR"/>
        </w:rPr>
        <w:tab/>
      </w:r>
      <w:r>
        <w:rPr>
          <w:lang w:val="fr-FR"/>
        </w:rPr>
        <w:t>L</w:t>
      </w:r>
      <w:r w:rsidRPr="00262910">
        <w:rPr>
          <w:lang w:val="fr-FR"/>
        </w:rPr>
        <w:t xml:space="preserve">es crédits alloués aux municipalités </w:t>
      </w:r>
      <w:r>
        <w:rPr>
          <w:lang w:val="fr-FR"/>
        </w:rPr>
        <w:t>a</w:t>
      </w:r>
      <w:r w:rsidRPr="00E23F91">
        <w:rPr>
          <w:lang w:val="fr-FR"/>
        </w:rPr>
        <w:t xml:space="preserve">u titre du </w:t>
      </w:r>
      <w:r>
        <w:rPr>
          <w:lang w:val="fr-FR"/>
        </w:rPr>
        <w:t>P</w:t>
      </w:r>
      <w:r w:rsidRPr="00E23F91">
        <w:rPr>
          <w:lang w:val="fr-FR"/>
        </w:rPr>
        <w:t>lan d</w:t>
      </w:r>
      <w:r>
        <w:rPr>
          <w:lang w:val="fr-FR"/>
        </w:rPr>
        <w:t>’</w:t>
      </w:r>
      <w:r w:rsidRPr="00E23F91">
        <w:rPr>
          <w:lang w:val="fr-FR"/>
        </w:rPr>
        <w:t>action national contre l</w:t>
      </w:r>
      <w:r>
        <w:rPr>
          <w:lang w:val="fr-FR"/>
        </w:rPr>
        <w:t>’</w:t>
      </w:r>
      <w:r w:rsidRPr="00E23F91">
        <w:rPr>
          <w:lang w:val="fr-FR"/>
        </w:rPr>
        <w:t xml:space="preserve">alcool et la drogue </w:t>
      </w:r>
      <w:r w:rsidRPr="00262910">
        <w:rPr>
          <w:lang w:val="fr-FR"/>
        </w:rPr>
        <w:t xml:space="preserve">ont été augmentés de 1,8 milliard de couronnes norvégiennes. Un plan </w:t>
      </w:r>
      <w:r w:rsidRPr="004D0E78">
        <w:rPr>
          <w:lang w:val="fr-FR"/>
        </w:rPr>
        <w:t xml:space="preserve">de subventions publiques </w:t>
      </w:r>
      <w:r>
        <w:rPr>
          <w:lang w:val="fr-FR"/>
        </w:rPr>
        <w:t xml:space="preserve">a été lancé en vue de </w:t>
      </w:r>
      <w:r w:rsidRPr="00262910">
        <w:rPr>
          <w:lang w:val="fr-FR"/>
        </w:rPr>
        <w:t>renforc</w:t>
      </w:r>
      <w:r>
        <w:rPr>
          <w:lang w:val="fr-FR"/>
        </w:rPr>
        <w:t xml:space="preserve">er le dispositif de </w:t>
      </w:r>
      <w:r w:rsidRPr="00262910">
        <w:rPr>
          <w:lang w:val="fr-FR"/>
        </w:rPr>
        <w:t xml:space="preserve">service intégré. </w:t>
      </w:r>
      <w:r>
        <w:rPr>
          <w:lang w:val="fr-FR"/>
        </w:rPr>
        <w:t xml:space="preserve">Il a notamment abouti à une </w:t>
      </w:r>
      <w:r w:rsidRPr="00262910">
        <w:rPr>
          <w:lang w:val="fr-FR"/>
        </w:rPr>
        <w:t>augmentation</w:t>
      </w:r>
      <w:r>
        <w:rPr>
          <w:lang w:val="fr-FR"/>
        </w:rPr>
        <w:t xml:space="preserve"> notable, de </w:t>
      </w:r>
      <w:r w:rsidRPr="00262910">
        <w:rPr>
          <w:lang w:val="fr-FR"/>
        </w:rPr>
        <w:t>près de 2</w:t>
      </w:r>
      <w:r>
        <w:rPr>
          <w:lang w:val="fr-FR"/>
        </w:rPr>
        <w:t> </w:t>
      </w:r>
      <w:r w:rsidRPr="00262910">
        <w:rPr>
          <w:lang w:val="fr-FR"/>
        </w:rPr>
        <w:t>000</w:t>
      </w:r>
      <w:r>
        <w:rPr>
          <w:lang w:val="fr-FR"/>
        </w:rPr>
        <w:t>,</w:t>
      </w:r>
      <w:r w:rsidRPr="00262910">
        <w:rPr>
          <w:lang w:val="fr-FR"/>
        </w:rPr>
        <w:t xml:space="preserve"> </w:t>
      </w:r>
      <w:r>
        <w:rPr>
          <w:lang w:val="fr-FR"/>
        </w:rPr>
        <w:t xml:space="preserve">du nombre des agents affectés à </w:t>
      </w:r>
      <w:r w:rsidRPr="00262910">
        <w:rPr>
          <w:lang w:val="fr-FR"/>
        </w:rPr>
        <w:t>l</w:t>
      </w:r>
      <w:r>
        <w:rPr>
          <w:lang w:val="fr-FR"/>
        </w:rPr>
        <w:t>’</w:t>
      </w:r>
      <w:r w:rsidRPr="00262910">
        <w:rPr>
          <w:lang w:val="fr-FR"/>
        </w:rPr>
        <w:t xml:space="preserve">amélioration des services </w:t>
      </w:r>
      <w:r>
        <w:rPr>
          <w:lang w:val="fr-FR"/>
        </w:rPr>
        <w:t>sanitaires</w:t>
      </w:r>
      <w:r w:rsidRPr="004D0E78">
        <w:rPr>
          <w:lang w:val="fr-FR"/>
        </w:rPr>
        <w:t xml:space="preserve"> e</w:t>
      </w:r>
      <w:r>
        <w:rPr>
          <w:lang w:val="fr-FR"/>
        </w:rPr>
        <w:t xml:space="preserve">t </w:t>
      </w:r>
      <w:r w:rsidRPr="004D0E78">
        <w:rPr>
          <w:lang w:val="fr-FR"/>
        </w:rPr>
        <w:t>sociaux</w:t>
      </w:r>
      <w:r w:rsidRPr="00262910">
        <w:rPr>
          <w:lang w:val="fr-FR"/>
        </w:rPr>
        <w:t xml:space="preserve">. Il </w:t>
      </w:r>
      <w:r>
        <w:rPr>
          <w:lang w:val="fr-FR"/>
        </w:rPr>
        <w:t xml:space="preserve">a été </w:t>
      </w:r>
      <w:r w:rsidRPr="00262910">
        <w:rPr>
          <w:lang w:val="fr-FR"/>
        </w:rPr>
        <w:t xml:space="preserve">recommandé à toutes les municipalités </w:t>
      </w:r>
      <w:r>
        <w:rPr>
          <w:lang w:val="fr-FR"/>
        </w:rPr>
        <w:t xml:space="preserve">de créer un poste de </w:t>
      </w:r>
      <w:r w:rsidRPr="00262910">
        <w:rPr>
          <w:lang w:val="fr-FR"/>
        </w:rPr>
        <w:t>psychologue d</w:t>
      </w:r>
      <w:r>
        <w:rPr>
          <w:lang w:val="fr-FR"/>
        </w:rPr>
        <w:t>’</w:t>
      </w:r>
      <w:r w:rsidRPr="00262910">
        <w:rPr>
          <w:lang w:val="fr-FR"/>
        </w:rPr>
        <w:t xml:space="preserve">ici </w:t>
      </w:r>
      <w:r>
        <w:rPr>
          <w:lang w:val="fr-FR"/>
        </w:rPr>
        <w:t xml:space="preserve">à </w:t>
      </w:r>
      <w:r w:rsidRPr="00262910">
        <w:rPr>
          <w:lang w:val="fr-FR"/>
        </w:rPr>
        <w:t>2020. Un certain nombre de mesures sont couvertes par l</w:t>
      </w:r>
      <w:r>
        <w:rPr>
          <w:lang w:val="fr-FR"/>
        </w:rPr>
        <w:t>’</w:t>
      </w:r>
      <w:r w:rsidRPr="00262910">
        <w:rPr>
          <w:lang w:val="fr-FR"/>
        </w:rPr>
        <w:t>initiative Tidlig Inn</w:t>
      </w:r>
      <w:r>
        <w:rPr>
          <w:lang w:val="fr-FR"/>
        </w:rPr>
        <w:t xml:space="preserve"> (Intervention précoce</w:t>
      </w:r>
      <w:r w:rsidRPr="00262910">
        <w:rPr>
          <w:lang w:val="fr-FR"/>
        </w:rPr>
        <w:t xml:space="preserve">), qui </w:t>
      </w:r>
      <w:r>
        <w:rPr>
          <w:lang w:val="fr-FR"/>
        </w:rPr>
        <w:t xml:space="preserve">apporte </w:t>
      </w:r>
      <w:r w:rsidRPr="00262910">
        <w:rPr>
          <w:lang w:val="fr-FR"/>
        </w:rPr>
        <w:t>à plus de 150</w:t>
      </w:r>
      <w:r w:rsidR="00476BC3">
        <w:rPr>
          <w:lang w:val="fr-FR"/>
        </w:rPr>
        <w:t> </w:t>
      </w:r>
      <w:r w:rsidRPr="00262910">
        <w:rPr>
          <w:lang w:val="fr-FR"/>
        </w:rPr>
        <w:t xml:space="preserve">municipalités </w:t>
      </w:r>
      <w:r w:rsidRPr="004D0E78">
        <w:rPr>
          <w:lang w:val="fr-FR"/>
        </w:rPr>
        <w:t xml:space="preserve">des fonds </w:t>
      </w:r>
      <w:r>
        <w:rPr>
          <w:lang w:val="fr-FR"/>
        </w:rPr>
        <w:t xml:space="preserve">aux fins de </w:t>
      </w:r>
      <w:r w:rsidRPr="00262910">
        <w:rPr>
          <w:lang w:val="fr-FR"/>
        </w:rPr>
        <w:t xml:space="preserve">renforcer et coordonner les compétences en matière de traitement des mineurs et des adultes consommant des drogues illicites. Cette initiative </w:t>
      </w:r>
      <w:r>
        <w:rPr>
          <w:lang w:val="fr-FR"/>
        </w:rPr>
        <w:t xml:space="preserve">constitue un triptyque avec le </w:t>
      </w:r>
      <w:r w:rsidRPr="00262910">
        <w:rPr>
          <w:lang w:val="fr-FR"/>
        </w:rPr>
        <w:t>Plan d</w:t>
      </w:r>
      <w:r>
        <w:rPr>
          <w:lang w:val="fr-FR"/>
        </w:rPr>
        <w:t>’</w:t>
      </w:r>
      <w:r w:rsidRPr="00262910">
        <w:rPr>
          <w:lang w:val="fr-FR"/>
        </w:rPr>
        <w:t xml:space="preserve">action contre la violence et </w:t>
      </w:r>
      <w:r>
        <w:rPr>
          <w:lang w:val="fr-FR"/>
        </w:rPr>
        <w:t>la S</w:t>
      </w:r>
      <w:r w:rsidRPr="00262910">
        <w:rPr>
          <w:lang w:val="fr-FR"/>
        </w:rPr>
        <w:t>tratégie nationale d</w:t>
      </w:r>
      <w:r>
        <w:rPr>
          <w:lang w:val="fr-FR"/>
        </w:rPr>
        <w:t>’</w:t>
      </w:r>
      <w:r w:rsidRPr="00262910">
        <w:rPr>
          <w:lang w:val="fr-FR"/>
        </w:rPr>
        <w:t>a</w:t>
      </w:r>
      <w:r>
        <w:rPr>
          <w:lang w:val="fr-FR"/>
        </w:rPr>
        <w:t>ide à</w:t>
      </w:r>
      <w:r w:rsidRPr="00262910">
        <w:rPr>
          <w:lang w:val="fr-FR"/>
        </w:rPr>
        <w:t xml:space="preserve"> la parentalité</w:t>
      </w:r>
      <w:r w:rsidRPr="00190875">
        <w:rPr>
          <w:lang w:val="fr-FR"/>
        </w:rPr>
        <w:t>. Les statistiques</w:t>
      </w:r>
      <w:r w:rsidRPr="00262910">
        <w:rPr>
          <w:lang w:val="fr-FR"/>
        </w:rPr>
        <w:t xml:space="preserve"> </w:t>
      </w:r>
      <w:r>
        <w:rPr>
          <w:lang w:val="fr-FR"/>
        </w:rPr>
        <w:t>font toutefois apparaître un</w:t>
      </w:r>
      <w:r w:rsidRPr="00262910">
        <w:rPr>
          <w:lang w:val="fr-FR"/>
        </w:rPr>
        <w:t xml:space="preserve">e légère </w:t>
      </w:r>
      <w:r>
        <w:rPr>
          <w:lang w:val="fr-FR"/>
        </w:rPr>
        <w:t xml:space="preserve">hausse </w:t>
      </w:r>
      <w:r w:rsidRPr="00262910">
        <w:rPr>
          <w:lang w:val="fr-FR"/>
        </w:rPr>
        <w:t>de la consommation de cannabis chez les élèves d</w:t>
      </w:r>
      <w:r>
        <w:rPr>
          <w:lang w:val="fr-FR"/>
        </w:rPr>
        <w:t xml:space="preserve">es deux </w:t>
      </w:r>
      <w:r w:rsidRPr="00262910">
        <w:rPr>
          <w:lang w:val="fr-FR"/>
        </w:rPr>
        <w:t>cycle</w:t>
      </w:r>
      <w:r>
        <w:rPr>
          <w:lang w:val="fr-FR"/>
        </w:rPr>
        <w:t>s</w:t>
      </w:r>
      <w:r w:rsidRPr="00262910">
        <w:rPr>
          <w:lang w:val="fr-FR"/>
        </w:rPr>
        <w:t xml:space="preserve"> du secondaire et une </w:t>
      </w:r>
      <w:r>
        <w:rPr>
          <w:lang w:val="fr-FR"/>
        </w:rPr>
        <w:t xml:space="preserve">hausse </w:t>
      </w:r>
      <w:r w:rsidRPr="00262910">
        <w:rPr>
          <w:lang w:val="fr-FR"/>
        </w:rPr>
        <w:t xml:space="preserve">de la consommation de stimulants chez les adolescents </w:t>
      </w:r>
      <w:r>
        <w:rPr>
          <w:lang w:val="fr-FR"/>
        </w:rPr>
        <w:t xml:space="preserve">et les jeunes </w:t>
      </w:r>
      <w:r w:rsidRPr="00262910">
        <w:rPr>
          <w:lang w:val="fr-FR"/>
        </w:rPr>
        <w:t>(16-34 ans), mais aucun</w:t>
      </w:r>
      <w:r>
        <w:rPr>
          <w:lang w:val="fr-FR"/>
        </w:rPr>
        <w:t>e variation sensible de la consommation de nouvelles substances psychoactives</w:t>
      </w:r>
      <w:r w:rsidRPr="00262910">
        <w:rPr>
          <w:lang w:val="fr-FR"/>
        </w:rPr>
        <w:t xml:space="preserve">. </w:t>
      </w:r>
    </w:p>
    <w:p w:rsidR="001771B8" w:rsidRPr="00262910" w:rsidRDefault="001771B8" w:rsidP="001771B8">
      <w:pPr>
        <w:pStyle w:val="SingleTxtG"/>
        <w:rPr>
          <w:lang w:val="fr-FR"/>
        </w:rPr>
      </w:pPr>
      <w:r w:rsidRPr="00262910">
        <w:rPr>
          <w:lang w:val="fr-FR"/>
        </w:rPr>
        <w:t>201.</w:t>
      </w:r>
      <w:r w:rsidRPr="00262910">
        <w:rPr>
          <w:lang w:val="fr-FR"/>
        </w:rPr>
        <w:tab/>
        <w:t xml:space="preserve">En 2018, le nombre de décès par surdose est </w:t>
      </w:r>
      <w:r>
        <w:rPr>
          <w:lang w:val="fr-FR"/>
        </w:rPr>
        <w:t xml:space="preserve">tombé </w:t>
      </w:r>
      <w:r w:rsidRPr="00262910">
        <w:rPr>
          <w:lang w:val="fr-FR"/>
        </w:rPr>
        <w:t>à 243</w:t>
      </w:r>
      <w:r>
        <w:rPr>
          <w:lang w:val="fr-FR"/>
        </w:rPr>
        <w:t xml:space="preserve">, contre </w:t>
      </w:r>
      <w:r w:rsidRPr="00220929">
        <w:rPr>
          <w:lang w:val="fr-FR"/>
        </w:rPr>
        <w:t>280</w:t>
      </w:r>
      <w:r>
        <w:rPr>
          <w:lang w:val="fr-FR"/>
        </w:rPr>
        <w:t xml:space="preserve"> en 2017</w:t>
      </w:r>
      <w:r w:rsidRPr="00262910">
        <w:rPr>
          <w:lang w:val="fr-FR"/>
        </w:rPr>
        <w:t xml:space="preserve">. </w:t>
      </w:r>
    </w:p>
    <w:p w:rsidR="001771B8" w:rsidRPr="00262910" w:rsidRDefault="001771B8" w:rsidP="001771B8">
      <w:pPr>
        <w:pStyle w:val="SingleTxtG"/>
        <w:rPr>
          <w:lang w:val="fr-FR"/>
        </w:rPr>
      </w:pPr>
      <w:r w:rsidRPr="00262910">
        <w:rPr>
          <w:lang w:val="fr-FR"/>
        </w:rPr>
        <w:t>202.</w:t>
      </w:r>
      <w:r w:rsidRPr="00262910">
        <w:rPr>
          <w:lang w:val="fr-FR"/>
        </w:rPr>
        <w:tab/>
      </w:r>
      <w:r>
        <w:rPr>
          <w:lang w:val="fr-FR"/>
        </w:rPr>
        <w:t xml:space="preserve">Certaines </w:t>
      </w:r>
      <w:r w:rsidRPr="00262910">
        <w:rPr>
          <w:lang w:val="fr-FR"/>
        </w:rPr>
        <w:t xml:space="preserve">municipalités ont </w:t>
      </w:r>
      <w:r>
        <w:rPr>
          <w:lang w:val="fr-FR"/>
        </w:rPr>
        <w:t xml:space="preserve">pris des mesures </w:t>
      </w:r>
      <w:r w:rsidRPr="00262910">
        <w:rPr>
          <w:lang w:val="fr-FR"/>
        </w:rPr>
        <w:t xml:space="preserve">de réduction des </w:t>
      </w:r>
      <w:r>
        <w:rPr>
          <w:lang w:val="fr-FR"/>
        </w:rPr>
        <w:t xml:space="preserve">risques, notamment la distribution </w:t>
      </w:r>
      <w:r w:rsidRPr="00262910">
        <w:rPr>
          <w:lang w:val="fr-FR"/>
        </w:rPr>
        <w:t xml:space="preserve">de seringues </w:t>
      </w:r>
      <w:r>
        <w:rPr>
          <w:lang w:val="fr-FR"/>
        </w:rPr>
        <w:t xml:space="preserve">stériles </w:t>
      </w:r>
      <w:r w:rsidRPr="00262910">
        <w:rPr>
          <w:lang w:val="fr-FR"/>
        </w:rPr>
        <w:t xml:space="preserve">et de vaporisateurs nasaux </w:t>
      </w:r>
      <w:r>
        <w:rPr>
          <w:lang w:val="fr-FR"/>
        </w:rPr>
        <w:t xml:space="preserve">de </w:t>
      </w:r>
      <w:r w:rsidRPr="00262910">
        <w:rPr>
          <w:lang w:val="fr-FR"/>
        </w:rPr>
        <w:t>naloxone. D</w:t>
      </w:r>
      <w:r>
        <w:rPr>
          <w:lang w:val="fr-FR"/>
        </w:rPr>
        <w:t>’</w:t>
      </w:r>
      <w:r w:rsidRPr="00262910">
        <w:rPr>
          <w:lang w:val="fr-FR"/>
        </w:rPr>
        <w:t xml:space="preserve">autres mesures de prévention </w:t>
      </w:r>
      <w:r>
        <w:rPr>
          <w:lang w:val="fr-FR"/>
        </w:rPr>
        <w:t xml:space="preserve">ont </w:t>
      </w:r>
      <w:r w:rsidRPr="00262910">
        <w:rPr>
          <w:lang w:val="fr-FR"/>
        </w:rPr>
        <w:t>été mises en place</w:t>
      </w:r>
      <w:r>
        <w:rPr>
          <w:lang w:val="fr-FR"/>
        </w:rPr>
        <w:t xml:space="preserve"> dans ce domaine</w:t>
      </w:r>
      <w:r w:rsidRPr="00262910">
        <w:rPr>
          <w:lang w:val="fr-FR"/>
        </w:rPr>
        <w:t>, notamment</w:t>
      </w:r>
      <w:r w:rsidR="008F5311">
        <w:rPr>
          <w:lang w:val="fr-FR"/>
        </w:rPr>
        <w:t> </w:t>
      </w:r>
      <w:r w:rsidRPr="00262910">
        <w:rPr>
          <w:lang w:val="fr-FR"/>
        </w:rPr>
        <w:t xml:space="preserve">: </w:t>
      </w:r>
    </w:p>
    <w:p w:rsidR="001771B8" w:rsidRPr="008F5311" w:rsidRDefault="001771B8" w:rsidP="008F5311">
      <w:pPr>
        <w:pStyle w:val="Bullet1G"/>
      </w:pPr>
      <w:r w:rsidRPr="008F5311">
        <w:t>La nouvelle stratégie contre la mortalité causée par l’abus de drogue 2019-2022</w:t>
      </w:r>
      <w:r w:rsidR="008F5311">
        <w:t> </w:t>
      </w:r>
      <w:r w:rsidRPr="008F5311">
        <w:t>;</w:t>
      </w:r>
    </w:p>
    <w:p w:rsidR="001771B8" w:rsidRPr="008F5311" w:rsidRDefault="001771B8" w:rsidP="008F5311">
      <w:pPr>
        <w:pStyle w:val="Bullet1G"/>
      </w:pPr>
      <w:r w:rsidRPr="008F5311">
        <w:t>La révision de la législation relative aux salles d’injection sécurisées</w:t>
      </w:r>
      <w:r w:rsidR="008F5311">
        <w:t> </w:t>
      </w:r>
      <w:r w:rsidRPr="008F5311">
        <w:t>;</w:t>
      </w:r>
    </w:p>
    <w:p w:rsidR="001771B8" w:rsidRPr="008F5311" w:rsidRDefault="001771B8" w:rsidP="008F5311">
      <w:pPr>
        <w:pStyle w:val="Bullet1G"/>
      </w:pPr>
      <w:r w:rsidRPr="008F5311">
        <w:t>La nouvelle stratégie de lutte contre l’hépatite à l’horizon 2025.</w:t>
      </w:r>
    </w:p>
    <w:p w:rsidR="001771B8" w:rsidRPr="00262910" w:rsidRDefault="001771B8" w:rsidP="001771B8">
      <w:pPr>
        <w:pStyle w:val="H1G"/>
        <w:rPr>
          <w:lang w:val="fr-FR"/>
        </w:rPr>
      </w:pPr>
      <w:r w:rsidRPr="00262910">
        <w:rPr>
          <w:lang w:val="fr-FR"/>
        </w:rPr>
        <w:tab/>
      </w:r>
      <w:r w:rsidRPr="00262910">
        <w:rPr>
          <w:lang w:val="fr-FR"/>
        </w:rPr>
        <w:tab/>
      </w:r>
      <w:r w:rsidRPr="0082222D">
        <w:rPr>
          <w:lang w:val="fr-FR"/>
        </w:rPr>
        <w:t>Réponse au paragraphe</w:t>
      </w:r>
      <w:r w:rsidRPr="00262910">
        <w:rPr>
          <w:lang w:val="fr-FR"/>
        </w:rPr>
        <w:t xml:space="preserve"> 28 a) de la liste de points</w:t>
      </w:r>
    </w:p>
    <w:p w:rsidR="001771B8" w:rsidRPr="00262910" w:rsidRDefault="001771B8" w:rsidP="001771B8">
      <w:pPr>
        <w:pStyle w:val="SingleTxtG"/>
        <w:rPr>
          <w:lang w:val="fr-FR"/>
        </w:rPr>
      </w:pPr>
      <w:r w:rsidRPr="00262910">
        <w:rPr>
          <w:lang w:val="fr-FR"/>
        </w:rPr>
        <w:t>203.</w:t>
      </w:r>
      <w:r w:rsidRPr="00262910">
        <w:rPr>
          <w:lang w:val="fr-FR"/>
        </w:rPr>
        <w:tab/>
      </w:r>
      <w:r>
        <w:rPr>
          <w:lang w:val="fr-FR"/>
        </w:rPr>
        <w:t xml:space="preserve">La </w:t>
      </w:r>
      <w:r w:rsidRPr="00262910">
        <w:rPr>
          <w:lang w:val="fr-FR"/>
        </w:rPr>
        <w:t xml:space="preserve">réglementation </w:t>
      </w:r>
      <w:r>
        <w:rPr>
          <w:lang w:val="fr-FR"/>
        </w:rPr>
        <w:t>régissant l</w:t>
      </w:r>
      <w:r w:rsidRPr="00DD05E8">
        <w:rPr>
          <w:lang w:val="fr-FR"/>
        </w:rPr>
        <w:t xml:space="preserve">a fourniture de soins non consentis de santé mentale est </w:t>
      </w:r>
      <w:r w:rsidRPr="00262910">
        <w:rPr>
          <w:lang w:val="fr-FR"/>
        </w:rPr>
        <w:t xml:space="preserve">stricte et détaillée. </w:t>
      </w:r>
      <w:r>
        <w:rPr>
          <w:lang w:val="fr-FR"/>
        </w:rPr>
        <w:t xml:space="preserve">Plusieurs </w:t>
      </w:r>
      <w:r w:rsidRPr="00262910">
        <w:rPr>
          <w:lang w:val="fr-FR"/>
        </w:rPr>
        <w:t xml:space="preserve">modifications législatives ont été </w:t>
      </w:r>
      <w:r>
        <w:rPr>
          <w:lang w:val="fr-FR"/>
        </w:rPr>
        <w:t>introduites e</w:t>
      </w:r>
      <w:r w:rsidRPr="00DD05E8">
        <w:rPr>
          <w:lang w:val="fr-FR"/>
        </w:rPr>
        <w:t>n 2017</w:t>
      </w:r>
      <w:r>
        <w:rPr>
          <w:lang w:val="fr-FR"/>
        </w:rPr>
        <w:t xml:space="preserve"> en vue de </w:t>
      </w:r>
      <w:r w:rsidRPr="00262910">
        <w:rPr>
          <w:lang w:val="fr-FR"/>
        </w:rPr>
        <w:t>renforcer l</w:t>
      </w:r>
      <w:r>
        <w:rPr>
          <w:lang w:val="fr-FR"/>
        </w:rPr>
        <w:t>’</w:t>
      </w:r>
      <w:r w:rsidRPr="00262910">
        <w:rPr>
          <w:lang w:val="fr-FR"/>
        </w:rPr>
        <w:t xml:space="preserve">autonomie et la protection juridique des patients. La modification </w:t>
      </w:r>
      <w:r>
        <w:rPr>
          <w:lang w:val="fr-FR"/>
        </w:rPr>
        <w:t xml:space="preserve">majeure confère aux patients capables de donner leur </w:t>
      </w:r>
      <w:r w:rsidRPr="00262910">
        <w:rPr>
          <w:lang w:val="fr-FR"/>
        </w:rPr>
        <w:t>consent</w:t>
      </w:r>
      <w:r>
        <w:rPr>
          <w:lang w:val="fr-FR"/>
        </w:rPr>
        <w:t xml:space="preserve">ement </w:t>
      </w:r>
      <w:r w:rsidRPr="00262910">
        <w:rPr>
          <w:lang w:val="fr-FR"/>
        </w:rPr>
        <w:t xml:space="preserve">le droit de refuser </w:t>
      </w:r>
      <w:r>
        <w:rPr>
          <w:lang w:val="fr-FR"/>
        </w:rPr>
        <w:t xml:space="preserve">une </w:t>
      </w:r>
      <w:r w:rsidRPr="00262910">
        <w:rPr>
          <w:lang w:val="fr-FR"/>
        </w:rPr>
        <w:t>hospitalisation</w:t>
      </w:r>
      <w:r>
        <w:rPr>
          <w:lang w:val="fr-FR"/>
        </w:rPr>
        <w:t xml:space="preserve"> </w:t>
      </w:r>
      <w:r w:rsidRPr="00262910">
        <w:rPr>
          <w:lang w:val="fr-FR"/>
        </w:rPr>
        <w:t xml:space="preserve">et </w:t>
      </w:r>
      <w:r>
        <w:rPr>
          <w:lang w:val="fr-FR"/>
        </w:rPr>
        <w:t xml:space="preserve">un </w:t>
      </w:r>
      <w:r w:rsidRPr="00262910">
        <w:rPr>
          <w:lang w:val="fr-FR"/>
        </w:rPr>
        <w:t xml:space="preserve">traitement </w:t>
      </w:r>
      <w:r>
        <w:rPr>
          <w:lang w:val="fr-FR"/>
        </w:rPr>
        <w:t xml:space="preserve">à moins qu’ils ne </w:t>
      </w:r>
      <w:r w:rsidRPr="00262910">
        <w:rPr>
          <w:lang w:val="fr-FR"/>
        </w:rPr>
        <w:t>représentent un danger pour eux-mêmes ou pour la santé ou la vie d</w:t>
      </w:r>
      <w:r>
        <w:rPr>
          <w:lang w:val="fr-FR"/>
        </w:rPr>
        <w:t>’autrui</w:t>
      </w:r>
      <w:r w:rsidRPr="00262910">
        <w:rPr>
          <w:lang w:val="fr-FR"/>
        </w:rPr>
        <w:t xml:space="preserve">. </w:t>
      </w:r>
      <w:r w:rsidRPr="00E260F4">
        <w:rPr>
          <w:lang w:val="fr-FR"/>
        </w:rPr>
        <w:t>Le 18 juin 2019</w:t>
      </w:r>
      <w:r w:rsidRPr="00262910">
        <w:rPr>
          <w:lang w:val="fr-FR"/>
        </w:rPr>
        <w:t>, le Gouvernement a reçu un rapport d</w:t>
      </w:r>
      <w:r>
        <w:rPr>
          <w:lang w:val="fr-FR"/>
        </w:rPr>
        <w:t>’</w:t>
      </w:r>
      <w:r w:rsidRPr="00262910">
        <w:rPr>
          <w:lang w:val="fr-FR"/>
        </w:rPr>
        <w:t>une commission législative qui a</w:t>
      </w:r>
      <w:r>
        <w:rPr>
          <w:lang w:val="fr-FR"/>
        </w:rPr>
        <w:t>vait été chargée d’</w:t>
      </w:r>
      <w:r w:rsidRPr="00262910">
        <w:rPr>
          <w:lang w:val="fr-FR"/>
        </w:rPr>
        <w:t>examin</w:t>
      </w:r>
      <w:r>
        <w:rPr>
          <w:lang w:val="fr-FR"/>
        </w:rPr>
        <w:t xml:space="preserve">er </w:t>
      </w:r>
      <w:r w:rsidRPr="00262910">
        <w:rPr>
          <w:lang w:val="fr-FR"/>
        </w:rPr>
        <w:t xml:space="preserve">la législation </w:t>
      </w:r>
      <w:r>
        <w:rPr>
          <w:lang w:val="fr-FR"/>
        </w:rPr>
        <w:t xml:space="preserve">concernant le recours à la contrainte </w:t>
      </w:r>
      <w:r w:rsidRPr="00262910">
        <w:rPr>
          <w:lang w:val="fr-FR"/>
        </w:rPr>
        <w:t xml:space="preserve">dans le secteur de la santé et des soins </w:t>
      </w:r>
      <w:r>
        <w:rPr>
          <w:lang w:val="fr-FR"/>
        </w:rPr>
        <w:t xml:space="preserve">médicaux </w:t>
      </w:r>
      <w:r w:rsidRPr="00262910">
        <w:rPr>
          <w:lang w:val="fr-FR"/>
        </w:rPr>
        <w:t xml:space="preserve">en </w:t>
      </w:r>
      <w:r>
        <w:rPr>
          <w:lang w:val="fr-FR"/>
        </w:rPr>
        <w:t>porta</w:t>
      </w:r>
      <w:r w:rsidRPr="00262910">
        <w:rPr>
          <w:lang w:val="fr-FR"/>
        </w:rPr>
        <w:t>nt une attention particulière aux obligations internationales de la Norvège en matière de droits de l</w:t>
      </w:r>
      <w:r>
        <w:rPr>
          <w:lang w:val="fr-FR"/>
        </w:rPr>
        <w:t>’</w:t>
      </w:r>
      <w:r w:rsidRPr="00262910">
        <w:rPr>
          <w:lang w:val="fr-FR"/>
        </w:rPr>
        <w:t>homme. Le rapport a été distribué à divers organismes et institutions pour consultation</w:t>
      </w:r>
      <w:r>
        <w:rPr>
          <w:lang w:val="fr-FR"/>
        </w:rPr>
        <w:t>s</w:t>
      </w:r>
      <w:r w:rsidRPr="00262910">
        <w:rPr>
          <w:lang w:val="fr-FR"/>
        </w:rPr>
        <w:t xml:space="preserve"> et fera l</w:t>
      </w:r>
      <w:r>
        <w:rPr>
          <w:lang w:val="fr-FR"/>
        </w:rPr>
        <w:t>’</w:t>
      </w:r>
      <w:r w:rsidRPr="00262910">
        <w:rPr>
          <w:lang w:val="fr-FR"/>
        </w:rPr>
        <w:t>objet d</w:t>
      </w:r>
      <w:r>
        <w:rPr>
          <w:lang w:val="fr-FR"/>
        </w:rPr>
        <w:t>’</w:t>
      </w:r>
      <w:r w:rsidRPr="00262910">
        <w:rPr>
          <w:lang w:val="fr-FR"/>
        </w:rPr>
        <w:t xml:space="preserve">un suivi par le </w:t>
      </w:r>
      <w:r>
        <w:rPr>
          <w:lang w:val="fr-FR"/>
        </w:rPr>
        <w:t>M</w:t>
      </w:r>
      <w:r w:rsidRPr="00262910">
        <w:rPr>
          <w:lang w:val="fr-FR"/>
        </w:rPr>
        <w:t xml:space="preserve">inistère de la </w:t>
      </w:r>
      <w:r>
        <w:rPr>
          <w:lang w:val="fr-FR"/>
        </w:rPr>
        <w:t>s</w:t>
      </w:r>
      <w:r w:rsidRPr="00262910">
        <w:rPr>
          <w:lang w:val="fr-FR"/>
        </w:rPr>
        <w:t xml:space="preserve">anté et des </w:t>
      </w:r>
      <w:r>
        <w:rPr>
          <w:lang w:val="fr-FR"/>
        </w:rPr>
        <w:t>s</w:t>
      </w:r>
      <w:r w:rsidRPr="00262910">
        <w:rPr>
          <w:lang w:val="fr-FR"/>
        </w:rPr>
        <w:t xml:space="preserve">ervices de soins. </w:t>
      </w:r>
    </w:p>
    <w:p w:rsidR="001771B8" w:rsidRPr="00262910" w:rsidRDefault="001771B8" w:rsidP="001771B8">
      <w:pPr>
        <w:pStyle w:val="H1G"/>
        <w:rPr>
          <w:lang w:val="fr-FR"/>
        </w:rPr>
      </w:pPr>
      <w:r w:rsidRPr="00262910">
        <w:rPr>
          <w:lang w:val="fr-FR"/>
        </w:rPr>
        <w:tab/>
      </w:r>
      <w:r w:rsidRPr="00262910">
        <w:rPr>
          <w:lang w:val="fr-FR"/>
        </w:rPr>
        <w:tab/>
        <w:t>Réponse au paragraphe 28 b) de la liste de points</w:t>
      </w:r>
    </w:p>
    <w:p w:rsidR="001771B8" w:rsidRPr="00262910" w:rsidRDefault="001771B8" w:rsidP="001771B8">
      <w:pPr>
        <w:pStyle w:val="SingleTxtG"/>
        <w:rPr>
          <w:lang w:val="fr-FR"/>
        </w:rPr>
      </w:pPr>
      <w:r w:rsidRPr="00262910">
        <w:rPr>
          <w:lang w:val="fr-FR"/>
        </w:rPr>
        <w:t>204.</w:t>
      </w:r>
      <w:r w:rsidRPr="00262910">
        <w:rPr>
          <w:lang w:val="fr-FR"/>
        </w:rPr>
        <w:tab/>
        <w:t xml:space="preserve">Voir </w:t>
      </w:r>
      <w:r>
        <w:rPr>
          <w:lang w:val="fr-FR"/>
        </w:rPr>
        <w:t xml:space="preserve">la </w:t>
      </w:r>
      <w:r w:rsidRPr="00262910">
        <w:rPr>
          <w:lang w:val="fr-FR"/>
        </w:rPr>
        <w:t>réponse au p</w:t>
      </w:r>
      <w:r>
        <w:rPr>
          <w:lang w:val="fr-FR"/>
        </w:rPr>
        <w:t xml:space="preserve">aragraphe </w:t>
      </w:r>
      <w:r w:rsidRPr="00262910">
        <w:rPr>
          <w:lang w:val="fr-FR"/>
        </w:rPr>
        <w:t xml:space="preserve">28 a). </w:t>
      </w:r>
    </w:p>
    <w:p w:rsidR="001771B8" w:rsidRPr="00262910" w:rsidRDefault="001771B8" w:rsidP="001771B8">
      <w:pPr>
        <w:pStyle w:val="H1G"/>
        <w:rPr>
          <w:lang w:val="fr-FR"/>
        </w:rPr>
      </w:pPr>
      <w:r w:rsidRPr="00262910">
        <w:rPr>
          <w:lang w:val="fr-FR"/>
        </w:rPr>
        <w:tab/>
      </w:r>
      <w:r w:rsidRPr="00262910">
        <w:rPr>
          <w:lang w:val="fr-FR"/>
        </w:rPr>
        <w:tab/>
      </w:r>
      <w:r w:rsidRPr="001349D9">
        <w:rPr>
          <w:lang w:val="fr-FR"/>
        </w:rPr>
        <w:t>Réponse au paragraphe</w:t>
      </w:r>
      <w:r w:rsidRPr="00262910">
        <w:rPr>
          <w:lang w:val="fr-FR"/>
        </w:rPr>
        <w:t xml:space="preserve"> 28 c) de la liste de points</w:t>
      </w:r>
    </w:p>
    <w:p w:rsidR="001771B8" w:rsidRPr="00262910" w:rsidRDefault="001771B8" w:rsidP="001771B8">
      <w:pPr>
        <w:pStyle w:val="SingleTxtG"/>
        <w:rPr>
          <w:lang w:val="fr-FR"/>
        </w:rPr>
      </w:pPr>
      <w:r w:rsidRPr="00262910">
        <w:rPr>
          <w:lang w:val="fr-FR"/>
        </w:rPr>
        <w:t>205.</w:t>
      </w:r>
      <w:r w:rsidRPr="00262910">
        <w:rPr>
          <w:lang w:val="fr-FR"/>
        </w:rPr>
        <w:tab/>
      </w:r>
      <w:r>
        <w:rPr>
          <w:lang w:val="fr-FR"/>
        </w:rPr>
        <w:t>L</w:t>
      </w:r>
      <w:r w:rsidRPr="007F0F4B">
        <w:rPr>
          <w:lang w:val="fr-FR"/>
        </w:rPr>
        <w:t>es</w:t>
      </w:r>
      <w:r w:rsidRPr="00262910">
        <w:rPr>
          <w:lang w:val="fr-FR"/>
        </w:rPr>
        <w:t xml:space="preserve"> autorités sanitaires </w:t>
      </w:r>
      <w:r>
        <w:rPr>
          <w:lang w:val="fr-FR"/>
        </w:rPr>
        <w:t>accordent d</w:t>
      </w:r>
      <w:r w:rsidRPr="00E51A70">
        <w:rPr>
          <w:lang w:val="fr-FR"/>
        </w:rPr>
        <w:t xml:space="preserve">epuis plusieurs années </w:t>
      </w:r>
      <w:r w:rsidRPr="00262910">
        <w:rPr>
          <w:lang w:val="fr-FR"/>
        </w:rPr>
        <w:t xml:space="preserve">des subventions annuelles </w:t>
      </w:r>
      <w:r>
        <w:rPr>
          <w:lang w:val="fr-FR"/>
        </w:rPr>
        <w:t xml:space="preserve">aux fins de la création </w:t>
      </w:r>
      <w:r w:rsidRPr="00262910">
        <w:rPr>
          <w:lang w:val="fr-FR"/>
        </w:rPr>
        <w:t>d</w:t>
      </w:r>
      <w:r>
        <w:rPr>
          <w:lang w:val="fr-FR"/>
        </w:rPr>
        <w:t>’</w:t>
      </w:r>
      <w:r w:rsidRPr="00262910">
        <w:rPr>
          <w:lang w:val="fr-FR"/>
        </w:rPr>
        <w:t>équipes de soins communautaires de proximité</w:t>
      </w:r>
      <w:r>
        <w:rPr>
          <w:lang w:val="fr-FR"/>
        </w:rPr>
        <w:t xml:space="preserve"> servant de cadre à une collaboration avec les </w:t>
      </w:r>
      <w:r w:rsidRPr="00262910">
        <w:rPr>
          <w:lang w:val="fr-FR"/>
        </w:rPr>
        <w:t xml:space="preserve">services municipaux et </w:t>
      </w:r>
      <w:r>
        <w:rPr>
          <w:lang w:val="fr-FR"/>
        </w:rPr>
        <w:t xml:space="preserve">les services de santé </w:t>
      </w:r>
      <w:r w:rsidRPr="00262910">
        <w:rPr>
          <w:lang w:val="fr-FR"/>
        </w:rPr>
        <w:t>spécialisés</w:t>
      </w:r>
      <w:r>
        <w:rPr>
          <w:lang w:val="fr-FR"/>
        </w:rPr>
        <w:t xml:space="preserve"> visant à </w:t>
      </w:r>
      <w:r w:rsidRPr="00262910">
        <w:rPr>
          <w:lang w:val="fr-FR"/>
        </w:rPr>
        <w:t xml:space="preserve">atteindre </w:t>
      </w:r>
      <w:r w:rsidRPr="00E51A70">
        <w:rPr>
          <w:lang w:val="fr-FR"/>
        </w:rPr>
        <w:t>les personnes concernées</w:t>
      </w:r>
      <w:r w:rsidRPr="00F57E3E">
        <w:rPr>
          <w:lang w:val="fr-FR"/>
        </w:rPr>
        <w:t xml:space="preserve"> </w:t>
      </w:r>
      <w:r w:rsidRPr="00F95111">
        <w:rPr>
          <w:lang w:val="fr-FR"/>
        </w:rPr>
        <w:t>là où elles vivent</w:t>
      </w:r>
      <w:r w:rsidRPr="00262910">
        <w:rPr>
          <w:lang w:val="fr-FR"/>
        </w:rPr>
        <w:t xml:space="preserve">. </w:t>
      </w:r>
      <w:r>
        <w:rPr>
          <w:lang w:val="fr-FR"/>
        </w:rPr>
        <w:t xml:space="preserve">Ces </w:t>
      </w:r>
      <w:r w:rsidRPr="00262910">
        <w:rPr>
          <w:lang w:val="fr-FR"/>
        </w:rPr>
        <w:t xml:space="preserve">équipes </w:t>
      </w:r>
      <w:r>
        <w:rPr>
          <w:lang w:val="fr-FR"/>
        </w:rPr>
        <w:t>permettent de f</w:t>
      </w:r>
      <w:r w:rsidRPr="00262910">
        <w:rPr>
          <w:lang w:val="fr-FR"/>
        </w:rPr>
        <w:t>ourn</w:t>
      </w:r>
      <w:r>
        <w:rPr>
          <w:lang w:val="fr-FR"/>
        </w:rPr>
        <w:t xml:space="preserve">ir une aide </w:t>
      </w:r>
      <w:r w:rsidRPr="00262910">
        <w:rPr>
          <w:lang w:val="fr-FR"/>
        </w:rPr>
        <w:t xml:space="preserve">rapide et complète </w:t>
      </w:r>
      <w:r>
        <w:rPr>
          <w:lang w:val="fr-FR"/>
        </w:rPr>
        <w:t xml:space="preserve">à ces personnes dans le souci </w:t>
      </w:r>
      <w:r w:rsidRPr="00262910">
        <w:rPr>
          <w:lang w:val="fr-FR"/>
        </w:rPr>
        <w:t>d</w:t>
      </w:r>
      <w:r>
        <w:rPr>
          <w:lang w:val="fr-FR"/>
        </w:rPr>
        <w:t>’</w:t>
      </w:r>
      <w:r w:rsidRPr="00262910">
        <w:rPr>
          <w:lang w:val="fr-FR"/>
        </w:rPr>
        <w:t xml:space="preserve">éviter </w:t>
      </w:r>
      <w:r>
        <w:rPr>
          <w:lang w:val="fr-FR"/>
        </w:rPr>
        <w:t>d</w:t>
      </w:r>
      <w:r w:rsidRPr="00262910">
        <w:rPr>
          <w:lang w:val="fr-FR"/>
        </w:rPr>
        <w:t xml:space="preserve">es situations de crise et </w:t>
      </w:r>
      <w:r>
        <w:rPr>
          <w:lang w:val="fr-FR"/>
        </w:rPr>
        <w:t xml:space="preserve">un placement d’office en centre de </w:t>
      </w:r>
      <w:r w:rsidRPr="00262910">
        <w:rPr>
          <w:lang w:val="fr-FR"/>
        </w:rPr>
        <w:t>soins de santé mentale.</w:t>
      </w:r>
    </w:p>
    <w:p w:rsidR="001771B8" w:rsidRPr="00262910" w:rsidRDefault="001771B8" w:rsidP="001771B8">
      <w:pPr>
        <w:pStyle w:val="H1G"/>
        <w:rPr>
          <w:lang w:val="fr-FR"/>
        </w:rPr>
      </w:pPr>
      <w:r w:rsidRPr="00262910">
        <w:rPr>
          <w:lang w:val="fr-FR"/>
        </w:rPr>
        <w:tab/>
      </w:r>
      <w:r w:rsidRPr="00262910">
        <w:rPr>
          <w:lang w:val="fr-FR"/>
        </w:rPr>
        <w:tab/>
      </w:r>
      <w:r w:rsidRPr="00220929">
        <w:rPr>
          <w:lang w:val="fr-FR"/>
        </w:rPr>
        <w:t>Réponse au paragraphe</w:t>
      </w:r>
      <w:r w:rsidRPr="00262910">
        <w:rPr>
          <w:lang w:val="fr-FR"/>
        </w:rPr>
        <w:t xml:space="preserve"> 28 d) de la liste de points</w:t>
      </w:r>
    </w:p>
    <w:p w:rsidR="001771B8" w:rsidRPr="00262910" w:rsidRDefault="001771B8" w:rsidP="001771B8">
      <w:pPr>
        <w:pStyle w:val="SingleTxtG"/>
        <w:rPr>
          <w:lang w:val="fr-FR"/>
        </w:rPr>
      </w:pPr>
      <w:r w:rsidRPr="00262910">
        <w:rPr>
          <w:lang w:val="fr-FR"/>
        </w:rPr>
        <w:t>206.</w:t>
      </w:r>
      <w:r w:rsidRPr="00262910">
        <w:rPr>
          <w:lang w:val="fr-FR"/>
        </w:rPr>
        <w:tab/>
        <w:t xml:space="preserve">Le Ministère </w:t>
      </w:r>
      <w:r>
        <w:rPr>
          <w:lang w:val="fr-FR"/>
        </w:rPr>
        <w:t xml:space="preserve">de la santé est </w:t>
      </w:r>
      <w:r w:rsidRPr="00262910">
        <w:rPr>
          <w:lang w:val="fr-FR"/>
        </w:rPr>
        <w:t xml:space="preserve">en permanence </w:t>
      </w:r>
      <w:r>
        <w:rPr>
          <w:lang w:val="fr-FR"/>
        </w:rPr>
        <w:t xml:space="preserve">attentif aux rapports relatifs à </w:t>
      </w:r>
      <w:r w:rsidRPr="00262910">
        <w:rPr>
          <w:lang w:val="fr-FR"/>
        </w:rPr>
        <w:t>la question de la c</w:t>
      </w:r>
      <w:r>
        <w:rPr>
          <w:lang w:val="fr-FR"/>
        </w:rPr>
        <w:t>ontrainte e</w:t>
      </w:r>
      <w:r w:rsidRPr="00262910">
        <w:rPr>
          <w:lang w:val="fr-FR"/>
        </w:rPr>
        <w:t xml:space="preserve">t </w:t>
      </w:r>
      <w:r>
        <w:rPr>
          <w:lang w:val="fr-FR"/>
        </w:rPr>
        <w:t xml:space="preserve">s’y réfère </w:t>
      </w:r>
      <w:r w:rsidRPr="00262910">
        <w:rPr>
          <w:lang w:val="fr-FR"/>
        </w:rPr>
        <w:t>dans le cadre d</w:t>
      </w:r>
      <w:r>
        <w:rPr>
          <w:lang w:val="fr-FR"/>
        </w:rPr>
        <w:t xml:space="preserve">e son </w:t>
      </w:r>
      <w:r w:rsidRPr="00262910">
        <w:rPr>
          <w:lang w:val="fr-FR"/>
        </w:rPr>
        <w:t>dialogue de suivi avec les autorités sanitaires régionales</w:t>
      </w:r>
      <w:r w:rsidRPr="00290748">
        <w:rPr>
          <w:lang w:val="fr-FR"/>
        </w:rPr>
        <w:t xml:space="preserve">. Les institutions locales </w:t>
      </w:r>
      <w:r w:rsidRPr="00262910">
        <w:rPr>
          <w:lang w:val="fr-FR"/>
        </w:rPr>
        <w:t xml:space="preserve">de santé sont en contact direct avec le mécanisme national de prévention </w:t>
      </w:r>
      <w:r>
        <w:rPr>
          <w:lang w:val="fr-FR"/>
        </w:rPr>
        <w:t xml:space="preserve">aux fins du </w:t>
      </w:r>
      <w:r w:rsidRPr="00262910">
        <w:rPr>
          <w:lang w:val="fr-FR"/>
        </w:rPr>
        <w:t>suivi des recommandations spécifiques contenues dans les rapports.</w:t>
      </w:r>
    </w:p>
    <w:p w:rsidR="001771B8" w:rsidRPr="00262910" w:rsidRDefault="001771B8" w:rsidP="001771B8">
      <w:pPr>
        <w:pStyle w:val="H1G"/>
        <w:rPr>
          <w:lang w:val="fr-FR"/>
        </w:rPr>
      </w:pPr>
      <w:r w:rsidRPr="00262910">
        <w:rPr>
          <w:lang w:val="fr-FR"/>
        </w:rPr>
        <w:tab/>
      </w:r>
      <w:r w:rsidRPr="00262910">
        <w:rPr>
          <w:lang w:val="fr-FR"/>
        </w:rPr>
        <w:tab/>
      </w:r>
      <w:r w:rsidRPr="0000241D">
        <w:rPr>
          <w:lang w:val="fr-FR"/>
        </w:rPr>
        <w:t>Réponse au paragraphe</w:t>
      </w:r>
      <w:r w:rsidRPr="002A069F">
        <w:rPr>
          <w:lang w:val="fr-FR"/>
        </w:rPr>
        <w:t xml:space="preserve"> 28 e) de la liste de points</w:t>
      </w:r>
    </w:p>
    <w:p w:rsidR="001771B8" w:rsidRPr="00972B25" w:rsidRDefault="001771B8" w:rsidP="0040699E">
      <w:pPr>
        <w:pStyle w:val="SingleTxtG"/>
        <w:rPr>
          <w:lang w:val="fr-FR"/>
        </w:rPr>
      </w:pPr>
      <w:r w:rsidRPr="00262910">
        <w:rPr>
          <w:lang w:val="fr-FR"/>
        </w:rPr>
        <w:t>207.</w:t>
      </w:r>
      <w:r w:rsidRPr="00262910">
        <w:rPr>
          <w:lang w:val="fr-FR"/>
        </w:rPr>
        <w:tab/>
      </w:r>
      <w:r>
        <w:rPr>
          <w:lang w:val="fr-FR"/>
        </w:rPr>
        <w:t xml:space="preserve">Il existe des </w:t>
      </w:r>
      <w:r w:rsidRPr="00262910">
        <w:rPr>
          <w:lang w:val="fr-FR"/>
        </w:rPr>
        <w:t>statistiques sur l</w:t>
      </w:r>
      <w:r>
        <w:rPr>
          <w:lang w:val="fr-FR"/>
        </w:rPr>
        <w:t>’</w:t>
      </w:r>
      <w:r w:rsidRPr="00262910">
        <w:rPr>
          <w:lang w:val="fr-FR"/>
        </w:rPr>
        <w:t>administration forcée de médicaments aux patients hospitalisés et ambulatoires, notamment le nombre de patients et la durée des traitements médicamenteux, ainsi que sur le recours aux traitements par électrochocs, l</w:t>
      </w:r>
      <w:r>
        <w:rPr>
          <w:lang w:val="fr-FR"/>
        </w:rPr>
        <w:t>’</w:t>
      </w:r>
      <w:r w:rsidRPr="00262910">
        <w:rPr>
          <w:lang w:val="fr-FR"/>
        </w:rPr>
        <w:t>utilisation de moyens de contention et la mise à l</w:t>
      </w:r>
      <w:r>
        <w:rPr>
          <w:lang w:val="fr-FR"/>
        </w:rPr>
        <w:t>’</w:t>
      </w:r>
      <w:r w:rsidRPr="00262910">
        <w:rPr>
          <w:lang w:val="fr-FR"/>
        </w:rPr>
        <w:t xml:space="preserve">isolement. Le Ministère dialogue avec la Direction de la santé </w:t>
      </w:r>
      <w:r>
        <w:rPr>
          <w:lang w:val="fr-FR"/>
        </w:rPr>
        <w:t>en vue de l’élaboration d’</w:t>
      </w:r>
      <w:r w:rsidRPr="00262910">
        <w:rPr>
          <w:lang w:val="fr-FR"/>
        </w:rPr>
        <w:t xml:space="preserve">un indicateur national </w:t>
      </w:r>
      <w:r>
        <w:rPr>
          <w:lang w:val="fr-FR"/>
        </w:rPr>
        <w:t xml:space="preserve">relatif à </w:t>
      </w:r>
      <w:r w:rsidRPr="00262910">
        <w:rPr>
          <w:lang w:val="fr-FR"/>
        </w:rPr>
        <w:t>l</w:t>
      </w:r>
      <w:r>
        <w:rPr>
          <w:lang w:val="fr-FR"/>
        </w:rPr>
        <w:t>’</w:t>
      </w:r>
      <w:r w:rsidRPr="00262910">
        <w:rPr>
          <w:lang w:val="fr-FR"/>
        </w:rPr>
        <w:t>administration forcé</w:t>
      </w:r>
      <w:r>
        <w:rPr>
          <w:lang w:val="fr-FR"/>
        </w:rPr>
        <w:t>e</w:t>
      </w:r>
      <w:r w:rsidRPr="00262910">
        <w:rPr>
          <w:lang w:val="fr-FR"/>
        </w:rPr>
        <w:t xml:space="preserve"> </w:t>
      </w:r>
      <w:r>
        <w:rPr>
          <w:lang w:val="fr-FR"/>
        </w:rPr>
        <w:t xml:space="preserve">à </w:t>
      </w:r>
      <w:r w:rsidRPr="002A069F">
        <w:rPr>
          <w:lang w:val="fr-FR"/>
        </w:rPr>
        <w:t xml:space="preserve">long terme </w:t>
      </w:r>
      <w:r w:rsidRPr="00262910">
        <w:rPr>
          <w:lang w:val="fr-FR"/>
        </w:rPr>
        <w:t xml:space="preserve">de médicaments. </w:t>
      </w:r>
      <w:r>
        <w:rPr>
          <w:lang w:val="fr-FR"/>
        </w:rPr>
        <w:t xml:space="preserve">On trouvera des </w:t>
      </w:r>
      <w:r w:rsidRPr="00262910">
        <w:rPr>
          <w:lang w:val="fr-FR"/>
        </w:rPr>
        <w:t xml:space="preserve">données </w:t>
      </w:r>
      <w:r>
        <w:rPr>
          <w:lang w:val="fr-FR"/>
        </w:rPr>
        <w:t xml:space="preserve">sur les placements d’office en </w:t>
      </w:r>
      <w:r w:rsidRPr="00972B25">
        <w:rPr>
          <w:lang w:val="fr-FR"/>
        </w:rPr>
        <w:t xml:space="preserve">établissement de soins de santé mentale sur la page suivante : </w:t>
      </w:r>
      <w:hyperlink r:id="rId11" w:history="1">
        <w:r w:rsidR="00B54C5D" w:rsidRPr="00972B25">
          <w:rPr>
            <w:rStyle w:val="Lienhypertexte"/>
            <w:color w:val="auto"/>
          </w:rPr>
          <w:t>https://www.helsedirektoratet.no/statistikk/statistikk/kvalitetsindikatorer/psykisk-helse-for-voksne/tvangsinnleggelser-i-psykisk-helsevern-for-voksne</w:t>
        </w:r>
      </w:hyperlink>
      <w:r w:rsidRPr="00972B25">
        <w:rPr>
          <w:lang w:val="fr-FR"/>
        </w:rPr>
        <w:t xml:space="preserve">. Des données sur le recours aux moyens de contrainte dans le secteur des soins de santé mentale sont disponibles à l’adresse suivante : </w:t>
      </w:r>
      <w:hyperlink r:id="rId12" w:history="1">
        <w:r w:rsidR="0040699E" w:rsidRPr="00972B25">
          <w:rPr>
            <w:rStyle w:val="Lienhypertexte"/>
            <w:color w:val="auto"/>
          </w:rPr>
          <w:t>https://www.helsedirektoratet.no/statistikk/statistikk/kvalitetsindikatorer/psykisk-helse-for-voksne/tvangsmiddelbruk-i-psykisk-helsevern-for-voksne</w:t>
        </w:r>
      </w:hyperlink>
      <w:r w:rsidRPr="00972B25">
        <w:rPr>
          <w:lang w:val="fr-FR"/>
        </w:rPr>
        <w:t xml:space="preserve">. </w:t>
      </w:r>
    </w:p>
    <w:p w:rsidR="001771B8" w:rsidRPr="00262910" w:rsidRDefault="001771B8" w:rsidP="001771B8">
      <w:pPr>
        <w:pStyle w:val="H1G"/>
        <w:rPr>
          <w:lang w:val="fr-FR"/>
        </w:rPr>
      </w:pPr>
      <w:r w:rsidRPr="00262910">
        <w:rPr>
          <w:lang w:val="fr-FR"/>
        </w:rPr>
        <w:tab/>
      </w:r>
      <w:r w:rsidRPr="00262910">
        <w:rPr>
          <w:lang w:val="fr-FR"/>
        </w:rPr>
        <w:tab/>
      </w:r>
      <w:r w:rsidRPr="004C6FCB">
        <w:rPr>
          <w:lang w:val="fr-FR"/>
        </w:rPr>
        <w:t>Réponse au paragraphe</w:t>
      </w:r>
      <w:r w:rsidRPr="00262910">
        <w:rPr>
          <w:lang w:val="fr-FR"/>
        </w:rPr>
        <w:t xml:space="preserve"> 29 de la liste de points</w:t>
      </w:r>
    </w:p>
    <w:p w:rsidR="001771B8" w:rsidRPr="00262910" w:rsidRDefault="001771B8" w:rsidP="001771B8">
      <w:pPr>
        <w:pStyle w:val="SingleTxtG"/>
        <w:rPr>
          <w:lang w:val="fr-FR"/>
        </w:rPr>
      </w:pPr>
      <w:r w:rsidRPr="00262910">
        <w:rPr>
          <w:lang w:val="fr-FR"/>
        </w:rPr>
        <w:t>208.</w:t>
      </w:r>
      <w:r w:rsidRPr="00262910">
        <w:rPr>
          <w:lang w:val="fr-FR"/>
        </w:rPr>
        <w:tab/>
      </w:r>
      <w:r w:rsidRPr="0018186B">
        <w:rPr>
          <w:lang w:val="fr-FR"/>
        </w:rPr>
        <w:t>La Direction de l</w:t>
      </w:r>
      <w:r>
        <w:rPr>
          <w:lang w:val="fr-FR"/>
        </w:rPr>
        <w:t>’</w:t>
      </w:r>
      <w:r w:rsidRPr="0018186B">
        <w:rPr>
          <w:lang w:val="fr-FR"/>
        </w:rPr>
        <w:t>administration</w:t>
      </w:r>
      <w:r w:rsidRPr="00262910">
        <w:rPr>
          <w:lang w:val="fr-FR"/>
        </w:rPr>
        <w:t xml:space="preserve"> pénitentiaire et la Direction de la santé ont collaboré à l</w:t>
      </w:r>
      <w:r>
        <w:rPr>
          <w:lang w:val="fr-FR"/>
        </w:rPr>
        <w:t>’</w:t>
      </w:r>
      <w:r w:rsidRPr="00262910">
        <w:rPr>
          <w:lang w:val="fr-FR"/>
        </w:rPr>
        <w:t>é</w:t>
      </w:r>
      <w:r>
        <w:rPr>
          <w:lang w:val="fr-FR"/>
        </w:rPr>
        <w:t>tablissement d’</w:t>
      </w:r>
      <w:r w:rsidRPr="00262910">
        <w:rPr>
          <w:lang w:val="fr-FR"/>
        </w:rPr>
        <w:t xml:space="preserve">un rapport sur le suivi des détenus ayant des problèmes de santé mentale et/ou de toxicomanie et ont proposé de nouvelles mesures </w:t>
      </w:r>
      <w:r>
        <w:rPr>
          <w:lang w:val="fr-FR"/>
        </w:rPr>
        <w:t xml:space="preserve">destinées à </w:t>
      </w:r>
      <w:r w:rsidRPr="00262910">
        <w:rPr>
          <w:lang w:val="fr-FR"/>
        </w:rPr>
        <w:t>renforcer les services fournis par les</w:t>
      </w:r>
      <w:r>
        <w:rPr>
          <w:lang w:val="fr-FR"/>
        </w:rPr>
        <w:t xml:space="preserve"> unités </w:t>
      </w:r>
      <w:r w:rsidRPr="00262910">
        <w:rPr>
          <w:lang w:val="fr-FR"/>
        </w:rPr>
        <w:t>de santé spécialisé</w:t>
      </w:r>
      <w:r>
        <w:rPr>
          <w:lang w:val="fr-FR"/>
        </w:rPr>
        <w:t>e</w:t>
      </w:r>
      <w:r w:rsidRPr="00262910">
        <w:rPr>
          <w:lang w:val="fr-FR"/>
        </w:rPr>
        <w:t xml:space="preserve">s aux détenus ayant besoin de soins de santé mentale et de traitements spécialisés interdisciplinaires </w:t>
      </w:r>
      <w:r w:rsidRPr="00202275">
        <w:rPr>
          <w:lang w:val="fr-FR"/>
        </w:rPr>
        <w:t>contre la toxicomanie</w:t>
      </w:r>
      <w:r w:rsidRPr="00262910">
        <w:rPr>
          <w:lang w:val="fr-FR"/>
        </w:rPr>
        <w:t xml:space="preserve">. Des mesures ont été proposées </w:t>
      </w:r>
      <w:r>
        <w:rPr>
          <w:lang w:val="fr-FR"/>
        </w:rPr>
        <w:t xml:space="preserve">en vue de </w:t>
      </w:r>
      <w:r w:rsidRPr="00262910">
        <w:rPr>
          <w:lang w:val="fr-FR"/>
        </w:rPr>
        <w:t>renforcer la coopération entre les organismes</w:t>
      </w:r>
      <w:r>
        <w:rPr>
          <w:lang w:val="fr-FR"/>
        </w:rPr>
        <w:t xml:space="preserve"> ; </w:t>
      </w:r>
      <w:r w:rsidRPr="00ED1681">
        <w:rPr>
          <w:lang w:val="fr-FR"/>
        </w:rPr>
        <w:t xml:space="preserve">les services pénitentiaires </w:t>
      </w:r>
      <w:r>
        <w:rPr>
          <w:lang w:val="fr-FR"/>
        </w:rPr>
        <w:t xml:space="preserve">ont pris diverses dispositions, notamment en vue d’accroître la possibilité pour les détenus d’exercer une activité et en faveur des </w:t>
      </w:r>
      <w:r w:rsidRPr="00262910">
        <w:rPr>
          <w:lang w:val="fr-FR"/>
        </w:rPr>
        <w:t xml:space="preserve">groupes </w:t>
      </w:r>
      <w:r>
        <w:rPr>
          <w:lang w:val="fr-FR"/>
        </w:rPr>
        <w:t xml:space="preserve">de détenus </w:t>
      </w:r>
      <w:r w:rsidRPr="00262910">
        <w:rPr>
          <w:lang w:val="fr-FR"/>
        </w:rPr>
        <w:t xml:space="preserve">vulnérables. Le Ministère a chargé le Réseau national de compétences </w:t>
      </w:r>
      <w:r>
        <w:rPr>
          <w:lang w:val="fr-FR"/>
        </w:rPr>
        <w:t xml:space="preserve">en matière de </w:t>
      </w:r>
      <w:r w:rsidRPr="00262910">
        <w:rPr>
          <w:lang w:val="fr-FR"/>
        </w:rPr>
        <w:t>sécurité</w:t>
      </w:r>
      <w:r>
        <w:rPr>
          <w:lang w:val="fr-FR"/>
        </w:rPr>
        <w:t xml:space="preserve"> et les services de psychiatrie pénitentiaire et légale d’établir </w:t>
      </w:r>
      <w:r w:rsidRPr="00262910">
        <w:rPr>
          <w:lang w:val="fr-FR"/>
        </w:rPr>
        <w:t>un rapport sur l</w:t>
      </w:r>
      <w:r>
        <w:rPr>
          <w:lang w:val="fr-FR"/>
        </w:rPr>
        <w:t xml:space="preserve">es moyens d’organiser et de </w:t>
      </w:r>
      <w:r w:rsidRPr="00202275">
        <w:rPr>
          <w:lang w:val="fr-FR"/>
        </w:rPr>
        <w:t xml:space="preserve">renforcer </w:t>
      </w:r>
      <w:r>
        <w:rPr>
          <w:lang w:val="fr-FR"/>
        </w:rPr>
        <w:t xml:space="preserve">la prestation de </w:t>
      </w:r>
      <w:r w:rsidRPr="00262910">
        <w:rPr>
          <w:lang w:val="fr-FR"/>
        </w:rPr>
        <w:t>soins de santé. Le Ministère assurera le suivi de</w:t>
      </w:r>
      <w:r>
        <w:rPr>
          <w:lang w:val="fr-FR"/>
        </w:rPr>
        <w:t xml:space="preserve"> ce</w:t>
      </w:r>
      <w:r w:rsidRPr="00262910">
        <w:rPr>
          <w:lang w:val="fr-FR"/>
        </w:rPr>
        <w:t>s deux rapports.</w:t>
      </w:r>
    </w:p>
    <w:p w:rsidR="001771B8" w:rsidRPr="00262910" w:rsidRDefault="001771B8" w:rsidP="001771B8">
      <w:pPr>
        <w:pStyle w:val="SingleTxtG"/>
        <w:rPr>
          <w:lang w:val="fr-FR"/>
        </w:rPr>
      </w:pPr>
      <w:r w:rsidRPr="00262910">
        <w:rPr>
          <w:lang w:val="fr-FR"/>
        </w:rPr>
        <w:t>209.</w:t>
      </w:r>
      <w:r w:rsidRPr="00262910">
        <w:rPr>
          <w:lang w:val="fr-FR"/>
        </w:rPr>
        <w:tab/>
      </w:r>
      <w:r>
        <w:rPr>
          <w:lang w:val="fr-FR"/>
        </w:rPr>
        <w:t xml:space="preserve">La Norvège compte </w:t>
      </w:r>
      <w:r w:rsidRPr="00262910">
        <w:rPr>
          <w:lang w:val="fr-FR"/>
        </w:rPr>
        <w:t xml:space="preserve">actuellement 17 </w:t>
      </w:r>
      <w:r>
        <w:rPr>
          <w:lang w:val="fr-FR"/>
        </w:rPr>
        <w:t xml:space="preserve">établissements pénitentiaire </w:t>
      </w:r>
      <w:r w:rsidRPr="00262910">
        <w:rPr>
          <w:lang w:val="fr-FR"/>
        </w:rPr>
        <w:t>dotés d</w:t>
      </w:r>
      <w:r>
        <w:rPr>
          <w:lang w:val="fr-FR"/>
        </w:rPr>
        <w:t xml:space="preserve">’une </w:t>
      </w:r>
      <w:r w:rsidRPr="00262910">
        <w:rPr>
          <w:lang w:val="fr-FR"/>
        </w:rPr>
        <w:t xml:space="preserve">unité de traitement </w:t>
      </w:r>
      <w:r>
        <w:rPr>
          <w:lang w:val="fr-FR"/>
        </w:rPr>
        <w:t xml:space="preserve">des </w:t>
      </w:r>
      <w:r w:rsidRPr="00262910">
        <w:rPr>
          <w:lang w:val="fr-FR"/>
        </w:rPr>
        <w:t>détenus toxicoman</w:t>
      </w:r>
      <w:r>
        <w:rPr>
          <w:lang w:val="fr-FR"/>
        </w:rPr>
        <w:t>es</w:t>
      </w:r>
      <w:r w:rsidRPr="00262910">
        <w:rPr>
          <w:lang w:val="fr-FR"/>
        </w:rPr>
        <w:t>.</w:t>
      </w:r>
      <w:r w:rsidRPr="00202275">
        <w:rPr>
          <w:lang w:val="fr-FR"/>
        </w:rPr>
        <w:t xml:space="preserve"> </w:t>
      </w:r>
      <w:r>
        <w:rPr>
          <w:lang w:val="fr-FR"/>
        </w:rPr>
        <w:t xml:space="preserve">Les plus grands de ces établissements disposent d’un service distinct </w:t>
      </w:r>
      <w:r w:rsidRPr="00262910">
        <w:rPr>
          <w:lang w:val="fr-FR"/>
        </w:rPr>
        <w:t>de soins de santé mentale</w:t>
      </w:r>
      <w:r w:rsidRPr="004E3FBF">
        <w:rPr>
          <w:lang w:val="fr-FR"/>
        </w:rPr>
        <w:t xml:space="preserve"> </w:t>
      </w:r>
      <w:r>
        <w:rPr>
          <w:lang w:val="fr-FR"/>
        </w:rPr>
        <w:t xml:space="preserve">en </w:t>
      </w:r>
      <w:r w:rsidRPr="004E3FBF">
        <w:rPr>
          <w:lang w:val="fr-FR"/>
        </w:rPr>
        <w:t>ambulatoire</w:t>
      </w:r>
      <w:r w:rsidRPr="00262910">
        <w:rPr>
          <w:lang w:val="fr-FR"/>
        </w:rPr>
        <w:t>. L</w:t>
      </w:r>
      <w:r>
        <w:rPr>
          <w:lang w:val="fr-FR"/>
        </w:rPr>
        <w:t>’</w:t>
      </w:r>
      <w:r w:rsidRPr="00262910">
        <w:rPr>
          <w:lang w:val="fr-FR"/>
        </w:rPr>
        <w:t xml:space="preserve">accès des détenus aux soins de santé mentale </w:t>
      </w:r>
      <w:r>
        <w:rPr>
          <w:lang w:val="fr-FR"/>
        </w:rPr>
        <w:t>ira en s’</w:t>
      </w:r>
      <w:r w:rsidRPr="00262910">
        <w:rPr>
          <w:lang w:val="fr-FR"/>
        </w:rPr>
        <w:t>amélior</w:t>
      </w:r>
      <w:r>
        <w:rPr>
          <w:lang w:val="fr-FR"/>
        </w:rPr>
        <w:t xml:space="preserve">ant ces </w:t>
      </w:r>
      <w:r w:rsidRPr="00262910">
        <w:rPr>
          <w:lang w:val="fr-FR"/>
        </w:rPr>
        <w:t xml:space="preserve">prochaines années </w:t>
      </w:r>
      <w:r>
        <w:rPr>
          <w:lang w:val="fr-FR"/>
        </w:rPr>
        <w:t xml:space="preserve">avec </w:t>
      </w:r>
      <w:r w:rsidRPr="00262910">
        <w:rPr>
          <w:lang w:val="fr-FR"/>
        </w:rPr>
        <w:t xml:space="preserve">la mise </w:t>
      </w:r>
      <w:r>
        <w:rPr>
          <w:lang w:val="fr-FR"/>
        </w:rPr>
        <w:t xml:space="preserve">en place </w:t>
      </w:r>
      <w:r w:rsidRPr="00262910">
        <w:rPr>
          <w:lang w:val="fr-FR"/>
        </w:rPr>
        <w:t xml:space="preserve">de nouveaux services plus complets pour les détenus ayant de graves problèmes de santé mentale. </w:t>
      </w:r>
      <w:r>
        <w:rPr>
          <w:lang w:val="fr-FR"/>
        </w:rPr>
        <w:t>L</w:t>
      </w:r>
      <w:r w:rsidRPr="00262910">
        <w:rPr>
          <w:lang w:val="fr-FR"/>
        </w:rPr>
        <w:t>es lignes directrices nationales sur les soins de santé pour les détenus</w:t>
      </w:r>
      <w:r>
        <w:rPr>
          <w:lang w:val="fr-FR"/>
        </w:rPr>
        <w:t xml:space="preserve"> seront </w:t>
      </w:r>
      <w:r w:rsidRPr="00262910">
        <w:rPr>
          <w:lang w:val="fr-FR"/>
        </w:rPr>
        <w:t>ré</w:t>
      </w:r>
      <w:r>
        <w:rPr>
          <w:lang w:val="fr-FR"/>
        </w:rPr>
        <w:t>examinées</w:t>
      </w:r>
      <w:r w:rsidRPr="00262910">
        <w:rPr>
          <w:lang w:val="fr-FR"/>
        </w:rPr>
        <w:t>.</w:t>
      </w:r>
    </w:p>
    <w:p w:rsidR="001771B8" w:rsidRPr="00262910" w:rsidRDefault="001771B8" w:rsidP="001771B8">
      <w:pPr>
        <w:pStyle w:val="SingleTxtG"/>
        <w:rPr>
          <w:lang w:val="fr-FR"/>
        </w:rPr>
      </w:pPr>
      <w:r w:rsidRPr="00262910">
        <w:rPr>
          <w:lang w:val="fr-FR"/>
        </w:rPr>
        <w:t>210.</w:t>
      </w:r>
      <w:r w:rsidRPr="00262910">
        <w:rPr>
          <w:lang w:val="fr-FR"/>
        </w:rPr>
        <w:tab/>
      </w:r>
      <w:r w:rsidRPr="00B50DF6">
        <w:rPr>
          <w:lang w:val="fr-FR"/>
        </w:rPr>
        <w:t>En Norvège, tous les enfants</w:t>
      </w:r>
      <w:r>
        <w:rPr>
          <w:lang w:val="fr-FR"/>
        </w:rPr>
        <w:t>,</w:t>
      </w:r>
      <w:r w:rsidRPr="00B50DF6">
        <w:rPr>
          <w:lang w:val="fr-FR"/>
        </w:rPr>
        <w:t xml:space="preserve"> </w:t>
      </w:r>
      <w:r>
        <w:rPr>
          <w:lang w:val="fr-FR"/>
        </w:rPr>
        <w:t>qu’ils aient ou non le statut de r</w:t>
      </w:r>
      <w:r w:rsidRPr="006E4CEF">
        <w:rPr>
          <w:lang w:val="fr-FR"/>
        </w:rPr>
        <w:t>ésiden</w:t>
      </w:r>
      <w:r>
        <w:rPr>
          <w:lang w:val="fr-FR"/>
        </w:rPr>
        <w:t xml:space="preserve">t, </w:t>
      </w:r>
      <w:r w:rsidRPr="00262910">
        <w:rPr>
          <w:lang w:val="fr-FR"/>
        </w:rPr>
        <w:t xml:space="preserve">ont </w:t>
      </w:r>
      <w:r>
        <w:rPr>
          <w:lang w:val="fr-FR"/>
        </w:rPr>
        <w:t xml:space="preserve">le droit aux soins </w:t>
      </w:r>
      <w:r w:rsidRPr="00262910">
        <w:rPr>
          <w:lang w:val="fr-FR"/>
        </w:rPr>
        <w:t xml:space="preserve">de santé </w:t>
      </w:r>
      <w:r>
        <w:rPr>
          <w:lang w:val="fr-FR"/>
        </w:rPr>
        <w:t xml:space="preserve">dont ils ont besoin, y compris le cas échéant à des soins </w:t>
      </w:r>
      <w:r w:rsidRPr="00262910">
        <w:rPr>
          <w:lang w:val="fr-FR"/>
        </w:rPr>
        <w:t xml:space="preserve">psychiatriques. </w:t>
      </w:r>
      <w:r>
        <w:rPr>
          <w:lang w:val="fr-FR"/>
        </w:rPr>
        <w:t>L</w:t>
      </w:r>
      <w:r w:rsidRPr="00262910">
        <w:rPr>
          <w:lang w:val="fr-FR"/>
        </w:rPr>
        <w:t xml:space="preserve">es enfants </w:t>
      </w:r>
      <w:r>
        <w:rPr>
          <w:lang w:val="fr-FR"/>
        </w:rPr>
        <w:t xml:space="preserve">qui ne résident pas légalement en Norvège </w:t>
      </w:r>
      <w:r w:rsidRPr="00262910">
        <w:rPr>
          <w:lang w:val="fr-FR"/>
        </w:rPr>
        <w:t>n</w:t>
      </w:r>
      <w:r>
        <w:rPr>
          <w:lang w:val="fr-FR"/>
        </w:rPr>
        <w:t>’</w:t>
      </w:r>
      <w:r w:rsidRPr="00262910">
        <w:rPr>
          <w:lang w:val="fr-FR"/>
        </w:rPr>
        <w:t xml:space="preserve">ont </w:t>
      </w:r>
      <w:r>
        <w:rPr>
          <w:lang w:val="fr-FR"/>
        </w:rPr>
        <w:t xml:space="preserve">toutefois pas le </w:t>
      </w:r>
      <w:r w:rsidRPr="00262910">
        <w:rPr>
          <w:lang w:val="fr-FR"/>
        </w:rPr>
        <w:t>droit à un médecin généraliste</w:t>
      </w:r>
      <w:r>
        <w:rPr>
          <w:lang w:val="fr-FR"/>
        </w:rPr>
        <w:t xml:space="preserve"> attitré</w:t>
      </w:r>
      <w:r w:rsidRPr="00262910">
        <w:rPr>
          <w:lang w:val="fr-FR"/>
        </w:rPr>
        <w:t xml:space="preserve">. </w:t>
      </w:r>
    </w:p>
    <w:p w:rsidR="001771B8" w:rsidRPr="00262910" w:rsidRDefault="001771B8" w:rsidP="001771B8">
      <w:pPr>
        <w:pStyle w:val="SingleTxtG"/>
        <w:rPr>
          <w:lang w:val="fr-FR"/>
        </w:rPr>
      </w:pPr>
      <w:r w:rsidRPr="00262910">
        <w:rPr>
          <w:lang w:val="fr-FR"/>
        </w:rPr>
        <w:t>211.</w:t>
      </w:r>
      <w:r w:rsidRPr="00262910">
        <w:rPr>
          <w:lang w:val="fr-FR"/>
        </w:rPr>
        <w:tab/>
        <w:t xml:space="preserve">Le Centre régional </w:t>
      </w:r>
      <w:r w:rsidRPr="0018186B">
        <w:rPr>
          <w:lang w:val="fr-FR"/>
        </w:rPr>
        <w:t>pour la prévention de la violence, du stress post-traumatique et du suicide</w:t>
      </w:r>
      <w:r w:rsidRPr="00262910">
        <w:rPr>
          <w:lang w:val="fr-FR"/>
        </w:rPr>
        <w:t xml:space="preserve"> </w:t>
      </w:r>
      <w:r>
        <w:rPr>
          <w:lang w:val="fr-FR"/>
        </w:rPr>
        <w:t xml:space="preserve">de </w:t>
      </w:r>
      <w:r w:rsidRPr="00FD1545">
        <w:rPr>
          <w:lang w:val="fr-FR"/>
        </w:rPr>
        <w:t xml:space="preserve">Norvège </w:t>
      </w:r>
      <w:r>
        <w:rPr>
          <w:lang w:val="fr-FR"/>
        </w:rPr>
        <w:t xml:space="preserve">méridionale dispense </w:t>
      </w:r>
      <w:r w:rsidRPr="00262910">
        <w:rPr>
          <w:lang w:val="fr-FR"/>
        </w:rPr>
        <w:t>une formation sur les traumatismes</w:t>
      </w:r>
      <w:r>
        <w:rPr>
          <w:lang w:val="fr-FR"/>
        </w:rPr>
        <w:t xml:space="preserve"> aux agents ayant affaire à </w:t>
      </w:r>
      <w:r w:rsidRPr="00765982">
        <w:rPr>
          <w:lang w:val="fr-FR"/>
        </w:rPr>
        <w:t xml:space="preserve">des mineurs non accompagnés </w:t>
      </w:r>
      <w:r>
        <w:rPr>
          <w:lang w:val="fr-FR"/>
        </w:rPr>
        <w:t xml:space="preserve">hébergés en </w:t>
      </w:r>
      <w:r w:rsidRPr="00262910">
        <w:rPr>
          <w:lang w:val="fr-FR"/>
        </w:rPr>
        <w:t>centre d</w:t>
      </w:r>
      <w:r>
        <w:rPr>
          <w:lang w:val="fr-FR"/>
        </w:rPr>
        <w:t>’</w:t>
      </w:r>
      <w:r w:rsidRPr="00262910">
        <w:rPr>
          <w:lang w:val="fr-FR"/>
        </w:rPr>
        <w:t>accueil</w:t>
      </w:r>
      <w:r w:rsidRPr="00765982">
        <w:rPr>
          <w:lang w:val="fr-FR"/>
        </w:rPr>
        <w:t xml:space="preserve"> </w:t>
      </w:r>
      <w:r>
        <w:rPr>
          <w:lang w:val="fr-FR"/>
        </w:rPr>
        <w:t xml:space="preserve">pour </w:t>
      </w:r>
      <w:r w:rsidRPr="00765982">
        <w:rPr>
          <w:lang w:val="fr-FR"/>
        </w:rPr>
        <w:t>demandeurs d</w:t>
      </w:r>
      <w:r>
        <w:rPr>
          <w:lang w:val="fr-FR"/>
        </w:rPr>
        <w:t>’</w:t>
      </w:r>
      <w:r w:rsidRPr="00765982">
        <w:rPr>
          <w:lang w:val="fr-FR"/>
        </w:rPr>
        <w:t>asile</w:t>
      </w:r>
      <w:r w:rsidRPr="00262910">
        <w:rPr>
          <w:lang w:val="fr-FR"/>
        </w:rPr>
        <w:t>.</w:t>
      </w:r>
    </w:p>
    <w:p w:rsidR="001771B8" w:rsidRPr="00262910" w:rsidRDefault="001771B8" w:rsidP="001771B8">
      <w:pPr>
        <w:pStyle w:val="H1G"/>
        <w:rPr>
          <w:lang w:val="fr-FR"/>
        </w:rPr>
      </w:pPr>
      <w:r w:rsidRPr="00262910">
        <w:rPr>
          <w:lang w:val="fr-FR"/>
        </w:rPr>
        <w:tab/>
      </w:r>
      <w:r w:rsidRPr="00262910">
        <w:rPr>
          <w:lang w:val="fr-FR"/>
        </w:rPr>
        <w:tab/>
      </w:r>
      <w:r w:rsidRPr="00D37055">
        <w:rPr>
          <w:lang w:val="fr-FR"/>
        </w:rPr>
        <w:t>Réponse au</w:t>
      </w:r>
      <w:r w:rsidRPr="00262910">
        <w:rPr>
          <w:lang w:val="fr-FR"/>
        </w:rPr>
        <w:t xml:space="preserve"> paragraphe 30 a) de la liste de points</w:t>
      </w:r>
    </w:p>
    <w:p w:rsidR="001771B8" w:rsidRPr="00262910" w:rsidRDefault="001771B8" w:rsidP="001771B8">
      <w:pPr>
        <w:pStyle w:val="SingleTxtG"/>
        <w:rPr>
          <w:lang w:val="fr-FR"/>
        </w:rPr>
      </w:pPr>
      <w:r w:rsidRPr="00262910">
        <w:rPr>
          <w:lang w:val="fr-FR"/>
        </w:rPr>
        <w:t>212.</w:t>
      </w:r>
      <w:r w:rsidRPr="00262910">
        <w:rPr>
          <w:lang w:val="fr-FR"/>
        </w:rPr>
        <w:tab/>
      </w:r>
      <w:r w:rsidRPr="00C06B62">
        <w:rPr>
          <w:lang w:val="fr-FR"/>
        </w:rPr>
        <w:t>Le Gouvernement est</w:t>
      </w:r>
      <w:r>
        <w:rPr>
          <w:lang w:val="fr-FR"/>
        </w:rPr>
        <w:t xml:space="preserve"> en train d’élaborer </w:t>
      </w:r>
      <w:r w:rsidRPr="00262910">
        <w:rPr>
          <w:lang w:val="fr-FR"/>
        </w:rPr>
        <w:t>un nouveau livre blanc sur l</w:t>
      </w:r>
      <w:r>
        <w:rPr>
          <w:lang w:val="fr-FR"/>
        </w:rPr>
        <w:t>’apprentissage précoce</w:t>
      </w:r>
      <w:r w:rsidRPr="00262910">
        <w:rPr>
          <w:lang w:val="fr-FR"/>
        </w:rPr>
        <w:t xml:space="preserve"> et </w:t>
      </w:r>
      <w:r>
        <w:rPr>
          <w:lang w:val="fr-FR"/>
        </w:rPr>
        <w:t>l</w:t>
      </w:r>
      <w:r w:rsidRPr="00262910">
        <w:rPr>
          <w:lang w:val="fr-FR"/>
        </w:rPr>
        <w:t>es communautés inclusives dans le</w:t>
      </w:r>
      <w:r>
        <w:rPr>
          <w:lang w:val="fr-FR"/>
        </w:rPr>
        <w:t>s établissements préscolaires et les écoles</w:t>
      </w:r>
      <w:r w:rsidRPr="00262910">
        <w:rPr>
          <w:lang w:val="fr-FR"/>
        </w:rPr>
        <w:t xml:space="preserve">. </w:t>
      </w:r>
    </w:p>
    <w:p w:rsidR="001771B8" w:rsidRPr="00262910" w:rsidRDefault="001771B8" w:rsidP="001771B8">
      <w:pPr>
        <w:pStyle w:val="SingleTxtG"/>
        <w:rPr>
          <w:bCs/>
          <w:lang w:val="fr-FR"/>
        </w:rPr>
      </w:pPr>
      <w:r w:rsidRPr="00262910">
        <w:rPr>
          <w:bCs/>
          <w:lang w:val="fr-FR"/>
        </w:rPr>
        <w:t>213.</w:t>
      </w:r>
      <w:r w:rsidRPr="00262910">
        <w:rPr>
          <w:bCs/>
          <w:lang w:val="fr-FR"/>
        </w:rPr>
        <w:tab/>
      </w:r>
      <w:r w:rsidRPr="00262910">
        <w:rPr>
          <w:lang w:val="fr-FR"/>
        </w:rPr>
        <w:t xml:space="preserve">Le Gouvernement </w:t>
      </w:r>
      <w:r>
        <w:rPr>
          <w:lang w:val="fr-FR"/>
        </w:rPr>
        <w:t xml:space="preserve">a engagé une action d’ampleur pour renforcer la formation des enseignants et en recruter de nouveaux afin de garantir aux </w:t>
      </w:r>
      <w:r w:rsidRPr="00262910">
        <w:rPr>
          <w:lang w:val="fr-FR"/>
        </w:rPr>
        <w:t>élèves</w:t>
      </w:r>
      <w:r>
        <w:rPr>
          <w:lang w:val="fr-FR"/>
        </w:rPr>
        <w:t xml:space="preserve"> </w:t>
      </w:r>
      <w:r w:rsidRPr="00262910">
        <w:rPr>
          <w:lang w:val="fr-FR"/>
        </w:rPr>
        <w:t xml:space="preserve">des enseignants qualifiés et </w:t>
      </w:r>
      <w:r>
        <w:rPr>
          <w:lang w:val="fr-FR"/>
        </w:rPr>
        <w:t xml:space="preserve">de </w:t>
      </w:r>
      <w:r w:rsidRPr="00262910">
        <w:rPr>
          <w:lang w:val="fr-FR"/>
        </w:rPr>
        <w:t xml:space="preserve">rendre </w:t>
      </w:r>
      <w:r>
        <w:rPr>
          <w:lang w:val="fr-FR"/>
        </w:rPr>
        <w:t xml:space="preserve">cette </w:t>
      </w:r>
      <w:r w:rsidRPr="00262910">
        <w:rPr>
          <w:lang w:val="fr-FR"/>
        </w:rPr>
        <w:t>profession plus attra</w:t>
      </w:r>
      <w:r>
        <w:rPr>
          <w:lang w:val="fr-FR"/>
        </w:rPr>
        <w:t>ctive.</w:t>
      </w:r>
      <w:r w:rsidRPr="00262910">
        <w:rPr>
          <w:bCs/>
          <w:lang w:val="fr-FR"/>
        </w:rPr>
        <w:t xml:space="preserve"> </w:t>
      </w:r>
    </w:p>
    <w:p w:rsidR="001771B8" w:rsidRPr="00262910" w:rsidRDefault="001771B8" w:rsidP="001771B8">
      <w:pPr>
        <w:pStyle w:val="SingleTxtG"/>
        <w:rPr>
          <w:bCs/>
          <w:lang w:val="fr-FR"/>
        </w:rPr>
      </w:pPr>
      <w:r w:rsidRPr="00262910">
        <w:rPr>
          <w:bCs/>
          <w:lang w:val="fr-FR"/>
        </w:rPr>
        <w:t>214.</w:t>
      </w:r>
      <w:r w:rsidRPr="00262910">
        <w:rPr>
          <w:bCs/>
          <w:lang w:val="fr-FR"/>
        </w:rPr>
        <w:tab/>
      </w:r>
      <w:r w:rsidRPr="00262910">
        <w:rPr>
          <w:lang w:val="fr-FR"/>
        </w:rPr>
        <w:t>L</w:t>
      </w:r>
      <w:r>
        <w:rPr>
          <w:lang w:val="fr-FR"/>
        </w:rPr>
        <w:t xml:space="preserve">e certificat d’aptitude à la profession d’enseignant </w:t>
      </w:r>
      <w:r w:rsidRPr="00262910">
        <w:rPr>
          <w:lang w:val="fr-FR"/>
        </w:rPr>
        <w:t xml:space="preserve">a été porté au niveau de la maîtrise et les </w:t>
      </w:r>
      <w:r>
        <w:rPr>
          <w:lang w:val="fr-FR"/>
        </w:rPr>
        <w:t>critères d’admission à cette formation ont été relevés</w:t>
      </w:r>
      <w:r w:rsidRPr="00262910">
        <w:rPr>
          <w:bCs/>
          <w:lang w:val="fr-FR"/>
        </w:rPr>
        <w:t xml:space="preserve">. </w:t>
      </w:r>
    </w:p>
    <w:p w:rsidR="001771B8" w:rsidRPr="00262910" w:rsidRDefault="001771B8" w:rsidP="001771B8">
      <w:pPr>
        <w:pStyle w:val="SingleTxtG"/>
        <w:rPr>
          <w:bCs/>
          <w:lang w:val="fr-FR"/>
        </w:rPr>
      </w:pPr>
      <w:r w:rsidRPr="00262910">
        <w:rPr>
          <w:bCs/>
          <w:lang w:val="fr-FR"/>
        </w:rPr>
        <w:t>215.</w:t>
      </w:r>
      <w:r w:rsidRPr="00262910">
        <w:rPr>
          <w:bCs/>
          <w:lang w:val="fr-FR"/>
        </w:rPr>
        <w:tab/>
      </w:r>
      <w:r>
        <w:rPr>
          <w:lang w:val="fr-FR"/>
        </w:rPr>
        <w:t xml:space="preserve">Les personnes qui ont souscrit un prêt pour financer leur formation à l’enseignement n’ont pas à le rembourser en totalité après leur recrutement aux conditions suivantes : elles ont achevé leurs études dans le nombre d’années normal ; elles ont suivi la </w:t>
      </w:r>
      <w:r w:rsidRPr="00262910">
        <w:rPr>
          <w:lang w:val="fr-FR"/>
        </w:rPr>
        <w:t>form</w:t>
      </w:r>
      <w:r>
        <w:rPr>
          <w:lang w:val="fr-FR"/>
        </w:rPr>
        <w:t>ation pour en</w:t>
      </w:r>
      <w:r w:rsidRPr="00262910">
        <w:rPr>
          <w:lang w:val="fr-FR"/>
        </w:rPr>
        <w:t xml:space="preserve">seigner de la première à la septième année </w:t>
      </w:r>
      <w:r>
        <w:rPr>
          <w:lang w:val="fr-FR"/>
        </w:rPr>
        <w:t xml:space="preserve">scolaire ; elles ont </w:t>
      </w:r>
      <w:r w:rsidRPr="00262910">
        <w:rPr>
          <w:lang w:val="fr-FR"/>
        </w:rPr>
        <w:t>accept</w:t>
      </w:r>
      <w:r>
        <w:rPr>
          <w:lang w:val="fr-FR"/>
        </w:rPr>
        <w:t>é</w:t>
      </w:r>
      <w:r w:rsidRPr="00262910">
        <w:rPr>
          <w:lang w:val="fr-FR"/>
        </w:rPr>
        <w:t xml:space="preserve"> un emploi dans le nord de la Norvège. </w:t>
      </w:r>
      <w:r>
        <w:rPr>
          <w:lang w:val="fr-FR"/>
        </w:rPr>
        <w:t>D</w:t>
      </w:r>
      <w:r w:rsidRPr="00262910">
        <w:rPr>
          <w:lang w:val="fr-FR"/>
        </w:rPr>
        <w:t xml:space="preserve">es dispositions distinctes </w:t>
      </w:r>
      <w:r>
        <w:rPr>
          <w:lang w:val="fr-FR"/>
        </w:rPr>
        <w:t xml:space="preserve">s’appliquent aux personnes </w:t>
      </w:r>
      <w:r w:rsidRPr="00262910">
        <w:rPr>
          <w:lang w:val="fr-FR"/>
        </w:rPr>
        <w:t xml:space="preserve">qui </w:t>
      </w:r>
      <w:r>
        <w:rPr>
          <w:lang w:val="fr-FR"/>
        </w:rPr>
        <w:t xml:space="preserve">étudient </w:t>
      </w:r>
      <w:r w:rsidRPr="00262910">
        <w:rPr>
          <w:lang w:val="fr-FR"/>
        </w:rPr>
        <w:t>le</w:t>
      </w:r>
      <w:r>
        <w:rPr>
          <w:lang w:val="fr-FR"/>
        </w:rPr>
        <w:t xml:space="preserve"> sâme</w:t>
      </w:r>
      <w:r w:rsidRPr="00262910">
        <w:rPr>
          <w:lang w:val="fr-FR"/>
        </w:rPr>
        <w:t xml:space="preserve"> </w:t>
      </w:r>
      <w:r>
        <w:rPr>
          <w:lang w:val="fr-FR"/>
        </w:rPr>
        <w:t>ou le k</w:t>
      </w:r>
      <w:r w:rsidRPr="00262910">
        <w:rPr>
          <w:lang w:val="fr-FR"/>
        </w:rPr>
        <w:t>v</w:t>
      </w:r>
      <w:r>
        <w:rPr>
          <w:lang w:val="fr-FR"/>
        </w:rPr>
        <w:t>ène</w:t>
      </w:r>
      <w:r w:rsidRPr="00262910">
        <w:rPr>
          <w:lang w:val="fr-FR"/>
        </w:rPr>
        <w:t>. Des bourses d</w:t>
      </w:r>
      <w:r>
        <w:rPr>
          <w:lang w:val="fr-FR"/>
        </w:rPr>
        <w:t>’</w:t>
      </w:r>
      <w:r w:rsidRPr="00262910">
        <w:rPr>
          <w:lang w:val="fr-FR"/>
        </w:rPr>
        <w:t xml:space="preserve">études et de recrutement ont </w:t>
      </w:r>
      <w:r>
        <w:rPr>
          <w:lang w:val="fr-FR"/>
        </w:rPr>
        <w:t>ét</w:t>
      </w:r>
      <w:r w:rsidRPr="00262910">
        <w:rPr>
          <w:lang w:val="fr-FR"/>
        </w:rPr>
        <w:t xml:space="preserve">é </w:t>
      </w:r>
      <w:r>
        <w:rPr>
          <w:lang w:val="fr-FR"/>
        </w:rPr>
        <w:t xml:space="preserve">instituées </w:t>
      </w:r>
      <w:r w:rsidRPr="00262910">
        <w:rPr>
          <w:lang w:val="fr-FR"/>
        </w:rPr>
        <w:t xml:space="preserve">pour les personnes ayant une expérience professionnelle </w:t>
      </w:r>
      <w:r>
        <w:rPr>
          <w:lang w:val="fr-FR"/>
        </w:rPr>
        <w:t xml:space="preserve">qui </w:t>
      </w:r>
      <w:r w:rsidRPr="00262910">
        <w:rPr>
          <w:lang w:val="fr-FR"/>
        </w:rPr>
        <w:t>souhait</w:t>
      </w:r>
      <w:r>
        <w:rPr>
          <w:lang w:val="fr-FR"/>
        </w:rPr>
        <w:t>ent se consacrer à l’</w:t>
      </w:r>
      <w:r w:rsidRPr="00262910">
        <w:rPr>
          <w:lang w:val="fr-FR"/>
        </w:rPr>
        <w:t>enseign</w:t>
      </w:r>
      <w:r>
        <w:rPr>
          <w:lang w:val="fr-FR"/>
        </w:rPr>
        <w:t>ement</w:t>
      </w:r>
      <w:r w:rsidRPr="00262910">
        <w:rPr>
          <w:bCs/>
          <w:lang w:val="fr-FR"/>
        </w:rPr>
        <w:t xml:space="preserve">. </w:t>
      </w:r>
    </w:p>
    <w:p w:rsidR="001771B8" w:rsidRPr="00262910" w:rsidRDefault="001771B8" w:rsidP="001771B8">
      <w:pPr>
        <w:pStyle w:val="SingleTxtG"/>
        <w:rPr>
          <w:bCs/>
          <w:lang w:val="fr-FR"/>
        </w:rPr>
      </w:pPr>
      <w:r w:rsidRPr="00262910">
        <w:rPr>
          <w:bCs/>
          <w:lang w:val="fr-FR"/>
        </w:rPr>
        <w:t>216.</w:t>
      </w:r>
      <w:r w:rsidRPr="00262910">
        <w:rPr>
          <w:bCs/>
          <w:lang w:val="fr-FR"/>
        </w:rPr>
        <w:tab/>
      </w:r>
      <w:r w:rsidRPr="00DC16E3">
        <w:rPr>
          <w:lang w:val="fr-FR"/>
        </w:rPr>
        <w:t>Un</w:t>
      </w:r>
      <w:r>
        <w:rPr>
          <w:lang w:val="fr-FR"/>
        </w:rPr>
        <w:t xml:space="preserve">e enveloppe de </w:t>
      </w:r>
      <w:r w:rsidRPr="00DC16E3">
        <w:rPr>
          <w:lang w:val="fr-FR"/>
        </w:rPr>
        <w:t>1,6 milliard de</w:t>
      </w:r>
      <w:r w:rsidRPr="00262910">
        <w:rPr>
          <w:lang w:val="fr-FR"/>
        </w:rPr>
        <w:t xml:space="preserve"> couronnes norvégiennes </w:t>
      </w:r>
      <w:r>
        <w:rPr>
          <w:lang w:val="fr-FR"/>
        </w:rPr>
        <w:t xml:space="preserve">a été affectée </w:t>
      </w:r>
      <w:r w:rsidRPr="00262910">
        <w:rPr>
          <w:lang w:val="fr-FR"/>
        </w:rPr>
        <w:t>à la formation continue des enseignants</w:t>
      </w:r>
      <w:r w:rsidRPr="00DC16E3">
        <w:rPr>
          <w:lang w:val="fr-FR"/>
        </w:rPr>
        <w:t xml:space="preserve"> pour 2019</w:t>
      </w:r>
      <w:r w:rsidRPr="00262910">
        <w:rPr>
          <w:lang w:val="fr-FR"/>
        </w:rPr>
        <w:t xml:space="preserve">. </w:t>
      </w:r>
      <w:r>
        <w:rPr>
          <w:lang w:val="fr-FR"/>
        </w:rPr>
        <w:t>Le p</w:t>
      </w:r>
      <w:r w:rsidRPr="00262910">
        <w:rPr>
          <w:lang w:val="fr-FR"/>
        </w:rPr>
        <w:t xml:space="preserve">erfectionnement et </w:t>
      </w:r>
      <w:r>
        <w:rPr>
          <w:lang w:val="fr-FR"/>
        </w:rPr>
        <w:t>le renforce</w:t>
      </w:r>
      <w:r w:rsidRPr="00262910">
        <w:rPr>
          <w:lang w:val="fr-FR"/>
        </w:rPr>
        <w:t xml:space="preserve">ment des compétences peuvent aider </w:t>
      </w:r>
      <w:r>
        <w:rPr>
          <w:lang w:val="fr-FR"/>
        </w:rPr>
        <w:t xml:space="preserve">davantage </w:t>
      </w:r>
      <w:r w:rsidRPr="00262910">
        <w:rPr>
          <w:lang w:val="fr-FR"/>
        </w:rPr>
        <w:t>d</w:t>
      </w:r>
      <w:r>
        <w:rPr>
          <w:lang w:val="fr-FR"/>
        </w:rPr>
        <w:t>’</w:t>
      </w:r>
      <w:r w:rsidRPr="00262910">
        <w:rPr>
          <w:lang w:val="fr-FR"/>
        </w:rPr>
        <w:t xml:space="preserve">enseignants à </w:t>
      </w:r>
      <w:r>
        <w:rPr>
          <w:lang w:val="fr-FR"/>
        </w:rPr>
        <w:t xml:space="preserve">continuer d’enseigner </w:t>
      </w:r>
      <w:r w:rsidRPr="00262910">
        <w:rPr>
          <w:lang w:val="fr-FR"/>
        </w:rPr>
        <w:t xml:space="preserve">et </w:t>
      </w:r>
      <w:r>
        <w:rPr>
          <w:lang w:val="fr-FR"/>
        </w:rPr>
        <w:t xml:space="preserve">davantage d’entre eux </w:t>
      </w:r>
      <w:r w:rsidRPr="00262910">
        <w:rPr>
          <w:lang w:val="fr-FR"/>
        </w:rPr>
        <w:t xml:space="preserve">à </w:t>
      </w:r>
      <w:r>
        <w:rPr>
          <w:lang w:val="fr-FR"/>
        </w:rPr>
        <w:t>renforcer leurs qualifications</w:t>
      </w:r>
      <w:r w:rsidRPr="00262910">
        <w:rPr>
          <w:lang w:val="fr-FR"/>
        </w:rPr>
        <w:t xml:space="preserve">. </w:t>
      </w:r>
      <w:r>
        <w:rPr>
          <w:lang w:val="fr-FR"/>
        </w:rPr>
        <w:t>P</w:t>
      </w:r>
      <w:r w:rsidRPr="00262910">
        <w:rPr>
          <w:lang w:val="fr-FR"/>
        </w:rPr>
        <w:t>lus de 6</w:t>
      </w:r>
      <w:r w:rsidR="005B6CBA">
        <w:rPr>
          <w:lang w:val="fr-FR"/>
        </w:rPr>
        <w:t> </w:t>
      </w:r>
      <w:r w:rsidRPr="00262910">
        <w:rPr>
          <w:lang w:val="fr-FR"/>
        </w:rPr>
        <w:t>800</w:t>
      </w:r>
      <w:r w:rsidR="005B6CBA">
        <w:rPr>
          <w:lang w:val="fr-FR"/>
        </w:rPr>
        <w:t> </w:t>
      </w:r>
      <w:r w:rsidRPr="00262910">
        <w:rPr>
          <w:lang w:val="fr-FR"/>
        </w:rPr>
        <w:t xml:space="preserve">enseignants </w:t>
      </w:r>
      <w:r>
        <w:rPr>
          <w:lang w:val="fr-FR"/>
        </w:rPr>
        <w:t xml:space="preserve">suivront </w:t>
      </w:r>
      <w:r w:rsidRPr="00262910">
        <w:rPr>
          <w:lang w:val="fr-FR"/>
        </w:rPr>
        <w:t>une formation continue</w:t>
      </w:r>
      <w:r w:rsidRPr="00EE5061">
        <w:rPr>
          <w:lang w:val="fr-FR"/>
        </w:rPr>
        <w:t xml:space="preserve"> en 2019</w:t>
      </w:r>
      <w:r w:rsidRPr="00262910">
        <w:rPr>
          <w:bCs/>
          <w:lang w:val="fr-FR"/>
        </w:rPr>
        <w:t>.</w:t>
      </w:r>
    </w:p>
    <w:p w:rsidR="001771B8" w:rsidRPr="00262910" w:rsidRDefault="001771B8" w:rsidP="001771B8">
      <w:pPr>
        <w:pStyle w:val="SingleTxtG"/>
        <w:rPr>
          <w:bCs/>
          <w:lang w:val="fr-FR"/>
        </w:rPr>
      </w:pPr>
      <w:r w:rsidRPr="00262910">
        <w:rPr>
          <w:bCs/>
          <w:lang w:val="fr-FR"/>
        </w:rPr>
        <w:t>217.</w:t>
      </w:r>
      <w:r w:rsidRPr="00262910">
        <w:rPr>
          <w:bCs/>
          <w:lang w:val="fr-FR"/>
        </w:rPr>
        <w:tab/>
      </w:r>
      <w:r w:rsidRPr="00262910">
        <w:rPr>
          <w:lang w:val="fr-FR"/>
        </w:rPr>
        <w:t xml:space="preserve">En 2019, 60 millions de couronnes norvégiennes </w:t>
      </w:r>
      <w:r>
        <w:rPr>
          <w:lang w:val="fr-FR"/>
        </w:rPr>
        <w:t xml:space="preserve">iront </w:t>
      </w:r>
      <w:r w:rsidRPr="00262910">
        <w:rPr>
          <w:lang w:val="fr-FR"/>
        </w:rPr>
        <w:t>à l</w:t>
      </w:r>
      <w:r>
        <w:rPr>
          <w:lang w:val="fr-FR"/>
        </w:rPr>
        <w:t xml:space="preserve">’orientation </w:t>
      </w:r>
      <w:r w:rsidRPr="00262910">
        <w:rPr>
          <w:lang w:val="fr-FR"/>
        </w:rPr>
        <w:t xml:space="preserve">des </w:t>
      </w:r>
      <w:r>
        <w:rPr>
          <w:lang w:val="fr-FR"/>
        </w:rPr>
        <w:t xml:space="preserve">enseignants néodiplômés commençant à exercer dans le </w:t>
      </w:r>
      <w:r w:rsidRPr="00262910">
        <w:rPr>
          <w:lang w:val="fr-FR"/>
        </w:rPr>
        <w:t xml:space="preserve">primaire et </w:t>
      </w:r>
      <w:r>
        <w:rPr>
          <w:lang w:val="fr-FR"/>
        </w:rPr>
        <w:t xml:space="preserve">le </w:t>
      </w:r>
      <w:r w:rsidRPr="00262910">
        <w:rPr>
          <w:lang w:val="fr-FR"/>
        </w:rPr>
        <w:t>premier cycle</w:t>
      </w:r>
      <w:r>
        <w:rPr>
          <w:lang w:val="fr-FR"/>
        </w:rPr>
        <w:t xml:space="preserve"> du secondaire</w:t>
      </w:r>
      <w:r w:rsidRPr="00262910">
        <w:rPr>
          <w:bCs/>
          <w:lang w:val="fr-FR"/>
        </w:rPr>
        <w:t>.</w:t>
      </w:r>
    </w:p>
    <w:p w:rsidR="001771B8" w:rsidRPr="00262910" w:rsidRDefault="001771B8" w:rsidP="001771B8">
      <w:pPr>
        <w:pStyle w:val="SingleTxtG"/>
        <w:rPr>
          <w:bCs/>
          <w:lang w:val="fr-FR"/>
        </w:rPr>
      </w:pPr>
      <w:r w:rsidRPr="00262910">
        <w:rPr>
          <w:bCs/>
          <w:lang w:val="fr-FR"/>
        </w:rPr>
        <w:t>218.</w:t>
      </w:r>
      <w:r w:rsidRPr="00262910">
        <w:rPr>
          <w:bCs/>
          <w:lang w:val="fr-FR"/>
        </w:rPr>
        <w:tab/>
      </w:r>
      <w:r w:rsidRPr="00262910">
        <w:rPr>
          <w:lang w:val="fr-FR"/>
        </w:rPr>
        <w:t>Le</w:t>
      </w:r>
      <w:r>
        <w:rPr>
          <w:lang w:val="fr-FR"/>
        </w:rPr>
        <w:t xml:space="preserve">s pouvoirs publics ont </w:t>
      </w:r>
      <w:r w:rsidRPr="00262910">
        <w:rPr>
          <w:lang w:val="fr-FR"/>
        </w:rPr>
        <w:t xml:space="preserve">alloué 8 millions de couronnes norvégiennes aux universités et </w:t>
      </w:r>
      <w:r>
        <w:rPr>
          <w:lang w:val="fr-FR"/>
        </w:rPr>
        <w:t xml:space="preserve">aux </w:t>
      </w:r>
      <w:r w:rsidRPr="00262910">
        <w:rPr>
          <w:lang w:val="fr-FR"/>
        </w:rPr>
        <w:t xml:space="preserve">collèges </w:t>
      </w:r>
      <w:r>
        <w:rPr>
          <w:lang w:val="fr-FR"/>
        </w:rPr>
        <w:t xml:space="preserve">d’enseignement supérieur </w:t>
      </w:r>
      <w:r w:rsidRPr="00262910">
        <w:rPr>
          <w:lang w:val="fr-FR"/>
        </w:rPr>
        <w:t xml:space="preserve">pour renforcer leurs activités de recrutement </w:t>
      </w:r>
      <w:r>
        <w:rPr>
          <w:lang w:val="fr-FR"/>
        </w:rPr>
        <w:t xml:space="preserve">à l’échéance de </w:t>
      </w:r>
      <w:r w:rsidRPr="00262910">
        <w:rPr>
          <w:lang w:val="fr-FR"/>
        </w:rPr>
        <w:t xml:space="preserve">2019. Deux autres millions de couronnes ont été </w:t>
      </w:r>
      <w:r>
        <w:rPr>
          <w:lang w:val="fr-FR"/>
        </w:rPr>
        <w:t xml:space="preserve">affectés </w:t>
      </w:r>
      <w:r w:rsidRPr="00262910">
        <w:rPr>
          <w:lang w:val="fr-FR"/>
        </w:rPr>
        <w:t>à la recherche et aux mesures nationales dans ce domaine.</w:t>
      </w:r>
      <w:r w:rsidRPr="00B6168A">
        <w:rPr>
          <w:lang w:val="fr-FR"/>
        </w:rPr>
        <w:t xml:space="preserve"> </w:t>
      </w:r>
      <w:r>
        <w:rPr>
          <w:lang w:val="fr-FR"/>
        </w:rPr>
        <w:t xml:space="preserve">Parmi les </w:t>
      </w:r>
      <w:r w:rsidRPr="00B6168A">
        <w:rPr>
          <w:lang w:val="fr-FR"/>
        </w:rPr>
        <w:t>priorité</w:t>
      </w:r>
      <w:r>
        <w:rPr>
          <w:lang w:val="fr-FR"/>
        </w:rPr>
        <w:t xml:space="preserve">s figurent l’inscription </w:t>
      </w:r>
      <w:r w:rsidRPr="00262910">
        <w:rPr>
          <w:lang w:val="fr-FR"/>
        </w:rPr>
        <w:t>d</w:t>
      </w:r>
      <w:r>
        <w:rPr>
          <w:lang w:val="fr-FR"/>
        </w:rPr>
        <w:t>’</w:t>
      </w:r>
      <w:r w:rsidRPr="00262910">
        <w:rPr>
          <w:lang w:val="fr-FR"/>
        </w:rPr>
        <w:t xml:space="preserve">hommes </w:t>
      </w:r>
      <w:r w:rsidRPr="004C7F48">
        <w:rPr>
          <w:lang w:val="fr-FR"/>
        </w:rPr>
        <w:t>et de personnes issus de l</w:t>
      </w:r>
      <w:r>
        <w:rPr>
          <w:lang w:val="fr-FR"/>
        </w:rPr>
        <w:t>’</w:t>
      </w:r>
      <w:r w:rsidRPr="004C7F48">
        <w:rPr>
          <w:lang w:val="fr-FR"/>
        </w:rPr>
        <w:t xml:space="preserve">immigration </w:t>
      </w:r>
      <w:r w:rsidRPr="00262910">
        <w:rPr>
          <w:lang w:val="fr-FR"/>
        </w:rPr>
        <w:t xml:space="preserve">pour </w:t>
      </w:r>
      <w:r>
        <w:rPr>
          <w:lang w:val="fr-FR"/>
        </w:rPr>
        <w:t xml:space="preserve">suivre </w:t>
      </w:r>
      <w:r w:rsidRPr="00262910">
        <w:rPr>
          <w:lang w:val="fr-FR"/>
        </w:rPr>
        <w:t xml:space="preserve">la formation </w:t>
      </w:r>
      <w:r>
        <w:rPr>
          <w:lang w:val="fr-FR"/>
        </w:rPr>
        <w:t xml:space="preserve">à </w:t>
      </w:r>
      <w:r w:rsidRPr="00262910">
        <w:rPr>
          <w:lang w:val="fr-FR"/>
        </w:rPr>
        <w:t>l</w:t>
      </w:r>
      <w:r>
        <w:rPr>
          <w:lang w:val="fr-FR"/>
        </w:rPr>
        <w:t>’</w:t>
      </w:r>
      <w:r w:rsidRPr="00262910">
        <w:rPr>
          <w:lang w:val="fr-FR"/>
        </w:rPr>
        <w:t xml:space="preserve">enseignement </w:t>
      </w:r>
      <w:r>
        <w:rPr>
          <w:lang w:val="fr-FR"/>
        </w:rPr>
        <w:t>dans le p</w:t>
      </w:r>
      <w:r w:rsidRPr="00262910">
        <w:rPr>
          <w:lang w:val="fr-FR"/>
        </w:rPr>
        <w:t xml:space="preserve">rimaire et </w:t>
      </w:r>
      <w:r>
        <w:rPr>
          <w:lang w:val="fr-FR"/>
        </w:rPr>
        <w:t xml:space="preserve">le </w:t>
      </w:r>
      <w:r w:rsidRPr="00262910">
        <w:rPr>
          <w:lang w:val="fr-FR"/>
        </w:rPr>
        <w:t>premier cycle</w:t>
      </w:r>
      <w:r>
        <w:rPr>
          <w:lang w:val="fr-FR"/>
        </w:rPr>
        <w:t xml:space="preserve"> du</w:t>
      </w:r>
      <w:r w:rsidRPr="00262910">
        <w:rPr>
          <w:lang w:val="fr-FR"/>
        </w:rPr>
        <w:t xml:space="preserve"> </w:t>
      </w:r>
      <w:r w:rsidRPr="00B6168A">
        <w:rPr>
          <w:lang w:val="fr-FR"/>
        </w:rPr>
        <w:t xml:space="preserve">secondaire </w:t>
      </w:r>
      <w:r w:rsidRPr="00262910">
        <w:rPr>
          <w:lang w:val="fr-FR"/>
        </w:rPr>
        <w:t>(années 1 à 7)</w:t>
      </w:r>
      <w:r w:rsidRPr="00262910">
        <w:rPr>
          <w:bCs/>
          <w:lang w:val="fr-FR"/>
        </w:rPr>
        <w:t>.</w:t>
      </w:r>
    </w:p>
    <w:p w:rsidR="001771B8" w:rsidRPr="00262910" w:rsidRDefault="001771B8" w:rsidP="001771B8">
      <w:pPr>
        <w:pStyle w:val="H1G"/>
        <w:rPr>
          <w:lang w:val="fr-FR"/>
        </w:rPr>
      </w:pPr>
      <w:r w:rsidRPr="00262910">
        <w:rPr>
          <w:lang w:val="fr-FR"/>
        </w:rPr>
        <w:tab/>
      </w:r>
      <w:r w:rsidRPr="00262910">
        <w:rPr>
          <w:lang w:val="fr-FR"/>
        </w:rPr>
        <w:tab/>
      </w:r>
      <w:r w:rsidRPr="00FD1FE3">
        <w:rPr>
          <w:lang w:val="fr-FR"/>
        </w:rPr>
        <w:t>Réponse au</w:t>
      </w:r>
      <w:r w:rsidRPr="00262910">
        <w:rPr>
          <w:lang w:val="fr-FR"/>
        </w:rPr>
        <w:t xml:space="preserve"> paragraphe 30 b) de la liste de points</w:t>
      </w:r>
    </w:p>
    <w:p w:rsidR="001771B8" w:rsidRPr="00262910" w:rsidRDefault="001771B8" w:rsidP="001771B8">
      <w:pPr>
        <w:pStyle w:val="SingleTxtG"/>
        <w:rPr>
          <w:lang w:val="fr-FR"/>
        </w:rPr>
      </w:pPr>
      <w:r w:rsidRPr="00262910">
        <w:rPr>
          <w:lang w:val="fr-FR"/>
        </w:rPr>
        <w:t>219.</w:t>
      </w:r>
      <w:r w:rsidRPr="00262910">
        <w:rPr>
          <w:lang w:val="fr-FR"/>
        </w:rPr>
        <w:tab/>
      </w:r>
      <w:r w:rsidRPr="00AF351E">
        <w:rPr>
          <w:lang w:val="fr-FR"/>
        </w:rPr>
        <w:t>La Norvège a pris</w:t>
      </w:r>
      <w:r w:rsidRPr="00DC16E3">
        <w:rPr>
          <w:lang w:val="fr-FR"/>
        </w:rPr>
        <w:t xml:space="preserve"> </w:t>
      </w:r>
      <w:r>
        <w:rPr>
          <w:lang w:val="fr-FR"/>
        </w:rPr>
        <w:t xml:space="preserve">une série de </w:t>
      </w:r>
      <w:r w:rsidRPr="00262910">
        <w:rPr>
          <w:lang w:val="fr-FR"/>
        </w:rPr>
        <w:t xml:space="preserve">mesures pour </w:t>
      </w:r>
      <w:r>
        <w:rPr>
          <w:lang w:val="fr-FR"/>
        </w:rPr>
        <w:t xml:space="preserve">remédier à </w:t>
      </w:r>
      <w:r w:rsidRPr="00262910">
        <w:rPr>
          <w:lang w:val="fr-FR"/>
        </w:rPr>
        <w:t xml:space="preserve">la ségrégation persistante des </w:t>
      </w:r>
      <w:r>
        <w:rPr>
          <w:lang w:val="fr-FR"/>
        </w:rPr>
        <w:t xml:space="preserve">genres </w:t>
      </w:r>
      <w:r w:rsidRPr="00262910">
        <w:rPr>
          <w:lang w:val="fr-FR"/>
        </w:rPr>
        <w:t xml:space="preserve">sur le marché du travail et </w:t>
      </w:r>
      <w:r>
        <w:rPr>
          <w:lang w:val="fr-FR"/>
        </w:rPr>
        <w:t xml:space="preserve">assurer une plus grande neutralité sur le plan du genre dans certaines filières d’études et </w:t>
      </w:r>
      <w:r w:rsidRPr="00262910">
        <w:rPr>
          <w:lang w:val="fr-FR"/>
        </w:rPr>
        <w:t>carrières. L</w:t>
      </w:r>
      <w:r>
        <w:rPr>
          <w:lang w:val="fr-FR"/>
        </w:rPr>
        <w:t xml:space="preserve">’attribution de points supplémentaires selon le genre pour l’admission </w:t>
      </w:r>
      <w:r w:rsidRPr="00262910">
        <w:rPr>
          <w:lang w:val="fr-FR"/>
        </w:rPr>
        <w:t>dans certains programmes d</w:t>
      </w:r>
      <w:r>
        <w:rPr>
          <w:lang w:val="fr-FR"/>
        </w:rPr>
        <w:t>’</w:t>
      </w:r>
      <w:r w:rsidRPr="00262910">
        <w:rPr>
          <w:lang w:val="fr-FR"/>
        </w:rPr>
        <w:t xml:space="preserve">études en est un exemple. </w:t>
      </w:r>
      <w:r>
        <w:rPr>
          <w:lang w:val="fr-FR"/>
        </w:rPr>
        <w:t>D</w:t>
      </w:r>
      <w:r w:rsidRPr="005A5FF1">
        <w:rPr>
          <w:lang w:val="fr-FR"/>
        </w:rPr>
        <w:t xml:space="preserve">ans plusieurs disciplines à prédominance masculine </w:t>
      </w:r>
      <w:r>
        <w:rPr>
          <w:lang w:val="fr-FR"/>
        </w:rPr>
        <w:t>l</w:t>
      </w:r>
      <w:r w:rsidRPr="00262910">
        <w:rPr>
          <w:lang w:val="fr-FR"/>
        </w:rPr>
        <w:t xml:space="preserve">es femmes </w:t>
      </w:r>
      <w:r>
        <w:rPr>
          <w:lang w:val="fr-FR"/>
        </w:rPr>
        <w:t xml:space="preserve">bénéficient </w:t>
      </w:r>
      <w:r w:rsidRPr="00262910">
        <w:rPr>
          <w:lang w:val="fr-FR"/>
        </w:rPr>
        <w:t xml:space="preserve">depuis longtemps </w:t>
      </w:r>
      <w:r>
        <w:rPr>
          <w:lang w:val="fr-FR"/>
        </w:rPr>
        <w:t xml:space="preserve">de points supplémentaires selon le genre, mais </w:t>
      </w:r>
      <w:r w:rsidRPr="00262910">
        <w:rPr>
          <w:lang w:val="fr-FR"/>
        </w:rPr>
        <w:t xml:space="preserve">en 2018 </w:t>
      </w:r>
      <w:r>
        <w:rPr>
          <w:lang w:val="fr-FR"/>
        </w:rPr>
        <w:t xml:space="preserve">ce sont des </w:t>
      </w:r>
      <w:r w:rsidRPr="00A94920">
        <w:rPr>
          <w:lang w:val="fr-FR"/>
        </w:rPr>
        <w:t xml:space="preserve">points supplémentaires </w:t>
      </w:r>
      <w:r>
        <w:rPr>
          <w:lang w:val="fr-FR"/>
        </w:rPr>
        <w:t xml:space="preserve">selon le </w:t>
      </w:r>
      <w:r w:rsidRPr="00A94920">
        <w:rPr>
          <w:lang w:val="fr-FR"/>
        </w:rPr>
        <w:t xml:space="preserve">genre </w:t>
      </w:r>
      <w:r>
        <w:rPr>
          <w:lang w:val="fr-FR"/>
        </w:rPr>
        <w:t xml:space="preserve">qui </w:t>
      </w:r>
      <w:r w:rsidRPr="005A5FF1">
        <w:rPr>
          <w:lang w:val="fr-FR"/>
        </w:rPr>
        <w:t xml:space="preserve">ont été introduits </w:t>
      </w:r>
      <w:r>
        <w:rPr>
          <w:lang w:val="fr-FR"/>
        </w:rPr>
        <w:t xml:space="preserve">en faveur des </w:t>
      </w:r>
      <w:r w:rsidRPr="002E5444">
        <w:rPr>
          <w:lang w:val="fr-FR"/>
        </w:rPr>
        <w:t xml:space="preserve">hommes </w:t>
      </w:r>
      <w:r>
        <w:rPr>
          <w:lang w:val="fr-FR"/>
        </w:rPr>
        <w:t xml:space="preserve">pour quelques </w:t>
      </w:r>
      <w:r w:rsidRPr="00262910">
        <w:rPr>
          <w:lang w:val="fr-FR"/>
        </w:rPr>
        <w:t xml:space="preserve">programmes </w:t>
      </w:r>
      <w:r>
        <w:rPr>
          <w:lang w:val="fr-FR"/>
        </w:rPr>
        <w:t xml:space="preserve">d’études de plusieurs </w:t>
      </w:r>
      <w:r w:rsidRPr="00262910">
        <w:rPr>
          <w:lang w:val="fr-FR"/>
        </w:rPr>
        <w:t>établissements</w:t>
      </w:r>
      <w:r>
        <w:rPr>
          <w:lang w:val="fr-FR"/>
        </w:rPr>
        <w:t xml:space="preserve"> l’ayant demandé</w:t>
      </w:r>
      <w:r w:rsidRPr="00262910">
        <w:rPr>
          <w:lang w:val="fr-FR"/>
        </w:rPr>
        <w:t xml:space="preserve">. </w:t>
      </w:r>
      <w:r>
        <w:rPr>
          <w:lang w:val="fr-FR"/>
        </w:rPr>
        <w:t>A</w:t>
      </w:r>
      <w:r w:rsidRPr="005A5FF1">
        <w:rPr>
          <w:lang w:val="fr-FR"/>
        </w:rPr>
        <w:t>doptée le 1</w:t>
      </w:r>
      <w:r w:rsidRPr="005A5FF1">
        <w:rPr>
          <w:vertAlign w:val="superscript"/>
          <w:lang w:val="fr-FR"/>
        </w:rPr>
        <w:t>er</w:t>
      </w:r>
      <w:r w:rsidRPr="005A5FF1">
        <w:rPr>
          <w:lang w:val="fr-FR"/>
        </w:rPr>
        <w:t xml:space="preserve"> janvier 2018</w:t>
      </w:r>
      <w:r>
        <w:rPr>
          <w:lang w:val="fr-FR"/>
        </w:rPr>
        <w:t>, l</w:t>
      </w:r>
      <w:r w:rsidRPr="00262910">
        <w:rPr>
          <w:lang w:val="fr-FR"/>
        </w:rPr>
        <w:t>a nouvelle loi sur l</w:t>
      </w:r>
      <w:r>
        <w:rPr>
          <w:lang w:val="fr-FR"/>
        </w:rPr>
        <w:t>’</w:t>
      </w:r>
      <w:r w:rsidRPr="00262910">
        <w:rPr>
          <w:lang w:val="fr-FR"/>
        </w:rPr>
        <w:t xml:space="preserve">égalité </w:t>
      </w:r>
      <w:r>
        <w:rPr>
          <w:lang w:val="fr-FR"/>
        </w:rPr>
        <w:t>et la non-discrimination entre les genres</w:t>
      </w:r>
      <w:r w:rsidRPr="008648B2">
        <w:rPr>
          <w:rStyle w:val="Appelnotedebasdep"/>
        </w:rPr>
        <w:footnoteReference w:id="13"/>
      </w:r>
      <w:r>
        <w:rPr>
          <w:lang w:val="fr-FR"/>
        </w:rPr>
        <w:t xml:space="preserve"> </w:t>
      </w:r>
      <w:r w:rsidRPr="00262910">
        <w:rPr>
          <w:lang w:val="fr-FR"/>
        </w:rPr>
        <w:t xml:space="preserve">prévoit </w:t>
      </w:r>
      <w:r>
        <w:rPr>
          <w:lang w:val="fr-FR"/>
        </w:rPr>
        <w:t xml:space="preserve">un </w:t>
      </w:r>
      <w:r w:rsidRPr="00262910">
        <w:rPr>
          <w:lang w:val="fr-FR"/>
        </w:rPr>
        <w:t xml:space="preserve">traitement spécial </w:t>
      </w:r>
      <w:r>
        <w:rPr>
          <w:lang w:val="fr-FR"/>
        </w:rPr>
        <w:t xml:space="preserve">pour les </w:t>
      </w:r>
      <w:r w:rsidRPr="00262910">
        <w:rPr>
          <w:lang w:val="fr-FR"/>
        </w:rPr>
        <w:t xml:space="preserve">hommes </w:t>
      </w:r>
      <w:r>
        <w:rPr>
          <w:lang w:val="fr-FR"/>
        </w:rPr>
        <w:t xml:space="preserve">aux mêmes conditions que dans </w:t>
      </w:r>
      <w:r w:rsidRPr="00262910">
        <w:rPr>
          <w:lang w:val="fr-FR"/>
        </w:rPr>
        <w:t>l</w:t>
      </w:r>
      <w:r>
        <w:rPr>
          <w:lang w:val="fr-FR"/>
        </w:rPr>
        <w:t>e cas des</w:t>
      </w:r>
      <w:r w:rsidRPr="00262910">
        <w:rPr>
          <w:lang w:val="fr-FR"/>
        </w:rPr>
        <w:t xml:space="preserve"> femmes (règle</w:t>
      </w:r>
      <w:r>
        <w:rPr>
          <w:lang w:val="fr-FR"/>
        </w:rPr>
        <w:t xml:space="preserve">s </w:t>
      </w:r>
      <w:r w:rsidRPr="00262910">
        <w:rPr>
          <w:lang w:val="fr-FR"/>
        </w:rPr>
        <w:t>d</w:t>
      </w:r>
      <w:r>
        <w:rPr>
          <w:lang w:val="fr-FR"/>
        </w:rPr>
        <w:t>’</w:t>
      </w:r>
      <w:r w:rsidRPr="00262910">
        <w:rPr>
          <w:lang w:val="fr-FR"/>
        </w:rPr>
        <w:t xml:space="preserve">admission, </w:t>
      </w:r>
      <w:r>
        <w:rPr>
          <w:lang w:val="fr-FR"/>
        </w:rPr>
        <w:t xml:space="preserve">article </w:t>
      </w:r>
      <w:r w:rsidRPr="00262910">
        <w:rPr>
          <w:lang w:val="fr-FR"/>
        </w:rPr>
        <w:t xml:space="preserve">7-9 </w:t>
      </w:r>
      <w:r>
        <w:rPr>
          <w:lang w:val="fr-FR"/>
        </w:rPr>
        <w:t xml:space="preserve">sur l’attribution de </w:t>
      </w:r>
      <w:r w:rsidRPr="00262910">
        <w:rPr>
          <w:lang w:val="fr-FR"/>
        </w:rPr>
        <w:t xml:space="preserve">points supplémentaires </w:t>
      </w:r>
      <w:r>
        <w:rPr>
          <w:lang w:val="fr-FR"/>
        </w:rPr>
        <w:t xml:space="preserve">en faveur du genre </w:t>
      </w:r>
      <w:r w:rsidRPr="00262910">
        <w:rPr>
          <w:lang w:val="fr-FR"/>
        </w:rPr>
        <w:t>sous</w:t>
      </w:r>
      <w:r w:rsidR="00301456">
        <w:rPr>
          <w:lang w:val="fr-FR"/>
        </w:rPr>
        <w:noBreakHyphen/>
      </w:r>
      <w:r w:rsidRPr="00262910">
        <w:rPr>
          <w:lang w:val="fr-FR"/>
        </w:rPr>
        <w:t>représenté)</w:t>
      </w:r>
      <w:r w:rsidRPr="008648B2">
        <w:rPr>
          <w:rStyle w:val="Appelnotedebasdep"/>
        </w:rPr>
        <w:footnoteReference w:id="14"/>
      </w:r>
      <w:r w:rsidRPr="00262910">
        <w:rPr>
          <w:lang w:val="fr-FR"/>
        </w:rPr>
        <w:t>.</w:t>
      </w:r>
    </w:p>
    <w:p w:rsidR="001771B8" w:rsidRPr="00262910" w:rsidRDefault="001771B8" w:rsidP="001771B8">
      <w:pPr>
        <w:pStyle w:val="SingleTxtG"/>
        <w:rPr>
          <w:lang w:val="fr-FR"/>
        </w:rPr>
      </w:pPr>
      <w:r w:rsidRPr="00262910">
        <w:rPr>
          <w:lang w:val="fr-FR"/>
        </w:rPr>
        <w:t>220.</w:t>
      </w:r>
      <w:r w:rsidRPr="00262910">
        <w:rPr>
          <w:lang w:val="fr-FR"/>
        </w:rPr>
        <w:tab/>
      </w:r>
      <w:r w:rsidRPr="002976E6">
        <w:rPr>
          <w:lang w:val="fr-FR"/>
        </w:rPr>
        <w:t>Divers projets</w:t>
      </w:r>
      <w:r w:rsidRPr="00262910">
        <w:rPr>
          <w:lang w:val="fr-FR"/>
        </w:rPr>
        <w:t xml:space="preserve"> vis</w:t>
      </w:r>
      <w:r>
        <w:rPr>
          <w:lang w:val="fr-FR"/>
        </w:rPr>
        <w:t>e</w:t>
      </w:r>
      <w:r w:rsidRPr="00262910">
        <w:rPr>
          <w:lang w:val="fr-FR"/>
        </w:rPr>
        <w:t xml:space="preserve">nt à </w:t>
      </w:r>
      <w:r>
        <w:rPr>
          <w:lang w:val="fr-FR"/>
        </w:rPr>
        <w:t xml:space="preserve">inciter </w:t>
      </w:r>
      <w:r w:rsidRPr="00262910">
        <w:rPr>
          <w:lang w:val="fr-FR"/>
        </w:rPr>
        <w:t xml:space="preserve">les jeunes </w:t>
      </w:r>
      <w:r>
        <w:rPr>
          <w:lang w:val="fr-FR"/>
        </w:rPr>
        <w:t>à suivre des études et à exercer d</w:t>
      </w:r>
      <w:r w:rsidRPr="00262910">
        <w:rPr>
          <w:lang w:val="fr-FR"/>
        </w:rPr>
        <w:t>es professions non traditionnelles</w:t>
      </w:r>
      <w:r>
        <w:rPr>
          <w:lang w:val="fr-FR"/>
        </w:rPr>
        <w:t xml:space="preserve"> pour leur genre, par exemple </w:t>
      </w:r>
      <w:r w:rsidRPr="00262910">
        <w:rPr>
          <w:lang w:val="fr-FR"/>
        </w:rPr>
        <w:t>« Jenter og teknologi</w:t>
      </w:r>
      <w:r>
        <w:rPr>
          <w:lang w:val="fr-FR"/>
        </w:rPr>
        <w:t> » (Les f</w:t>
      </w:r>
      <w:r w:rsidRPr="009B4219">
        <w:rPr>
          <w:lang w:val="fr-FR"/>
        </w:rPr>
        <w:t xml:space="preserve">illes et </w:t>
      </w:r>
      <w:r>
        <w:rPr>
          <w:lang w:val="fr-FR"/>
        </w:rPr>
        <w:t xml:space="preserve">la </w:t>
      </w:r>
      <w:r w:rsidRPr="009B4219">
        <w:rPr>
          <w:lang w:val="fr-FR"/>
        </w:rPr>
        <w:t>technologie</w:t>
      </w:r>
      <w:r>
        <w:rPr>
          <w:lang w:val="fr-FR"/>
        </w:rPr>
        <w:t>)</w:t>
      </w:r>
      <w:r w:rsidRPr="008648B2">
        <w:rPr>
          <w:rStyle w:val="Appelnotedebasdep"/>
        </w:rPr>
        <w:footnoteReference w:id="15"/>
      </w:r>
      <w:r w:rsidRPr="00262910">
        <w:rPr>
          <w:lang w:val="fr-FR"/>
        </w:rPr>
        <w:t xml:space="preserve"> et </w:t>
      </w:r>
      <w:r>
        <w:rPr>
          <w:lang w:val="fr-FR"/>
        </w:rPr>
        <w:t>« </w:t>
      </w:r>
      <w:r w:rsidRPr="00262910">
        <w:rPr>
          <w:lang w:val="fr-FR"/>
        </w:rPr>
        <w:t>Menn i helse</w:t>
      </w:r>
      <w:r>
        <w:rPr>
          <w:lang w:val="fr-FR"/>
        </w:rPr>
        <w:t> » (Les hommes dans le secteur de la santé)</w:t>
      </w:r>
      <w:r w:rsidRPr="008648B2">
        <w:rPr>
          <w:rStyle w:val="Appelnotedebasdep"/>
        </w:rPr>
        <w:footnoteReference w:id="16"/>
      </w:r>
      <w:r w:rsidRPr="00262910">
        <w:rPr>
          <w:lang w:val="fr-FR"/>
        </w:rPr>
        <w:t xml:space="preserve">. </w:t>
      </w:r>
      <w:r>
        <w:rPr>
          <w:lang w:val="fr-FR"/>
        </w:rPr>
        <w:t>La proportion de femmes étudiantes est désormais prépondérante dans certaines branches de l’</w:t>
      </w:r>
      <w:r w:rsidRPr="00262910">
        <w:rPr>
          <w:lang w:val="fr-FR"/>
        </w:rPr>
        <w:t>enseignement auparavant dominé</w:t>
      </w:r>
      <w:r>
        <w:rPr>
          <w:lang w:val="fr-FR"/>
        </w:rPr>
        <w:t>e</w:t>
      </w:r>
      <w:r w:rsidRPr="00262910">
        <w:rPr>
          <w:lang w:val="fr-FR"/>
        </w:rPr>
        <w:t xml:space="preserve">s par les hommes, </w:t>
      </w:r>
      <w:r>
        <w:rPr>
          <w:lang w:val="fr-FR"/>
        </w:rPr>
        <w:t xml:space="preserve">notamment </w:t>
      </w:r>
      <w:r w:rsidRPr="00262910">
        <w:rPr>
          <w:lang w:val="fr-FR"/>
        </w:rPr>
        <w:t xml:space="preserve">le droit et la médecine. </w:t>
      </w:r>
      <w:r>
        <w:rPr>
          <w:lang w:val="fr-FR"/>
        </w:rPr>
        <w:t xml:space="preserve">Les </w:t>
      </w:r>
      <w:r w:rsidRPr="00262910">
        <w:rPr>
          <w:lang w:val="fr-FR"/>
        </w:rPr>
        <w:t xml:space="preserve">hommes </w:t>
      </w:r>
      <w:r>
        <w:rPr>
          <w:lang w:val="fr-FR"/>
        </w:rPr>
        <w:t xml:space="preserve">sont quant à eux moins enclins à opter pour </w:t>
      </w:r>
      <w:r w:rsidRPr="00262910">
        <w:rPr>
          <w:lang w:val="fr-FR"/>
        </w:rPr>
        <w:t>des matières à prédominance féminine dans l</w:t>
      </w:r>
      <w:r>
        <w:rPr>
          <w:lang w:val="fr-FR"/>
        </w:rPr>
        <w:t>’</w:t>
      </w:r>
      <w:r w:rsidRPr="00262910">
        <w:rPr>
          <w:lang w:val="fr-FR"/>
        </w:rPr>
        <w:t>enseignement supérieur.</w:t>
      </w:r>
    </w:p>
    <w:p w:rsidR="001771B8" w:rsidRPr="00262910" w:rsidRDefault="001771B8" w:rsidP="001771B8">
      <w:pPr>
        <w:pStyle w:val="SingleTxtG"/>
        <w:rPr>
          <w:lang w:val="fr-FR"/>
        </w:rPr>
      </w:pPr>
      <w:r w:rsidRPr="00262910">
        <w:rPr>
          <w:lang w:val="fr-FR"/>
        </w:rPr>
        <w:t>221.</w:t>
      </w:r>
      <w:r w:rsidRPr="00262910">
        <w:rPr>
          <w:lang w:val="fr-FR"/>
        </w:rPr>
        <w:tab/>
      </w:r>
      <w:r>
        <w:rPr>
          <w:lang w:val="fr-FR"/>
        </w:rPr>
        <w:t xml:space="preserve">Les chiffres </w:t>
      </w:r>
      <w:r w:rsidRPr="00BB761F">
        <w:rPr>
          <w:lang w:val="fr-FR"/>
        </w:rPr>
        <w:t xml:space="preserve">du Bureau central de </w:t>
      </w:r>
      <w:r w:rsidRPr="00591448">
        <w:rPr>
          <w:lang w:val="fr-FR"/>
        </w:rPr>
        <w:t>statistique indiquent</w:t>
      </w:r>
      <w:r w:rsidRPr="00953120">
        <w:rPr>
          <w:lang w:val="fr-FR"/>
        </w:rPr>
        <w:t xml:space="preserve"> </w:t>
      </w:r>
      <w:r>
        <w:rPr>
          <w:lang w:val="fr-FR"/>
        </w:rPr>
        <w:t xml:space="preserve">cependant </w:t>
      </w:r>
      <w:r w:rsidRPr="00953120">
        <w:rPr>
          <w:lang w:val="fr-FR"/>
        </w:rPr>
        <w:t>que la situation évolue un peu dans l</w:t>
      </w:r>
      <w:r>
        <w:rPr>
          <w:lang w:val="fr-FR"/>
        </w:rPr>
        <w:t>’</w:t>
      </w:r>
      <w:r w:rsidRPr="00953120">
        <w:rPr>
          <w:lang w:val="fr-FR"/>
        </w:rPr>
        <w:t>enseignement professionnel</w:t>
      </w:r>
      <w:r w:rsidRPr="008648B2">
        <w:rPr>
          <w:rStyle w:val="Appelnotedebasdep"/>
        </w:rPr>
        <w:footnoteReference w:id="17"/>
      </w:r>
      <w:r w:rsidRPr="00953120">
        <w:rPr>
          <w:lang w:val="fr-FR"/>
        </w:rPr>
        <w:t>, le pourcentage d</w:t>
      </w:r>
      <w:r>
        <w:rPr>
          <w:lang w:val="fr-FR"/>
        </w:rPr>
        <w:t>’</w:t>
      </w:r>
      <w:r w:rsidRPr="00953120">
        <w:rPr>
          <w:lang w:val="fr-FR"/>
        </w:rPr>
        <w:t>hommes choisissant des matières traditionnellement dominées par les femmes ayant</w:t>
      </w:r>
      <w:r>
        <w:rPr>
          <w:lang w:val="fr-FR"/>
        </w:rPr>
        <w:t xml:space="preserve"> connu une hausse sensible entre </w:t>
      </w:r>
      <w:r w:rsidRPr="00262910">
        <w:rPr>
          <w:lang w:val="fr-FR"/>
        </w:rPr>
        <w:t>2010 et 2018. C</w:t>
      </w:r>
      <w:r>
        <w:rPr>
          <w:lang w:val="fr-FR"/>
        </w:rPr>
        <w:t xml:space="preserve">’est </w:t>
      </w:r>
      <w:r w:rsidRPr="00262910">
        <w:rPr>
          <w:lang w:val="fr-FR"/>
        </w:rPr>
        <w:t xml:space="preserve">en particulier </w:t>
      </w:r>
      <w:r>
        <w:rPr>
          <w:lang w:val="fr-FR"/>
        </w:rPr>
        <w:t xml:space="preserve">le cas du </w:t>
      </w:r>
      <w:r w:rsidRPr="00262910">
        <w:rPr>
          <w:lang w:val="fr-FR"/>
        </w:rPr>
        <w:t>programme d</w:t>
      </w:r>
      <w:r>
        <w:rPr>
          <w:lang w:val="fr-FR"/>
        </w:rPr>
        <w:t xml:space="preserve">’études en </w:t>
      </w:r>
      <w:r w:rsidRPr="00262910">
        <w:rPr>
          <w:lang w:val="fr-FR"/>
        </w:rPr>
        <w:t>santé et éducation de l</w:t>
      </w:r>
      <w:r>
        <w:rPr>
          <w:lang w:val="fr-FR"/>
        </w:rPr>
        <w:t>’</w:t>
      </w:r>
      <w:r w:rsidRPr="00262910">
        <w:rPr>
          <w:lang w:val="fr-FR"/>
        </w:rPr>
        <w:t xml:space="preserve">enfance, </w:t>
      </w:r>
      <w:r>
        <w:rPr>
          <w:lang w:val="fr-FR"/>
        </w:rPr>
        <w:t xml:space="preserve">dans lequel la </w:t>
      </w:r>
      <w:r w:rsidRPr="00262910">
        <w:rPr>
          <w:lang w:val="fr-FR"/>
        </w:rPr>
        <w:t>proportion d</w:t>
      </w:r>
      <w:r>
        <w:rPr>
          <w:lang w:val="fr-FR"/>
        </w:rPr>
        <w:t>’</w:t>
      </w:r>
      <w:r w:rsidRPr="00262910">
        <w:rPr>
          <w:lang w:val="fr-FR"/>
        </w:rPr>
        <w:t xml:space="preserve">hommes, </w:t>
      </w:r>
      <w:r>
        <w:rPr>
          <w:lang w:val="fr-FR"/>
        </w:rPr>
        <w:t xml:space="preserve">tout en demeurant très </w:t>
      </w:r>
      <w:r w:rsidRPr="00262910">
        <w:rPr>
          <w:lang w:val="fr-FR"/>
        </w:rPr>
        <w:t xml:space="preserve">faible, </w:t>
      </w:r>
      <w:r>
        <w:rPr>
          <w:lang w:val="fr-FR"/>
        </w:rPr>
        <w:t xml:space="preserve">s’est accrue de </w:t>
      </w:r>
      <w:r w:rsidRPr="00262910">
        <w:rPr>
          <w:lang w:val="fr-FR"/>
        </w:rPr>
        <w:t>plus de 7 points de pourcentage pour</w:t>
      </w:r>
      <w:r>
        <w:rPr>
          <w:lang w:val="fr-FR"/>
        </w:rPr>
        <w:t xml:space="preserve"> atteindre près de </w:t>
      </w:r>
      <w:r w:rsidRPr="00262910">
        <w:rPr>
          <w:lang w:val="fr-FR"/>
        </w:rPr>
        <w:t>20</w:t>
      </w:r>
      <w:r w:rsidR="00301456">
        <w:rPr>
          <w:lang w:val="fr-FR"/>
        </w:rPr>
        <w:t> </w:t>
      </w:r>
      <w:r>
        <w:rPr>
          <w:lang w:val="fr-FR"/>
        </w:rPr>
        <w:t xml:space="preserve">% </w:t>
      </w:r>
      <w:r w:rsidRPr="00262910">
        <w:rPr>
          <w:lang w:val="fr-FR"/>
        </w:rPr>
        <w:t xml:space="preserve">en 2018. </w:t>
      </w:r>
    </w:p>
    <w:p w:rsidR="001771B8" w:rsidRPr="00262910" w:rsidRDefault="001771B8" w:rsidP="001771B8">
      <w:pPr>
        <w:pStyle w:val="SingleTxtG"/>
        <w:rPr>
          <w:lang w:val="fr-FR"/>
        </w:rPr>
      </w:pPr>
      <w:r w:rsidRPr="00262910">
        <w:rPr>
          <w:lang w:val="fr-FR"/>
        </w:rPr>
        <w:t>222.</w:t>
      </w:r>
      <w:r w:rsidRPr="00262910">
        <w:rPr>
          <w:lang w:val="fr-FR"/>
        </w:rPr>
        <w:tab/>
        <w:t xml:space="preserve">En 2019, un comité public </w:t>
      </w:r>
      <w:r>
        <w:rPr>
          <w:lang w:val="fr-FR"/>
        </w:rPr>
        <w:t>rendra son rapport sur les jeunes aujourd’hui (</w:t>
      </w:r>
      <w:r w:rsidRPr="002976E6">
        <w:rPr>
          <w:lang w:val="fr-FR"/>
        </w:rPr>
        <w:t>#</w:t>
      </w:r>
      <w:r w:rsidRPr="00262910">
        <w:rPr>
          <w:lang w:val="fr-FR"/>
        </w:rPr>
        <w:t>Ungidag</w:t>
      </w:r>
      <w:r>
        <w:rPr>
          <w:lang w:val="fr-FR"/>
        </w:rPr>
        <w:t xml:space="preserve">), portant, </w:t>
      </w:r>
      <w:r w:rsidRPr="00262910">
        <w:rPr>
          <w:lang w:val="fr-FR"/>
        </w:rPr>
        <w:t xml:space="preserve">entre autres, </w:t>
      </w:r>
      <w:r>
        <w:rPr>
          <w:lang w:val="fr-FR"/>
        </w:rPr>
        <w:t xml:space="preserve">sur </w:t>
      </w:r>
      <w:r w:rsidRPr="00262910">
        <w:rPr>
          <w:lang w:val="fr-FR"/>
        </w:rPr>
        <w:t>les choix traditionnel</w:t>
      </w:r>
      <w:r>
        <w:rPr>
          <w:lang w:val="fr-FR"/>
        </w:rPr>
        <w:t xml:space="preserve">s </w:t>
      </w:r>
      <w:r w:rsidRPr="009E66C3">
        <w:rPr>
          <w:lang w:val="fr-FR"/>
        </w:rPr>
        <w:t>en matière d</w:t>
      </w:r>
      <w:r>
        <w:rPr>
          <w:lang w:val="fr-FR"/>
        </w:rPr>
        <w:t>’</w:t>
      </w:r>
      <w:r w:rsidRPr="009E66C3">
        <w:rPr>
          <w:lang w:val="fr-FR"/>
        </w:rPr>
        <w:t xml:space="preserve">éducation </w:t>
      </w:r>
      <w:r>
        <w:rPr>
          <w:lang w:val="fr-FR"/>
        </w:rPr>
        <w:t>selon le genre</w:t>
      </w:r>
      <w:r w:rsidRPr="00262910">
        <w:rPr>
          <w:lang w:val="fr-FR"/>
        </w:rPr>
        <w:t xml:space="preserve">. Ce rapport </w:t>
      </w:r>
      <w:r>
        <w:rPr>
          <w:lang w:val="fr-FR"/>
        </w:rPr>
        <w:t xml:space="preserve">sera important pour </w:t>
      </w:r>
      <w:r w:rsidRPr="00262910">
        <w:rPr>
          <w:lang w:val="fr-FR"/>
        </w:rPr>
        <w:t>les travaux futurs</w:t>
      </w:r>
      <w:r>
        <w:rPr>
          <w:lang w:val="fr-FR"/>
        </w:rPr>
        <w:t xml:space="preserve"> relatifs à la neutralité sur le plan du genre des choix en matière d’éducation</w:t>
      </w:r>
      <w:r w:rsidRPr="00262910">
        <w:rPr>
          <w:lang w:val="fr-FR"/>
        </w:rPr>
        <w:t>.</w:t>
      </w:r>
    </w:p>
    <w:p w:rsidR="001771B8" w:rsidRPr="00262910" w:rsidRDefault="001771B8" w:rsidP="001771B8">
      <w:pPr>
        <w:pStyle w:val="H1G"/>
        <w:rPr>
          <w:lang w:val="fr-FR"/>
        </w:rPr>
      </w:pPr>
      <w:r w:rsidRPr="00262910">
        <w:rPr>
          <w:lang w:val="fr-FR"/>
        </w:rPr>
        <w:tab/>
      </w:r>
      <w:r w:rsidRPr="00262910">
        <w:rPr>
          <w:lang w:val="fr-FR"/>
        </w:rPr>
        <w:tab/>
      </w:r>
      <w:r w:rsidRPr="00B20C01">
        <w:rPr>
          <w:lang w:val="fr-FR"/>
        </w:rPr>
        <w:t>Réponse au paragraphe</w:t>
      </w:r>
      <w:r w:rsidRPr="00262910">
        <w:rPr>
          <w:lang w:val="fr-FR"/>
        </w:rPr>
        <w:t xml:space="preserve"> 30 c) de la liste de points</w:t>
      </w:r>
    </w:p>
    <w:p w:rsidR="001771B8" w:rsidRPr="00262910" w:rsidRDefault="001771B8" w:rsidP="001771B8">
      <w:pPr>
        <w:pStyle w:val="SingleTxtG"/>
        <w:rPr>
          <w:lang w:val="fr-FR"/>
        </w:rPr>
      </w:pPr>
      <w:r w:rsidRPr="00262910">
        <w:rPr>
          <w:lang w:val="fr-FR"/>
        </w:rPr>
        <w:t>223.</w:t>
      </w:r>
      <w:r w:rsidRPr="00262910">
        <w:rPr>
          <w:lang w:val="fr-FR"/>
        </w:rPr>
        <w:tab/>
      </w:r>
      <w:r w:rsidRPr="00E76113">
        <w:rPr>
          <w:lang w:val="fr-FR"/>
        </w:rPr>
        <w:t xml:space="preserve">De nombreux enfants </w:t>
      </w:r>
      <w:r>
        <w:rPr>
          <w:lang w:val="fr-FR"/>
        </w:rPr>
        <w:t>qui ont im</w:t>
      </w:r>
      <w:r w:rsidRPr="00262910">
        <w:rPr>
          <w:lang w:val="fr-FR"/>
        </w:rPr>
        <w:t>migr</w:t>
      </w:r>
      <w:r>
        <w:rPr>
          <w:lang w:val="fr-FR"/>
        </w:rPr>
        <w:t>é</w:t>
      </w:r>
      <w:r w:rsidRPr="00262910">
        <w:rPr>
          <w:lang w:val="fr-FR"/>
        </w:rPr>
        <w:t xml:space="preserve"> </w:t>
      </w:r>
      <w:r>
        <w:rPr>
          <w:lang w:val="fr-FR"/>
        </w:rPr>
        <w:t xml:space="preserve">en Norvège avant la fin de leurs </w:t>
      </w:r>
      <w:r w:rsidRPr="00262910">
        <w:rPr>
          <w:lang w:val="fr-FR"/>
        </w:rPr>
        <w:t xml:space="preserve">études </w:t>
      </w:r>
      <w:r>
        <w:rPr>
          <w:lang w:val="fr-FR"/>
        </w:rPr>
        <w:t xml:space="preserve">scolaires </w:t>
      </w:r>
      <w:r w:rsidRPr="00262910">
        <w:rPr>
          <w:lang w:val="fr-FR"/>
        </w:rPr>
        <w:t>n</w:t>
      </w:r>
      <w:r>
        <w:rPr>
          <w:lang w:val="fr-FR"/>
        </w:rPr>
        <w:t xml:space="preserve">e possèdent </w:t>
      </w:r>
      <w:r w:rsidRPr="00262910">
        <w:rPr>
          <w:lang w:val="fr-FR"/>
        </w:rPr>
        <w:t xml:space="preserve">pas les </w:t>
      </w:r>
      <w:r>
        <w:rPr>
          <w:lang w:val="fr-FR"/>
        </w:rPr>
        <w:t xml:space="preserve">acquis nécessaires </w:t>
      </w:r>
      <w:r w:rsidRPr="00262910">
        <w:rPr>
          <w:lang w:val="fr-FR"/>
        </w:rPr>
        <w:t xml:space="preserve">pour </w:t>
      </w:r>
      <w:r>
        <w:rPr>
          <w:lang w:val="fr-FR"/>
        </w:rPr>
        <w:t xml:space="preserve">suivre le second cycle du </w:t>
      </w:r>
      <w:r w:rsidRPr="00262910">
        <w:rPr>
          <w:lang w:val="fr-FR"/>
        </w:rPr>
        <w:t>secondaire</w:t>
      </w:r>
      <w:r>
        <w:rPr>
          <w:lang w:val="fr-FR"/>
        </w:rPr>
        <w:t xml:space="preserve">, le </w:t>
      </w:r>
      <w:r w:rsidRPr="00262910">
        <w:rPr>
          <w:lang w:val="fr-FR"/>
        </w:rPr>
        <w:t xml:space="preserve">taux </w:t>
      </w:r>
      <w:r>
        <w:rPr>
          <w:lang w:val="fr-FR"/>
        </w:rPr>
        <w:t xml:space="preserve">élevé </w:t>
      </w:r>
      <w:r w:rsidRPr="00262910">
        <w:rPr>
          <w:lang w:val="fr-FR"/>
        </w:rPr>
        <w:t>d</w:t>
      </w:r>
      <w:r>
        <w:rPr>
          <w:lang w:val="fr-FR"/>
        </w:rPr>
        <w:t>’</w:t>
      </w:r>
      <w:r w:rsidRPr="00262910">
        <w:rPr>
          <w:lang w:val="fr-FR"/>
        </w:rPr>
        <w:t xml:space="preserve">abandon scolaire </w:t>
      </w:r>
      <w:r>
        <w:rPr>
          <w:lang w:val="fr-FR"/>
        </w:rPr>
        <w:t xml:space="preserve">des </w:t>
      </w:r>
      <w:r w:rsidRPr="00F62A15">
        <w:rPr>
          <w:lang w:val="fr-FR"/>
        </w:rPr>
        <w:t>garçons</w:t>
      </w:r>
      <w:r>
        <w:rPr>
          <w:lang w:val="fr-FR"/>
        </w:rPr>
        <w:t xml:space="preserve"> de ce groupe étant particulièrement préoccupant.</w:t>
      </w:r>
      <w:r w:rsidRPr="00262910">
        <w:rPr>
          <w:lang w:val="fr-FR"/>
        </w:rPr>
        <w:t xml:space="preserve"> </w:t>
      </w:r>
      <w:r>
        <w:rPr>
          <w:lang w:val="fr-FR"/>
        </w:rPr>
        <w:t xml:space="preserve">La moitié seulement des personnes âgées de moins de 30 ans ayant immigré alors qu’elles étaient en </w:t>
      </w:r>
      <w:r w:rsidRPr="00262910">
        <w:rPr>
          <w:lang w:val="fr-FR"/>
        </w:rPr>
        <w:t>âge d</w:t>
      </w:r>
      <w:r>
        <w:rPr>
          <w:lang w:val="fr-FR"/>
        </w:rPr>
        <w:t xml:space="preserve">’être scolarisées dans le premier cycle du </w:t>
      </w:r>
      <w:r w:rsidRPr="00262910">
        <w:rPr>
          <w:lang w:val="fr-FR"/>
        </w:rPr>
        <w:t xml:space="preserve">secondaire </w:t>
      </w:r>
      <w:r>
        <w:rPr>
          <w:lang w:val="fr-FR"/>
        </w:rPr>
        <w:t>sont parvenues avec succès au terme du second cycle du secondaire</w:t>
      </w:r>
      <w:r w:rsidRPr="00262910">
        <w:rPr>
          <w:lang w:val="fr-FR"/>
        </w:rPr>
        <w:t xml:space="preserve">. Ces jeunes ont eu peu de temps pour apprendre le norvégien et </w:t>
      </w:r>
      <w:r>
        <w:rPr>
          <w:lang w:val="fr-FR"/>
        </w:rPr>
        <w:t xml:space="preserve">passé trop peu de </w:t>
      </w:r>
      <w:r w:rsidRPr="00262910">
        <w:rPr>
          <w:lang w:val="fr-FR"/>
        </w:rPr>
        <w:t>temps</w:t>
      </w:r>
      <w:r>
        <w:rPr>
          <w:lang w:val="fr-FR"/>
        </w:rPr>
        <w:t xml:space="preserve"> dans le </w:t>
      </w:r>
      <w:r w:rsidRPr="00262910">
        <w:rPr>
          <w:lang w:val="fr-FR"/>
        </w:rPr>
        <w:t xml:space="preserve">premier cycle </w:t>
      </w:r>
      <w:r w:rsidRPr="00B2792E">
        <w:rPr>
          <w:lang w:val="fr-FR"/>
        </w:rPr>
        <w:t xml:space="preserve">du secondaire </w:t>
      </w:r>
      <w:r w:rsidRPr="00262910">
        <w:rPr>
          <w:lang w:val="fr-FR"/>
        </w:rPr>
        <w:t xml:space="preserve">pour acquérir </w:t>
      </w:r>
      <w:r>
        <w:rPr>
          <w:lang w:val="fr-FR"/>
        </w:rPr>
        <w:t xml:space="preserve">suffisamment de </w:t>
      </w:r>
      <w:r w:rsidRPr="00262910">
        <w:rPr>
          <w:lang w:val="fr-FR"/>
        </w:rPr>
        <w:t xml:space="preserve">compétences scolaires élémentaires. </w:t>
      </w:r>
      <w:r>
        <w:rPr>
          <w:lang w:val="fr-FR"/>
        </w:rPr>
        <w:t xml:space="preserve">Certains éprouvent en outre des difficultés d’un autre ordre du fait, </w:t>
      </w:r>
      <w:r w:rsidRPr="00262910">
        <w:rPr>
          <w:lang w:val="fr-FR"/>
        </w:rPr>
        <w:t>par exemple</w:t>
      </w:r>
      <w:r>
        <w:rPr>
          <w:lang w:val="fr-FR"/>
        </w:rPr>
        <w:t>, qu’ils ont vécu la guerre et la</w:t>
      </w:r>
      <w:r w:rsidRPr="00262910">
        <w:rPr>
          <w:lang w:val="fr-FR"/>
        </w:rPr>
        <w:t xml:space="preserve"> fuite. </w:t>
      </w:r>
      <w:r>
        <w:rPr>
          <w:lang w:val="fr-FR"/>
        </w:rPr>
        <w:t xml:space="preserve">Les élèves de </w:t>
      </w:r>
      <w:r w:rsidRPr="00262910">
        <w:rPr>
          <w:lang w:val="fr-FR"/>
        </w:rPr>
        <w:t xml:space="preserve">ce groupe </w:t>
      </w:r>
      <w:r>
        <w:rPr>
          <w:lang w:val="fr-FR"/>
        </w:rPr>
        <w:t xml:space="preserve">ont droit à un enseignement </w:t>
      </w:r>
      <w:r w:rsidRPr="00262910">
        <w:rPr>
          <w:lang w:val="fr-FR"/>
        </w:rPr>
        <w:t>adapté</w:t>
      </w:r>
      <w:r>
        <w:rPr>
          <w:lang w:val="fr-FR"/>
        </w:rPr>
        <w:t>, mais ils ne bénéficient pas tous d’un tel enseignement</w:t>
      </w:r>
      <w:r w:rsidRPr="00262910">
        <w:rPr>
          <w:lang w:val="fr-FR"/>
        </w:rPr>
        <w:t>.</w:t>
      </w:r>
    </w:p>
    <w:p w:rsidR="001771B8" w:rsidRPr="00262910" w:rsidRDefault="001771B8" w:rsidP="001771B8">
      <w:pPr>
        <w:pStyle w:val="SingleTxtG"/>
        <w:rPr>
          <w:lang w:val="fr-FR"/>
        </w:rPr>
      </w:pPr>
      <w:r w:rsidRPr="00262910">
        <w:rPr>
          <w:lang w:val="fr-FR"/>
        </w:rPr>
        <w:t>224.</w:t>
      </w:r>
      <w:r w:rsidRPr="00262910">
        <w:rPr>
          <w:lang w:val="fr-FR"/>
        </w:rPr>
        <w:tab/>
        <w:t>Objectifs</w:t>
      </w:r>
      <w:r w:rsidR="0074108A">
        <w:rPr>
          <w:lang w:val="fr-FR"/>
        </w:rPr>
        <w:t> </w:t>
      </w:r>
      <w:r w:rsidRPr="00262910">
        <w:rPr>
          <w:lang w:val="fr-FR"/>
        </w:rPr>
        <w:t xml:space="preserve">: </w:t>
      </w:r>
      <w:r>
        <w:rPr>
          <w:lang w:val="fr-FR"/>
        </w:rPr>
        <w:t xml:space="preserve">Permettre aux </w:t>
      </w:r>
      <w:r w:rsidRPr="00262910">
        <w:rPr>
          <w:lang w:val="fr-FR"/>
        </w:rPr>
        <w:t>enfants et aux jeunes issus de l</w:t>
      </w:r>
      <w:r>
        <w:rPr>
          <w:lang w:val="fr-FR"/>
        </w:rPr>
        <w:t>’</w:t>
      </w:r>
      <w:r w:rsidRPr="00262910">
        <w:rPr>
          <w:lang w:val="fr-FR"/>
        </w:rPr>
        <w:t>immigration</w:t>
      </w:r>
      <w:r>
        <w:rPr>
          <w:lang w:val="fr-FR"/>
        </w:rPr>
        <w:t xml:space="preserve"> d’acquérir une </w:t>
      </w:r>
      <w:r w:rsidRPr="00262910">
        <w:rPr>
          <w:lang w:val="fr-FR"/>
        </w:rPr>
        <w:t>bonne connaissance d</w:t>
      </w:r>
      <w:r>
        <w:rPr>
          <w:lang w:val="fr-FR"/>
        </w:rPr>
        <w:t>e la langue n</w:t>
      </w:r>
      <w:r w:rsidRPr="00262910">
        <w:rPr>
          <w:lang w:val="fr-FR"/>
        </w:rPr>
        <w:t>orvégien</w:t>
      </w:r>
      <w:r>
        <w:rPr>
          <w:lang w:val="fr-FR"/>
        </w:rPr>
        <w:t>ne</w:t>
      </w:r>
      <w:r w:rsidRPr="00262910">
        <w:rPr>
          <w:lang w:val="fr-FR"/>
        </w:rPr>
        <w:t xml:space="preserve">, des compétences de base et des compétences professionnelles </w:t>
      </w:r>
      <w:r>
        <w:rPr>
          <w:lang w:val="fr-FR"/>
        </w:rPr>
        <w:t xml:space="preserve">sur un pied d’égalité du préscolaire </w:t>
      </w:r>
      <w:r w:rsidRPr="00262910">
        <w:rPr>
          <w:lang w:val="fr-FR"/>
        </w:rPr>
        <w:t xml:space="preserve">au </w:t>
      </w:r>
      <w:r>
        <w:rPr>
          <w:lang w:val="fr-FR"/>
        </w:rPr>
        <w:t xml:space="preserve">second </w:t>
      </w:r>
      <w:r w:rsidRPr="00262910">
        <w:rPr>
          <w:lang w:val="fr-FR"/>
        </w:rPr>
        <w:t>cycle</w:t>
      </w:r>
      <w:r w:rsidRPr="0076721F">
        <w:rPr>
          <w:lang w:val="fr-FR"/>
        </w:rPr>
        <w:t xml:space="preserve"> </w:t>
      </w:r>
      <w:r>
        <w:rPr>
          <w:lang w:val="fr-FR"/>
        </w:rPr>
        <w:t xml:space="preserve">du </w:t>
      </w:r>
      <w:r w:rsidRPr="0076721F">
        <w:rPr>
          <w:lang w:val="fr-FR"/>
        </w:rPr>
        <w:t>secondaire</w:t>
      </w:r>
      <w:r w:rsidRPr="00262910">
        <w:rPr>
          <w:lang w:val="fr-FR"/>
        </w:rPr>
        <w:t xml:space="preserve">. </w:t>
      </w:r>
    </w:p>
    <w:p w:rsidR="001771B8" w:rsidRPr="00262910" w:rsidRDefault="001771B8" w:rsidP="001771B8">
      <w:pPr>
        <w:pStyle w:val="SingleTxtG"/>
        <w:rPr>
          <w:lang w:val="fr-FR"/>
        </w:rPr>
      </w:pPr>
      <w:r w:rsidRPr="00262910">
        <w:rPr>
          <w:lang w:val="fr-FR"/>
        </w:rPr>
        <w:t>225.</w:t>
      </w:r>
      <w:r w:rsidRPr="00262910">
        <w:rPr>
          <w:lang w:val="fr-FR"/>
        </w:rPr>
        <w:tab/>
        <w:t>Action principale 1</w:t>
      </w:r>
      <w:r w:rsidR="0074108A">
        <w:rPr>
          <w:lang w:val="fr-FR"/>
        </w:rPr>
        <w:t> </w:t>
      </w:r>
      <w:r w:rsidRPr="00262910">
        <w:rPr>
          <w:lang w:val="fr-FR"/>
        </w:rPr>
        <w:t xml:space="preserve">: Renforcer les efforts </w:t>
      </w:r>
      <w:r>
        <w:rPr>
          <w:lang w:val="fr-FR"/>
        </w:rPr>
        <w:t xml:space="preserve">dès le plus jeune âge </w:t>
      </w:r>
      <w:r w:rsidRPr="0076721F">
        <w:rPr>
          <w:lang w:val="fr-FR"/>
        </w:rPr>
        <w:t>pour l</w:t>
      </w:r>
      <w:r>
        <w:rPr>
          <w:lang w:val="fr-FR"/>
        </w:rPr>
        <w:t>’</w:t>
      </w:r>
      <w:r w:rsidRPr="0076721F">
        <w:rPr>
          <w:lang w:val="fr-FR"/>
        </w:rPr>
        <w:t xml:space="preserve">acquisition </w:t>
      </w:r>
      <w:r w:rsidRPr="00262910">
        <w:rPr>
          <w:lang w:val="fr-FR"/>
        </w:rPr>
        <w:t>de</w:t>
      </w:r>
      <w:r>
        <w:rPr>
          <w:lang w:val="fr-FR"/>
        </w:rPr>
        <w:t xml:space="preserve"> la maîtrise du </w:t>
      </w:r>
      <w:r w:rsidRPr="00262910">
        <w:rPr>
          <w:lang w:val="fr-FR"/>
        </w:rPr>
        <w:t>norvégien, de compétences de base et d</w:t>
      </w:r>
      <w:r>
        <w:rPr>
          <w:lang w:val="fr-FR"/>
        </w:rPr>
        <w:t xml:space="preserve">e </w:t>
      </w:r>
      <w:r w:rsidRPr="00262910">
        <w:rPr>
          <w:lang w:val="fr-FR"/>
        </w:rPr>
        <w:t xml:space="preserve">compétences professionnelles. </w:t>
      </w:r>
    </w:p>
    <w:p w:rsidR="001771B8" w:rsidRPr="00262910" w:rsidRDefault="001771B8" w:rsidP="001771B8">
      <w:pPr>
        <w:pStyle w:val="SingleTxtG"/>
        <w:rPr>
          <w:lang w:val="fr-FR"/>
        </w:rPr>
      </w:pPr>
      <w:r w:rsidRPr="00262910">
        <w:rPr>
          <w:lang w:val="fr-FR"/>
        </w:rPr>
        <w:t>226.</w:t>
      </w:r>
      <w:r w:rsidRPr="00262910">
        <w:rPr>
          <w:lang w:val="fr-FR"/>
        </w:rPr>
        <w:tab/>
        <w:t>Action principale 2</w:t>
      </w:r>
      <w:r w:rsidR="0074108A">
        <w:rPr>
          <w:lang w:val="fr-FR"/>
        </w:rPr>
        <w:t> </w:t>
      </w:r>
      <w:r w:rsidRPr="00262910">
        <w:rPr>
          <w:lang w:val="fr-FR"/>
        </w:rPr>
        <w:t>: Renforcer les compétences d</w:t>
      </w:r>
      <w:r>
        <w:rPr>
          <w:lang w:val="fr-FR"/>
        </w:rPr>
        <w:t xml:space="preserve">es enseignants </w:t>
      </w:r>
      <w:r w:rsidRPr="00262910">
        <w:rPr>
          <w:lang w:val="fr-FR"/>
        </w:rPr>
        <w:t>d</w:t>
      </w:r>
      <w:r>
        <w:rPr>
          <w:lang w:val="fr-FR"/>
        </w:rPr>
        <w:t xml:space="preserve">u préscolaire, du </w:t>
      </w:r>
      <w:r w:rsidRPr="00262910">
        <w:rPr>
          <w:lang w:val="fr-FR"/>
        </w:rPr>
        <w:t xml:space="preserve">primaire et </w:t>
      </w:r>
      <w:r>
        <w:rPr>
          <w:lang w:val="fr-FR"/>
        </w:rPr>
        <w:t xml:space="preserve">du </w:t>
      </w:r>
      <w:r w:rsidRPr="00262910">
        <w:rPr>
          <w:lang w:val="fr-FR"/>
        </w:rPr>
        <w:t xml:space="preserve">secondaire </w:t>
      </w:r>
      <w:r>
        <w:rPr>
          <w:lang w:val="fr-FR"/>
        </w:rPr>
        <w:t xml:space="preserve">afin de </w:t>
      </w:r>
      <w:r w:rsidRPr="00262910">
        <w:rPr>
          <w:lang w:val="fr-FR"/>
        </w:rPr>
        <w:t xml:space="preserve">leur permettre de suivre au mieux </w:t>
      </w:r>
      <w:r w:rsidRPr="00734BC8">
        <w:rPr>
          <w:lang w:val="fr-FR"/>
        </w:rPr>
        <w:t xml:space="preserve">tout au long de leur scolarité </w:t>
      </w:r>
      <w:r w:rsidRPr="00262910">
        <w:rPr>
          <w:lang w:val="fr-FR"/>
        </w:rPr>
        <w:t xml:space="preserve">les enfants et les jeunes </w:t>
      </w:r>
      <w:r>
        <w:rPr>
          <w:lang w:val="fr-FR"/>
        </w:rPr>
        <w:t xml:space="preserve">ayant une </w:t>
      </w:r>
      <w:r w:rsidRPr="00262910">
        <w:rPr>
          <w:lang w:val="fr-FR"/>
        </w:rPr>
        <w:t>langue minoritaire</w:t>
      </w:r>
      <w:r>
        <w:rPr>
          <w:lang w:val="fr-FR"/>
        </w:rPr>
        <w:t xml:space="preserve"> pour langue maternelle</w:t>
      </w:r>
      <w:r w:rsidRPr="00262910">
        <w:rPr>
          <w:lang w:val="fr-FR"/>
        </w:rPr>
        <w:t>.</w:t>
      </w:r>
    </w:p>
    <w:p w:rsidR="001771B8" w:rsidRPr="00262910" w:rsidRDefault="001771B8" w:rsidP="001771B8">
      <w:pPr>
        <w:pStyle w:val="H1G"/>
        <w:rPr>
          <w:lang w:val="fr-FR"/>
        </w:rPr>
      </w:pPr>
      <w:r w:rsidRPr="00262910">
        <w:rPr>
          <w:lang w:val="fr-FR"/>
        </w:rPr>
        <w:tab/>
      </w:r>
      <w:r w:rsidRPr="00262910">
        <w:rPr>
          <w:lang w:val="fr-FR"/>
        </w:rPr>
        <w:tab/>
      </w:r>
      <w:r w:rsidRPr="00236FD8">
        <w:rPr>
          <w:lang w:val="fr-FR"/>
        </w:rPr>
        <w:t>Réponse au</w:t>
      </w:r>
      <w:r w:rsidRPr="00262910">
        <w:rPr>
          <w:lang w:val="fr-FR"/>
        </w:rPr>
        <w:t xml:space="preserve"> paragraphe 30 d) de la liste de points</w:t>
      </w:r>
    </w:p>
    <w:p w:rsidR="001771B8" w:rsidRPr="00262910" w:rsidRDefault="001771B8" w:rsidP="001771B8">
      <w:pPr>
        <w:pStyle w:val="SingleTxtG"/>
        <w:rPr>
          <w:lang w:val="fr-FR"/>
        </w:rPr>
      </w:pPr>
      <w:r w:rsidRPr="00262910">
        <w:rPr>
          <w:lang w:val="fr-FR"/>
        </w:rPr>
        <w:t>227.</w:t>
      </w:r>
      <w:r w:rsidRPr="00262910">
        <w:rPr>
          <w:lang w:val="fr-FR"/>
        </w:rPr>
        <w:tab/>
      </w:r>
      <w:r w:rsidRPr="006B5BC8">
        <w:rPr>
          <w:lang w:val="fr-FR"/>
        </w:rPr>
        <w:t>La loi</w:t>
      </w:r>
      <w:r w:rsidRPr="00262910">
        <w:rPr>
          <w:lang w:val="fr-FR"/>
        </w:rPr>
        <w:t xml:space="preserve"> sur l</w:t>
      </w:r>
      <w:r>
        <w:rPr>
          <w:lang w:val="fr-FR"/>
        </w:rPr>
        <w:t>’</w:t>
      </w:r>
      <w:r w:rsidRPr="00262910">
        <w:rPr>
          <w:lang w:val="fr-FR"/>
        </w:rPr>
        <w:t>éducation</w:t>
      </w:r>
      <w:r w:rsidRPr="008648B2">
        <w:rPr>
          <w:rStyle w:val="Appelnotedebasdep"/>
        </w:rPr>
        <w:footnoteReference w:id="18"/>
      </w:r>
      <w:r w:rsidRPr="00262910">
        <w:rPr>
          <w:lang w:val="fr-FR"/>
        </w:rPr>
        <w:t xml:space="preserve"> </w:t>
      </w:r>
      <w:r>
        <w:rPr>
          <w:lang w:val="fr-FR"/>
        </w:rPr>
        <w:t xml:space="preserve">dispose que </w:t>
      </w:r>
      <w:r w:rsidRPr="00262910">
        <w:rPr>
          <w:lang w:val="fr-FR"/>
        </w:rPr>
        <w:t>l</w:t>
      </w:r>
      <w:r>
        <w:rPr>
          <w:lang w:val="fr-FR"/>
        </w:rPr>
        <w:t>’</w:t>
      </w:r>
      <w:r w:rsidRPr="00262910">
        <w:rPr>
          <w:lang w:val="fr-FR"/>
        </w:rPr>
        <w:t>enseignement doit être adapté aux capacités et aux besoins spécifiques de chaque élève et</w:t>
      </w:r>
      <w:r>
        <w:rPr>
          <w:lang w:val="fr-FR"/>
        </w:rPr>
        <w:t xml:space="preserve"> </w:t>
      </w:r>
      <w:r w:rsidRPr="00262910">
        <w:rPr>
          <w:lang w:val="fr-FR"/>
        </w:rPr>
        <w:t>l</w:t>
      </w:r>
      <w:r>
        <w:rPr>
          <w:lang w:val="fr-FR"/>
        </w:rPr>
        <w:t>’</w:t>
      </w:r>
      <w:r w:rsidRPr="00262910">
        <w:rPr>
          <w:lang w:val="fr-FR"/>
        </w:rPr>
        <w:t xml:space="preserve">élève </w:t>
      </w:r>
      <w:r>
        <w:rPr>
          <w:lang w:val="fr-FR"/>
        </w:rPr>
        <w:t>a droit</w:t>
      </w:r>
      <w:r w:rsidRPr="006B5BC8">
        <w:rPr>
          <w:lang w:val="fr-FR"/>
        </w:rPr>
        <w:t xml:space="preserve">, si nécessaire, </w:t>
      </w:r>
      <w:r>
        <w:rPr>
          <w:lang w:val="fr-FR"/>
        </w:rPr>
        <w:t xml:space="preserve">à une éducation </w:t>
      </w:r>
      <w:r w:rsidRPr="00262910">
        <w:rPr>
          <w:lang w:val="fr-FR"/>
        </w:rPr>
        <w:t>spécial</w:t>
      </w:r>
      <w:r>
        <w:rPr>
          <w:lang w:val="fr-FR"/>
        </w:rPr>
        <w:t>e</w:t>
      </w:r>
      <w:r w:rsidRPr="00262910">
        <w:rPr>
          <w:lang w:val="fr-FR"/>
        </w:rPr>
        <w:t>. Ce droit</w:t>
      </w:r>
      <w:r>
        <w:rPr>
          <w:lang w:val="fr-FR"/>
        </w:rPr>
        <w:t xml:space="preserve"> et </w:t>
      </w:r>
      <w:r w:rsidRPr="00262910">
        <w:rPr>
          <w:lang w:val="fr-FR"/>
        </w:rPr>
        <w:t xml:space="preserve">le droit des élèves </w:t>
      </w:r>
      <w:r>
        <w:rPr>
          <w:lang w:val="fr-FR"/>
        </w:rPr>
        <w:t xml:space="preserve">de </w:t>
      </w:r>
      <w:r w:rsidRPr="00262910">
        <w:rPr>
          <w:lang w:val="fr-FR"/>
        </w:rPr>
        <w:t xml:space="preserve">fréquenter une école proche de leur lieu de résidence sont particulièrement importants pour garantir </w:t>
      </w:r>
      <w:r>
        <w:rPr>
          <w:lang w:val="fr-FR"/>
        </w:rPr>
        <w:t>un milieu éducatif i</w:t>
      </w:r>
      <w:r w:rsidRPr="00262910">
        <w:rPr>
          <w:lang w:val="fr-FR"/>
        </w:rPr>
        <w:t>nclusif.</w:t>
      </w:r>
    </w:p>
    <w:p w:rsidR="001771B8" w:rsidRPr="004527D7" w:rsidRDefault="001771B8" w:rsidP="001771B8">
      <w:pPr>
        <w:pStyle w:val="SingleTxtG"/>
        <w:rPr>
          <w:lang w:val="fr-FR"/>
        </w:rPr>
      </w:pPr>
      <w:r w:rsidRPr="004527D7">
        <w:rPr>
          <w:lang w:val="fr-FR"/>
        </w:rPr>
        <w:t>228.</w:t>
      </w:r>
      <w:r w:rsidRPr="004527D7">
        <w:rPr>
          <w:lang w:val="fr-FR"/>
        </w:rPr>
        <w:tab/>
        <w:t>Les enfants et les élèves ayant la langue des signes pour première langue ou qui, sur la base d</w:t>
      </w:r>
      <w:r>
        <w:rPr>
          <w:lang w:val="fr-FR"/>
        </w:rPr>
        <w:t>’</w:t>
      </w:r>
      <w:r w:rsidRPr="004527D7">
        <w:rPr>
          <w:lang w:val="fr-FR"/>
        </w:rPr>
        <w:t>une expertise, ont besoin d</w:t>
      </w:r>
      <w:r>
        <w:rPr>
          <w:lang w:val="fr-FR"/>
        </w:rPr>
        <w:t>’</w:t>
      </w:r>
      <w:r w:rsidRPr="004527D7">
        <w:rPr>
          <w:lang w:val="fr-FR"/>
        </w:rPr>
        <w:t xml:space="preserve">un enseignement en langue des signes, ont droit à un tel enseignement. Il existe </w:t>
      </w:r>
      <w:r>
        <w:rPr>
          <w:lang w:val="fr-FR"/>
        </w:rPr>
        <w:t xml:space="preserve">pareillement le </w:t>
      </w:r>
      <w:r w:rsidRPr="004527D7">
        <w:rPr>
          <w:lang w:val="fr-FR"/>
        </w:rPr>
        <w:t>droit à un enseignement en braille et à l</w:t>
      </w:r>
      <w:r>
        <w:rPr>
          <w:lang w:val="fr-FR"/>
        </w:rPr>
        <w:t>’</w:t>
      </w:r>
      <w:r w:rsidRPr="004527D7">
        <w:rPr>
          <w:lang w:val="fr-FR"/>
        </w:rPr>
        <w:t>usage des aides techniques nécessaires pour les enfants et élèves malvoyants ou aveugles. Les enfants et les adolescents atteints de troubles fonctionnels de la parole qui les empêch</w:t>
      </w:r>
      <w:r>
        <w:rPr>
          <w:lang w:val="fr-FR"/>
        </w:rPr>
        <w:t>e</w:t>
      </w:r>
      <w:r w:rsidRPr="004527D7">
        <w:rPr>
          <w:lang w:val="fr-FR"/>
        </w:rPr>
        <w:t>nt en partie ou totalement de s</w:t>
      </w:r>
      <w:r>
        <w:rPr>
          <w:lang w:val="fr-FR"/>
        </w:rPr>
        <w:t>’</w:t>
      </w:r>
      <w:r w:rsidRPr="004527D7">
        <w:rPr>
          <w:lang w:val="fr-FR"/>
        </w:rPr>
        <w:t xml:space="preserve">exprimer et </w:t>
      </w:r>
      <w:r>
        <w:rPr>
          <w:lang w:val="fr-FR"/>
        </w:rPr>
        <w:t xml:space="preserve">qui </w:t>
      </w:r>
      <w:r w:rsidRPr="004527D7">
        <w:rPr>
          <w:lang w:val="fr-FR"/>
        </w:rPr>
        <w:t>ont besoin d</w:t>
      </w:r>
      <w:r>
        <w:rPr>
          <w:lang w:val="fr-FR"/>
        </w:rPr>
        <w:t>’</w:t>
      </w:r>
      <w:r w:rsidRPr="004527D7">
        <w:rPr>
          <w:lang w:val="fr-FR"/>
        </w:rPr>
        <w:t>un mode de communication autre et complémentaire ont droit à des formes de communication appropriées et aux moyens de communication nécessaires à leur apprentissage.</w:t>
      </w:r>
    </w:p>
    <w:p w:rsidR="001771B8" w:rsidRPr="004527D7" w:rsidRDefault="001771B8" w:rsidP="001771B8">
      <w:pPr>
        <w:pStyle w:val="SingleTxtG"/>
        <w:rPr>
          <w:lang w:val="fr-FR"/>
        </w:rPr>
      </w:pPr>
      <w:r w:rsidRPr="004527D7">
        <w:rPr>
          <w:lang w:val="fr-FR"/>
        </w:rPr>
        <w:t>229.</w:t>
      </w:r>
      <w:r w:rsidRPr="004527D7">
        <w:rPr>
          <w:lang w:val="fr-FR"/>
        </w:rPr>
        <w:tab/>
        <w:t>La l</w:t>
      </w:r>
      <w:r>
        <w:rPr>
          <w:lang w:val="fr-FR"/>
        </w:rPr>
        <w:t>o</w:t>
      </w:r>
      <w:r w:rsidRPr="004527D7">
        <w:rPr>
          <w:lang w:val="fr-FR"/>
        </w:rPr>
        <w:t xml:space="preserve">i </w:t>
      </w:r>
      <w:r>
        <w:rPr>
          <w:lang w:val="fr-FR"/>
        </w:rPr>
        <w:t xml:space="preserve">précitée </w:t>
      </w:r>
      <w:r w:rsidRPr="004527D7">
        <w:rPr>
          <w:lang w:val="fr-FR"/>
        </w:rPr>
        <w:t>dispose que tous les élèves ont droit à un établissement d</w:t>
      </w:r>
      <w:r>
        <w:rPr>
          <w:lang w:val="fr-FR"/>
        </w:rPr>
        <w:t>’</w:t>
      </w:r>
      <w:r w:rsidRPr="004527D7">
        <w:rPr>
          <w:lang w:val="fr-FR"/>
        </w:rPr>
        <w:t>enseignement adapté à leurs besoins. Les écoles doivent être construites et aménagées en tenant compte des besoins des élèves handicapés.</w:t>
      </w:r>
    </w:p>
    <w:p w:rsidR="001771B8" w:rsidRPr="004527D7" w:rsidRDefault="001771B8" w:rsidP="001771B8">
      <w:pPr>
        <w:pStyle w:val="H1G"/>
        <w:rPr>
          <w:lang w:val="fr-FR"/>
        </w:rPr>
      </w:pPr>
      <w:r w:rsidRPr="004527D7">
        <w:rPr>
          <w:lang w:val="fr-FR"/>
        </w:rPr>
        <w:tab/>
      </w:r>
      <w:r w:rsidRPr="004527D7">
        <w:rPr>
          <w:lang w:val="fr-FR"/>
        </w:rPr>
        <w:tab/>
        <w:t>Réponse au paragraphe 30 e) de la liste de points</w:t>
      </w:r>
    </w:p>
    <w:p w:rsidR="001771B8" w:rsidRPr="004527D7" w:rsidRDefault="001771B8" w:rsidP="001771B8">
      <w:pPr>
        <w:pStyle w:val="SingleTxtG"/>
        <w:rPr>
          <w:lang w:val="fr-FR"/>
        </w:rPr>
      </w:pPr>
      <w:r w:rsidRPr="004527D7">
        <w:rPr>
          <w:lang w:val="fr-FR"/>
        </w:rPr>
        <w:t>230.</w:t>
      </w:r>
      <w:r w:rsidRPr="004527D7">
        <w:rPr>
          <w:lang w:val="fr-FR"/>
        </w:rPr>
        <w:tab/>
      </w:r>
      <w:r w:rsidRPr="006B5BC8">
        <w:rPr>
          <w:lang w:val="fr-FR"/>
        </w:rPr>
        <w:t>Lors de l</w:t>
      </w:r>
      <w:r>
        <w:rPr>
          <w:lang w:val="fr-FR"/>
        </w:rPr>
        <w:t>’</w:t>
      </w:r>
      <w:r w:rsidRPr="006B5BC8">
        <w:rPr>
          <w:lang w:val="fr-FR"/>
        </w:rPr>
        <w:t>enquête</w:t>
      </w:r>
      <w:r w:rsidRPr="004527D7">
        <w:rPr>
          <w:lang w:val="fr-FR"/>
        </w:rPr>
        <w:t xml:space="preserve"> auprès des élèves effectuée à l</w:t>
      </w:r>
      <w:r>
        <w:rPr>
          <w:lang w:val="fr-FR"/>
        </w:rPr>
        <w:t>’</w:t>
      </w:r>
      <w:r w:rsidRPr="004527D7">
        <w:rPr>
          <w:lang w:val="fr-FR"/>
        </w:rPr>
        <w:t>automne 2018, 6,1</w:t>
      </w:r>
      <w:r w:rsidR="00CA3AD7">
        <w:rPr>
          <w:lang w:val="fr-FR"/>
        </w:rPr>
        <w:t> </w:t>
      </w:r>
      <w:r w:rsidRPr="004527D7">
        <w:rPr>
          <w:lang w:val="fr-FR"/>
        </w:rPr>
        <w:t>% des répondants ont indiqué être victimes de harcèlement à l</w:t>
      </w:r>
      <w:r>
        <w:rPr>
          <w:lang w:val="fr-FR"/>
        </w:rPr>
        <w:t>’</w:t>
      </w:r>
      <w:r w:rsidRPr="004527D7">
        <w:rPr>
          <w:lang w:val="fr-FR"/>
        </w:rPr>
        <w:t>école 2 à 3 fois par mois ou plus. Ce pourcentage est en recul de 0,5 point par rapport à 2017. La Norvège ne dispose pas de données ventilées par groupe ethnique</w:t>
      </w:r>
      <w:r>
        <w:rPr>
          <w:lang w:val="fr-FR"/>
        </w:rPr>
        <w:t xml:space="preserve"> en la matière</w:t>
      </w:r>
      <w:r w:rsidRPr="004527D7">
        <w:rPr>
          <w:lang w:val="fr-FR"/>
        </w:rPr>
        <w:t xml:space="preserve">. </w:t>
      </w:r>
    </w:p>
    <w:p w:rsidR="001771B8" w:rsidRPr="00262910" w:rsidRDefault="001771B8" w:rsidP="001771B8">
      <w:pPr>
        <w:pStyle w:val="SingleTxtG"/>
        <w:rPr>
          <w:lang w:val="fr-FR"/>
        </w:rPr>
      </w:pPr>
      <w:r w:rsidRPr="00262910">
        <w:rPr>
          <w:lang w:val="fr-FR"/>
        </w:rPr>
        <w:t>231.</w:t>
      </w:r>
      <w:r w:rsidRPr="00262910">
        <w:rPr>
          <w:lang w:val="fr-FR"/>
        </w:rPr>
        <w:tab/>
      </w:r>
      <w:r>
        <w:rPr>
          <w:lang w:val="fr-FR"/>
        </w:rPr>
        <w:t xml:space="preserve">Dans le </w:t>
      </w:r>
      <w:r w:rsidRPr="004527D7">
        <w:rPr>
          <w:lang w:val="fr-FR"/>
        </w:rPr>
        <w:t>rapport sur le racisme vécu par les jeunes, publié par le Centre norvégien contre le racisme</w:t>
      </w:r>
      <w:r w:rsidR="003D5858">
        <w:rPr>
          <w:rStyle w:val="Appelnotedebasdep"/>
        </w:rPr>
        <w:footnoteReference w:id="19"/>
      </w:r>
      <w:r w:rsidRPr="004527D7">
        <w:rPr>
          <w:lang w:val="fr-FR"/>
        </w:rPr>
        <w:t xml:space="preserve"> en 2017, </w:t>
      </w:r>
      <w:r>
        <w:rPr>
          <w:lang w:val="fr-FR"/>
        </w:rPr>
        <w:t xml:space="preserve">il est indiqué </w:t>
      </w:r>
      <w:r w:rsidRPr="004527D7">
        <w:rPr>
          <w:lang w:val="fr-FR"/>
        </w:rPr>
        <w:t xml:space="preserve">que de nombreux jeunes sont victimes </w:t>
      </w:r>
      <w:r w:rsidRPr="006B5BC8">
        <w:rPr>
          <w:lang w:val="fr-FR"/>
        </w:rPr>
        <w:t>de racisme à l</w:t>
      </w:r>
      <w:r>
        <w:rPr>
          <w:lang w:val="fr-FR"/>
        </w:rPr>
        <w:t>’</w:t>
      </w:r>
      <w:r w:rsidRPr="006B5BC8">
        <w:rPr>
          <w:lang w:val="fr-FR"/>
        </w:rPr>
        <w:t>école. Sur les 247 répondants dont l</w:t>
      </w:r>
      <w:r>
        <w:rPr>
          <w:lang w:val="fr-FR"/>
        </w:rPr>
        <w:t>’</w:t>
      </w:r>
      <w:r w:rsidRPr="006B5BC8">
        <w:rPr>
          <w:lang w:val="fr-FR"/>
        </w:rPr>
        <w:t>un des parents ou les deux sont nés hors de Norvège</w:t>
      </w:r>
      <w:r w:rsidRPr="004527D7">
        <w:rPr>
          <w:lang w:val="fr-FR"/>
        </w:rPr>
        <w:t>, 24</w:t>
      </w:r>
      <w:r w:rsidR="00E52A30">
        <w:rPr>
          <w:lang w:val="fr-FR"/>
        </w:rPr>
        <w:t> </w:t>
      </w:r>
      <w:r w:rsidRPr="004527D7">
        <w:rPr>
          <w:lang w:val="fr-FR"/>
        </w:rPr>
        <w:t>% ont déclaré avoir été régulièrement</w:t>
      </w:r>
      <w:r w:rsidRPr="00262910">
        <w:rPr>
          <w:lang w:val="fr-FR"/>
        </w:rPr>
        <w:t xml:space="preserve"> victimes de racisme, de discrimination ou d</w:t>
      </w:r>
      <w:r>
        <w:rPr>
          <w:lang w:val="fr-FR"/>
        </w:rPr>
        <w:t xml:space="preserve">’un </w:t>
      </w:r>
      <w:r w:rsidRPr="00262910">
        <w:rPr>
          <w:lang w:val="fr-FR"/>
        </w:rPr>
        <w:t xml:space="preserve">traitement injuste (2 à 3 fois par mois ou plus) </w:t>
      </w:r>
      <w:r>
        <w:rPr>
          <w:lang w:val="fr-FR"/>
        </w:rPr>
        <w:t xml:space="preserve">durant leur scolarité </w:t>
      </w:r>
      <w:r w:rsidRPr="00262910">
        <w:rPr>
          <w:lang w:val="fr-FR"/>
        </w:rPr>
        <w:t>primaire et 25,6</w:t>
      </w:r>
      <w:r w:rsidR="00E52A30">
        <w:rPr>
          <w:lang w:val="fr-FR"/>
        </w:rPr>
        <w:t> </w:t>
      </w:r>
      <w:r w:rsidRPr="00262910">
        <w:rPr>
          <w:lang w:val="fr-FR"/>
        </w:rPr>
        <w:t>% d</w:t>
      </w:r>
      <w:r>
        <w:rPr>
          <w:lang w:val="fr-FR"/>
        </w:rPr>
        <w:t>urant leur scolarité secondaire</w:t>
      </w:r>
      <w:r w:rsidRPr="00262910">
        <w:rPr>
          <w:lang w:val="fr-FR"/>
        </w:rPr>
        <w:t xml:space="preserve">. </w:t>
      </w:r>
    </w:p>
    <w:p w:rsidR="001771B8" w:rsidRPr="00262910" w:rsidRDefault="001771B8" w:rsidP="001771B8">
      <w:pPr>
        <w:pStyle w:val="SingleTxtG"/>
        <w:rPr>
          <w:lang w:val="fr-FR"/>
        </w:rPr>
      </w:pPr>
      <w:r w:rsidRPr="00262910">
        <w:rPr>
          <w:lang w:val="fr-FR"/>
        </w:rPr>
        <w:t>232.</w:t>
      </w:r>
      <w:r w:rsidRPr="00262910">
        <w:rPr>
          <w:lang w:val="fr-FR"/>
        </w:rPr>
        <w:tab/>
      </w:r>
      <w:r>
        <w:rPr>
          <w:lang w:val="fr-FR"/>
        </w:rPr>
        <w:t xml:space="preserve">Les pouvoirs publics ont pris de </w:t>
      </w:r>
      <w:r w:rsidRPr="003B7AC2">
        <w:rPr>
          <w:lang w:val="fr-FR"/>
        </w:rPr>
        <w:t>nouvelles mesures</w:t>
      </w:r>
      <w:r w:rsidRPr="0025491B">
        <w:rPr>
          <w:lang w:val="fr-FR"/>
        </w:rPr>
        <w:t xml:space="preserve"> </w:t>
      </w:r>
      <w:r>
        <w:rPr>
          <w:lang w:val="fr-FR"/>
        </w:rPr>
        <w:t xml:space="preserve">pour </w:t>
      </w:r>
      <w:r w:rsidRPr="0025491B">
        <w:rPr>
          <w:lang w:val="fr-FR"/>
        </w:rPr>
        <w:t>combattre le harcèlement dans les établissements préscolaires et scolaires</w:t>
      </w:r>
      <w:r>
        <w:rPr>
          <w:lang w:val="fr-FR"/>
        </w:rPr>
        <w:t>, notamment</w:t>
      </w:r>
      <w:r w:rsidR="00E52A30">
        <w:rPr>
          <w:lang w:val="fr-FR"/>
        </w:rPr>
        <w:t xml:space="preserve"> </w:t>
      </w:r>
      <w:r>
        <w:rPr>
          <w:lang w:val="fr-FR"/>
        </w:rPr>
        <w:t xml:space="preserve">des </w:t>
      </w:r>
      <w:r w:rsidRPr="00262910">
        <w:rPr>
          <w:lang w:val="fr-FR"/>
        </w:rPr>
        <w:t>modifications législatives</w:t>
      </w:r>
      <w:r>
        <w:rPr>
          <w:lang w:val="fr-FR"/>
        </w:rPr>
        <w:t xml:space="preserve"> ; le </w:t>
      </w:r>
      <w:r w:rsidRPr="00262910">
        <w:rPr>
          <w:lang w:val="fr-FR"/>
        </w:rPr>
        <w:t>renforcement des compétences</w:t>
      </w:r>
      <w:r>
        <w:rPr>
          <w:lang w:val="fr-FR"/>
        </w:rPr>
        <w:t xml:space="preserve"> ; des services de </w:t>
      </w:r>
      <w:r w:rsidRPr="00262910">
        <w:rPr>
          <w:lang w:val="fr-FR"/>
        </w:rPr>
        <w:t>soutien et</w:t>
      </w:r>
      <w:r>
        <w:rPr>
          <w:lang w:val="fr-FR"/>
        </w:rPr>
        <w:t xml:space="preserve"> de conseil pour les </w:t>
      </w:r>
      <w:r w:rsidRPr="00262910">
        <w:rPr>
          <w:lang w:val="fr-FR"/>
        </w:rPr>
        <w:t xml:space="preserve">enfants et </w:t>
      </w:r>
      <w:r>
        <w:rPr>
          <w:lang w:val="fr-FR"/>
        </w:rPr>
        <w:t>l</w:t>
      </w:r>
      <w:r w:rsidRPr="00262910">
        <w:rPr>
          <w:lang w:val="fr-FR"/>
        </w:rPr>
        <w:t xml:space="preserve">es jeunes </w:t>
      </w:r>
      <w:r>
        <w:rPr>
          <w:lang w:val="fr-FR"/>
        </w:rPr>
        <w:t xml:space="preserve">victimes de harcèlement </w:t>
      </w:r>
      <w:r w:rsidRPr="00262910">
        <w:rPr>
          <w:lang w:val="fr-FR"/>
        </w:rPr>
        <w:t>et d</w:t>
      </w:r>
      <w:r>
        <w:rPr>
          <w:lang w:val="fr-FR"/>
        </w:rPr>
        <w:t>’</w:t>
      </w:r>
      <w:r w:rsidRPr="00262910">
        <w:rPr>
          <w:lang w:val="fr-FR"/>
        </w:rPr>
        <w:t xml:space="preserve">autres infractions, </w:t>
      </w:r>
      <w:r>
        <w:rPr>
          <w:lang w:val="fr-FR"/>
        </w:rPr>
        <w:t xml:space="preserve">ainsi que pour </w:t>
      </w:r>
      <w:r w:rsidRPr="00262910">
        <w:rPr>
          <w:lang w:val="fr-FR"/>
        </w:rPr>
        <w:t xml:space="preserve">leur famille. </w:t>
      </w:r>
      <w:r>
        <w:rPr>
          <w:lang w:val="fr-FR"/>
        </w:rPr>
        <w:t xml:space="preserve">Un répertoire des </w:t>
      </w:r>
      <w:r w:rsidRPr="00C62879">
        <w:rPr>
          <w:lang w:val="fr-FR"/>
        </w:rPr>
        <w:t>compétences</w:t>
      </w:r>
      <w:r>
        <w:rPr>
          <w:lang w:val="fr-FR"/>
        </w:rPr>
        <w:t xml:space="preserve">, actuellement en usage dans </w:t>
      </w:r>
      <w:r w:rsidRPr="00C62879">
        <w:rPr>
          <w:lang w:val="fr-FR"/>
        </w:rPr>
        <w:t xml:space="preserve">800 </w:t>
      </w:r>
      <w:r>
        <w:rPr>
          <w:lang w:val="fr-FR"/>
        </w:rPr>
        <w:t xml:space="preserve">établissements préscolaires et scolaires du </w:t>
      </w:r>
      <w:r w:rsidRPr="000B1781">
        <w:rPr>
          <w:lang w:val="fr-FR"/>
        </w:rPr>
        <w:t>pays, est la pièce-maîtresse de l</w:t>
      </w:r>
      <w:r>
        <w:rPr>
          <w:lang w:val="fr-FR"/>
        </w:rPr>
        <w:t>’</w:t>
      </w:r>
      <w:r w:rsidRPr="000B1781">
        <w:rPr>
          <w:lang w:val="fr-FR"/>
        </w:rPr>
        <w:t xml:space="preserve">action menée </w:t>
      </w:r>
      <w:r>
        <w:rPr>
          <w:lang w:val="fr-FR"/>
        </w:rPr>
        <w:t xml:space="preserve">en vue de </w:t>
      </w:r>
      <w:r w:rsidRPr="00262910">
        <w:rPr>
          <w:lang w:val="fr-FR"/>
        </w:rPr>
        <w:t xml:space="preserve">renforcer les compétences des adultes </w:t>
      </w:r>
      <w:r>
        <w:rPr>
          <w:lang w:val="fr-FR"/>
        </w:rPr>
        <w:t xml:space="preserve">en matière de </w:t>
      </w:r>
      <w:r w:rsidRPr="00262910">
        <w:rPr>
          <w:lang w:val="fr-FR"/>
        </w:rPr>
        <w:t xml:space="preserve">prévention, </w:t>
      </w:r>
      <w:r>
        <w:rPr>
          <w:lang w:val="fr-FR"/>
        </w:rPr>
        <w:t>de d</w:t>
      </w:r>
      <w:r w:rsidRPr="00262910">
        <w:rPr>
          <w:lang w:val="fr-FR"/>
        </w:rPr>
        <w:t>étection et</w:t>
      </w:r>
      <w:r>
        <w:rPr>
          <w:lang w:val="fr-FR"/>
        </w:rPr>
        <w:t xml:space="preserve"> de </w:t>
      </w:r>
      <w:r w:rsidRPr="00262910">
        <w:rPr>
          <w:lang w:val="fr-FR"/>
        </w:rPr>
        <w:t>traitement d</w:t>
      </w:r>
      <w:r>
        <w:rPr>
          <w:lang w:val="fr-FR"/>
        </w:rPr>
        <w:t>u harcèlement dans ces établissements</w:t>
      </w:r>
      <w:r w:rsidRPr="00262910">
        <w:rPr>
          <w:lang w:val="fr-FR"/>
        </w:rPr>
        <w:t>.</w:t>
      </w:r>
    </w:p>
    <w:p w:rsidR="001771B8" w:rsidRPr="00262910" w:rsidRDefault="001771B8" w:rsidP="001771B8">
      <w:pPr>
        <w:pStyle w:val="SingleTxtG"/>
        <w:rPr>
          <w:lang w:val="fr-FR"/>
        </w:rPr>
      </w:pPr>
      <w:r w:rsidRPr="00262910">
        <w:rPr>
          <w:lang w:val="fr-FR"/>
        </w:rPr>
        <w:t>233.</w:t>
      </w:r>
      <w:r w:rsidRPr="00262910">
        <w:rPr>
          <w:lang w:val="fr-FR"/>
        </w:rPr>
        <w:tab/>
      </w:r>
      <w:r>
        <w:rPr>
          <w:lang w:val="fr-FR"/>
        </w:rPr>
        <w:t>Le Programme de prévention démocratique contre le racisme et l’antisémitisme (</w:t>
      </w:r>
      <w:r w:rsidRPr="00262910">
        <w:rPr>
          <w:lang w:val="fr-FR"/>
        </w:rPr>
        <w:t>Dembra</w:t>
      </w:r>
      <w:r>
        <w:rPr>
          <w:lang w:val="fr-FR"/>
        </w:rPr>
        <w:t>)</w:t>
      </w:r>
      <w:r w:rsidRPr="008648B2">
        <w:rPr>
          <w:rStyle w:val="Appelnotedebasdep"/>
        </w:rPr>
        <w:footnoteReference w:id="20"/>
      </w:r>
      <w:r w:rsidRPr="00262910">
        <w:rPr>
          <w:lang w:val="fr-FR"/>
        </w:rPr>
        <w:t xml:space="preserve"> </w:t>
      </w:r>
      <w:r>
        <w:rPr>
          <w:lang w:val="fr-FR"/>
        </w:rPr>
        <w:t xml:space="preserve">dispense une </w:t>
      </w:r>
      <w:r w:rsidRPr="00262910">
        <w:rPr>
          <w:lang w:val="fr-FR"/>
        </w:rPr>
        <w:t xml:space="preserve">formation professionnelle </w:t>
      </w:r>
      <w:r>
        <w:rPr>
          <w:lang w:val="fr-FR"/>
        </w:rPr>
        <w:t xml:space="preserve">à l’intention des </w:t>
      </w:r>
      <w:r w:rsidRPr="00262910">
        <w:rPr>
          <w:lang w:val="fr-FR"/>
        </w:rPr>
        <w:t xml:space="preserve">enseignants, </w:t>
      </w:r>
      <w:r>
        <w:rPr>
          <w:lang w:val="fr-FR"/>
        </w:rPr>
        <w:t xml:space="preserve">des </w:t>
      </w:r>
      <w:r w:rsidRPr="00262910">
        <w:rPr>
          <w:lang w:val="fr-FR"/>
        </w:rPr>
        <w:t>chefs d</w:t>
      </w:r>
      <w:r>
        <w:rPr>
          <w:lang w:val="fr-FR"/>
        </w:rPr>
        <w:t>’</w:t>
      </w:r>
      <w:r w:rsidRPr="00262910">
        <w:rPr>
          <w:lang w:val="fr-FR"/>
        </w:rPr>
        <w:t xml:space="preserve">établissement et </w:t>
      </w:r>
      <w:r>
        <w:rPr>
          <w:lang w:val="fr-FR"/>
        </w:rPr>
        <w:t xml:space="preserve">des </w:t>
      </w:r>
      <w:r w:rsidRPr="00262910">
        <w:rPr>
          <w:lang w:val="fr-FR"/>
        </w:rPr>
        <w:t xml:space="preserve">autres membres du personnel scolaire. </w:t>
      </w:r>
      <w:r>
        <w:rPr>
          <w:lang w:val="fr-FR"/>
        </w:rPr>
        <w:t xml:space="preserve">Eu égard à </w:t>
      </w:r>
      <w:r w:rsidRPr="00262910">
        <w:rPr>
          <w:lang w:val="fr-FR"/>
        </w:rPr>
        <w:t>la situation p</w:t>
      </w:r>
      <w:r>
        <w:rPr>
          <w:lang w:val="fr-FR"/>
        </w:rPr>
        <w:t xml:space="preserve">ropre à </w:t>
      </w:r>
      <w:r w:rsidRPr="00262910">
        <w:rPr>
          <w:lang w:val="fr-FR"/>
        </w:rPr>
        <w:t>l</w:t>
      </w:r>
      <w:r>
        <w:rPr>
          <w:lang w:val="fr-FR"/>
        </w:rPr>
        <w:t>’</w:t>
      </w:r>
      <w:r w:rsidRPr="00262910">
        <w:rPr>
          <w:lang w:val="fr-FR"/>
        </w:rPr>
        <w:t>école</w:t>
      </w:r>
      <w:r>
        <w:rPr>
          <w:lang w:val="fr-FR"/>
        </w:rPr>
        <w:t xml:space="preserve"> considérée</w:t>
      </w:r>
      <w:r w:rsidRPr="00262910">
        <w:rPr>
          <w:lang w:val="fr-FR"/>
        </w:rPr>
        <w:t xml:space="preserve">, </w:t>
      </w:r>
      <w:r>
        <w:rPr>
          <w:lang w:val="fr-FR"/>
        </w:rPr>
        <w:t xml:space="preserve">le Programme </w:t>
      </w:r>
      <w:r w:rsidRPr="00262910">
        <w:rPr>
          <w:lang w:val="fr-FR"/>
        </w:rPr>
        <w:t>Dembra</w:t>
      </w:r>
      <w:r>
        <w:rPr>
          <w:lang w:val="fr-FR"/>
        </w:rPr>
        <w:t xml:space="preserve"> l’aide à renforcer ses activités concernant </w:t>
      </w:r>
      <w:r w:rsidRPr="00262910">
        <w:rPr>
          <w:lang w:val="fr-FR"/>
        </w:rPr>
        <w:t xml:space="preserve">la participation et la pensée critique. </w:t>
      </w:r>
      <w:r>
        <w:rPr>
          <w:lang w:val="fr-FR"/>
        </w:rPr>
        <w:t xml:space="preserve">Le Programme </w:t>
      </w:r>
      <w:r w:rsidRPr="00262910">
        <w:rPr>
          <w:lang w:val="fr-FR"/>
        </w:rPr>
        <w:t xml:space="preserve">Dembra </w:t>
      </w:r>
      <w:r>
        <w:rPr>
          <w:lang w:val="fr-FR"/>
        </w:rPr>
        <w:t xml:space="preserve">est adapté </w:t>
      </w:r>
      <w:r w:rsidRPr="00262910">
        <w:rPr>
          <w:lang w:val="fr-FR"/>
        </w:rPr>
        <w:t xml:space="preserve">aux écoles dont les </w:t>
      </w:r>
      <w:r>
        <w:rPr>
          <w:lang w:val="fr-FR"/>
        </w:rPr>
        <w:t xml:space="preserve">cadres </w:t>
      </w:r>
      <w:r w:rsidRPr="00262910">
        <w:rPr>
          <w:lang w:val="fr-FR"/>
        </w:rPr>
        <w:t>et les enseignants souhaitent adopter une approche plus systématique de la pensée critique, du développement démocratique et de l</w:t>
      </w:r>
      <w:r>
        <w:rPr>
          <w:lang w:val="fr-FR"/>
        </w:rPr>
        <w:t>’</w:t>
      </w:r>
      <w:r w:rsidRPr="00262910">
        <w:rPr>
          <w:lang w:val="fr-FR"/>
        </w:rPr>
        <w:t xml:space="preserve">inclusion, et/ou </w:t>
      </w:r>
      <w:r>
        <w:rPr>
          <w:lang w:val="fr-FR"/>
        </w:rPr>
        <w:t xml:space="preserve">qui </w:t>
      </w:r>
      <w:r w:rsidRPr="00262910">
        <w:rPr>
          <w:lang w:val="fr-FR"/>
        </w:rPr>
        <w:t xml:space="preserve">constatent que leur école a connu ou pourrait connaître des difficultés particulières </w:t>
      </w:r>
      <w:r>
        <w:rPr>
          <w:lang w:val="fr-FR"/>
        </w:rPr>
        <w:t xml:space="preserve">du fait d’une </w:t>
      </w:r>
      <w:r w:rsidRPr="00262910">
        <w:rPr>
          <w:lang w:val="fr-FR"/>
        </w:rPr>
        <w:t xml:space="preserve">hostilité </w:t>
      </w:r>
      <w:r>
        <w:rPr>
          <w:lang w:val="fr-FR"/>
        </w:rPr>
        <w:t>entre groupes</w:t>
      </w:r>
      <w:r w:rsidRPr="00262910">
        <w:rPr>
          <w:lang w:val="fr-FR"/>
        </w:rPr>
        <w:t>.</w:t>
      </w:r>
    </w:p>
    <w:p w:rsidR="001771B8" w:rsidRPr="00262910" w:rsidRDefault="001771B8" w:rsidP="001771B8">
      <w:pPr>
        <w:pStyle w:val="H1G"/>
        <w:rPr>
          <w:lang w:val="fr-FR"/>
        </w:rPr>
      </w:pPr>
      <w:r w:rsidRPr="00262910">
        <w:rPr>
          <w:lang w:val="fr-FR"/>
        </w:rPr>
        <w:tab/>
      </w:r>
      <w:r w:rsidRPr="00262910">
        <w:rPr>
          <w:lang w:val="fr-FR"/>
        </w:rPr>
        <w:tab/>
      </w:r>
      <w:r w:rsidRPr="00776513">
        <w:rPr>
          <w:lang w:val="fr-FR"/>
        </w:rPr>
        <w:t>Réponse a</w:t>
      </w:r>
      <w:r w:rsidRPr="00D464E8">
        <w:rPr>
          <w:lang w:val="fr-FR"/>
        </w:rPr>
        <w:t>u paragraphe</w:t>
      </w:r>
      <w:r w:rsidRPr="00262910">
        <w:rPr>
          <w:lang w:val="fr-FR"/>
        </w:rPr>
        <w:t xml:space="preserve"> 30 f) de la liste de points</w:t>
      </w:r>
    </w:p>
    <w:p w:rsidR="001771B8" w:rsidRPr="00262910" w:rsidRDefault="001771B8" w:rsidP="001771B8">
      <w:pPr>
        <w:pStyle w:val="SingleTxtG"/>
        <w:rPr>
          <w:lang w:val="fr-FR"/>
        </w:rPr>
      </w:pPr>
      <w:r w:rsidRPr="00262910">
        <w:rPr>
          <w:lang w:val="fr-FR"/>
        </w:rPr>
        <w:t>234.</w:t>
      </w:r>
      <w:r w:rsidRPr="00262910">
        <w:rPr>
          <w:lang w:val="fr-FR"/>
        </w:rPr>
        <w:tab/>
      </w:r>
      <w:r w:rsidRPr="002F2C6F">
        <w:rPr>
          <w:lang w:val="fr-FR"/>
        </w:rPr>
        <w:t>Pour tous les enfants en âge d</w:t>
      </w:r>
      <w:r>
        <w:rPr>
          <w:lang w:val="fr-FR"/>
        </w:rPr>
        <w:t xml:space="preserve">’être scolarisés dans le </w:t>
      </w:r>
      <w:r w:rsidRPr="002F2C6F">
        <w:rPr>
          <w:lang w:val="fr-FR"/>
        </w:rPr>
        <w:t>primaire</w:t>
      </w:r>
      <w:r w:rsidRPr="00262910">
        <w:rPr>
          <w:lang w:val="fr-FR"/>
        </w:rPr>
        <w:t xml:space="preserve">, </w:t>
      </w:r>
      <w:r>
        <w:rPr>
          <w:lang w:val="fr-FR"/>
        </w:rPr>
        <w:t xml:space="preserve">dont </w:t>
      </w:r>
      <w:r w:rsidRPr="00262910">
        <w:rPr>
          <w:lang w:val="fr-FR"/>
        </w:rPr>
        <w:t xml:space="preserve">les enfants roms, </w:t>
      </w:r>
      <w:r>
        <w:rPr>
          <w:lang w:val="fr-FR"/>
        </w:rPr>
        <w:t>suivre une éducation est un droit et un devoir</w:t>
      </w:r>
      <w:r w:rsidRPr="00262910">
        <w:rPr>
          <w:lang w:val="fr-FR"/>
        </w:rPr>
        <w:t xml:space="preserve">. Les autorités locales sont </w:t>
      </w:r>
      <w:r>
        <w:rPr>
          <w:lang w:val="fr-FR"/>
        </w:rPr>
        <w:t xml:space="preserve">chargées de surveiller la scolarisation et sont légalement tenues de déterminer si des </w:t>
      </w:r>
      <w:r w:rsidRPr="00262910">
        <w:rPr>
          <w:lang w:val="fr-FR"/>
        </w:rPr>
        <w:t xml:space="preserve">enfants ne </w:t>
      </w:r>
      <w:r>
        <w:rPr>
          <w:lang w:val="fr-FR"/>
        </w:rPr>
        <w:t>sont pas scolarisés</w:t>
      </w:r>
      <w:r w:rsidRPr="00262910">
        <w:rPr>
          <w:lang w:val="fr-FR"/>
        </w:rPr>
        <w:t>. L</w:t>
      </w:r>
      <w:r>
        <w:rPr>
          <w:lang w:val="fr-FR"/>
        </w:rPr>
        <w:t xml:space="preserve">’itinérance ne </w:t>
      </w:r>
      <w:r w:rsidRPr="00262910">
        <w:rPr>
          <w:lang w:val="fr-FR"/>
        </w:rPr>
        <w:t>dispense</w:t>
      </w:r>
      <w:r>
        <w:rPr>
          <w:lang w:val="fr-FR"/>
        </w:rPr>
        <w:t xml:space="preserve"> pas d</w:t>
      </w:r>
      <w:r w:rsidRPr="00262910">
        <w:rPr>
          <w:lang w:val="fr-FR"/>
        </w:rPr>
        <w:t>e l</w:t>
      </w:r>
      <w:r>
        <w:rPr>
          <w:lang w:val="fr-FR"/>
        </w:rPr>
        <w:t>’</w:t>
      </w:r>
      <w:r w:rsidRPr="00262910">
        <w:rPr>
          <w:lang w:val="fr-FR"/>
        </w:rPr>
        <w:t xml:space="preserve">obligation </w:t>
      </w:r>
      <w:r>
        <w:rPr>
          <w:lang w:val="fr-FR"/>
        </w:rPr>
        <w:t>scolaire</w:t>
      </w:r>
      <w:r w:rsidRPr="00262910">
        <w:rPr>
          <w:lang w:val="fr-FR"/>
        </w:rPr>
        <w:t>. Le dialogue entre les autorités et les Roms s</w:t>
      </w:r>
      <w:r>
        <w:rPr>
          <w:lang w:val="fr-FR"/>
        </w:rPr>
        <w:t>’</w:t>
      </w:r>
      <w:r w:rsidRPr="00262910">
        <w:rPr>
          <w:lang w:val="fr-FR"/>
        </w:rPr>
        <w:t>est amélioré et les Roms semblent comprendre que leurs enfants doivent aller à l</w:t>
      </w:r>
      <w:r>
        <w:rPr>
          <w:lang w:val="fr-FR"/>
        </w:rPr>
        <w:t>’</w:t>
      </w:r>
      <w:r w:rsidRPr="00262910">
        <w:rPr>
          <w:lang w:val="fr-FR"/>
        </w:rPr>
        <w:t>école, même si les voyages sont traditionnellement un élément central de leur culture.</w:t>
      </w:r>
    </w:p>
    <w:p w:rsidR="001771B8" w:rsidRPr="00262910" w:rsidRDefault="001771B8" w:rsidP="001771B8">
      <w:pPr>
        <w:pStyle w:val="SingleTxtG"/>
        <w:rPr>
          <w:lang w:val="fr-FR"/>
        </w:rPr>
      </w:pPr>
      <w:r w:rsidRPr="00262910">
        <w:rPr>
          <w:lang w:val="fr-FR"/>
        </w:rPr>
        <w:t>235.</w:t>
      </w:r>
      <w:r w:rsidRPr="00262910">
        <w:rPr>
          <w:lang w:val="fr-FR"/>
        </w:rPr>
        <w:tab/>
        <w:t xml:space="preserve">Le </w:t>
      </w:r>
      <w:r>
        <w:rPr>
          <w:lang w:val="fr-FR"/>
        </w:rPr>
        <w:t>M</w:t>
      </w:r>
      <w:r w:rsidRPr="00262910">
        <w:rPr>
          <w:lang w:val="fr-FR"/>
        </w:rPr>
        <w:t>inistère de l</w:t>
      </w:r>
      <w:r>
        <w:rPr>
          <w:lang w:val="fr-FR"/>
        </w:rPr>
        <w:t>’</w:t>
      </w:r>
      <w:r w:rsidRPr="00262910">
        <w:rPr>
          <w:lang w:val="fr-FR"/>
        </w:rPr>
        <w:t xml:space="preserve">administration locale et de la modernisation finance le programme « Skolelos </w:t>
      </w:r>
      <w:r>
        <w:rPr>
          <w:lang w:val="fr-FR"/>
        </w:rPr>
        <w:t>for</w:t>
      </w:r>
      <w:r w:rsidRPr="00262910">
        <w:rPr>
          <w:lang w:val="fr-FR"/>
        </w:rPr>
        <w:t xml:space="preserve"> romelever</w:t>
      </w:r>
      <w:r>
        <w:rPr>
          <w:lang w:val="fr-FR"/>
        </w:rPr>
        <w:t> » (Aide à la scolarisation d</w:t>
      </w:r>
      <w:r w:rsidRPr="002F2C6F">
        <w:rPr>
          <w:lang w:val="fr-FR"/>
        </w:rPr>
        <w:t>es élèves roms</w:t>
      </w:r>
      <w:r>
        <w:rPr>
          <w:lang w:val="fr-FR"/>
        </w:rPr>
        <w:t>)</w:t>
      </w:r>
      <w:r w:rsidRPr="002F2C6F">
        <w:rPr>
          <w:lang w:val="fr-FR"/>
        </w:rPr>
        <w:t xml:space="preserve"> mis en place par la </w:t>
      </w:r>
      <w:r>
        <w:rPr>
          <w:lang w:val="fr-FR"/>
        </w:rPr>
        <w:t xml:space="preserve">municipalité </w:t>
      </w:r>
      <w:r w:rsidRPr="002F2C6F">
        <w:rPr>
          <w:lang w:val="fr-FR"/>
        </w:rPr>
        <w:t>d</w:t>
      </w:r>
      <w:r>
        <w:rPr>
          <w:lang w:val="fr-FR"/>
        </w:rPr>
        <w:t>’</w:t>
      </w:r>
      <w:r w:rsidRPr="002F2C6F">
        <w:rPr>
          <w:lang w:val="fr-FR"/>
        </w:rPr>
        <w:t>Oslo</w:t>
      </w:r>
      <w:r>
        <w:rPr>
          <w:lang w:val="fr-FR"/>
        </w:rPr>
        <w:t xml:space="preserve"> dans le but de </w:t>
      </w:r>
      <w:r w:rsidRPr="00262910">
        <w:rPr>
          <w:lang w:val="fr-FR"/>
        </w:rPr>
        <w:t xml:space="preserve">renforcer les acquis scolaires des élèves roms, </w:t>
      </w:r>
      <w:r>
        <w:rPr>
          <w:lang w:val="fr-FR"/>
        </w:rPr>
        <w:t>de réduire leur absentéisme</w:t>
      </w:r>
      <w:r w:rsidRPr="00262910">
        <w:rPr>
          <w:lang w:val="fr-FR"/>
        </w:rPr>
        <w:t xml:space="preserve"> et </w:t>
      </w:r>
      <w:r>
        <w:rPr>
          <w:lang w:val="fr-FR"/>
        </w:rPr>
        <w:t xml:space="preserve">de relever leur </w:t>
      </w:r>
      <w:r w:rsidRPr="00262910">
        <w:rPr>
          <w:lang w:val="fr-FR"/>
        </w:rPr>
        <w:t>taux de réussite aux niveaux du primaire et du premier cycle du secondaire. Le programme a été encore renforcé en 2019.</w:t>
      </w:r>
    </w:p>
    <w:p w:rsidR="001771B8" w:rsidRPr="00262910" w:rsidRDefault="001771B8" w:rsidP="001771B8">
      <w:pPr>
        <w:pStyle w:val="H1G"/>
        <w:rPr>
          <w:lang w:val="fr-FR"/>
        </w:rPr>
      </w:pPr>
      <w:r w:rsidRPr="00262910">
        <w:rPr>
          <w:lang w:val="fr-FR"/>
        </w:rPr>
        <w:tab/>
      </w:r>
      <w:r w:rsidRPr="00262910">
        <w:rPr>
          <w:lang w:val="fr-FR"/>
        </w:rPr>
        <w:tab/>
        <w:t>Réponse au paragraphe 30 g) de la liste de points</w:t>
      </w:r>
    </w:p>
    <w:p w:rsidR="001771B8" w:rsidRPr="00262910" w:rsidRDefault="001771B8" w:rsidP="001771B8">
      <w:pPr>
        <w:pStyle w:val="SingleTxtG"/>
        <w:rPr>
          <w:lang w:val="fr-FR"/>
        </w:rPr>
      </w:pPr>
      <w:r w:rsidRPr="00262910">
        <w:rPr>
          <w:lang w:val="fr-FR"/>
        </w:rPr>
        <w:t>236.</w:t>
      </w:r>
      <w:r w:rsidRPr="00262910">
        <w:rPr>
          <w:lang w:val="fr-FR"/>
        </w:rPr>
        <w:tab/>
      </w:r>
      <w:r w:rsidRPr="00576596">
        <w:rPr>
          <w:lang w:val="fr-FR"/>
        </w:rPr>
        <w:t>Depuis 2014,</w:t>
      </w:r>
      <w:r w:rsidRPr="00262910">
        <w:rPr>
          <w:lang w:val="fr-FR"/>
        </w:rPr>
        <w:t xml:space="preserve"> les mineurs âgés de 16 à 18 ans qui demandent un permis de séjour ont </w:t>
      </w:r>
      <w:r>
        <w:rPr>
          <w:lang w:val="fr-FR"/>
        </w:rPr>
        <w:t xml:space="preserve">accès au deuxième cycle du </w:t>
      </w:r>
      <w:r w:rsidRPr="00262910">
        <w:rPr>
          <w:lang w:val="fr-FR"/>
        </w:rPr>
        <w:t>secondaire, ou à l</w:t>
      </w:r>
      <w:r>
        <w:rPr>
          <w:lang w:val="fr-FR"/>
        </w:rPr>
        <w:t>’</w:t>
      </w:r>
      <w:r w:rsidRPr="00262910">
        <w:rPr>
          <w:lang w:val="fr-FR"/>
        </w:rPr>
        <w:t xml:space="preserve">enseignement primaire </w:t>
      </w:r>
      <w:r>
        <w:rPr>
          <w:lang w:val="fr-FR"/>
        </w:rPr>
        <w:t xml:space="preserve">ou </w:t>
      </w:r>
      <w:r w:rsidRPr="00262910">
        <w:rPr>
          <w:lang w:val="fr-FR"/>
        </w:rPr>
        <w:t>secondaire d</w:t>
      </w:r>
      <w:r>
        <w:rPr>
          <w:lang w:val="fr-FR"/>
        </w:rPr>
        <w:t>u</w:t>
      </w:r>
      <w:r w:rsidRPr="00262910">
        <w:rPr>
          <w:lang w:val="fr-FR"/>
        </w:rPr>
        <w:t xml:space="preserve"> premier cycle pour adultes, s</w:t>
      </w:r>
      <w:r>
        <w:rPr>
          <w:lang w:val="fr-FR"/>
        </w:rPr>
        <w:t xml:space="preserve">i la durée probable de leur séjour en </w:t>
      </w:r>
      <w:r w:rsidRPr="00262910">
        <w:rPr>
          <w:lang w:val="fr-FR"/>
        </w:rPr>
        <w:t xml:space="preserve">Norvège </w:t>
      </w:r>
      <w:r>
        <w:rPr>
          <w:lang w:val="fr-FR"/>
        </w:rPr>
        <w:t xml:space="preserve">dépasse </w:t>
      </w:r>
      <w:r w:rsidRPr="00262910">
        <w:rPr>
          <w:lang w:val="fr-FR"/>
        </w:rPr>
        <w:t>trois mois.</w:t>
      </w:r>
    </w:p>
    <w:p w:rsidR="001771B8" w:rsidRPr="00262910" w:rsidRDefault="001771B8" w:rsidP="001771B8">
      <w:pPr>
        <w:pStyle w:val="SingleTxtG"/>
        <w:rPr>
          <w:lang w:val="fr-FR"/>
        </w:rPr>
      </w:pPr>
      <w:r w:rsidRPr="00262910">
        <w:rPr>
          <w:lang w:val="fr-FR"/>
        </w:rPr>
        <w:t>237.</w:t>
      </w:r>
      <w:r w:rsidRPr="00262910">
        <w:rPr>
          <w:lang w:val="fr-FR"/>
        </w:rPr>
        <w:tab/>
        <w:t>Les mineurs non accompagnés demandeurs d</w:t>
      </w:r>
      <w:r>
        <w:rPr>
          <w:lang w:val="fr-FR"/>
        </w:rPr>
        <w:t>’</w:t>
      </w:r>
      <w:r w:rsidRPr="00262910">
        <w:rPr>
          <w:lang w:val="fr-FR"/>
        </w:rPr>
        <w:t>asile titulaires d</w:t>
      </w:r>
      <w:r>
        <w:rPr>
          <w:lang w:val="fr-FR"/>
        </w:rPr>
        <w:t>’</w:t>
      </w:r>
      <w:r w:rsidRPr="00262910">
        <w:rPr>
          <w:lang w:val="fr-FR"/>
        </w:rPr>
        <w:t xml:space="preserve">un permis de séjour </w:t>
      </w:r>
      <w:r>
        <w:rPr>
          <w:lang w:val="fr-FR"/>
        </w:rPr>
        <w:t>de d</w:t>
      </w:r>
      <w:r w:rsidRPr="00262910">
        <w:rPr>
          <w:lang w:val="fr-FR"/>
        </w:rPr>
        <w:t xml:space="preserve">urée limitée ont </w:t>
      </w:r>
      <w:r>
        <w:rPr>
          <w:lang w:val="fr-FR"/>
        </w:rPr>
        <w:t>eux aussi a</w:t>
      </w:r>
      <w:r w:rsidRPr="00262910">
        <w:rPr>
          <w:lang w:val="fr-FR"/>
        </w:rPr>
        <w:t xml:space="preserve">ccès </w:t>
      </w:r>
      <w:r>
        <w:rPr>
          <w:lang w:val="fr-FR"/>
        </w:rPr>
        <w:t xml:space="preserve">au deuxième cycle du </w:t>
      </w:r>
      <w:r w:rsidRPr="00262910">
        <w:rPr>
          <w:lang w:val="fr-FR"/>
        </w:rPr>
        <w:t>secondaire.</w:t>
      </w:r>
    </w:p>
    <w:p w:rsidR="001771B8" w:rsidRPr="00262910" w:rsidRDefault="001771B8" w:rsidP="001771B8">
      <w:pPr>
        <w:pStyle w:val="SingleTxtG"/>
        <w:rPr>
          <w:lang w:val="fr-FR"/>
        </w:rPr>
      </w:pPr>
      <w:r w:rsidRPr="00262910">
        <w:rPr>
          <w:lang w:val="fr-FR"/>
        </w:rPr>
        <w:t>238.</w:t>
      </w:r>
      <w:r w:rsidRPr="00262910">
        <w:rPr>
          <w:lang w:val="fr-FR"/>
        </w:rPr>
        <w:tab/>
      </w:r>
      <w:r w:rsidRPr="00D67630">
        <w:rPr>
          <w:lang w:val="fr-FR"/>
        </w:rPr>
        <w:t>Depuis juin 2016,</w:t>
      </w:r>
      <w:r w:rsidRPr="00262910">
        <w:rPr>
          <w:lang w:val="fr-FR"/>
        </w:rPr>
        <w:t xml:space="preserve"> les personnes </w:t>
      </w:r>
      <w:r>
        <w:rPr>
          <w:lang w:val="fr-FR"/>
        </w:rPr>
        <w:t xml:space="preserve">ayant droit à un </w:t>
      </w:r>
      <w:r w:rsidRPr="00262910">
        <w:rPr>
          <w:lang w:val="fr-FR"/>
        </w:rPr>
        <w:t xml:space="preserve">enseignement </w:t>
      </w:r>
      <w:r>
        <w:rPr>
          <w:lang w:val="fr-FR"/>
        </w:rPr>
        <w:t xml:space="preserve">du </w:t>
      </w:r>
      <w:r w:rsidRPr="00262910">
        <w:rPr>
          <w:lang w:val="fr-FR"/>
        </w:rPr>
        <w:t xml:space="preserve">deuxième cycle </w:t>
      </w:r>
      <w:r>
        <w:rPr>
          <w:lang w:val="fr-FR"/>
        </w:rPr>
        <w:t>du secondaire peuvent</w:t>
      </w:r>
      <w:r w:rsidRPr="00262910">
        <w:rPr>
          <w:lang w:val="fr-FR"/>
        </w:rPr>
        <w:t xml:space="preserve">, si nécessaire, </w:t>
      </w:r>
      <w:r>
        <w:rPr>
          <w:lang w:val="fr-FR"/>
        </w:rPr>
        <w:t xml:space="preserve">suivre </w:t>
      </w:r>
      <w:r w:rsidRPr="00262910">
        <w:rPr>
          <w:lang w:val="fr-FR"/>
        </w:rPr>
        <w:t xml:space="preserve">au préalable ou en </w:t>
      </w:r>
      <w:r>
        <w:rPr>
          <w:lang w:val="fr-FR"/>
        </w:rPr>
        <w:t>parallèle u</w:t>
      </w:r>
      <w:r w:rsidRPr="00262910">
        <w:rPr>
          <w:lang w:val="fr-FR"/>
        </w:rPr>
        <w:t>n enseignement</w:t>
      </w:r>
      <w:r w:rsidRPr="00576596">
        <w:rPr>
          <w:lang w:val="fr-FR"/>
        </w:rPr>
        <w:t xml:space="preserve"> complémentaire</w:t>
      </w:r>
      <w:r w:rsidRPr="00262910">
        <w:rPr>
          <w:lang w:val="fr-FR"/>
        </w:rPr>
        <w:t xml:space="preserve"> primaire </w:t>
      </w:r>
      <w:r>
        <w:rPr>
          <w:lang w:val="fr-FR"/>
        </w:rPr>
        <w:t xml:space="preserve">ou du </w:t>
      </w:r>
      <w:r w:rsidRPr="00262910">
        <w:rPr>
          <w:lang w:val="fr-FR"/>
        </w:rPr>
        <w:t>premier cycle</w:t>
      </w:r>
      <w:r>
        <w:rPr>
          <w:lang w:val="fr-FR"/>
        </w:rPr>
        <w:t xml:space="preserve"> du </w:t>
      </w:r>
      <w:r w:rsidRPr="00576596">
        <w:rPr>
          <w:lang w:val="fr-FR"/>
        </w:rPr>
        <w:t>secondaire</w:t>
      </w:r>
      <w:r w:rsidRPr="00262910">
        <w:rPr>
          <w:lang w:val="fr-FR"/>
        </w:rPr>
        <w:t xml:space="preserve">. </w:t>
      </w:r>
    </w:p>
    <w:p w:rsidR="001771B8" w:rsidRPr="00262910" w:rsidRDefault="001771B8" w:rsidP="001771B8">
      <w:pPr>
        <w:pStyle w:val="SingleTxtG"/>
        <w:rPr>
          <w:lang w:val="fr-FR"/>
        </w:rPr>
      </w:pPr>
      <w:r w:rsidRPr="00262910">
        <w:rPr>
          <w:lang w:val="fr-FR"/>
        </w:rPr>
        <w:t>239.</w:t>
      </w:r>
      <w:r w:rsidRPr="00262910">
        <w:rPr>
          <w:lang w:val="fr-FR"/>
        </w:rPr>
        <w:tab/>
        <w:t xml:space="preserve">Le droit des personnes âgées de 16 à 18 ans </w:t>
      </w:r>
      <w:r w:rsidRPr="00D67630">
        <w:rPr>
          <w:lang w:val="fr-FR"/>
        </w:rPr>
        <w:t>à l</w:t>
      </w:r>
      <w:r>
        <w:rPr>
          <w:lang w:val="fr-FR"/>
        </w:rPr>
        <w:t>’</w:t>
      </w:r>
      <w:r w:rsidRPr="00D67630">
        <w:rPr>
          <w:lang w:val="fr-FR"/>
        </w:rPr>
        <w:t xml:space="preserve">éducation </w:t>
      </w:r>
      <w:r w:rsidRPr="00262910">
        <w:rPr>
          <w:lang w:val="fr-FR"/>
        </w:rPr>
        <w:t xml:space="preserve">cesse en cas de rejet définitif de leur demande de permis de séjour. </w:t>
      </w:r>
    </w:p>
    <w:p w:rsidR="001771B8" w:rsidRPr="00262910" w:rsidRDefault="001771B8" w:rsidP="001771B8">
      <w:pPr>
        <w:pStyle w:val="SingleTxtG"/>
        <w:rPr>
          <w:lang w:val="fr-FR"/>
        </w:rPr>
      </w:pPr>
      <w:r w:rsidRPr="00262910">
        <w:rPr>
          <w:lang w:val="fr-FR"/>
        </w:rPr>
        <w:t>240.</w:t>
      </w:r>
      <w:r w:rsidRPr="00262910">
        <w:rPr>
          <w:lang w:val="fr-FR"/>
        </w:rPr>
        <w:tab/>
      </w:r>
      <w:r w:rsidRPr="00DE16BC">
        <w:rPr>
          <w:lang w:val="fr-FR"/>
        </w:rPr>
        <w:t>Les demandeurs</w:t>
      </w:r>
      <w:r w:rsidRPr="00262910">
        <w:rPr>
          <w:lang w:val="fr-FR"/>
        </w:rPr>
        <w:t xml:space="preserve"> d</w:t>
      </w:r>
      <w:r>
        <w:rPr>
          <w:lang w:val="fr-FR"/>
        </w:rPr>
        <w:t>’</w:t>
      </w:r>
      <w:r w:rsidRPr="00262910">
        <w:rPr>
          <w:lang w:val="fr-FR"/>
        </w:rPr>
        <w:t>asile mineurs non accompagnés</w:t>
      </w:r>
      <w:r>
        <w:rPr>
          <w:lang w:val="fr-FR"/>
        </w:rPr>
        <w:t xml:space="preserve"> </w:t>
      </w:r>
      <w:r w:rsidRPr="00262910">
        <w:rPr>
          <w:lang w:val="fr-FR"/>
        </w:rPr>
        <w:t>titulaires d</w:t>
      </w:r>
      <w:r>
        <w:rPr>
          <w:lang w:val="fr-FR"/>
        </w:rPr>
        <w:t>’</w:t>
      </w:r>
      <w:r w:rsidRPr="00262910">
        <w:rPr>
          <w:lang w:val="fr-FR"/>
        </w:rPr>
        <w:t xml:space="preserve">un permis de séjour </w:t>
      </w:r>
      <w:r>
        <w:rPr>
          <w:lang w:val="fr-FR"/>
        </w:rPr>
        <w:t>de</w:t>
      </w:r>
      <w:r w:rsidRPr="00262910">
        <w:rPr>
          <w:lang w:val="fr-FR"/>
        </w:rPr>
        <w:t xml:space="preserve"> durée limitée ou déboutés ont le droit de demander </w:t>
      </w:r>
      <w:r>
        <w:rPr>
          <w:lang w:val="fr-FR"/>
        </w:rPr>
        <w:t xml:space="preserve">une aide financière pour l’acquisition de </w:t>
      </w:r>
      <w:r w:rsidRPr="00262910">
        <w:rPr>
          <w:lang w:val="fr-FR"/>
        </w:rPr>
        <w:t xml:space="preserve">compétences afin </w:t>
      </w:r>
      <w:r>
        <w:rPr>
          <w:lang w:val="fr-FR"/>
        </w:rPr>
        <w:t xml:space="preserve">de mieux se préparer à </w:t>
      </w:r>
      <w:r w:rsidRPr="00262910">
        <w:rPr>
          <w:lang w:val="fr-FR"/>
        </w:rPr>
        <w:t>travailler dans leur pays d</w:t>
      </w:r>
      <w:r>
        <w:rPr>
          <w:lang w:val="fr-FR"/>
        </w:rPr>
        <w:t>’</w:t>
      </w:r>
      <w:r w:rsidRPr="00262910">
        <w:rPr>
          <w:lang w:val="fr-FR"/>
        </w:rPr>
        <w:t>origine.</w:t>
      </w:r>
    </w:p>
    <w:p w:rsidR="001771B8" w:rsidRPr="00262910" w:rsidRDefault="001771B8" w:rsidP="001771B8">
      <w:pPr>
        <w:pStyle w:val="SingleTxtG"/>
        <w:rPr>
          <w:lang w:val="fr-FR"/>
        </w:rPr>
      </w:pPr>
      <w:r w:rsidRPr="00262910">
        <w:rPr>
          <w:lang w:val="fr-FR"/>
        </w:rPr>
        <w:t>241.</w:t>
      </w:r>
      <w:r w:rsidRPr="00262910">
        <w:rPr>
          <w:lang w:val="fr-FR"/>
        </w:rPr>
        <w:tab/>
      </w:r>
      <w:r>
        <w:rPr>
          <w:lang w:val="fr-FR"/>
        </w:rPr>
        <w:t xml:space="preserve">Les </w:t>
      </w:r>
      <w:r w:rsidRPr="00262910">
        <w:rPr>
          <w:lang w:val="fr-FR"/>
        </w:rPr>
        <w:t xml:space="preserve">jeunes </w:t>
      </w:r>
      <w:r>
        <w:rPr>
          <w:lang w:val="fr-FR"/>
        </w:rPr>
        <w:t xml:space="preserve">qui ne </w:t>
      </w:r>
      <w:r w:rsidRPr="00262910">
        <w:rPr>
          <w:lang w:val="fr-FR"/>
        </w:rPr>
        <w:t>résid</w:t>
      </w:r>
      <w:r>
        <w:rPr>
          <w:lang w:val="fr-FR"/>
        </w:rPr>
        <w:t>e</w:t>
      </w:r>
      <w:r w:rsidRPr="00262910">
        <w:rPr>
          <w:lang w:val="fr-FR"/>
        </w:rPr>
        <w:t>nt pas légalement en Norvège</w:t>
      </w:r>
      <w:r w:rsidRPr="00DE16BC">
        <w:rPr>
          <w:lang w:val="fr-FR"/>
        </w:rPr>
        <w:t xml:space="preserve"> </w:t>
      </w:r>
      <w:r>
        <w:rPr>
          <w:lang w:val="fr-FR"/>
        </w:rPr>
        <w:t>n’ont pas droit à l’</w:t>
      </w:r>
      <w:r w:rsidRPr="00DE16BC">
        <w:rPr>
          <w:lang w:val="fr-FR"/>
        </w:rPr>
        <w:t xml:space="preserve">enseignement </w:t>
      </w:r>
      <w:r>
        <w:rPr>
          <w:lang w:val="fr-FR"/>
        </w:rPr>
        <w:t>du</w:t>
      </w:r>
      <w:r w:rsidRPr="00DE16BC">
        <w:rPr>
          <w:lang w:val="fr-FR"/>
        </w:rPr>
        <w:t xml:space="preserve"> deuxième cycle</w:t>
      </w:r>
      <w:r>
        <w:rPr>
          <w:lang w:val="fr-FR"/>
        </w:rPr>
        <w:t xml:space="preserve"> du secondaire</w:t>
      </w:r>
      <w:r w:rsidRPr="00262910">
        <w:rPr>
          <w:lang w:val="fr-FR"/>
        </w:rPr>
        <w:t xml:space="preserve">. </w:t>
      </w:r>
      <w:r>
        <w:rPr>
          <w:lang w:val="fr-FR"/>
        </w:rPr>
        <w:t xml:space="preserve">Dans la réalisation </w:t>
      </w:r>
      <w:r w:rsidRPr="00262910">
        <w:rPr>
          <w:lang w:val="fr-FR"/>
        </w:rPr>
        <w:t>de ce droit, l</w:t>
      </w:r>
      <w:r>
        <w:rPr>
          <w:lang w:val="fr-FR"/>
        </w:rPr>
        <w:t>’</w:t>
      </w:r>
      <w:r w:rsidRPr="00262910">
        <w:rPr>
          <w:lang w:val="fr-FR"/>
        </w:rPr>
        <w:t xml:space="preserve">accent </w:t>
      </w:r>
      <w:r>
        <w:rPr>
          <w:lang w:val="fr-FR"/>
        </w:rPr>
        <w:t xml:space="preserve">est </w:t>
      </w:r>
      <w:r w:rsidRPr="00262910">
        <w:rPr>
          <w:lang w:val="fr-FR"/>
        </w:rPr>
        <w:t>mis sur la recherche d</w:t>
      </w:r>
      <w:r>
        <w:rPr>
          <w:lang w:val="fr-FR"/>
        </w:rPr>
        <w:t>’</w:t>
      </w:r>
      <w:r w:rsidRPr="00262910">
        <w:rPr>
          <w:lang w:val="fr-FR"/>
        </w:rPr>
        <w:t>un équilibre entre</w:t>
      </w:r>
      <w:r>
        <w:rPr>
          <w:lang w:val="fr-FR"/>
        </w:rPr>
        <w:t xml:space="preserve"> les b</w:t>
      </w:r>
      <w:r w:rsidRPr="00262910">
        <w:rPr>
          <w:lang w:val="fr-FR"/>
        </w:rPr>
        <w:t>esoins individuels en matière d</w:t>
      </w:r>
      <w:r>
        <w:rPr>
          <w:lang w:val="fr-FR"/>
        </w:rPr>
        <w:t>’</w:t>
      </w:r>
      <w:r w:rsidRPr="00262910">
        <w:rPr>
          <w:lang w:val="fr-FR"/>
        </w:rPr>
        <w:t>éducation et d</w:t>
      </w:r>
      <w:r>
        <w:rPr>
          <w:lang w:val="fr-FR"/>
        </w:rPr>
        <w:t>’</w:t>
      </w:r>
      <w:r w:rsidRPr="00262910">
        <w:rPr>
          <w:lang w:val="fr-FR"/>
        </w:rPr>
        <w:t xml:space="preserve">autres considérations sociales </w:t>
      </w:r>
      <w:r>
        <w:rPr>
          <w:lang w:val="fr-FR"/>
        </w:rPr>
        <w:t>majeures</w:t>
      </w:r>
      <w:r w:rsidRPr="00262910">
        <w:rPr>
          <w:lang w:val="fr-FR"/>
        </w:rPr>
        <w:t xml:space="preserve">, </w:t>
      </w:r>
      <w:r>
        <w:rPr>
          <w:lang w:val="fr-FR"/>
        </w:rPr>
        <w:t xml:space="preserve">dont </w:t>
      </w:r>
      <w:r w:rsidRPr="00262910">
        <w:rPr>
          <w:lang w:val="fr-FR"/>
        </w:rPr>
        <w:t xml:space="preserve">la réglementation </w:t>
      </w:r>
      <w:r>
        <w:rPr>
          <w:lang w:val="fr-FR"/>
        </w:rPr>
        <w:t>relative à l’</w:t>
      </w:r>
      <w:r w:rsidRPr="00262910">
        <w:rPr>
          <w:lang w:val="fr-FR"/>
        </w:rPr>
        <w:t>immigration.</w:t>
      </w:r>
    </w:p>
    <w:p w:rsidR="001771B8" w:rsidRPr="00262910" w:rsidRDefault="001771B8" w:rsidP="001771B8">
      <w:pPr>
        <w:pStyle w:val="H1G"/>
        <w:rPr>
          <w:lang w:val="fr-FR"/>
        </w:rPr>
      </w:pPr>
      <w:r w:rsidRPr="00262910">
        <w:rPr>
          <w:lang w:val="fr-FR"/>
        </w:rPr>
        <w:tab/>
      </w:r>
      <w:r w:rsidRPr="00262910">
        <w:rPr>
          <w:lang w:val="fr-FR"/>
        </w:rPr>
        <w:tab/>
      </w:r>
      <w:r w:rsidRPr="00872AC3">
        <w:rPr>
          <w:lang w:val="fr-FR"/>
        </w:rPr>
        <w:t>Réponse au paragraphe</w:t>
      </w:r>
      <w:r w:rsidRPr="00262910">
        <w:rPr>
          <w:lang w:val="fr-FR"/>
        </w:rPr>
        <w:t xml:space="preserve"> 30 h) de la liste de points</w:t>
      </w:r>
    </w:p>
    <w:p w:rsidR="001771B8" w:rsidRPr="00262910" w:rsidRDefault="001771B8" w:rsidP="001771B8">
      <w:pPr>
        <w:pStyle w:val="SingleTxtG"/>
        <w:rPr>
          <w:lang w:val="fr-FR"/>
        </w:rPr>
      </w:pPr>
      <w:r w:rsidRPr="00262910">
        <w:rPr>
          <w:lang w:val="fr-FR"/>
        </w:rPr>
        <w:t>242.</w:t>
      </w:r>
      <w:r w:rsidRPr="00262910">
        <w:rPr>
          <w:lang w:val="fr-FR"/>
        </w:rPr>
        <w:tab/>
      </w:r>
      <w:r>
        <w:rPr>
          <w:lang w:val="fr-FR"/>
        </w:rPr>
        <w:t xml:space="preserve">La loi ne reconnaît pas aux </w:t>
      </w:r>
      <w:r w:rsidRPr="00262910">
        <w:rPr>
          <w:lang w:val="fr-FR"/>
        </w:rPr>
        <w:t xml:space="preserve">enfants </w:t>
      </w:r>
      <w:r>
        <w:rPr>
          <w:lang w:val="fr-FR"/>
        </w:rPr>
        <w:t>v</w:t>
      </w:r>
      <w:r w:rsidRPr="00262910">
        <w:rPr>
          <w:lang w:val="fr-FR"/>
        </w:rPr>
        <w:t>iv</w:t>
      </w:r>
      <w:r>
        <w:rPr>
          <w:lang w:val="fr-FR"/>
        </w:rPr>
        <w:t>a</w:t>
      </w:r>
      <w:r w:rsidRPr="00262910">
        <w:rPr>
          <w:lang w:val="fr-FR"/>
        </w:rPr>
        <w:t xml:space="preserve">nt </w:t>
      </w:r>
      <w:r>
        <w:rPr>
          <w:lang w:val="fr-FR"/>
        </w:rPr>
        <w:t xml:space="preserve">dans un </w:t>
      </w:r>
      <w:r w:rsidRPr="00262910">
        <w:rPr>
          <w:lang w:val="fr-FR"/>
        </w:rPr>
        <w:t>centre d</w:t>
      </w:r>
      <w:r>
        <w:rPr>
          <w:lang w:val="fr-FR"/>
        </w:rPr>
        <w:t>’</w:t>
      </w:r>
      <w:r w:rsidRPr="00262910">
        <w:rPr>
          <w:lang w:val="fr-FR"/>
        </w:rPr>
        <w:t xml:space="preserve">accueil le droit </w:t>
      </w:r>
      <w:r>
        <w:rPr>
          <w:lang w:val="fr-FR"/>
        </w:rPr>
        <w:t>à une place dans un établissement préscolaire</w:t>
      </w:r>
      <w:r w:rsidRPr="00262910">
        <w:rPr>
          <w:lang w:val="fr-FR"/>
        </w:rPr>
        <w:t>, mais l</w:t>
      </w:r>
      <w:r>
        <w:rPr>
          <w:lang w:val="fr-FR"/>
        </w:rPr>
        <w:t xml:space="preserve">a </w:t>
      </w:r>
      <w:r w:rsidRPr="00262910">
        <w:rPr>
          <w:lang w:val="fr-FR"/>
        </w:rPr>
        <w:t>possibilité d</w:t>
      </w:r>
      <w:r>
        <w:rPr>
          <w:lang w:val="fr-FR"/>
        </w:rPr>
        <w:t xml:space="preserve">’en </w:t>
      </w:r>
      <w:r w:rsidRPr="00262910">
        <w:rPr>
          <w:lang w:val="fr-FR"/>
        </w:rPr>
        <w:t xml:space="preserve">obtenir </w:t>
      </w:r>
      <w:r>
        <w:rPr>
          <w:lang w:val="fr-FR"/>
        </w:rPr>
        <w:t>une s’est fortement accrue c</w:t>
      </w:r>
      <w:r w:rsidRPr="00262910">
        <w:rPr>
          <w:lang w:val="fr-FR"/>
        </w:rPr>
        <w:t>es dernières années.</w:t>
      </w:r>
    </w:p>
    <w:p w:rsidR="001771B8" w:rsidRPr="00262910" w:rsidRDefault="001771B8" w:rsidP="001771B8">
      <w:pPr>
        <w:pStyle w:val="SingleTxtG"/>
        <w:rPr>
          <w:lang w:val="fr-FR"/>
        </w:rPr>
      </w:pPr>
      <w:r w:rsidRPr="00262910">
        <w:rPr>
          <w:lang w:val="fr-FR"/>
        </w:rPr>
        <w:t>243.</w:t>
      </w:r>
      <w:r w:rsidRPr="00262910">
        <w:rPr>
          <w:lang w:val="fr-FR"/>
        </w:rPr>
        <w:tab/>
      </w:r>
      <w:r>
        <w:rPr>
          <w:lang w:val="fr-FR"/>
        </w:rPr>
        <w:t xml:space="preserve">Les </w:t>
      </w:r>
      <w:r w:rsidRPr="004072F2">
        <w:rPr>
          <w:lang w:val="fr-FR"/>
        </w:rPr>
        <w:t xml:space="preserve">enfants de </w:t>
      </w:r>
      <w:r w:rsidR="008E5927">
        <w:rPr>
          <w:lang w:val="fr-FR"/>
        </w:rPr>
        <w:t>4</w:t>
      </w:r>
      <w:r w:rsidRPr="004072F2">
        <w:rPr>
          <w:lang w:val="fr-FR"/>
        </w:rPr>
        <w:t xml:space="preserve"> </w:t>
      </w:r>
      <w:r>
        <w:rPr>
          <w:lang w:val="fr-FR"/>
        </w:rPr>
        <w:t xml:space="preserve">à </w:t>
      </w:r>
      <w:r w:rsidR="008E5927">
        <w:rPr>
          <w:lang w:val="fr-FR"/>
        </w:rPr>
        <w:t>5</w:t>
      </w:r>
      <w:r w:rsidRPr="004072F2">
        <w:rPr>
          <w:lang w:val="fr-FR"/>
        </w:rPr>
        <w:t xml:space="preserve"> ans </w:t>
      </w:r>
      <w:r>
        <w:rPr>
          <w:lang w:val="fr-FR"/>
        </w:rPr>
        <w:t>peuvent d</w:t>
      </w:r>
      <w:r w:rsidRPr="004072F2">
        <w:rPr>
          <w:lang w:val="fr-FR"/>
        </w:rPr>
        <w:t>epuis plusieurs années</w:t>
      </w:r>
      <w:r>
        <w:rPr>
          <w:lang w:val="fr-FR"/>
        </w:rPr>
        <w:t xml:space="preserve"> bénéficier d’</w:t>
      </w:r>
      <w:r w:rsidRPr="004072F2">
        <w:rPr>
          <w:lang w:val="fr-FR"/>
        </w:rPr>
        <w:t xml:space="preserve">une place à plein temps </w:t>
      </w:r>
      <w:r>
        <w:rPr>
          <w:lang w:val="fr-FR"/>
        </w:rPr>
        <w:t xml:space="preserve">dans un </w:t>
      </w:r>
      <w:r w:rsidRPr="004072F2">
        <w:rPr>
          <w:lang w:val="fr-FR"/>
        </w:rPr>
        <w:t xml:space="preserve">établissement préscolaire à financement public </w:t>
      </w:r>
      <w:r>
        <w:rPr>
          <w:lang w:val="fr-FR"/>
        </w:rPr>
        <w:t xml:space="preserve">qui a des </w:t>
      </w:r>
      <w:r w:rsidRPr="004072F2">
        <w:rPr>
          <w:lang w:val="fr-FR"/>
        </w:rPr>
        <w:t xml:space="preserve">places libres </w:t>
      </w:r>
      <w:r>
        <w:rPr>
          <w:lang w:val="fr-FR"/>
        </w:rPr>
        <w:t>et est situé d</w:t>
      </w:r>
      <w:r w:rsidRPr="004072F2">
        <w:rPr>
          <w:lang w:val="fr-FR"/>
        </w:rPr>
        <w:t xml:space="preserve">ans la même localité </w:t>
      </w:r>
      <w:r>
        <w:rPr>
          <w:lang w:val="fr-FR"/>
        </w:rPr>
        <w:t xml:space="preserve">que le </w:t>
      </w:r>
      <w:r w:rsidRPr="004072F2">
        <w:rPr>
          <w:lang w:val="fr-FR"/>
        </w:rPr>
        <w:t>centre d</w:t>
      </w:r>
      <w:r>
        <w:rPr>
          <w:lang w:val="fr-FR"/>
        </w:rPr>
        <w:t>’</w:t>
      </w:r>
      <w:r w:rsidRPr="004072F2">
        <w:rPr>
          <w:lang w:val="fr-FR"/>
        </w:rPr>
        <w:t xml:space="preserve">accueil </w:t>
      </w:r>
      <w:r>
        <w:rPr>
          <w:lang w:val="fr-FR"/>
        </w:rPr>
        <w:t>où il vit</w:t>
      </w:r>
      <w:r w:rsidRPr="00262910">
        <w:rPr>
          <w:lang w:val="fr-FR"/>
        </w:rPr>
        <w:t xml:space="preserve">. </w:t>
      </w:r>
      <w:r>
        <w:rPr>
          <w:lang w:val="fr-FR"/>
        </w:rPr>
        <w:t xml:space="preserve">Selon les </w:t>
      </w:r>
      <w:r w:rsidRPr="00262910">
        <w:rPr>
          <w:lang w:val="fr-FR"/>
        </w:rPr>
        <w:t>chiffres de la Direction de l</w:t>
      </w:r>
      <w:r>
        <w:rPr>
          <w:lang w:val="fr-FR"/>
        </w:rPr>
        <w:t>’</w:t>
      </w:r>
      <w:r w:rsidRPr="00262910">
        <w:rPr>
          <w:lang w:val="fr-FR"/>
        </w:rPr>
        <w:t>immigration</w:t>
      </w:r>
      <w:r>
        <w:rPr>
          <w:lang w:val="fr-FR"/>
        </w:rPr>
        <w:t xml:space="preserve">, </w:t>
      </w:r>
      <w:r w:rsidRPr="00262910">
        <w:rPr>
          <w:lang w:val="fr-FR"/>
        </w:rPr>
        <w:t>dans la plupart des cas ces enfants se voient offrir une place.</w:t>
      </w:r>
    </w:p>
    <w:p w:rsidR="001771B8" w:rsidRPr="00262910" w:rsidRDefault="001771B8" w:rsidP="001771B8">
      <w:pPr>
        <w:pStyle w:val="SingleTxtG"/>
        <w:rPr>
          <w:lang w:val="fr-FR"/>
        </w:rPr>
      </w:pPr>
      <w:r w:rsidRPr="00262910">
        <w:rPr>
          <w:lang w:val="fr-FR"/>
        </w:rPr>
        <w:t>244.</w:t>
      </w:r>
      <w:r w:rsidRPr="00262910">
        <w:rPr>
          <w:lang w:val="fr-FR"/>
        </w:rPr>
        <w:tab/>
      </w:r>
      <w:r w:rsidRPr="00286C37">
        <w:rPr>
          <w:lang w:val="fr-FR"/>
        </w:rPr>
        <w:t>En 2016, le financement</w:t>
      </w:r>
      <w:r w:rsidRPr="00262910">
        <w:rPr>
          <w:lang w:val="fr-FR"/>
        </w:rPr>
        <w:t xml:space="preserve"> public a été étendu pour</w:t>
      </w:r>
      <w:r>
        <w:rPr>
          <w:lang w:val="fr-FR"/>
        </w:rPr>
        <w:t xml:space="preserve"> assurer </w:t>
      </w:r>
      <w:r w:rsidRPr="00262910">
        <w:rPr>
          <w:lang w:val="fr-FR"/>
        </w:rPr>
        <w:t>la gratuité d</w:t>
      </w:r>
      <w:r>
        <w:rPr>
          <w:lang w:val="fr-FR"/>
        </w:rPr>
        <w:t xml:space="preserve">e l’accueil de base </w:t>
      </w:r>
      <w:r w:rsidRPr="00262910">
        <w:rPr>
          <w:lang w:val="fr-FR"/>
        </w:rPr>
        <w:t xml:space="preserve">en </w:t>
      </w:r>
      <w:r>
        <w:rPr>
          <w:lang w:val="fr-FR"/>
        </w:rPr>
        <w:t xml:space="preserve">établissement préscolaire des </w:t>
      </w:r>
      <w:r w:rsidRPr="00262910">
        <w:rPr>
          <w:lang w:val="fr-FR"/>
        </w:rPr>
        <w:t xml:space="preserve">enfants de </w:t>
      </w:r>
      <w:r w:rsidR="00046156">
        <w:rPr>
          <w:lang w:val="fr-FR"/>
        </w:rPr>
        <w:t>2</w:t>
      </w:r>
      <w:r w:rsidRPr="00262910">
        <w:rPr>
          <w:lang w:val="fr-FR"/>
        </w:rPr>
        <w:t xml:space="preserve"> </w:t>
      </w:r>
      <w:r>
        <w:rPr>
          <w:lang w:val="fr-FR"/>
        </w:rPr>
        <w:t xml:space="preserve">à </w:t>
      </w:r>
      <w:r w:rsidR="00046156">
        <w:rPr>
          <w:lang w:val="fr-FR"/>
        </w:rPr>
        <w:t>3</w:t>
      </w:r>
      <w:r w:rsidRPr="00262910">
        <w:rPr>
          <w:lang w:val="fr-FR"/>
        </w:rPr>
        <w:t xml:space="preserve"> ans </w:t>
      </w:r>
      <w:r>
        <w:rPr>
          <w:lang w:val="fr-FR"/>
        </w:rPr>
        <w:t xml:space="preserve">dont la famille </w:t>
      </w:r>
      <w:r w:rsidRPr="00262910">
        <w:rPr>
          <w:lang w:val="fr-FR"/>
        </w:rPr>
        <w:t xml:space="preserve">a obtenu </w:t>
      </w:r>
      <w:r>
        <w:rPr>
          <w:lang w:val="fr-FR"/>
        </w:rPr>
        <w:t xml:space="preserve">un titre de </w:t>
      </w:r>
      <w:r w:rsidRPr="00262910">
        <w:rPr>
          <w:lang w:val="fr-FR"/>
        </w:rPr>
        <w:t>résidence permanente en Norvège mais</w:t>
      </w:r>
      <w:r>
        <w:rPr>
          <w:lang w:val="fr-FR"/>
        </w:rPr>
        <w:t xml:space="preserve"> </w:t>
      </w:r>
      <w:r w:rsidRPr="00262910">
        <w:rPr>
          <w:lang w:val="fr-FR"/>
        </w:rPr>
        <w:t>vi</w:t>
      </w:r>
      <w:r>
        <w:rPr>
          <w:lang w:val="fr-FR"/>
        </w:rPr>
        <w:t xml:space="preserve">t encore en </w:t>
      </w:r>
      <w:r w:rsidRPr="00262910">
        <w:rPr>
          <w:lang w:val="fr-FR"/>
        </w:rPr>
        <w:t>centre d</w:t>
      </w:r>
      <w:r>
        <w:rPr>
          <w:lang w:val="fr-FR"/>
        </w:rPr>
        <w:t>’</w:t>
      </w:r>
      <w:r w:rsidRPr="00262910">
        <w:rPr>
          <w:lang w:val="fr-FR"/>
        </w:rPr>
        <w:t xml:space="preserve">accueil </w:t>
      </w:r>
      <w:r>
        <w:rPr>
          <w:lang w:val="fr-FR"/>
        </w:rPr>
        <w:t>dans l’attente d’</w:t>
      </w:r>
      <w:r w:rsidRPr="00262910">
        <w:rPr>
          <w:lang w:val="fr-FR"/>
        </w:rPr>
        <w:t xml:space="preserve">une adresse permanente dans une autre municipalité. </w:t>
      </w:r>
    </w:p>
    <w:p w:rsidR="001771B8" w:rsidRPr="00262910" w:rsidRDefault="001771B8" w:rsidP="001771B8">
      <w:pPr>
        <w:pStyle w:val="SingleTxtG"/>
        <w:rPr>
          <w:lang w:val="fr-FR"/>
        </w:rPr>
      </w:pPr>
      <w:r w:rsidRPr="00262910">
        <w:rPr>
          <w:lang w:val="fr-FR"/>
        </w:rPr>
        <w:t>245.</w:t>
      </w:r>
      <w:r w:rsidRPr="00262910">
        <w:rPr>
          <w:lang w:val="fr-FR"/>
        </w:rPr>
        <w:tab/>
        <w:t xml:space="preserve">En 2018, le financement public a encore été étendu pour </w:t>
      </w:r>
      <w:r>
        <w:rPr>
          <w:lang w:val="fr-FR"/>
        </w:rPr>
        <w:t xml:space="preserve">assurer la gratuité de l’accueil en établissement préscolaire des </w:t>
      </w:r>
      <w:r w:rsidRPr="00262910">
        <w:rPr>
          <w:lang w:val="fr-FR"/>
        </w:rPr>
        <w:t xml:space="preserve">enfants de </w:t>
      </w:r>
      <w:r w:rsidR="00046156">
        <w:rPr>
          <w:lang w:val="fr-FR"/>
        </w:rPr>
        <w:t>2</w:t>
      </w:r>
      <w:r w:rsidRPr="00262910">
        <w:rPr>
          <w:lang w:val="fr-FR"/>
        </w:rPr>
        <w:t xml:space="preserve"> </w:t>
      </w:r>
      <w:r>
        <w:rPr>
          <w:lang w:val="fr-FR"/>
        </w:rPr>
        <w:t>à</w:t>
      </w:r>
      <w:r w:rsidRPr="00262910">
        <w:rPr>
          <w:lang w:val="fr-FR"/>
        </w:rPr>
        <w:t xml:space="preserve"> </w:t>
      </w:r>
      <w:r w:rsidR="00046156">
        <w:rPr>
          <w:lang w:val="fr-FR"/>
        </w:rPr>
        <w:t>3</w:t>
      </w:r>
      <w:r w:rsidRPr="00262910">
        <w:rPr>
          <w:lang w:val="fr-FR"/>
        </w:rPr>
        <w:t xml:space="preserve"> ans </w:t>
      </w:r>
      <w:r>
        <w:rPr>
          <w:lang w:val="fr-FR"/>
        </w:rPr>
        <w:t xml:space="preserve">vivant en </w:t>
      </w:r>
      <w:r w:rsidRPr="00262910">
        <w:rPr>
          <w:lang w:val="fr-FR"/>
        </w:rPr>
        <w:t>centre d</w:t>
      </w:r>
      <w:r>
        <w:rPr>
          <w:lang w:val="fr-FR"/>
        </w:rPr>
        <w:t>’</w:t>
      </w:r>
      <w:r w:rsidRPr="00262910">
        <w:rPr>
          <w:lang w:val="fr-FR"/>
        </w:rPr>
        <w:t xml:space="preserve">accueil, </w:t>
      </w:r>
      <w:r>
        <w:rPr>
          <w:lang w:val="fr-FR"/>
        </w:rPr>
        <w:t xml:space="preserve">quel que soit le </w:t>
      </w:r>
      <w:r w:rsidRPr="00262910">
        <w:rPr>
          <w:lang w:val="fr-FR"/>
        </w:rPr>
        <w:t>statut de la demande d</w:t>
      </w:r>
      <w:r>
        <w:rPr>
          <w:lang w:val="fr-FR"/>
        </w:rPr>
        <w:t>’</w:t>
      </w:r>
      <w:r w:rsidRPr="00262910">
        <w:rPr>
          <w:lang w:val="fr-FR"/>
        </w:rPr>
        <w:t xml:space="preserve">asile </w:t>
      </w:r>
      <w:r>
        <w:rPr>
          <w:lang w:val="fr-FR"/>
        </w:rPr>
        <w:t xml:space="preserve">déposée par leur </w:t>
      </w:r>
      <w:r w:rsidRPr="00262910">
        <w:rPr>
          <w:lang w:val="fr-FR"/>
        </w:rPr>
        <w:t>famille.</w:t>
      </w:r>
    </w:p>
    <w:p w:rsidR="001771B8" w:rsidRPr="00262910" w:rsidRDefault="001771B8" w:rsidP="001771B8">
      <w:pPr>
        <w:pStyle w:val="SingleTxtG"/>
        <w:rPr>
          <w:lang w:val="fr-FR"/>
        </w:rPr>
      </w:pPr>
      <w:r w:rsidRPr="00262910">
        <w:rPr>
          <w:lang w:val="fr-FR"/>
        </w:rPr>
        <w:t>246.</w:t>
      </w:r>
      <w:r w:rsidRPr="00262910">
        <w:rPr>
          <w:lang w:val="fr-FR"/>
        </w:rPr>
        <w:tab/>
        <w:t>Le Gouvernement a décidé d</w:t>
      </w:r>
      <w:r>
        <w:rPr>
          <w:lang w:val="fr-FR"/>
        </w:rPr>
        <w:t>’</w:t>
      </w:r>
      <w:r w:rsidRPr="00262910">
        <w:rPr>
          <w:lang w:val="fr-FR"/>
        </w:rPr>
        <w:t>allouer 3,2 millions de couronnes norvégiennes au titre du budget national révisé pour 2019</w:t>
      </w:r>
      <w:r>
        <w:rPr>
          <w:lang w:val="fr-FR"/>
        </w:rPr>
        <w:t xml:space="preserve"> afin d’étendre la gratuité de l’accueil </w:t>
      </w:r>
      <w:r w:rsidRPr="00EE2F76">
        <w:rPr>
          <w:lang w:val="fr-FR"/>
        </w:rPr>
        <w:t xml:space="preserve">en établissement préscolaire </w:t>
      </w:r>
      <w:r>
        <w:rPr>
          <w:lang w:val="fr-FR"/>
        </w:rPr>
        <w:t>à t</w:t>
      </w:r>
      <w:r w:rsidRPr="00262910">
        <w:rPr>
          <w:lang w:val="fr-FR"/>
        </w:rPr>
        <w:t>ous les enfants d</w:t>
      </w:r>
      <w:r w:rsidR="00046156">
        <w:rPr>
          <w:lang w:val="fr-FR"/>
        </w:rPr>
        <w:t>e 1</w:t>
      </w:r>
      <w:r w:rsidRPr="00262910">
        <w:rPr>
          <w:lang w:val="fr-FR"/>
        </w:rPr>
        <w:t xml:space="preserve"> an </w:t>
      </w:r>
      <w:r>
        <w:rPr>
          <w:lang w:val="fr-FR"/>
        </w:rPr>
        <w:t xml:space="preserve">vivant dans un </w:t>
      </w:r>
      <w:r w:rsidRPr="00262910">
        <w:rPr>
          <w:lang w:val="fr-FR"/>
        </w:rPr>
        <w:t>centre d</w:t>
      </w:r>
      <w:r>
        <w:rPr>
          <w:lang w:val="fr-FR"/>
        </w:rPr>
        <w:t>’</w:t>
      </w:r>
      <w:r w:rsidRPr="00262910">
        <w:rPr>
          <w:lang w:val="fr-FR"/>
        </w:rPr>
        <w:t xml:space="preserve">accueil. Le projet de budget pour 2020 propose de poursuivre </w:t>
      </w:r>
      <w:r>
        <w:rPr>
          <w:lang w:val="fr-FR"/>
        </w:rPr>
        <w:t>sur c</w:t>
      </w:r>
      <w:r w:rsidRPr="00262910">
        <w:rPr>
          <w:lang w:val="fr-FR"/>
        </w:rPr>
        <w:t>ette voie.</w:t>
      </w:r>
    </w:p>
    <w:p w:rsidR="001771B8" w:rsidRPr="00262910" w:rsidRDefault="001771B8" w:rsidP="001771B8">
      <w:pPr>
        <w:pStyle w:val="SingleTxtG"/>
        <w:rPr>
          <w:lang w:val="fr-FR"/>
        </w:rPr>
      </w:pPr>
      <w:r w:rsidRPr="00262910">
        <w:rPr>
          <w:lang w:val="fr-FR"/>
        </w:rPr>
        <w:t>247.</w:t>
      </w:r>
      <w:r w:rsidRPr="00262910">
        <w:rPr>
          <w:lang w:val="fr-FR"/>
        </w:rPr>
        <w:tab/>
      </w:r>
      <w:r w:rsidRPr="003375D5">
        <w:rPr>
          <w:lang w:val="fr-FR"/>
        </w:rPr>
        <w:t>Le droit à une place</w:t>
      </w:r>
      <w:r w:rsidRPr="00262910">
        <w:rPr>
          <w:lang w:val="fr-FR"/>
        </w:rPr>
        <w:t xml:space="preserve"> </w:t>
      </w:r>
      <w:r>
        <w:rPr>
          <w:lang w:val="fr-FR"/>
        </w:rPr>
        <w:t>dans le préscolaire</w:t>
      </w:r>
      <w:r w:rsidRPr="00262910">
        <w:rPr>
          <w:lang w:val="fr-FR"/>
        </w:rPr>
        <w:t xml:space="preserve"> découle de l</w:t>
      </w:r>
      <w:r>
        <w:rPr>
          <w:lang w:val="fr-FR"/>
        </w:rPr>
        <w:t>’</w:t>
      </w:r>
      <w:r w:rsidRPr="00262910">
        <w:rPr>
          <w:lang w:val="fr-FR"/>
        </w:rPr>
        <w:t xml:space="preserve">article 12a de la loi sur les </w:t>
      </w:r>
      <w:r>
        <w:rPr>
          <w:lang w:val="fr-FR"/>
        </w:rPr>
        <w:t>établissements préscolaires</w:t>
      </w:r>
      <w:r w:rsidRPr="00262910">
        <w:rPr>
          <w:lang w:val="fr-FR"/>
        </w:rPr>
        <w:t>. Les enfants parl</w:t>
      </w:r>
      <w:r>
        <w:rPr>
          <w:lang w:val="fr-FR"/>
        </w:rPr>
        <w:t>a</w:t>
      </w:r>
      <w:r w:rsidRPr="00262910">
        <w:rPr>
          <w:lang w:val="fr-FR"/>
        </w:rPr>
        <w:t xml:space="preserve">nt </w:t>
      </w:r>
      <w:r>
        <w:rPr>
          <w:lang w:val="fr-FR"/>
        </w:rPr>
        <w:t xml:space="preserve">une </w:t>
      </w:r>
      <w:r w:rsidRPr="00262910">
        <w:rPr>
          <w:lang w:val="fr-FR"/>
        </w:rPr>
        <w:t xml:space="preserve">langue minoritaire ont le même </w:t>
      </w:r>
      <w:r>
        <w:rPr>
          <w:lang w:val="fr-FR"/>
        </w:rPr>
        <w:t xml:space="preserve">droit à l’enseignement préscolaire </w:t>
      </w:r>
      <w:r w:rsidRPr="00262910">
        <w:rPr>
          <w:lang w:val="fr-FR"/>
        </w:rPr>
        <w:t xml:space="preserve">que les autres enfants. </w:t>
      </w:r>
      <w:r>
        <w:rPr>
          <w:lang w:val="fr-FR"/>
        </w:rPr>
        <w:t xml:space="preserve">La loi ne reconnaît pas aux </w:t>
      </w:r>
      <w:r w:rsidRPr="00262910">
        <w:rPr>
          <w:lang w:val="fr-FR"/>
        </w:rPr>
        <w:t xml:space="preserve">enfants qui parlent </w:t>
      </w:r>
      <w:r>
        <w:rPr>
          <w:lang w:val="fr-FR"/>
        </w:rPr>
        <w:t xml:space="preserve">une </w:t>
      </w:r>
      <w:r w:rsidRPr="00262910">
        <w:rPr>
          <w:lang w:val="fr-FR"/>
        </w:rPr>
        <w:t>langue minoritaire</w:t>
      </w:r>
      <w:r>
        <w:rPr>
          <w:lang w:val="fr-FR"/>
        </w:rPr>
        <w:t xml:space="preserve"> le </w:t>
      </w:r>
      <w:r w:rsidRPr="00262910">
        <w:rPr>
          <w:lang w:val="fr-FR"/>
        </w:rPr>
        <w:t>droit</w:t>
      </w:r>
      <w:r>
        <w:rPr>
          <w:lang w:val="fr-FR"/>
        </w:rPr>
        <w:t>,</w:t>
      </w:r>
      <w:r w:rsidRPr="00262910">
        <w:rPr>
          <w:lang w:val="fr-FR"/>
        </w:rPr>
        <w:t xml:space="preserve"> </w:t>
      </w:r>
      <w:r w:rsidRPr="004531E1">
        <w:rPr>
          <w:lang w:val="fr-FR"/>
        </w:rPr>
        <w:t>en tant que groupe</w:t>
      </w:r>
      <w:r>
        <w:rPr>
          <w:lang w:val="fr-FR"/>
        </w:rPr>
        <w:t>,</w:t>
      </w:r>
      <w:r w:rsidRPr="004531E1">
        <w:rPr>
          <w:lang w:val="fr-FR"/>
        </w:rPr>
        <w:t xml:space="preserve"> </w:t>
      </w:r>
      <w:r w:rsidRPr="00262910">
        <w:rPr>
          <w:lang w:val="fr-FR"/>
        </w:rPr>
        <w:t>d</w:t>
      </w:r>
      <w:r>
        <w:rPr>
          <w:lang w:val="fr-FR"/>
        </w:rPr>
        <w:t>’</w:t>
      </w:r>
      <w:r w:rsidRPr="00262910">
        <w:rPr>
          <w:lang w:val="fr-FR"/>
        </w:rPr>
        <w:t xml:space="preserve">être admis en priorité dans </w:t>
      </w:r>
      <w:r>
        <w:rPr>
          <w:lang w:val="fr-FR"/>
        </w:rPr>
        <w:t xml:space="preserve">un établissement </w:t>
      </w:r>
      <w:r w:rsidRPr="00262910">
        <w:rPr>
          <w:lang w:val="fr-FR"/>
        </w:rPr>
        <w:t xml:space="preserve">préscolaire. Plusieurs </w:t>
      </w:r>
      <w:r>
        <w:rPr>
          <w:lang w:val="fr-FR"/>
        </w:rPr>
        <w:t xml:space="preserve">établissements préscolaires </w:t>
      </w:r>
      <w:r w:rsidRPr="00262910">
        <w:rPr>
          <w:lang w:val="fr-FR"/>
        </w:rPr>
        <w:t>municipaux</w:t>
      </w:r>
      <w:r>
        <w:rPr>
          <w:lang w:val="fr-FR"/>
        </w:rPr>
        <w:t xml:space="preserve"> ou </w:t>
      </w:r>
      <w:r w:rsidRPr="00262910">
        <w:rPr>
          <w:lang w:val="fr-FR"/>
        </w:rPr>
        <w:t xml:space="preserve">privés </w:t>
      </w:r>
      <w:r>
        <w:rPr>
          <w:lang w:val="fr-FR"/>
        </w:rPr>
        <w:t xml:space="preserve">ont néanmoins </w:t>
      </w:r>
      <w:r w:rsidRPr="00262910">
        <w:rPr>
          <w:lang w:val="fr-FR"/>
        </w:rPr>
        <w:t>choisi</w:t>
      </w:r>
      <w:r>
        <w:rPr>
          <w:lang w:val="fr-FR"/>
        </w:rPr>
        <w:t xml:space="preserve"> </w:t>
      </w:r>
      <w:r w:rsidRPr="00262910">
        <w:rPr>
          <w:lang w:val="fr-FR"/>
        </w:rPr>
        <w:t>de donner la priorité à l</w:t>
      </w:r>
      <w:r>
        <w:rPr>
          <w:lang w:val="fr-FR"/>
        </w:rPr>
        <w:t>’</w:t>
      </w:r>
      <w:r w:rsidRPr="00262910">
        <w:rPr>
          <w:lang w:val="fr-FR"/>
        </w:rPr>
        <w:t>a</w:t>
      </w:r>
      <w:r>
        <w:rPr>
          <w:lang w:val="fr-FR"/>
        </w:rPr>
        <w:t xml:space="preserve">ccueil des </w:t>
      </w:r>
      <w:r w:rsidRPr="00262910">
        <w:rPr>
          <w:lang w:val="fr-FR"/>
        </w:rPr>
        <w:t>enfants parl</w:t>
      </w:r>
      <w:r>
        <w:rPr>
          <w:lang w:val="fr-FR"/>
        </w:rPr>
        <w:t>a</w:t>
      </w:r>
      <w:r w:rsidRPr="00262910">
        <w:rPr>
          <w:lang w:val="fr-FR"/>
        </w:rPr>
        <w:t xml:space="preserve">nt </w:t>
      </w:r>
      <w:r>
        <w:rPr>
          <w:lang w:val="fr-FR"/>
        </w:rPr>
        <w:t xml:space="preserve">une </w:t>
      </w:r>
      <w:r w:rsidRPr="00262910">
        <w:rPr>
          <w:lang w:val="fr-FR"/>
        </w:rPr>
        <w:t>langue minoritaire</w:t>
      </w:r>
      <w:r w:rsidRPr="00262910">
        <w:rPr>
          <w:iCs/>
          <w:lang w:val="fr-FR"/>
        </w:rPr>
        <w:t>.</w:t>
      </w:r>
    </w:p>
    <w:p w:rsidR="001771B8" w:rsidRPr="00262910" w:rsidRDefault="001771B8" w:rsidP="001771B8">
      <w:pPr>
        <w:pStyle w:val="H1G"/>
        <w:rPr>
          <w:lang w:val="fr-FR"/>
        </w:rPr>
      </w:pPr>
      <w:r w:rsidRPr="00262910">
        <w:rPr>
          <w:lang w:val="fr-FR"/>
        </w:rPr>
        <w:tab/>
      </w:r>
      <w:r w:rsidRPr="00262910">
        <w:rPr>
          <w:lang w:val="fr-FR"/>
        </w:rPr>
        <w:tab/>
      </w:r>
      <w:r w:rsidRPr="00DC16E3">
        <w:rPr>
          <w:lang w:val="fr-FR"/>
        </w:rPr>
        <w:t>Réponse au paragraphe 31 de la liste de points</w:t>
      </w:r>
    </w:p>
    <w:p w:rsidR="001771B8" w:rsidRPr="00262910" w:rsidRDefault="001771B8" w:rsidP="001771B8">
      <w:pPr>
        <w:pStyle w:val="SingleTxtG"/>
        <w:rPr>
          <w:lang w:val="fr-FR"/>
        </w:rPr>
      </w:pPr>
      <w:r w:rsidRPr="00262910">
        <w:rPr>
          <w:lang w:val="fr-FR"/>
        </w:rPr>
        <w:t>248.</w:t>
      </w:r>
      <w:r w:rsidRPr="00262910">
        <w:rPr>
          <w:lang w:val="fr-FR"/>
        </w:rPr>
        <w:tab/>
      </w:r>
      <w:r w:rsidRPr="0057370E">
        <w:rPr>
          <w:lang w:val="fr-FR"/>
        </w:rPr>
        <w:t>Le Gouvernement</w:t>
      </w:r>
      <w:r w:rsidRPr="00EF0F5E">
        <w:rPr>
          <w:lang w:val="fr-FR"/>
        </w:rPr>
        <w:t xml:space="preserve"> norvégien</w:t>
      </w:r>
      <w:r w:rsidRPr="00262910">
        <w:rPr>
          <w:lang w:val="fr-FR"/>
        </w:rPr>
        <w:t xml:space="preserve"> s</w:t>
      </w:r>
      <w:r>
        <w:rPr>
          <w:lang w:val="fr-FR"/>
        </w:rPr>
        <w:t xml:space="preserve">’attache </w:t>
      </w:r>
      <w:r w:rsidRPr="00262910">
        <w:rPr>
          <w:lang w:val="fr-FR"/>
        </w:rPr>
        <w:t>à promouvoir et à préserver l</w:t>
      </w:r>
      <w:r>
        <w:rPr>
          <w:lang w:val="fr-FR"/>
        </w:rPr>
        <w:t>’</w:t>
      </w:r>
      <w:r w:rsidRPr="00262910">
        <w:rPr>
          <w:lang w:val="fr-FR"/>
        </w:rPr>
        <w:t xml:space="preserve">identité, la langue et la culture des minorités nationales et du peuple </w:t>
      </w:r>
      <w:r>
        <w:rPr>
          <w:lang w:val="fr-FR"/>
        </w:rPr>
        <w:t>sâme</w:t>
      </w:r>
      <w:r w:rsidRPr="00262910">
        <w:rPr>
          <w:lang w:val="fr-FR"/>
        </w:rPr>
        <w:t xml:space="preserve">. </w:t>
      </w:r>
    </w:p>
    <w:p w:rsidR="001771B8" w:rsidRPr="00262910" w:rsidRDefault="001771B8" w:rsidP="001771B8">
      <w:pPr>
        <w:pStyle w:val="SingleTxtG"/>
        <w:rPr>
          <w:lang w:val="fr-FR"/>
        </w:rPr>
      </w:pPr>
      <w:r w:rsidRPr="00262910">
        <w:rPr>
          <w:lang w:val="fr-FR"/>
        </w:rPr>
        <w:t>249.</w:t>
      </w:r>
      <w:r w:rsidRPr="00262910">
        <w:rPr>
          <w:lang w:val="fr-FR"/>
        </w:rPr>
        <w:tab/>
      </w:r>
      <w:r w:rsidRPr="00F33D51">
        <w:rPr>
          <w:lang w:val="fr-FR"/>
        </w:rPr>
        <w:t>Les langues sâme, kvène/finno-norvégienne</w:t>
      </w:r>
      <w:r w:rsidRPr="00454137">
        <w:rPr>
          <w:lang w:val="fr-FR"/>
        </w:rPr>
        <w:t xml:space="preserve">, rom et romani </w:t>
      </w:r>
      <w:r>
        <w:rPr>
          <w:lang w:val="fr-FR"/>
        </w:rPr>
        <w:t xml:space="preserve">ont le statut de </w:t>
      </w:r>
      <w:r w:rsidRPr="00454137">
        <w:rPr>
          <w:lang w:val="fr-FR"/>
        </w:rPr>
        <w:t>langues minoritaires</w:t>
      </w:r>
      <w:r w:rsidRPr="00262910">
        <w:rPr>
          <w:lang w:val="fr-FR"/>
        </w:rPr>
        <w:t xml:space="preserve">. </w:t>
      </w:r>
      <w:r>
        <w:rPr>
          <w:lang w:val="fr-FR"/>
        </w:rPr>
        <w:t>E</w:t>
      </w:r>
      <w:r w:rsidRPr="00F33D51">
        <w:rPr>
          <w:lang w:val="fr-FR"/>
        </w:rPr>
        <w:t>n 2016</w:t>
      </w:r>
      <w:r>
        <w:rPr>
          <w:lang w:val="fr-FR"/>
        </w:rPr>
        <w:t>, u</w:t>
      </w:r>
      <w:r w:rsidRPr="00262910">
        <w:rPr>
          <w:lang w:val="fr-FR"/>
        </w:rPr>
        <w:t>n comité chargé d</w:t>
      </w:r>
      <w:r>
        <w:rPr>
          <w:lang w:val="fr-FR"/>
        </w:rPr>
        <w:t>’</w:t>
      </w:r>
      <w:r w:rsidRPr="00262910">
        <w:rPr>
          <w:lang w:val="fr-FR"/>
        </w:rPr>
        <w:t xml:space="preserve">examiner la situation des langues </w:t>
      </w:r>
      <w:r>
        <w:rPr>
          <w:lang w:val="fr-FR"/>
        </w:rPr>
        <w:t>sâme</w:t>
      </w:r>
      <w:r w:rsidRPr="00262910">
        <w:rPr>
          <w:lang w:val="fr-FR"/>
        </w:rPr>
        <w:t xml:space="preserve">s a </w:t>
      </w:r>
      <w:r>
        <w:rPr>
          <w:lang w:val="fr-FR"/>
        </w:rPr>
        <w:t xml:space="preserve">présenté un </w:t>
      </w:r>
      <w:r w:rsidRPr="00262910">
        <w:rPr>
          <w:lang w:val="fr-FR"/>
        </w:rPr>
        <w:t>rapport</w:t>
      </w:r>
      <w:r>
        <w:rPr>
          <w:lang w:val="fr-FR"/>
        </w:rPr>
        <w:t xml:space="preserve"> dans lequel étaient proposées des modifications législatives et de </w:t>
      </w:r>
      <w:r w:rsidRPr="00262910">
        <w:rPr>
          <w:lang w:val="fr-FR"/>
        </w:rPr>
        <w:t>nouve</w:t>
      </w:r>
      <w:r>
        <w:rPr>
          <w:lang w:val="fr-FR"/>
        </w:rPr>
        <w:t xml:space="preserve">lles dispositions </w:t>
      </w:r>
      <w:r w:rsidRPr="00262910">
        <w:rPr>
          <w:lang w:val="fr-FR"/>
        </w:rPr>
        <w:t>concernant l</w:t>
      </w:r>
      <w:r>
        <w:rPr>
          <w:lang w:val="fr-FR"/>
        </w:rPr>
        <w:t xml:space="preserve">’accueil de jour des </w:t>
      </w:r>
      <w:r w:rsidRPr="00262910">
        <w:rPr>
          <w:lang w:val="fr-FR"/>
        </w:rPr>
        <w:t>enfants, l</w:t>
      </w:r>
      <w:r>
        <w:rPr>
          <w:lang w:val="fr-FR"/>
        </w:rPr>
        <w:t xml:space="preserve">’enseignement préscolaire, </w:t>
      </w:r>
      <w:r w:rsidRPr="00262910">
        <w:rPr>
          <w:lang w:val="fr-FR"/>
        </w:rPr>
        <w:t>primaire, secondaire et supérieur, les services de santé et de soins, le secteur de la justice et l</w:t>
      </w:r>
      <w:r>
        <w:rPr>
          <w:lang w:val="fr-FR"/>
        </w:rPr>
        <w:t>’</w:t>
      </w:r>
      <w:r w:rsidRPr="00262910">
        <w:rPr>
          <w:lang w:val="fr-FR"/>
        </w:rPr>
        <w:t>administration locale. Les ministères concernés assurent le suivi du rapport en dialogue étroit avec le Sámediggi.</w:t>
      </w:r>
    </w:p>
    <w:p w:rsidR="001771B8" w:rsidRPr="00262910" w:rsidRDefault="001771B8" w:rsidP="001771B8">
      <w:pPr>
        <w:pStyle w:val="SingleTxtG"/>
        <w:rPr>
          <w:lang w:val="fr-FR"/>
        </w:rPr>
      </w:pPr>
      <w:r w:rsidRPr="00262910">
        <w:rPr>
          <w:lang w:val="fr-FR"/>
        </w:rPr>
        <w:t>250.</w:t>
      </w:r>
      <w:r w:rsidRPr="00262910">
        <w:rPr>
          <w:lang w:val="fr-FR"/>
        </w:rPr>
        <w:tab/>
      </w:r>
      <w:r w:rsidRPr="00D3574D">
        <w:rPr>
          <w:lang w:val="fr-FR"/>
        </w:rPr>
        <w:t>En janvier 2018</w:t>
      </w:r>
      <w:r w:rsidRPr="00262910">
        <w:rPr>
          <w:lang w:val="fr-FR"/>
        </w:rPr>
        <w:t xml:space="preserve">, le Gouvernement a </w:t>
      </w:r>
      <w:r w:rsidRPr="00574538">
        <w:rPr>
          <w:lang w:val="fr-FR"/>
        </w:rPr>
        <w:t>présenté un plan ciblé de revitalisation</w:t>
      </w:r>
      <w:r w:rsidRPr="00262910">
        <w:rPr>
          <w:lang w:val="fr-FR"/>
        </w:rPr>
        <w:t xml:space="preserve"> de </w:t>
      </w:r>
      <w:r>
        <w:rPr>
          <w:lang w:val="fr-FR"/>
        </w:rPr>
        <w:t xml:space="preserve">la langue </w:t>
      </w:r>
      <w:r w:rsidRPr="00262910">
        <w:rPr>
          <w:lang w:val="fr-FR"/>
        </w:rPr>
        <w:t xml:space="preserve">kvène/finno-norvégienne </w:t>
      </w:r>
      <w:r>
        <w:rPr>
          <w:lang w:val="fr-FR"/>
        </w:rPr>
        <w:t xml:space="preserve">sur </w:t>
      </w:r>
      <w:r w:rsidRPr="00262910">
        <w:rPr>
          <w:lang w:val="fr-FR"/>
        </w:rPr>
        <w:t>la période allant jusqu</w:t>
      </w:r>
      <w:r>
        <w:rPr>
          <w:lang w:val="fr-FR"/>
        </w:rPr>
        <w:t>’</w:t>
      </w:r>
      <w:r w:rsidRPr="00262910">
        <w:rPr>
          <w:lang w:val="fr-FR"/>
        </w:rPr>
        <w:t xml:space="preserve">en 2021. </w:t>
      </w:r>
    </w:p>
    <w:p w:rsidR="001771B8" w:rsidRPr="00262910" w:rsidRDefault="001771B8" w:rsidP="001771B8">
      <w:pPr>
        <w:pStyle w:val="SingleTxtG"/>
        <w:rPr>
          <w:lang w:val="fr-FR"/>
        </w:rPr>
      </w:pPr>
      <w:r w:rsidRPr="00262910">
        <w:rPr>
          <w:lang w:val="fr-FR"/>
        </w:rPr>
        <w:t>251.</w:t>
      </w:r>
      <w:r w:rsidRPr="00262910">
        <w:rPr>
          <w:lang w:val="fr-FR"/>
        </w:rPr>
        <w:tab/>
        <w:t>L</w:t>
      </w:r>
      <w:r>
        <w:rPr>
          <w:lang w:val="fr-FR"/>
        </w:rPr>
        <w:t xml:space="preserve">’État </w:t>
      </w:r>
      <w:r w:rsidRPr="00262910">
        <w:rPr>
          <w:lang w:val="fr-FR"/>
        </w:rPr>
        <w:t xml:space="preserve">alloue des fonds au Sámediggi à des fins culturelles (85,7 millions de couronnes norvégiennes en 2019). La politique culturelle nationale comporte </w:t>
      </w:r>
      <w:r>
        <w:rPr>
          <w:lang w:val="fr-FR"/>
        </w:rPr>
        <w:t>en outre un volet distinct en faveur d</w:t>
      </w:r>
      <w:r w:rsidRPr="00262910">
        <w:rPr>
          <w:lang w:val="fr-FR"/>
        </w:rPr>
        <w:t>e l</w:t>
      </w:r>
      <w:r>
        <w:rPr>
          <w:lang w:val="fr-FR"/>
        </w:rPr>
        <w:t>’</w:t>
      </w:r>
      <w:r w:rsidRPr="00262910">
        <w:rPr>
          <w:lang w:val="fr-FR"/>
        </w:rPr>
        <w:t xml:space="preserve">art et de la culture </w:t>
      </w:r>
      <w:r>
        <w:rPr>
          <w:lang w:val="fr-FR"/>
        </w:rPr>
        <w:t>sâme</w:t>
      </w:r>
      <w:r w:rsidRPr="00262910">
        <w:rPr>
          <w:lang w:val="fr-FR"/>
        </w:rPr>
        <w:t>s</w:t>
      </w:r>
      <w:r>
        <w:rPr>
          <w:lang w:val="fr-FR"/>
        </w:rPr>
        <w:t>,</w:t>
      </w:r>
      <w:r w:rsidRPr="00262910">
        <w:rPr>
          <w:lang w:val="fr-FR"/>
        </w:rPr>
        <w:t xml:space="preserve"> </w:t>
      </w:r>
      <w:r>
        <w:rPr>
          <w:lang w:val="fr-FR"/>
        </w:rPr>
        <w:t xml:space="preserve">au titre duquel des fonds sont alloués </w:t>
      </w:r>
      <w:r w:rsidRPr="00262910">
        <w:rPr>
          <w:lang w:val="fr-FR"/>
        </w:rPr>
        <w:t xml:space="preserve">directement </w:t>
      </w:r>
      <w:r>
        <w:rPr>
          <w:lang w:val="fr-FR"/>
        </w:rPr>
        <w:t xml:space="preserve">à des </w:t>
      </w:r>
      <w:r w:rsidRPr="00262910">
        <w:rPr>
          <w:lang w:val="fr-FR"/>
        </w:rPr>
        <w:t xml:space="preserve">institutions </w:t>
      </w:r>
      <w:r>
        <w:rPr>
          <w:lang w:val="fr-FR"/>
        </w:rPr>
        <w:t>sâme</w:t>
      </w:r>
      <w:r w:rsidRPr="00262910">
        <w:rPr>
          <w:lang w:val="fr-FR"/>
        </w:rPr>
        <w:t>s.</w:t>
      </w:r>
    </w:p>
    <w:p w:rsidR="001771B8" w:rsidRPr="00262910" w:rsidRDefault="001771B8" w:rsidP="001771B8">
      <w:pPr>
        <w:pStyle w:val="SingleTxtG"/>
        <w:rPr>
          <w:lang w:val="fr-FR"/>
        </w:rPr>
      </w:pPr>
      <w:r w:rsidRPr="00262910">
        <w:rPr>
          <w:lang w:val="fr-FR"/>
        </w:rPr>
        <w:t>252.</w:t>
      </w:r>
      <w:r w:rsidRPr="00262910">
        <w:rPr>
          <w:lang w:val="fr-FR"/>
        </w:rPr>
        <w:tab/>
        <w:t>Ces dernières années l</w:t>
      </w:r>
      <w:r>
        <w:rPr>
          <w:lang w:val="fr-FR"/>
        </w:rPr>
        <w:t xml:space="preserve">’État </w:t>
      </w:r>
      <w:r w:rsidRPr="00262910">
        <w:rPr>
          <w:lang w:val="fr-FR"/>
        </w:rPr>
        <w:t xml:space="preserve">a </w:t>
      </w:r>
      <w:r>
        <w:rPr>
          <w:lang w:val="fr-FR"/>
        </w:rPr>
        <w:t xml:space="preserve">beaucoup investi </w:t>
      </w:r>
      <w:r w:rsidRPr="00262910">
        <w:rPr>
          <w:lang w:val="fr-FR"/>
        </w:rPr>
        <w:t xml:space="preserve">dans les espaces culturels du peuple </w:t>
      </w:r>
      <w:r>
        <w:rPr>
          <w:lang w:val="fr-FR"/>
        </w:rPr>
        <w:t>sâme</w:t>
      </w:r>
      <w:r w:rsidRPr="00262910">
        <w:rPr>
          <w:lang w:val="fr-FR"/>
        </w:rPr>
        <w:t xml:space="preserve"> et </w:t>
      </w:r>
      <w:r>
        <w:rPr>
          <w:lang w:val="fr-FR"/>
        </w:rPr>
        <w:t xml:space="preserve">des </w:t>
      </w:r>
      <w:r w:rsidRPr="00262910">
        <w:rPr>
          <w:lang w:val="fr-FR"/>
        </w:rPr>
        <w:t xml:space="preserve">minorités nationales et y a contribué. Depuis 2019, le Conseil </w:t>
      </w:r>
      <w:r>
        <w:rPr>
          <w:lang w:val="fr-FR"/>
        </w:rPr>
        <w:t xml:space="preserve">national </w:t>
      </w:r>
      <w:r w:rsidRPr="00262910">
        <w:rPr>
          <w:lang w:val="fr-FR"/>
        </w:rPr>
        <w:t xml:space="preserve">des arts finance la traduction </w:t>
      </w:r>
      <w:r w:rsidRPr="007F2371">
        <w:rPr>
          <w:lang w:val="fr-FR"/>
        </w:rPr>
        <w:t xml:space="preserve">en norvégien </w:t>
      </w:r>
      <w:r w:rsidRPr="00262910">
        <w:rPr>
          <w:lang w:val="fr-FR"/>
        </w:rPr>
        <w:t>d</w:t>
      </w:r>
      <w:r>
        <w:rPr>
          <w:lang w:val="fr-FR"/>
        </w:rPr>
        <w:t>’œuvres littéraires sâmes</w:t>
      </w:r>
      <w:r w:rsidRPr="00262910">
        <w:rPr>
          <w:lang w:val="fr-FR"/>
        </w:rPr>
        <w:t>.</w:t>
      </w:r>
    </w:p>
    <w:p w:rsidR="001771B8" w:rsidRPr="00262910" w:rsidRDefault="001771B8" w:rsidP="001771B8">
      <w:pPr>
        <w:pStyle w:val="SingleTxtG"/>
        <w:rPr>
          <w:lang w:val="fr-FR"/>
        </w:rPr>
      </w:pPr>
      <w:r w:rsidRPr="00262910">
        <w:rPr>
          <w:lang w:val="fr-FR"/>
        </w:rPr>
        <w:t>253.</w:t>
      </w:r>
      <w:r w:rsidRPr="00262910">
        <w:rPr>
          <w:lang w:val="fr-FR"/>
        </w:rPr>
        <w:tab/>
        <w:t>Le Gouvernement a proposé d</w:t>
      </w:r>
      <w:r>
        <w:rPr>
          <w:lang w:val="fr-FR"/>
        </w:rPr>
        <w:t>’</w:t>
      </w:r>
      <w:r w:rsidRPr="00262910">
        <w:rPr>
          <w:lang w:val="fr-FR"/>
        </w:rPr>
        <w:t xml:space="preserve">augmenter de 2,5 millions de couronnes norvégiennes les </w:t>
      </w:r>
      <w:r>
        <w:rPr>
          <w:lang w:val="fr-FR"/>
        </w:rPr>
        <w:t xml:space="preserve">subventions accordées </w:t>
      </w:r>
      <w:r w:rsidRPr="00262910">
        <w:rPr>
          <w:lang w:val="fr-FR"/>
        </w:rPr>
        <w:t>à l</w:t>
      </w:r>
      <w:r>
        <w:rPr>
          <w:lang w:val="fr-FR"/>
        </w:rPr>
        <w:t>’</w:t>
      </w:r>
      <w:r w:rsidRPr="00262910">
        <w:rPr>
          <w:lang w:val="fr-FR"/>
        </w:rPr>
        <w:t xml:space="preserve">Institut international du film </w:t>
      </w:r>
      <w:r>
        <w:rPr>
          <w:lang w:val="fr-FR"/>
        </w:rPr>
        <w:t>sâme</w:t>
      </w:r>
      <w:r w:rsidRPr="00262910">
        <w:rPr>
          <w:lang w:val="fr-FR"/>
        </w:rPr>
        <w:t xml:space="preserve"> </w:t>
      </w:r>
      <w:r>
        <w:rPr>
          <w:lang w:val="fr-FR"/>
        </w:rPr>
        <w:t xml:space="preserve">pour </w:t>
      </w:r>
      <w:r w:rsidRPr="00262910">
        <w:rPr>
          <w:lang w:val="fr-FR"/>
        </w:rPr>
        <w:t xml:space="preserve">2020, afin de renforcer les activités relatives aux productions audiovisuelles </w:t>
      </w:r>
      <w:r>
        <w:rPr>
          <w:lang w:val="fr-FR"/>
        </w:rPr>
        <w:t>sâme</w:t>
      </w:r>
      <w:r w:rsidRPr="00262910">
        <w:rPr>
          <w:lang w:val="fr-FR"/>
        </w:rPr>
        <w:t xml:space="preserve">s. </w:t>
      </w:r>
    </w:p>
    <w:p w:rsidR="001771B8" w:rsidRPr="00262910" w:rsidRDefault="001771B8" w:rsidP="001771B8">
      <w:pPr>
        <w:pStyle w:val="SingleTxtG"/>
        <w:rPr>
          <w:lang w:val="fr-FR"/>
        </w:rPr>
      </w:pPr>
      <w:r w:rsidRPr="00262910">
        <w:rPr>
          <w:lang w:val="fr-FR"/>
        </w:rPr>
        <w:t>254.</w:t>
      </w:r>
      <w:r w:rsidRPr="00262910">
        <w:rPr>
          <w:lang w:val="fr-FR"/>
        </w:rPr>
        <w:tab/>
        <w:t xml:space="preserve">Tous les élèves </w:t>
      </w:r>
      <w:r>
        <w:rPr>
          <w:lang w:val="fr-FR"/>
        </w:rPr>
        <w:t>sâme</w:t>
      </w:r>
      <w:r w:rsidRPr="00262910">
        <w:rPr>
          <w:lang w:val="fr-FR"/>
        </w:rPr>
        <w:t>s ont le droit d</w:t>
      </w:r>
      <w:r>
        <w:rPr>
          <w:lang w:val="fr-FR"/>
        </w:rPr>
        <w:t>’</w:t>
      </w:r>
      <w:r w:rsidRPr="00262910">
        <w:rPr>
          <w:lang w:val="fr-FR"/>
        </w:rPr>
        <w:t xml:space="preserve">apprendre la langue </w:t>
      </w:r>
      <w:r>
        <w:rPr>
          <w:lang w:val="fr-FR"/>
        </w:rPr>
        <w:t>sâme,</w:t>
      </w:r>
      <w:r w:rsidRPr="00262910">
        <w:rPr>
          <w:lang w:val="fr-FR"/>
        </w:rPr>
        <w:t xml:space="preserve"> où qu</w:t>
      </w:r>
      <w:r>
        <w:rPr>
          <w:lang w:val="fr-FR"/>
        </w:rPr>
        <w:t>’</w:t>
      </w:r>
      <w:r w:rsidRPr="00262910">
        <w:rPr>
          <w:lang w:val="fr-FR"/>
        </w:rPr>
        <w:t xml:space="preserve">ils vivent en Norvège. Si plus de </w:t>
      </w:r>
      <w:r w:rsidR="00ED36BD">
        <w:rPr>
          <w:lang w:val="fr-FR"/>
        </w:rPr>
        <w:t>10</w:t>
      </w:r>
      <w:r w:rsidRPr="00262910">
        <w:rPr>
          <w:lang w:val="fr-FR"/>
        </w:rPr>
        <w:t xml:space="preserve"> enfants non </w:t>
      </w:r>
      <w:r>
        <w:rPr>
          <w:lang w:val="fr-FR"/>
        </w:rPr>
        <w:t>sâme</w:t>
      </w:r>
      <w:r w:rsidRPr="00262910">
        <w:rPr>
          <w:lang w:val="fr-FR"/>
        </w:rPr>
        <w:t>s d</w:t>
      </w:r>
      <w:r>
        <w:rPr>
          <w:lang w:val="fr-FR"/>
        </w:rPr>
        <w:t>’</w:t>
      </w:r>
      <w:r w:rsidRPr="00262910">
        <w:rPr>
          <w:lang w:val="fr-FR"/>
        </w:rPr>
        <w:t xml:space="preserve">une municipalité souhaitent apprendre la langue </w:t>
      </w:r>
      <w:r>
        <w:rPr>
          <w:lang w:val="fr-FR"/>
        </w:rPr>
        <w:t>sâme</w:t>
      </w:r>
      <w:r w:rsidRPr="00262910">
        <w:rPr>
          <w:lang w:val="fr-FR"/>
        </w:rPr>
        <w:t xml:space="preserve"> et recevoir une instruction en </w:t>
      </w:r>
      <w:r>
        <w:rPr>
          <w:lang w:val="fr-FR"/>
        </w:rPr>
        <w:t xml:space="preserve">cette </w:t>
      </w:r>
      <w:r w:rsidRPr="00262910">
        <w:rPr>
          <w:lang w:val="fr-FR"/>
        </w:rPr>
        <w:t>langue</w:t>
      </w:r>
      <w:r>
        <w:rPr>
          <w:lang w:val="fr-FR"/>
        </w:rPr>
        <w:t>,</w:t>
      </w:r>
      <w:r w:rsidRPr="00262910">
        <w:rPr>
          <w:lang w:val="fr-FR"/>
        </w:rPr>
        <w:t xml:space="preserve"> ils</w:t>
      </w:r>
      <w:r>
        <w:rPr>
          <w:lang w:val="fr-FR"/>
        </w:rPr>
        <w:t xml:space="preserve"> y </w:t>
      </w:r>
      <w:r w:rsidRPr="00262910">
        <w:rPr>
          <w:lang w:val="fr-FR"/>
        </w:rPr>
        <w:t>ont droit.</w:t>
      </w:r>
    </w:p>
    <w:p w:rsidR="001771B8" w:rsidRPr="00262910" w:rsidRDefault="001771B8" w:rsidP="001771B8">
      <w:pPr>
        <w:pStyle w:val="SingleTxtG"/>
        <w:rPr>
          <w:lang w:val="fr-FR"/>
        </w:rPr>
      </w:pPr>
      <w:r w:rsidRPr="00262910">
        <w:rPr>
          <w:lang w:val="fr-FR"/>
        </w:rPr>
        <w:t>255.</w:t>
      </w:r>
      <w:r w:rsidRPr="00262910">
        <w:rPr>
          <w:lang w:val="fr-FR"/>
        </w:rPr>
        <w:tab/>
      </w:r>
      <w:r>
        <w:rPr>
          <w:lang w:val="fr-FR"/>
        </w:rPr>
        <w:t>Conformément à l</w:t>
      </w:r>
      <w:r w:rsidRPr="00D3574D">
        <w:rPr>
          <w:lang w:val="fr-FR"/>
        </w:rPr>
        <w:t>a loi sur l</w:t>
      </w:r>
      <w:r>
        <w:rPr>
          <w:lang w:val="fr-FR"/>
        </w:rPr>
        <w:t>’</w:t>
      </w:r>
      <w:r w:rsidRPr="00D3574D">
        <w:rPr>
          <w:lang w:val="fr-FR"/>
        </w:rPr>
        <w:t>éducation</w:t>
      </w:r>
      <w:r>
        <w:rPr>
          <w:lang w:val="fr-FR"/>
        </w:rPr>
        <w:t>, l</w:t>
      </w:r>
      <w:r w:rsidRPr="00262910">
        <w:rPr>
          <w:lang w:val="fr-FR"/>
        </w:rPr>
        <w:t>es élèves d</w:t>
      </w:r>
      <w:r>
        <w:rPr>
          <w:lang w:val="fr-FR"/>
        </w:rPr>
        <w:t>’</w:t>
      </w:r>
      <w:r w:rsidRPr="00262910">
        <w:rPr>
          <w:lang w:val="fr-FR"/>
        </w:rPr>
        <w:t xml:space="preserve">origine </w:t>
      </w:r>
      <w:r>
        <w:rPr>
          <w:lang w:val="fr-FR"/>
        </w:rPr>
        <w:t>kvène/finno-norvégienne</w:t>
      </w:r>
      <w:r w:rsidRPr="00262910">
        <w:rPr>
          <w:lang w:val="fr-FR"/>
        </w:rPr>
        <w:t xml:space="preserve"> </w:t>
      </w:r>
      <w:r>
        <w:rPr>
          <w:lang w:val="fr-FR"/>
        </w:rPr>
        <w:t xml:space="preserve">qui </w:t>
      </w:r>
      <w:r w:rsidRPr="00262910">
        <w:rPr>
          <w:lang w:val="fr-FR"/>
        </w:rPr>
        <w:t>viv</w:t>
      </w:r>
      <w:r>
        <w:rPr>
          <w:lang w:val="fr-FR"/>
        </w:rPr>
        <w:t>e</w:t>
      </w:r>
      <w:r w:rsidRPr="00262910">
        <w:rPr>
          <w:lang w:val="fr-FR"/>
        </w:rPr>
        <w:t xml:space="preserve">nt dans les </w:t>
      </w:r>
      <w:r>
        <w:rPr>
          <w:lang w:val="fr-FR"/>
        </w:rPr>
        <w:t xml:space="preserve">provinces du </w:t>
      </w:r>
      <w:r w:rsidRPr="00262910">
        <w:rPr>
          <w:lang w:val="fr-FR"/>
        </w:rPr>
        <w:t>Finnmark ou de Troms ont droit à un enseignement en finnois ou en kv</w:t>
      </w:r>
      <w:r>
        <w:rPr>
          <w:lang w:val="fr-FR"/>
        </w:rPr>
        <w:t>ène</w:t>
      </w:r>
      <w:r w:rsidRPr="00262910">
        <w:rPr>
          <w:lang w:val="fr-FR"/>
        </w:rPr>
        <w:t xml:space="preserve">. </w:t>
      </w:r>
    </w:p>
    <w:p w:rsidR="001771B8" w:rsidRPr="00262910" w:rsidRDefault="001771B8" w:rsidP="001771B8">
      <w:pPr>
        <w:pStyle w:val="H1G"/>
        <w:rPr>
          <w:lang w:val="fr-FR"/>
        </w:rPr>
      </w:pPr>
      <w:r w:rsidRPr="00262910">
        <w:rPr>
          <w:lang w:val="fr-FR"/>
        </w:rPr>
        <w:tab/>
      </w:r>
      <w:r w:rsidRPr="00262910">
        <w:rPr>
          <w:lang w:val="fr-FR"/>
        </w:rPr>
        <w:tab/>
        <w:t>Réponse au paragraphe 32 de la liste de points</w:t>
      </w:r>
    </w:p>
    <w:p w:rsidR="001771B8" w:rsidRPr="00262910" w:rsidRDefault="001771B8" w:rsidP="001771B8">
      <w:pPr>
        <w:pStyle w:val="SingleTxtG"/>
        <w:rPr>
          <w:lang w:val="fr-FR"/>
        </w:rPr>
      </w:pPr>
      <w:r w:rsidRPr="00262910">
        <w:rPr>
          <w:lang w:val="fr-FR"/>
        </w:rPr>
        <w:t>256.</w:t>
      </w:r>
      <w:r w:rsidRPr="00262910">
        <w:rPr>
          <w:lang w:val="fr-FR"/>
        </w:rPr>
        <w:tab/>
      </w:r>
      <w:r w:rsidRPr="006414A0">
        <w:rPr>
          <w:lang w:val="fr-FR"/>
        </w:rPr>
        <w:t>La nouvelle loi sur l</w:t>
      </w:r>
      <w:r>
        <w:rPr>
          <w:lang w:val="fr-FR"/>
        </w:rPr>
        <w:t>’</w:t>
      </w:r>
      <w:r w:rsidRPr="006414A0">
        <w:rPr>
          <w:lang w:val="fr-FR"/>
        </w:rPr>
        <w:t>égalité</w:t>
      </w:r>
      <w:r w:rsidRPr="00262910">
        <w:rPr>
          <w:lang w:val="fr-FR"/>
        </w:rPr>
        <w:t xml:space="preserve"> et la lutte contre la discrimination</w:t>
      </w:r>
      <w:r>
        <w:rPr>
          <w:lang w:val="fr-FR"/>
        </w:rPr>
        <w:t xml:space="preserve">, </w:t>
      </w:r>
      <w:r w:rsidRPr="00262910">
        <w:rPr>
          <w:lang w:val="fr-FR"/>
        </w:rPr>
        <w:t>entrée en vigueur le 1</w:t>
      </w:r>
      <w:r w:rsidRPr="00B63E3E">
        <w:rPr>
          <w:vertAlign w:val="superscript"/>
          <w:lang w:val="fr-FR"/>
        </w:rPr>
        <w:t>er</w:t>
      </w:r>
      <w:r w:rsidR="00ED36BD">
        <w:rPr>
          <w:lang w:val="fr-FR"/>
        </w:rPr>
        <w:t> </w:t>
      </w:r>
      <w:r w:rsidRPr="00262910">
        <w:rPr>
          <w:lang w:val="fr-FR"/>
        </w:rPr>
        <w:t>janvier 2018</w:t>
      </w:r>
      <w:r>
        <w:rPr>
          <w:lang w:val="fr-FR"/>
        </w:rPr>
        <w:t xml:space="preserve">, </w:t>
      </w:r>
      <w:r w:rsidRPr="00262910">
        <w:rPr>
          <w:lang w:val="fr-FR"/>
        </w:rPr>
        <w:t>s</w:t>
      </w:r>
      <w:r>
        <w:rPr>
          <w:lang w:val="fr-FR"/>
        </w:rPr>
        <w:t>’</w:t>
      </w:r>
      <w:r w:rsidRPr="00262910">
        <w:rPr>
          <w:lang w:val="fr-FR"/>
        </w:rPr>
        <w:t>inscrit pour l</w:t>
      </w:r>
      <w:r>
        <w:rPr>
          <w:lang w:val="fr-FR"/>
        </w:rPr>
        <w:t>’</w:t>
      </w:r>
      <w:r w:rsidRPr="00262910">
        <w:rPr>
          <w:lang w:val="fr-FR"/>
        </w:rPr>
        <w:t>essentiel dans le prolongement de l</w:t>
      </w:r>
      <w:r>
        <w:rPr>
          <w:lang w:val="fr-FR"/>
        </w:rPr>
        <w:t>’</w:t>
      </w:r>
      <w:r w:rsidRPr="00262910">
        <w:rPr>
          <w:lang w:val="fr-FR"/>
        </w:rPr>
        <w:t>ancienne loi sur la discrimination de 2013</w:t>
      </w:r>
      <w:r>
        <w:rPr>
          <w:lang w:val="fr-FR"/>
        </w:rPr>
        <w:t xml:space="preserve">, </w:t>
      </w:r>
      <w:r w:rsidRPr="00262910">
        <w:rPr>
          <w:lang w:val="fr-FR"/>
        </w:rPr>
        <w:t xml:space="preserve">mais </w:t>
      </w:r>
      <w:r>
        <w:rPr>
          <w:lang w:val="fr-FR"/>
        </w:rPr>
        <w:t xml:space="preserve">elle </w:t>
      </w:r>
      <w:r w:rsidRPr="00262910">
        <w:rPr>
          <w:lang w:val="fr-FR"/>
        </w:rPr>
        <w:t xml:space="preserve">renforce la protection contre la discrimination en prévoyant une réglementation plus cohérente et plus accessible et en imposant </w:t>
      </w:r>
      <w:r w:rsidRPr="008A0B30">
        <w:rPr>
          <w:lang w:val="fr-FR"/>
        </w:rPr>
        <w:t xml:space="preserve">à certains employeurs </w:t>
      </w:r>
      <w:r w:rsidRPr="00262910">
        <w:rPr>
          <w:lang w:val="fr-FR"/>
        </w:rPr>
        <w:t xml:space="preserve">des obligations plus concrètes </w:t>
      </w:r>
      <w:r>
        <w:rPr>
          <w:lang w:val="fr-FR"/>
        </w:rPr>
        <w:t xml:space="preserve">en matière d’action </w:t>
      </w:r>
      <w:r w:rsidRPr="00262910">
        <w:rPr>
          <w:lang w:val="fr-FR"/>
        </w:rPr>
        <w:t>en faveur de l</w:t>
      </w:r>
      <w:r>
        <w:rPr>
          <w:lang w:val="fr-FR"/>
        </w:rPr>
        <w:t>’</w:t>
      </w:r>
      <w:r w:rsidRPr="00262910">
        <w:rPr>
          <w:lang w:val="fr-FR"/>
        </w:rPr>
        <w:t>égalité.</w:t>
      </w:r>
    </w:p>
    <w:p w:rsidR="001771B8" w:rsidRPr="00262910" w:rsidRDefault="001771B8" w:rsidP="001771B8">
      <w:pPr>
        <w:pStyle w:val="SingleTxtG"/>
        <w:rPr>
          <w:lang w:val="fr-FR"/>
        </w:rPr>
      </w:pPr>
      <w:r w:rsidRPr="00262910">
        <w:rPr>
          <w:lang w:val="fr-FR"/>
        </w:rPr>
        <w:t>257.</w:t>
      </w:r>
      <w:r w:rsidRPr="00262910">
        <w:rPr>
          <w:lang w:val="fr-FR"/>
        </w:rPr>
        <w:tab/>
        <w:t>Le</w:t>
      </w:r>
      <w:r w:rsidRPr="008A0B30">
        <w:rPr>
          <w:lang w:val="fr-FR"/>
        </w:rPr>
        <w:t xml:space="preserve"> dispositif </w:t>
      </w:r>
      <w:r>
        <w:rPr>
          <w:lang w:val="fr-FR"/>
        </w:rPr>
        <w:t xml:space="preserve">national de </w:t>
      </w:r>
      <w:r w:rsidRPr="008A0B30">
        <w:rPr>
          <w:lang w:val="fr-FR"/>
        </w:rPr>
        <w:t>lutte contre la discrimination</w:t>
      </w:r>
      <w:r w:rsidRPr="00262910">
        <w:rPr>
          <w:lang w:val="fr-FR"/>
        </w:rPr>
        <w:t xml:space="preserve"> a</w:t>
      </w:r>
      <w:r>
        <w:rPr>
          <w:lang w:val="fr-FR"/>
        </w:rPr>
        <w:t xml:space="preserve"> </w:t>
      </w:r>
      <w:r w:rsidRPr="00262910">
        <w:rPr>
          <w:lang w:val="fr-FR"/>
        </w:rPr>
        <w:t xml:space="preserve">été réorganisé en 2018. </w:t>
      </w:r>
      <w:r>
        <w:rPr>
          <w:lang w:val="fr-FR"/>
        </w:rPr>
        <w:t xml:space="preserve">Les modifications apportées </w:t>
      </w:r>
      <w:r w:rsidRPr="00262910">
        <w:rPr>
          <w:lang w:val="fr-FR"/>
        </w:rPr>
        <w:t>ont renforcé le rôle du Médiateur pour l</w:t>
      </w:r>
      <w:r>
        <w:rPr>
          <w:lang w:val="fr-FR"/>
        </w:rPr>
        <w:t>’</w:t>
      </w:r>
      <w:r w:rsidRPr="00262910">
        <w:rPr>
          <w:lang w:val="fr-FR"/>
        </w:rPr>
        <w:t xml:space="preserve">égalité et la </w:t>
      </w:r>
      <w:r>
        <w:rPr>
          <w:lang w:val="fr-FR"/>
        </w:rPr>
        <w:t xml:space="preserve">lutte contre la </w:t>
      </w:r>
      <w:r w:rsidRPr="00262910">
        <w:rPr>
          <w:lang w:val="fr-FR"/>
        </w:rPr>
        <w:t>discrimination en tant qu</w:t>
      </w:r>
      <w:r>
        <w:rPr>
          <w:lang w:val="fr-FR"/>
        </w:rPr>
        <w:t>’</w:t>
      </w:r>
      <w:r w:rsidRPr="00262910">
        <w:rPr>
          <w:lang w:val="fr-FR"/>
        </w:rPr>
        <w:t>agent proactif de l</w:t>
      </w:r>
      <w:r>
        <w:rPr>
          <w:lang w:val="fr-FR"/>
        </w:rPr>
        <w:t>’</w:t>
      </w:r>
      <w:r w:rsidRPr="00262910">
        <w:rPr>
          <w:lang w:val="fr-FR"/>
        </w:rPr>
        <w:t xml:space="preserve">égalité des chances et le Tribunal </w:t>
      </w:r>
      <w:r>
        <w:rPr>
          <w:lang w:val="fr-FR"/>
        </w:rPr>
        <w:t xml:space="preserve">pour l’égalité et la lutte contre la </w:t>
      </w:r>
      <w:r w:rsidRPr="005D292E">
        <w:rPr>
          <w:lang w:val="fr-FR"/>
        </w:rPr>
        <w:t>discrimination</w:t>
      </w:r>
      <w:r w:rsidRPr="00262910">
        <w:rPr>
          <w:lang w:val="fr-FR"/>
        </w:rPr>
        <w:t xml:space="preserve"> a été habilité à </w:t>
      </w:r>
      <w:r>
        <w:rPr>
          <w:lang w:val="fr-FR"/>
        </w:rPr>
        <w:t xml:space="preserve">accorder une </w:t>
      </w:r>
      <w:r w:rsidRPr="00262910">
        <w:rPr>
          <w:lang w:val="fr-FR"/>
        </w:rPr>
        <w:t xml:space="preserve">réparation dans les affaires de discrimination </w:t>
      </w:r>
      <w:r>
        <w:rPr>
          <w:lang w:val="fr-FR"/>
        </w:rPr>
        <w:t xml:space="preserve">au </w:t>
      </w:r>
      <w:r w:rsidRPr="00262910">
        <w:rPr>
          <w:lang w:val="fr-FR"/>
        </w:rPr>
        <w:t xml:space="preserve">travail et </w:t>
      </w:r>
      <w:r>
        <w:rPr>
          <w:lang w:val="fr-FR"/>
        </w:rPr>
        <w:t>une indemnisation d</w:t>
      </w:r>
      <w:r w:rsidRPr="00262910">
        <w:rPr>
          <w:lang w:val="fr-FR"/>
        </w:rPr>
        <w:t xml:space="preserve">ans les affaires simples. Ces recours sont ouverts aux personnes qui </w:t>
      </w:r>
      <w:r>
        <w:rPr>
          <w:lang w:val="fr-FR"/>
        </w:rPr>
        <w:t xml:space="preserve">demandent </w:t>
      </w:r>
      <w:r w:rsidRPr="00262910">
        <w:rPr>
          <w:lang w:val="fr-FR"/>
        </w:rPr>
        <w:t xml:space="preserve">la protection de droits </w:t>
      </w:r>
      <w:r>
        <w:rPr>
          <w:lang w:val="fr-FR"/>
        </w:rPr>
        <w:t xml:space="preserve">énoncés dans </w:t>
      </w:r>
      <w:r w:rsidRPr="00262910">
        <w:rPr>
          <w:lang w:val="fr-FR"/>
        </w:rPr>
        <w:t>l</w:t>
      </w:r>
      <w:r>
        <w:rPr>
          <w:lang w:val="fr-FR"/>
        </w:rPr>
        <w:t>e Pacte</w:t>
      </w:r>
      <w:r w:rsidRPr="00262910">
        <w:rPr>
          <w:lang w:val="fr-FR"/>
        </w:rPr>
        <w:t>.</w:t>
      </w:r>
    </w:p>
    <w:p w:rsidR="001771B8" w:rsidRPr="00262910" w:rsidRDefault="001771B8" w:rsidP="001771B8">
      <w:pPr>
        <w:pStyle w:val="SingleTxtG"/>
        <w:rPr>
          <w:lang w:val="fr-FR"/>
        </w:rPr>
      </w:pPr>
      <w:r w:rsidRPr="00262910">
        <w:rPr>
          <w:lang w:val="fr-FR"/>
        </w:rPr>
        <w:t>258.</w:t>
      </w:r>
      <w:r w:rsidRPr="00262910">
        <w:rPr>
          <w:lang w:val="fr-FR"/>
        </w:rPr>
        <w:tab/>
      </w:r>
      <w:r w:rsidRPr="005D7B77">
        <w:rPr>
          <w:lang w:val="fr-FR"/>
        </w:rPr>
        <w:t xml:space="preserve">Le Storting a </w:t>
      </w:r>
      <w:r>
        <w:rPr>
          <w:lang w:val="fr-FR"/>
        </w:rPr>
        <w:t xml:space="preserve">adopté une </w:t>
      </w:r>
      <w:r w:rsidRPr="00D37055">
        <w:rPr>
          <w:lang w:val="fr-FR"/>
        </w:rPr>
        <w:t>modification</w:t>
      </w:r>
      <w:r>
        <w:rPr>
          <w:lang w:val="fr-FR"/>
        </w:rPr>
        <w:t xml:space="preserve"> législative, prenant effet au </w:t>
      </w:r>
      <w:r w:rsidRPr="00D37055">
        <w:rPr>
          <w:lang w:val="fr-FR"/>
        </w:rPr>
        <w:t>1</w:t>
      </w:r>
      <w:r w:rsidRPr="00D37055">
        <w:rPr>
          <w:vertAlign w:val="superscript"/>
          <w:lang w:val="fr-FR"/>
        </w:rPr>
        <w:t>er</w:t>
      </w:r>
      <w:r>
        <w:rPr>
          <w:lang w:val="fr-FR"/>
        </w:rPr>
        <w:t xml:space="preserve"> </w:t>
      </w:r>
      <w:r w:rsidRPr="00D37055">
        <w:rPr>
          <w:lang w:val="fr-FR"/>
        </w:rPr>
        <w:t>janvier 2020</w:t>
      </w:r>
      <w:r>
        <w:rPr>
          <w:lang w:val="fr-FR"/>
        </w:rPr>
        <w:t>,</w:t>
      </w:r>
      <w:r w:rsidRPr="00D37055">
        <w:rPr>
          <w:lang w:val="fr-FR"/>
        </w:rPr>
        <w:t xml:space="preserve"> </w:t>
      </w:r>
      <w:r>
        <w:rPr>
          <w:lang w:val="fr-FR"/>
        </w:rPr>
        <w:t xml:space="preserve">qui élargit les attributions </w:t>
      </w:r>
      <w:r w:rsidRPr="005D7B77">
        <w:rPr>
          <w:lang w:val="fr-FR"/>
        </w:rPr>
        <w:t xml:space="preserve">du Tribunal </w:t>
      </w:r>
      <w:r w:rsidRPr="006414A0">
        <w:rPr>
          <w:lang w:val="fr-FR"/>
        </w:rPr>
        <w:t>pour l</w:t>
      </w:r>
      <w:r>
        <w:rPr>
          <w:lang w:val="fr-FR"/>
        </w:rPr>
        <w:t>’</w:t>
      </w:r>
      <w:r w:rsidRPr="006414A0">
        <w:rPr>
          <w:lang w:val="fr-FR"/>
        </w:rPr>
        <w:t xml:space="preserve">égalité et la lutte contre la discrimination </w:t>
      </w:r>
      <w:r>
        <w:rPr>
          <w:lang w:val="fr-FR"/>
        </w:rPr>
        <w:t>en l’habilitant à connaître d</w:t>
      </w:r>
      <w:r w:rsidRPr="00262910">
        <w:rPr>
          <w:lang w:val="fr-FR"/>
        </w:rPr>
        <w:t xml:space="preserve">es affaires de harcèlement sexuel. </w:t>
      </w:r>
    </w:p>
    <w:p w:rsidR="001771B8" w:rsidRPr="00262910" w:rsidRDefault="001771B8" w:rsidP="001771B8">
      <w:pPr>
        <w:pStyle w:val="SingleTxtG"/>
        <w:rPr>
          <w:lang w:val="fr-FR"/>
        </w:rPr>
      </w:pPr>
      <w:r w:rsidRPr="00262910">
        <w:rPr>
          <w:lang w:val="fr-FR"/>
        </w:rPr>
        <w:t>259.</w:t>
      </w:r>
      <w:r w:rsidRPr="00262910">
        <w:rPr>
          <w:lang w:val="fr-FR"/>
        </w:rPr>
        <w:tab/>
      </w:r>
      <w:r w:rsidRPr="00341695">
        <w:rPr>
          <w:lang w:val="fr-FR"/>
        </w:rPr>
        <w:t>Le Ministère de la culture</w:t>
      </w:r>
      <w:r w:rsidRPr="00262910">
        <w:rPr>
          <w:lang w:val="fr-FR"/>
        </w:rPr>
        <w:t xml:space="preserve"> </w:t>
      </w:r>
      <w:r>
        <w:rPr>
          <w:lang w:val="fr-FR"/>
        </w:rPr>
        <w:t xml:space="preserve">s’attache </w:t>
      </w:r>
      <w:r w:rsidRPr="00262910">
        <w:rPr>
          <w:lang w:val="fr-FR"/>
        </w:rPr>
        <w:t>à garantir l</w:t>
      </w:r>
      <w:r>
        <w:rPr>
          <w:lang w:val="fr-FR"/>
        </w:rPr>
        <w:t>’</w:t>
      </w:r>
      <w:r w:rsidRPr="00262910">
        <w:rPr>
          <w:lang w:val="fr-FR"/>
        </w:rPr>
        <w:t>égalité d</w:t>
      </w:r>
      <w:r>
        <w:rPr>
          <w:lang w:val="fr-FR"/>
        </w:rPr>
        <w:t>’</w:t>
      </w:r>
      <w:r w:rsidRPr="00262910">
        <w:rPr>
          <w:lang w:val="fr-FR"/>
        </w:rPr>
        <w:t>accès à la culture, au débat public et à la participation à la société, par exemple l</w:t>
      </w:r>
      <w:r>
        <w:rPr>
          <w:lang w:val="fr-FR"/>
        </w:rPr>
        <w:t>’</w:t>
      </w:r>
      <w:r w:rsidRPr="00262910">
        <w:rPr>
          <w:lang w:val="fr-FR"/>
        </w:rPr>
        <w:t xml:space="preserve">accès des groupes marginalisés aux livres et </w:t>
      </w:r>
      <w:r>
        <w:rPr>
          <w:lang w:val="fr-FR"/>
        </w:rPr>
        <w:t xml:space="preserve">aux divers </w:t>
      </w:r>
      <w:r w:rsidRPr="00262910">
        <w:rPr>
          <w:lang w:val="fr-FR"/>
        </w:rPr>
        <w:t xml:space="preserve">médias. La Bibliothèque nationale </w:t>
      </w:r>
      <w:r>
        <w:rPr>
          <w:lang w:val="fr-FR"/>
        </w:rPr>
        <w:t xml:space="preserve">affecte des crédits au </w:t>
      </w:r>
      <w:r w:rsidRPr="00262910">
        <w:rPr>
          <w:lang w:val="fr-FR"/>
        </w:rPr>
        <w:t>développe</w:t>
      </w:r>
      <w:r>
        <w:rPr>
          <w:lang w:val="fr-FR"/>
        </w:rPr>
        <w:t>ment</w:t>
      </w:r>
      <w:r w:rsidRPr="00262910">
        <w:rPr>
          <w:lang w:val="fr-FR"/>
        </w:rPr>
        <w:t xml:space="preserve"> </w:t>
      </w:r>
      <w:r>
        <w:rPr>
          <w:lang w:val="fr-FR"/>
        </w:rPr>
        <w:t>d</w:t>
      </w:r>
      <w:r w:rsidRPr="00262910">
        <w:rPr>
          <w:lang w:val="fr-FR"/>
        </w:rPr>
        <w:t xml:space="preserve">es services de bibliothèque dans les prisons et </w:t>
      </w:r>
      <w:r>
        <w:rPr>
          <w:lang w:val="fr-FR"/>
        </w:rPr>
        <w:t xml:space="preserve">des </w:t>
      </w:r>
      <w:r w:rsidRPr="00262910">
        <w:rPr>
          <w:lang w:val="fr-FR"/>
        </w:rPr>
        <w:t>services pour personnes sourdes ou malvoyantes. Les utilisateurs de la langue des signes peuvent être considérés comme un groupe marginalisé ou défavorisé. L</w:t>
      </w:r>
      <w:r>
        <w:rPr>
          <w:lang w:val="fr-FR"/>
        </w:rPr>
        <w:t>’</w:t>
      </w:r>
      <w:r w:rsidRPr="00262910">
        <w:rPr>
          <w:lang w:val="fr-FR"/>
        </w:rPr>
        <w:t xml:space="preserve">Association norvégienne pour les sourds reçoit des subventions du </w:t>
      </w:r>
      <w:r>
        <w:rPr>
          <w:lang w:val="fr-FR"/>
        </w:rPr>
        <w:t>M</w:t>
      </w:r>
      <w:r w:rsidRPr="00262910">
        <w:rPr>
          <w:lang w:val="fr-FR"/>
        </w:rPr>
        <w:t xml:space="preserve">inistère de la </w:t>
      </w:r>
      <w:r>
        <w:rPr>
          <w:lang w:val="fr-FR"/>
        </w:rPr>
        <w:t>c</w:t>
      </w:r>
      <w:r w:rsidRPr="00262910">
        <w:rPr>
          <w:lang w:val="fr-FR"/>
        </w:rPr>
        <w:t>ulture.</w:t>
      </w:r>
    </w:p>
    <w:p w:rsidR="001771B8" w:rsidRPr="00262910" w:rsidRDefault="001771B8" w:rsidP="001771B8">
      <w:pPr>
        <w:pStyle w:val="SingleTxtG"/>
        <w:rPr>
          <w:lang w:val="fr-FR"/>
        </w:rPr>
      </w:pPr>
      <w:r w:rsidRPr="00262910">
        <w:rPr>
          <w:lang w:val="fr-FR"/>
        </w:rPr>
        <w:t>260.</w:t>
      </w:r>
      <w:r w:rsidRPr="00262910">
        <w:rPr>
          <w:lang w:val="fr-FR"/>
        </w:rPr>
        <w:tab/>
      </w:r>
      <w:r w:rsidRPr="00596CE3">
        <w:rPr>
          <w:lang w:val="fr-FR"/>
        </w:rPr>
        <w:t>En collaboration avec</w:t>
      </w:r>
      <w:r w:rsidRPr="00DC3F0E">
        <w:rPr>
          <w:lang w:val="fr-FR"/>
        </w:rPr>
        <w:t xml:space="preserve"> le </w:t>
      </w:r>
      <w:r>
        <w:rPr>
          <w:lang w:val="fr-FR"/>
        </w:rPr>
        <w:t>monde de l’entreprise</w:t>
      </w:r>
      <w:r w:rsidRPr="00DC3F0E">
        <w:rPr>
          <w:lang w:val="fr-FR"/>
        </w:rPr>
        <w:t xml:space="preserve">, les autorités ont </w:t>
      </w:r>
      <w:r>
        <w:rPr>
          <w:lang w:val="fr-FR"/>
        </w:rPr>
        <w:t xml:space="preserve">élaboré un répertoire des </w:t>
      </w:r>
      <w:r w:rsidRPr="00DC3F0E">
        <w:rPr>
          <w:lang w:val="fr-FR"/>
        </w:rPr>
        <w:t>meilleures pratiques</w:t>
      </w:r>
      <w:r>
        <w:rPr>
          <w:lang w:val="fr-FR"/>
        </w:rPr>
        <w:t>,</w:t>
      </w:r>
      <w:r w:rsidRPr="00DC3F0E">
        <w:rPr>
          <w:lang w:val="fr-FR"/>
        </w:rPr>
        <w:t xml:space="preserve"> </w:t>
      </w:r>
      <w:r>
        <w:rPr>
          <w:lang w:val="fr-FR"/>
        </w:rPr>
        <w:t>sur le thème</w:t>
      </w:r>
      <w:r w:rsidRPr="00262910">
        <w:rPr>
          <w:lang w:val="fr-FR"/>
        </w:rPr>
        <w:t xml:space="preserve"> </w:t>
      </w:r>
      <w:r>
        <w:rPr>
          <w:lang w:val="fr-FR"/>
        </w:rPr>
        <w:t>« </w:t>
      </w:r>
      <w:r w:rsidRPr="00262910">
        <w:rPr>
          <w:lang w:val="fr-FR"/>
        </w:rPr>
        <w:t xml:space="preserve">Comment parvenir à </w:t>
      </w:r>
      <w:r>
        <w:rPr>
          <w:lang w:val="fr-FR"/>
        </w:rPr>
        <w:t xml:space="preserve">la parité </w:t>
      </w:r>
      <w:r w:rsidRPr="00262910">
        <w:rPr>
          <w:lang w:val="fr-FR"/>
        </w:rPr>
        <w:t xml:space="preserve">entre les </w:t>
      </w:r>
      <w:r>
        <w:rPr>
          <w:lang w:val="fr-FR"/>
        </w:rPr>
        <w:t xml:space="preserve">genres à la tête </w:t>
      </w:r>
      <w:r w:rsidRPr="00262910">
        <w:rPr>
          <w:lang w:val="fr-FR"/>
        </w:rPr>
        <w:t>de</w:t>
      </w:r>
      <w:r>
        <w:rPr>
          <w:lang w:val="fr-FR"/>
        </w:rPr>
        <w:t>s</w:t>
      </w:r>
      <w:r w:rsidRPr="00262910">
        <w:rPr>
          <w:lang w:val="fr-FR"/>
        </w:rPr>
        <w:t xml:space="preserve"> entreprise</w:t>
      </w:r>
      <w:r>
        <w:rPr>
          <w:lang w:val="fr-FR"/>
        </w:rPr>
        <w:t>s »</w:t>
      </w:r>
      <w:r w:rsidRPr="00262910">
        <w:rPr>
          <w:lang w:val="fr-FR"/>
        </w:rPr>
        <w:t xml:space="preserve">, </w:t>
      </w:r>
      <w:r>
        <w:rPr>
          <w:lang w:val="fr-FR"/>
        </w:rPr>
        <w:t xml:space="preserve">dans lequel sont formulés </w:t>
      </w:r>
      <w:r w:rsidRPr="00262910">
        <w:rPr>
          <w:lang w:val="fr-FR"/>
        </w:rPr>
        <w:t xml:space="preserve">des conseils et des </w:t>
      </w:r>
      <w:r>
        <w:rPr>
          <w:lang w:val="fr-FR"/>
        </w:rPr>
        <w:t>lignes directrices sur l</w:t>
      </w:r>
      <w:r w:rsidRPr="00262910">
        <w:rPr>
          <w:lang w:val="fr-FR"/>
        </w:rPr>
        <w:t>es mesures les plus importantes</w:t>
      </w:r>
      <w:r>
        <w:rPr>
          <w:lang w:val="fr-FR"/>
        </w:rPr>
        <w:t xml:space="preserve"> à prendre pour parvenir à cette fin</w:t>
      </w:r>
      <w:r w:rsidRPr="00262910">
        <w:rPr>
          <w:lang w:val="fr-FR"/>
        </w:rPr>
        <w:t xml:space="preserve">. </w:t>
      </w:r>
      <w:r w:rsidRPr="0070533A">
        <w:rPr>
          <w:lang w:val="fr-FR"/>
        </w:rPr>
        <w:t>Ce répertoire est l</w:t>
      </w:r>
      <w:r>
        <w:rPr>
          <w:lang w:val="fr-FR"/>
        </w:rPr>
        <w:t>’</w:t>
      </w:r>
      <w:r w:rsidRPr="0070533A">
        <w:rPr>
          <w:lang w:val="fr-FR"/>
        </w:rPr>
        <w:t>aboutissement d</w:t>
      </w:r>
      <w:r>
        <w:rPr>
          <w:lang w:val="fr-FR"/>
        </w:rPr>
        <w:t>’</w:t>
      </w:r>
      <w:r w:rsidRPr="0070533A">
        <w:rPr>
          <w:lang w:val="fr-FR"/>
        </w:rPr>
        <w:t>une série de tables rondes organisées par l</w:t>
      </w:r>
      <w:r>
        <w:rPr>
          <w:lang w:val="fr-FR"/>
        </w:rPr>
        <w:t>’</w:t>
      </w:r>
      <w:r w:rsidRPr="0070533A">
        <w:rPr>
          <w:lang w:val="fr-FR"/>
        </w:rPr>
        <w:t>ancien Ministère de l</w:t>
      </w:r>
      <w:r>
        <w:rPr>
          <w:lang w:val="fr-FR"/>
        </w:rPr>
        <w:t>’</w:t>
      </w:r>
      <w:r w:rsidRPr="0070533A">
        <w:rPr>
          <w:lang w:val="fr-FR"/>
        </w:rPr>
        <w:t>enfance et de l</w:t>
      </w:r>
      <w:r>
        <w:rPr>
          <w:lang w:val="fr-FR"/>
        </w:rPr>
        <w:t>’</w:t>
      </w:r>
      <w:r w:rsidRPr="0070533A">
        <w:rPr>
          <w:lang w:val="fr-FR"/>
        </w:rPr>
        <w:t>égalité et le Ministère du commerce et de l</w:t>
      </w:r>
      <w:r>
        <w:rPr>
          <w:lang w:val="fr-FR"/>
        </w:rPr>
        <w:t>’</w:t>
      </w:r>
      <w:r w:rsidRPr="0070533A">
        <w:rPr>
          <w:lang w:val="fr-FR"/>
        </w:rPr>
        <w:t>industrie avec des chefs d</w:t>
      </w:r>
      <w:r>
        <w:rPr>
          <w:lang w:val="fr-FR"/>
        </w:rPr>
        <w:t>’</w:t>
      </w:r>
      <w:r w:rsidRPr="0070533A">
        <w:rPr>
          <w:lang w:val="fr-FR"/>
        </w:rPr>
        <w:t>entreprise et d</w:t>
      </w:r>
      <w:r>
        <w:rPr>
          <w:lang w:val="fr-FR"/>
        </w:rPr>
        <w:t>’</w:t>
      </w:r>
      <w:r w:rsidRPr="0070533A">
        <w:rPr>
          <w:lang w:val="fr-FR"/>
        </w:rPr>
        <w:t>autres représentants intéressé</w:t>
      </w:r>
      <w:r>
        <w:rPr>
          <w:lang w:val="fr-FR"/>
        </w:rPr>
        <w:t>s</w:t>
      </w:r>
      <w:r w:rsidRPr="0070533A">
        <w:rPr>
          <w:lang w:val="fr-FR"/>
        </w:rPr>
        <w:t xml:space="preserve"> du monde de l</w:t>
      </w:r>
      <w:r>
        <w:rPr>
          <w:lang w:val="fr-FR"/>
        </w:rPr>
        <w:t>’</w:t>
      </w:r>
      <w:r w:rsidRPr="0070533A">
        <w:rPr>
          <w:lang w:val="fr-FR"/>
        </w:rPr>
        <w:t>entreprise. Le répertoire a été distribué</w:t>
      </w:r>
      <w:r w:rsidRPr="00262910">
        <w:rPr>
          <w:lang w:val="fr-FR"/>
        </w:rPr>
        <w:t xml:space="preserve"> aux 500 plus grandes entreprises norvégiennes.</w:t>
      </w:r>
    </w:p>
    <w:p w:rsidR="001771B8" w:rsidRPr="00262910" w:rsidRDefault="001771B8" w:rsidP="001771B8">
      <w:pPr>
        <w:pStyle w:val="SingleTxtG"/>
        <w:rPr>
          <w:lang w:val="fr-FR"/>
        </w:rPr>
      </w:pPr>
      <w:r w:rsidRPr="00262910">
        <w:rPr>
          <w:lang w:val="fr-FR"/>
        </w:rPr>
        <w:t>261.</w:t>
      </w:r>
      <w:r w:rsidRPr="00262910">
        <w:rPr>
          <w:lang w:val="fr-FR"/>
        </w:rPr>
        <w:tab/>
      </w:r>
      <w:r w:rsidRPr="008D4B33">
        <w:rPr>
          <w:lang w:val="fr-FR"/>
        </w:rPr>
        <w:t>La Direction nationale de l</w:t>
      </w:r>
      <w:r>
        <w:rPr>
          <w:lang w:val="fr-FR"/>
        </w:rPr>
        <w:t>’</w:t>
      </w:r>
      <w:r w:rsidRPr="008D4B33">
        <w:rPr>
          <w:lang w:val="fr-FR"/>
        </w:rPr>
        <w:t>enfance, de</w:t>
      </w:r>
      <w:r w:rsidRPr="00262910">
        <w:rPr>
          <w:lang w:val="fr-FR"/>
        </w:rPr>
        <w:t xml:space="preserve"> la jeunesse et de la famille s</w:t>
      </w:r>
      <w:r>
        <w:rPr>
          <w:lang w:val="fr-FR"/>
        </w:rPr>
        <w:t xml:space="preserve">’emploie à </w:t>
      </w:r>
      <w:r w:rsidRPr="00262910">
        <w:rPr>
          <w:lang w:val="fr-FR"/>
        </w:rPr>
        <w:t xml:space="preserve">renforcer ses compétences </w:t>
      </w:r>
      <w:r>
        <w:rPr>
          <w:lang w:val="fr-FR"/>
        </w:rPr>
        <w:t xml:space="preserve">en matière de lutte contre le </w:t>
      </w:r>
      <w:r w:rsidRPr="00262910">
        <w:rPr>
          <w:lang w:val="fr-FR"/>
        </w:rPr>
        <w:t>racisme et la discrimination et élabore actuellement des indicateurs de discrimination et d</w:t>
      </w:r>
      <w:r>
        <w:rPr>
          <w:lang w:val="fr-FR"/>
        </w:rPr>
        <w:t>’</w:t>
      </w:r>
      <w:r w:rsidRPr="00262910">
        <w:rPr>
          <w:lang w:val="fr-FR"/>
        </w:rPr>
        <w:t xml:space="preserve">égalité des </w:t>
      </w:r>
      <w:r>
        <w:rPr>
          <w:lang w:val="fr-FR"/>
        </w:rPr>
        <w:t xml:space="preserve">genres </w:t>
      </w:r>
      <w:r w:rsidRPr="00262910">
        <w:rPr>
          <w:lang w:val="fr-FR"/>
        </w:rPr>
        <w:t xml:space="preserve">pour les minorités ethniques et religieuses </w:t>
      </w:r>
      <w:r>
        <w:rPr>
          <w:lang w:val="fr-FR"/>
        </w:rPr>
        <w:t>du pays</w:t>
      </w:r>
      <w:r w:rsidRPr="00262910">
        <w:rPr>
          <w:lang w:val="fr-FR"/>
        </w:rPr>
        <w:t xml:space="preserve">. La Direction dirige un forum sur la discrimination ethnique. </w:t>
      </w:r>
    </w:p>
    <w:p w:rsidR="001771B8" w:rsidRPr="00262910" w:rsidRDefault="001771B8" w:rsidP="001771B8">
      <w:pPr>
        <w:pStyle w:val="SingleTxtG"/>
        <w:rPr>
          <w:lang w:val="fr-FR"/>
        </w:rPr>
      </w:pPr>
      <w:r w:rsidRPr="00262910">
        <w:rPr>
          <w:lang w:val="fr-FR"/>
        </w:rPr>
        <w:t>262.</w:t>
      </w:r>
      <w:r w:rsidRPr="00262910">
        <w:rPr>
          <w:lang w:val="fr-FR"/>
        </w:rPr>
        <w:tab/>
      </w:r>
      <w:r w:rsidRPr="008B40FE">
        <w:rPr>
          <w:lang w:val="fr-FR"/>
        </w:rPr>
        <w:t>L</w:t>
      </w:r>
      <w:r>
        <w:rPr>
          <w:lang w:val="fr-FR"/>
        </w:rPr>
        <w:t>’</w:t>
      </w:r>
      <w:r w:rsidRPr="008B40FE">
        <w:rPr>
          <w:lang w:val="fr-FR"/>
        </w:rPr>
        <w:t>Administration</w:t>
      </w:r>
      <w:r>
        <w:rPr>
          <w:lang w:val="fr-FR"/>
        </w:rPr>
        <w:t xml:space="preserve"> nationale du travail et de la protection sociale s’attache en permanence et </w:t>
      </w:r>
      <w:r w:rsidRPr="00262910">
        <w:rPr>
          <w:lang w:val="fr-FR"/>
        </w:rPr>
        <w:t>systématique</w:t>
      </w:r>
      <w:r>
        <w:rPr>
          <w:lang w:val="fr-FR"/>
        </w:rPr>
        <w:t xml:space="preserve">ment </w:t>
      </w:r>
      <w:r w:rsidRPr="00262910">
        <w:rPr>
          <w:lang w:val="fr-FR"/>
        </w:rPr>
        <w:t xml:space="preserve">à </w:t>
      </w:r>
      <w:r>
        <w:rPr>
          <w:lang w:val="fr-FR"/>
        </w:rPr>
        <w:t xml:space="preserve">fournir </w:t>
      </w:r>
      <w:r w:rsidRPr="00262910">
        <w:rPr>
          <w:lang w:val="fr-FR"/>
        </w:rPr>
        <w:t xml:space="preserve">des services de qualité adaptés aux besoins et </w:t>
      </w:r>
      <w:r>
        <w:rPr>
          <w:lang w:val="fr-FR"/>
        </w:rPr>
        <w:t xml:space="preserve">à la situation </w:t>
      </w:r>
      <w:r w:rsidRPr="00262910">
        <w:rPr>
          <w:lang w:val="fr-FR"/>
        </w:rPr>
        <w:t>des u</w:t>
      </w:r>
      <w:r>
        <w:rPr>
          <w:lang w:val="fr-FR"/>
        </w:rPr>
        <w:t>sagers</w:t>
      </w:r>
      <w:r w:rsidRPr="00262910">
        <w:rPr>
          <w:lang w:val="fr-FR"/>
        </w:rPr>
        <w:t xml:space="preserve">. </w:t>
      </w:r>
      <w:r>
        <w:rPr>
          <w:lang w:val="fr-FR"/>
        </w:rPr>
        <w:t>Elle procède en ce moment à une modernisation en profondeur de ses sy</w:t>
      </w:r>
      <w:r w:rsidRPr="00262910">
        <w:rPr>
          <w:lang w:val="fr-FR"/>
        </w:rPr>
        <w:t xml:space="preserve">stèmes informatiques </w:t>
      </w:r>
      <w:r>
        <w:rPr>
          <w:lang w:val="fr-FR"/>
        </w:rPr>
        <w:t xml:space="preserve">servant à gérer les </w:t>
      </w:r>
      <w:r w:rsidRPr="00E11A5A">
        <w:rPr>
          <w:lang w:val="fr-FR"/>
        </w:rPr>
        <w:t>prestations</w:t>
      </w:r>
      <w:r>
        <w:rPr>
          <w:lang w:val="fr-FR"/>
        </w:rPr>
        <w:t xml:space="preserve"> en vue d’introduire le </w:t>
      </w:r>
      <w:r w:rsidRPr="00262910">
        <w:rPr>
          <w:lang w:val="fr-FR"/>
        </w:rPr>
        <w:t>traitement automatisé des</w:t>
      </w:r>
      <w:r>
        <w:rPr>
          <w:lang w:val="fr-FR"/>
        </w:rPr>
        <w:t xml:space="preserve"> dossiers. La </w:t>
      </w:r>
      <w:r w:rsidRPr="00262910">
        <w:rPr>
          <w:lang w:val="fr-FR"/>
        </w:rPr>
        <w:t xml:space="preserve">transformation numérique </w:t>
      </w:r>
      <w:r>
        <w:rPr>
          <w:lang w:val="fr-FR"/>
        </w:rPr>
        <w:t xml:space="preserve">en cours </w:t>
      </w:r>
      <w:r w:rsidRPr="00262910">
        <w:rPr>
          <w:lang w:val="fr-FR"/>
        </w:rPr>
        <w:t xml:space="preserve">améliorera et simplifiera la communication entre </w:t>
      </w:r>
      <w:r w:rsidRPr="00B7065A">
        <w:rPr>
          <w:lang w:val="fr-FR"/>
        </w:rPr>
        <w:t>l</w:t>
      </w:r>
      <w:r>
        <w:rPr>
          <w:lang w:val="fr-FR"/>
        </w:rPr>
        <w:t>’</w:t>
      </w:r>
      <w:r w:rsidRPr="00B7065A">
        <w:rPr>
          <w:lang w:val="fr-FR"/>
        </w:rPr>
        <w:t>Administration</w:t>
      </w:r>
      <w:r>
        <w:rPr>
          <w:lang w:val="fr-FR"/>
        </w:rPr>
        <w:t xml:space="preserve"> </w:t>
      </w:r>
      <w:r w:rsidRPr="00262910">
        <w:rPr>
          <w:lang w:val="fr-FR"/>
        </w:rPr>
        <w:t>et l</w:t>
      </w:r>
      <w:r>
        <w:rPr>
          <w:lang w:val="fr-FR"/>
        </w:rPr>
        <w:t>es usagers</w:t>
      </w:r>
      <w:r w:rsidRPr="00150B0C">
        <w:rPr>
          <w:lang w:val="fr-FR"/>
        </w:rPr>
        <w:t>. Ces</w:t>
      </w:r>
      <w:r w:rsidRPr="00262910">
        <w:rPr>
          <w:lang w:val="fr-FR"/>
        </w:rPr>
        <w:t xml:space="preserve"> mesures </w:t>
      </w:r>
      <w:r>
        <w:rPr>
          <w:lang w:val="fr-FR"/>
        </w:rPr>
        <w:t xml:space="preserve">permettront de réduire les coûts </w:t>
      </w:r>
      <w:r w:rsidRPr="00262910">
        <w:rPr>
          <w:lang w:val="fr-FR"/>
        </w:rPr>
        <w:t>administrati</w:t>
      </w:r>
      <w:r>
        <w:rPr>
          <w:lang w:val="fr-FR"/>
        </w:rPr>
        <w:t>fs</w:t>
      </w:r>
      <w:r w:rsidRPr="00262910">
        <w:rPr>
          <w:lang w:val="fr-FR"/>
        </w:rPr>
        <w:t xml:space="preserve"> et </w:t>
      </w:r>
      <w:r>
        <w:rPr>
          <w:lang w:val="fr-FR"/>
        </w:rPr>
        <w:t xml:space="preserve">de dégager ainsi davantage de ressources </w:t>
      </w:r>
      <w:r w:rsidRPr="00262910">
        <w:rPr>
          <w:lang w:val="fr-FR"/>
        </w:rPr>
        <w:t>pour les activités de suivi.</w:t>
      </w:r>
    </w:p>
    <w:p w:rsidR="001771B8" w:rsidRPr="00262910" w:rsidRDefault="001771B8" w:rsidP="001771B8">
      <w:pPr>
        <w:pStyle w:val="SingleTxtG"/>
        <w:rPr>
          <w:lang w:val="fr-FR"/>
        </w:rPr>
      </w:pPr>
      <w:r w:rsidRPr="00262910">
        <w:rPr>
          <w:lang w:val="fr-FR"/>
        </w:rPr>
        <w:t>263.</w:t>
      </w:r>
      <w:r w:rsidRPr="00262910">
        <w:rPr>
          <w:lang w:val="fr-FR"/>
        </w:rPr>
        <w:tab/>
      </w:r>
      <w:r>
        <w:rPr>
          <w:lang w:val="fr-FR"/>
        </w:rPr>
        <w:t xml:space="preserve">La </w:t>
      </w:r>
      <w:r w:rsidRPr="00262910">
        <w:rPr>
          <w:lang w:val="fr-FR"/>
        </w:rPr>
        <w:t xml:space="preserve">stratégie </w:t>
      </w:r>
      <w:r>
        <w:rPr>
          <w:lang w:val="fr-FR"/>
        </w:rPr>
        <w:t xml:space="preserve">gouvernementale </w:t>
      </w:r>
      <w:r w:rsidRPr="00262910">
        <w:rPr>
          <w:lang w:val="fr-FR"/>
        </w:rPr>
        <w:t>d</w:t>
      </w:r>
      <w:r>
        <w:rPr>
          <w:lang w:val="fr-FR"/>
        </w:rPr>
        <w:t>’</w:t>
      </w:r>
      <w:r w:rsidRPr="00262910">
        <w:rPr>
          <w:lang w:val="fr-FR"/>
        </w:rPr>
        <w:t>intégration</w:t>
      </w:r>
      <w:r>
        <w:rPr>
          <w:lang w:val="fr-FR"/>
        </w:rPr>
        <w:t>,</w:t>
      </w:r>
      <w:r w:rsidRPr="00262910">
        <w:rPr>
          <w:lang w:val="fr-FR"/>
        </w:rPr>
        <w:t xml:space="preserve"> </w:t>
      </w:r>
      <w:r>
        <w:rPr>
          <w:lang w:val="fr-FR"/>
        </w:rPr>
        <w:t>lancée en 2018, définit les orientations de la politique des pouvoirs publics en faveur de l’intégration ainsi que les actions à mener pour atteindre l’</w:t>
      </w:r>
      <w:r w:rsidRPr="00262910">
        <w:rPr>
          <w:lang w:val="fr-FR"/>
        </w:rPr>
        <w:t xml:space="preserve">objectif </w:t>
      </w:r>
      <w:r>
        <w:rPr>
          <w:lang w:val="fr-FR"/>
        </w:rPr>
        <w:t xml:space="preserve">que constitue le renforcement de </w:t>
      </w:r>
      <w:r w:rsidRPr="00262910">
        <w:rPr>
          <w:lang w:val="fr-FR"/>
        </w:rPr>
        <w:t>la participation des immigr</w:t>
      </w:r>
      <w:r>
        <w:rPr>
          <w:lang w:val="fr-FR"/>
        </w:rPr>
        <w:t>és</w:t>
      </w:r>
      <w:r w:rsidRPr="00262910">
        <w:rPr>
          <w:lang w:val="fr-FR"/>
        </w:rPr>
        <w:t xml:space="preserve"> à la vie professionnelle et à la société en général.</w:t>
      </w:r>
    </w:p>
    <w:p w:rsidR="00446FE5" w:rsidRDefault="001771B8" w:rsidP="001771B8">
      <w:pPr>
        <w:pStyle w:val="SingleTxtG"/>
        <w:jc w:val="left"/>
        <w:rPr>
          <w:lang w:val="fr-FR"/>
        </w:rPr>
      </w:pPr>
      <w:r w:rsidRPr="00262910">
        <w:rPr>
          <w:lang w:val="fr-FR"/>
        </w:rPr>
        <w:t>264.</w:t>
      </w:r>
      <w:r w:rsidRPr="00262910">
        <w:rPr>
          <w:lang w:val="fr-FR"/>
        </w:rPr>
        <w:tab/>
        <w:t xml:space="preserve">Comme </w:t>
      </w:r>
      <w:r>
        <w:rPr>
          <w:lang w:val="fr-FR"/>
        </w:rPr>
        <w:t xml:space="preserve">déjà signalé dans la réponse à </w:t>
      </w:r>
      <w:r w:rsidRPr="00262910">
        <w:rPr>
          <w:lang w:val="fr-FR"/>
        </w:rPr>
        <w:t>la question</w:t>
      </w:r>
      <w:r>
        <w:rPr>
          <w:lang w:val="fr-FR"/>
        </w:rPr>
        <w:t xml:space="preserve"> 6</w:t>
      </w:r>
      <w:r w:rsidRPr="00262910">
        <w:rPr>
          <w:lang w:val="fr-FR"/>
        </w:rPr>
        <w:t xml:space="preserve">, </w:t>
      </w:r>
      <w:r>
        <w:rPr>
          <w:lang w:val="fr-FR"/>
        </w:rPr>
        <w:t xml:space="preserve">un </w:t>
      </w:r>
      <w:r w:rsidRPr="00262910">
        <w:rPr>
          <w:lang w:val="fr-FR"/>
        </w:rPr>
        <w:t>comité public</w:t>
      </w:r>
      <w:r>
        <w:rPr>
          <w:lang w:val="fr-FR"/>
        </w:rPr>
        <w:t>, dont les travaux s’a</w:t>
      </w:r>
      <w:r w:rsidRPr="00262910">
        <w:rPr>
          <w:lang w:val="fr-FR"/>
        </w:rPr>
        <w:t>chèver</w:t>
      </w:r>
      <w:r>
        <w:rPr>
          <w:lang w:val="fr-FR"/>
        </w:rPr>
        <w:t xml:space="preserve">ont en </w:t>
      </w:r>
      <w:r w:rsidRPr="00262910">
        <w:rPr>
          <w:lang w:val="fr-FR"/>
        </w:rPr>
        <w:t>mai 2020</w:t>
      </w:r>
      <w:r>
        <w:rPr>
          <w:lang w:val="fr-FR"/>
        </w:rPr>
        <w:t xml:space="preserve">, a été chargé </w:t>
      </w:r>
      <w:r w:rsidRPr="00EB22A4">
        <w:rPr>
          <w:lang w:val="fr-FR"/>
        </w:rPr>
        <w:t>d</w:t>
      </w:r>
      <w:r>
        <w:rPr>
          <w:lang w:val="fr-FR"/>
        </w:rPr>
        <w:t>’</w:t>
      </w:r>
      <w:r w:rsidRPr="00EB22A4">
        <w:rPr>
          <w:lang w:val="fr-FR"/>
        </w:rPr>
        <w:t>examiner le système d</w:t>
      </w:r>
      <w:r>
        <w:rPr>
          <w:lang w:val="fr-FR"/>
        </w:rPr>
        <w:t>’</w:t>
      </w:r>
      <w:r w:rsidRPr="00EB22A4">
        <w:rPr>
          <w:lang w:val="fr-FR"/>
        </w:rPr>
        <w:t>aide juridictionnelle</w:t>
      </w:r>
      <w:r w:rsidRPr="00262910">
        <w:rPr>
          <w:lang w:val="fr-FR"/>
        </w:rPr>
        <w:t>.</w:t>
      </w:r>
    </w:p>
    <w:p w:rsidR="001771B8" w:rsidRPr="001771B8" w:rsidRDefault="001771B8" w:rsidP="001771B8">
      <w:pPr>
        <w:pStyle w:val="SingleTxtG"/>
        <w:spacing w:before="240" w:after="0"/>
        <w:jc w:val="center"/>
        <w:rPr>
          <w:u w:val="single"/>
        </w:rPr>
      </w:pPr>
      <w:r>
        <w:rPr>
          <w:u w:val="single"/>
        </w:rPr>
        <w:tab/>
      </w:r>
      <w:r>
        <w:rPr>
          <w:u w:val="single"/>
        </w:rPr>
        <w:tab/>
      </w:r>
      <w:r>
        <w:rPr>
          <w:u w:val="single"/>
        </w:rPr>
        <w:tab/>
      </w:r>
    </w:p>
    <w:sectPr w:rsidR="001771B8" w:rsidRPr="001771B8" w:rsidSect="001771B8">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3A1" w:rsidRDefault="002633A1" w:rsidP="00F95C08">
      <w:pPr>
        <w:spacing w:line="240" w:lineRule="auto"/>
      </w:pPr>
    </w:p>
  </w:endnote>
  <w:endnote w:type="continuationSeparator" w:id="0">
    <w:p w:rsidR="002633A1" w:rsidRPr="00AC3823" w:rsidRDefault="002633A1" w:rsidP="00AC3823">
      <w:pPr>
        <w:pStyle w:val="Pieddepage"/>
      </w:pPr>
    </w:p>
  </w:endnote>
  <w:endnote w:type="continuationNotice" w:id="1">
    <w:p w:rsidR="002633A1" w:rsidRDefault="002633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panose1 w:val="00000000000000000000"/>
    <w:charset w:val="00"/>
    <w:family w:val="swiss"/>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3A1" w:rsidRPr="001771B8" w:rsidRDefault="002633A1" w:rsidP="001771B8">
    <w:pPr>
      <w:pStyle w:val="Pieddepage"/>
      <w:tabs>
        <w:tab w:val="right" w:pos="9638"/>
      </w:tabs>
    </w:pPr>
    <w:r w:rsidRPr="001771B8">
      <w:rPr>
        <w:b/>
        <w:sz w:val="18"/>
      </w:rPr>
      <w:fldChar w:fldCharType="begin"/>
    </w:r>
    <w:r w:rsidRPr="001771B8">
      <w:rPr>
        <w:b/>
        <w:sz w:val="18"/>
      </w:rPr>
      <w:instrText xml:space="preserve"> PAGE  \* MERGEFORMAT </w:instrText>
    </w:r>
    <w:r w:rsidRPr="001771B8">
      <w:rPr>
        <w:b/>
        <w:sz w:val="18"/>
      </w:rPr>
      <w:fldChar w:fldCharType="separate"/>
    </w:r>
    <w:r w:rsidRPr="001771B8">
      <w:rPr>
        <w:b/>
        <w:noProof/>
        <w:sz w:val="18"/>
      </w:rPr>
      <w:t>2</w:t>
    </w:r>
    <w:r w:rsidRPr="001771B8">
      <w:rPr>
        <w:b/>
        <w:sz w:val="18"/>
      </w:rPr>
      <w:fldChar w:fldCharType="end"/>
    </w:r>
    <w:r>
      <w:rPr>
        <w:b/>
        <w:sz w:val="18"/>
      </w:rPr>
      <w:tab/>
    </w:r>
    <w:r>
      <w:t>GE.19-20697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3A1" w:rsidRPr="001771B8" w:rsidRDefault="002633A1" w:rsidP="001771B8">
    <w:pPr>
      <w:pStyle w:val="Pieddepage"/>
      <w:tabs>
        <w:tab w:val="right" w:pos="9638"/>
      </w:tabs>
      <w:rPr>
        <w:b/>
        <w:sz w:val="18"/>
      </w:rPr>
    </w:pPr>
    <w:r>
      <w:t>GE.19-20697</w:t>
    </w:r>
    <w:r>
      <w:tab/>
    </w:r>
    <w:r w:rsidRPr="001771B8">
      <w:rPr>
        <w:b/>
        <w:sz w:val="18"/>
      </w:rPr>
      <w:fldChar w:fldCharType="begin"/>
    </w:r>
    <w:r w:rsidRPr="001771B8">
      <w:rPr>
        <w:b/>
        <w:sz w:val="18"/>
      </w:rPr>
      <w:instrText xml:space="preserve"> PAGE  \* MERGEFORMAT </w:instrText>
    </w:r>
    <w:r w:rsidRPr="001771B8">
      <w:rPr>
        <w:b/>
        <w:sz w:val="18"/>
      </w:rPr>
      <w:fldChar w:fldCharType="separate"/>
    </w:r>
    <w:r w:rsidRPr="001771B8">
      <w:rPr>
        <w:b/>
        <w:noProof/>
        <w:sz w:val="18"/>
      </w:rPr>
      <w:t>3</w:t>
    </w:r>
    <w:r w:rsidRPr="001771B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3A1" w:rsidRPr="001771B8" w:rsidRDefault="002633A1" w:rsidP="001771B8">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19-20697  (F)    030220    040220</w:t>
    </w:r>
    <w:r>
      <w:rPr>
        <w:sz w:val="20"/>
      </w:rPr>
      <w:br/>
    </w:r>
    <w:r w:rsidRPr="001771B8">
      <w:rPr>
        <w:rFonts w:ascii="C39T30Lfz" w:hAnsi="C39T30Lfz"/>
        <w:sz w:val="56"/>
      </w:rPr>
      <w:t></w:t>
    </w:r>
    <w:r w:rsidRPr="001771B8">
      <w:rPr>
        <w:rFonts w:ascii="C39T30Lfz" w:hAnsi="C39T30Lfz"/>
        <w:sz w:val="56"/>
      </w:rPr>
      <w:t></w:t>
    </w:r>
    <w:r w:rsidRPr="001771B8">
      <w:rPr>
        <w:rFonts w:ascii="C39T30Lfz" w:hAnsi="C39T30Lfz"/>
        <w:sz w:val="56"/>
      </w:rPr>
      <w:t></w:t>
    </w:r>
    <w:r w:rsidRPr="001771B8">
      <w:rPr>
        <w:rFonts w:ascii="C39T30Lfz" w:hAnsi="C39T30Lfz"/>
        <w:sz w:val="56"/>
      </w:rPr>
      <w:t></w:t>
    </w:r>
    <w:r w:rsidRPr="001771B8">
      <w:rPr>
        <w:rFonts w:ascii="C39T30Lfz" w:hAnsi="C39T30Lfz"/>
        <w:sz w:val="56"/>
      </w:rPr>
      <w:t></w:t>
    </w:r>
    <w:r w:rsidRPr="001771B8">
      <w:rPr>
        <w:rFonts w:ascii="C39T30Lfz" w:hAnsi="C39T30Lfz"/>
        <w:sz w:val="56"/>
      </w:rPr>
      <w:t></w:t>
    </w:r>
    <w:r w:rsidRPr="001771B8">
      <w:rPr>
        <w:rFonts w:ascii="C39T30Lfz" w:hAnsi="C39T30Lfz"/>
        <w:sz w:val="56"/>
      </w:rPr>
      <w:t></w:t>
    </w:r>
    <w:r w:rsidRPr="001771B8">
      <w:rPr>
        <w:rFonts w:ascii="C39T30Lfz" w:hAnsi="C39T30Lfz"/>
        <w:sz w:val="56"/>
      </w:rPr>
      <w:t></w:t>
    </w:r>
    <w:r w:rsidRPr="001771B8">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12/NOR/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NOR/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3A1" w:rsidRPr="00AC3823" w:rsidRDefault="002633A1" w:rsidP="00AC3823">
      <w:pPr>
        <w:pStyle w:val="Pieddepage"/>
        <w:tabs>
          <w:tab w:val="right" w:pos="2155"/>
        </w:tabs>
        <w:spacing w:after="80" w:line="240" w:lineRule="atLeast"/>
        <w:ind w:left="680"/>
        <w:rPr>
          <w:u w:val="single"/>
        </w:rPr>
      </w:pPr>
      <w:r>
        <w:rPr>
          <w:u w:val="single"/>
        </w:rPr>
        <w:tab/>
      </w:r>
    </w:p>
  </w:footnote>
  <w:footnote w:type="continuationSeparator" w:id="0">
    <w:p w:rsidR="002633A1" w:rsidRPr="00AC3823" w:rsidRDefault="002633A1" w:rsidP="00AC3823">
      <w:pPr>
        <w:pStyle w:val="Pieddepage"/>
        <w:tabs>
          <w:tab w:val="right" w:pos="2155"/>
        </w:tabs>
        <w:spacing w:after="80" w:line="240" w:lineRule="atLeast"/>
        <w:ind w:left="680"/>
        <w:rPr>
          <w:u w:val="single"/>
        </w:rPr>
      </w:pPr>
      <w:r>
        <w:rPr>
          <w:u w:val="single"/>
        </w:rPr>
        <w:tab/>
      </w:r>
    </w:p>
  </w:footnote>
  <w:footnote w:type="continuationNotice" w:id="1">
    <w:p w:rsidR="002633A1" w:rsidRPr="00AC3823" w:rsidRDefault="002633A1">
      <w:pPr>
        <w:spacing w:line="240" w:lineRule="auto"/>
        <w:rPr>
          <w:sz w:val="2"/>
          <w:szCs w:val="2"/>
        </w:rPr>
      </w:pPr>
    </w:p>
  </w:footnote>
  <w:footnote w:id="2">
    <w:p w:rsidR="002633A1" w:rsidRPr="00753CA5" w:rsidRDefault="002633A1" w:rsidP="008648B2">
      <w:pPr>
        <w:pStyle w:val="Notedebasdepage"/>
        <w:rPr>
          <w:sz w:val="20"/>
          <w:lang w:val="fr-FR"/>
        </w:rPr>
      </w:pPr>
      <w:r>
        <w:tab/>
      </w:r>
      <w:r w:rsidRPr="00753CA5">
        <w:rPr>
          <w:rStyle w:val="Appelnotedebasdep"/>
          <w:sz w:val="20"/>
          <w:vertAlign w:val="baseline"/>
          <w:lang w:val="fr-FR"/>
        </w:rPr>
        <w:t>*</w:t>
      </w:r>
      <w:r w:rsidRPr="00753CA5">
        <w:rPr>
          <w:sz w:val="20"/>
          <w:lang w:val="fr-FR"/>
        </w:rPr>
        <w:tab/>
      </w:r>
      <w:r w:rsidRPr="002D5FF7">
        <w:rPr>
          <w:lang w:val="fr-FR"/>
        </w:rPr>
        <w:t>La version originale du présent document n</w:t>
      </w:r>
      <w:r w:rsidR="00A318A7">
        <w:rPr>
          <w:lang w:val="fr-FR"/>
        </w:rPr>
        <w:t>’</w:t>
      </w:r>
      <w:r w:rsidRPr="002D5FF7">
        <w:rPr>
          <w:lang w:val="fr-FR"/>
        </w:rPr>
        <w:t>a pas été revue par les services d</w:t>
      </w:r>
      <w:r w:rsidR="00A318A7">
        <w:rPr>
          <w:lang w:val="fr-FR"/>
        </w:rPr>
        <w:t>’</w:t>
      </w:r>
      <w:r w:rsidRPr="002D5FF7">
        <w:rPr>
          <w:lang w:val="fr-FR"/>
        </w:rPr>
        <w:t>édition</w:t>
      </w:r>
      <w:r w:rsidRPr="00753CA5">
        <w:rPr>
          <w:lang w:val="fr-FR"/>
        </w:rPr>
        <w:t>.</w:t>
      </w:r>
    </w:p>
  </w:footnote>
  <w:footnote w:id="3">
    <w:p w:rsidR="002633A1" w:rsidRPr="00A318A7" w:rsidRDefault="002633A1" w:rsidP="00A318A7">
      <w:pPr>
        <w:pStyle w:val="Notedebasdepage"/>
        <w:rPr>
          <w:rFonts w:ascii="Open Sans" w:hAnsi="Open Sans" w:cs="Open Sans"/>
          <w:lang w:val="fr-FR"/>
        </w:rPr>
      </w:pPr>
      <w:r w:rsidRPr="00753CA5">
        <w:rPr>
          <w:rFonts w:ascii="Open Sans" w:hAnsi="Open Sans" w:cs="Open Sans"/>
          <w:lang w:val="fr-FR"/>
        </w:rPr>
        <w:tab/>
      </w:r>
      <w:r w:rsidRPr="008648B2">
        <w:rPr>
          <w:rStyle w:val="Appelnotedebasdep"/>
        </w:rPr>
        <w:footnoteRef/>
      </w:r>
      <w:r w:rsidRPr="00B679B7">
        <w:rPr>
          <w:rFonts w:ascii="Open Sans" w:hAnsi="Open Sans" w:cs="Open Sans"/>
          <w:lang w:val="fr-FR"/>
        </w:rPr>
        <w:tab/>
      </w:r>
      <w:hyperlink r:id="rId1" w:history="1">
        <w:r w:rsidR="00D1683F" w:rsidRPr="00BC2962">
          <w:t>https://www.</w:t>
        </w:r>
        <w:r w:rsidR="00D1683F" w:rsidRPr="009B4E2B">
          <w:t>nbim</w:t>
        </w:r>
        <w:r w:rsidR="00D1683F" w:rsidRPr="00BC2962">
          <w:t>.no/contentassets/0ff34e35ba1a44c3b6c2039466ccbec7/human-rights-expectations-document2.pdf</w:t>
        </w:r>
      </w:hyperlink>
      <w:r w:rsidRPr="00B679B7">
        <w:rPr>
          <w:lang w:val="fr-FR"/>
        </w:rPr>
        <w:t>.</w:t>
      </w:r>
    </w:p>
  </w:footnote>
  <w:footnote w:id="4">
    <w:p w:rsidR="002633A1" w:rsidRPr="00A318A7" w:rsidRDefault="002633A1" w:rsidP="00A318A7">
      <w:pPr>
        <w:pStyle w:val="Notedebasdepage"/>
        <w:rPr>
          <w:rFonts w:ascii="Open Sans" w:hAnsi="Open Sans" w:cs="Open Sans"/>
          <w:lang w:val="fr-FR"/>
        </w:rPr>
      </w:pPr>
      <w:r w:rsidRPr="00B679B7">
        <w:rPr>
          <w:rFonts w:ascii="Open Sans" w:hAnsi="Open Sans" w:cs="Open Sans"/>
          <w:lang w:val="fr-FR"/>
        </w:rPr>
        <w:tab/>
      </w:r>
      <w:r w:rsidRPr="008648B2">
        <w:rPr>
          <w:rStyle w:val="Appelnotedebasdep"/>
        </w:rPr>
        <w:footnoteRef/>
      </w:r>
      <w:r w:rsidRPr="00B679B7">
        <w:rPr>
          <w:rFonts w:ascii="Open Sans" w:hAnsi="Open Sans" w:cs="Open Sans"/>
          <w:lang w:val="fr-FR"/>
        </w:rPr>
        <w:tab/>
      </w:r>
      <w:hyperlink r:id="rId2" w:history="1">
        <w:r w:rsidR="00A318A7" w:rsidRPr="00BC2962">
          <w:t>https://www.nbim.no/contentassets/f5f7addcb20945dfa3560183f6f89d01/childrens-rights-expectations.pdf</w:t>
        </w:r>
      </w:hyperlink>
      <w:r w:rsidRPr="00B679B7">
        <w:rPr>
          <w:lang w:val="fr-FR"/>
        </w:rPr>
        <w:t>.</w:t>
      </w:r>
    </w:p>
  </w:footnote>
  <w:footnote w:id="5">
    <w:p w:rsidR="002633A1" w:rsidRPr="00A318A7" w:rsidRDefault="002633A1" w:rsidP="00A318A7">
      <w:pPr>
        <w:pStyle w:val="Notedebasdepage"/>
        <w:rPr>
          <w:rFonts w:ascii="Open Sans" w:hAnsi="Open Sans" w:cs="Open Sans"/>
          <w:lang w:val="fr-FR"/>
        </w:rPr>
      </w:pPr>
      <w:r w:rsidRPr="00B679B7">
        <w:rPr>
          <w:rFonts w:ascii="Open Sans" w:hAnsi="Open Sans" w:cs="Open Sans"/>
          <w:lang w:val="fr-FR"/>
        </w:rPr>
        <w:tab/>
      </w:r>
      <w:r w:rsidRPr="008648B2">
        <w:rPr>
          <w:rStyle w:val="Appelnotedebasdep"/>
        </w:rPr>
        <w:footnoteRef/>
      </w:r>
      <w:r w:rsidRPr="00B679B7">
        <w:rPr>
          <w:rFonts w:ascii="Open Sans" w:hAnsi="Open Sans" w:cs="Open Sans"/>
          <w:lang w:val="fr-FR"/>
        </w:rPr>
        <w:tab/>
      </w:r>
      <w:hyperlink r:id="rId3" w:history="1">
        <w:r w:rsidR="00A318A7" w:rsidRPr="00372F70">
          <w:t>http://etikkradet.no/files/2017/04/Etikkraadet_Guidelines-_eng_2017_web.pdf</w:t>
        </w:r>
      </w:hyperlink>
      <w:r w:rsidRPr="00B679B7">
        <w:rPr>
          <w:lang w:val="fr-FR"/>
        </w:rPr>
        <w:t>.</w:t>
      </w:r>
    </w:p>
  </w:footnote>
  <w:footnote w:id="6">
    <w:p w:rsidR="002633A1" w:rsidRPr="00B679B7" w:rsidRDefault="002633A1" w:rsidP="008648B2">
      <w:pPr>
        <w:pStyle w:val="Notedebasdepage"/>
        <w:rPr>
          <w:lang w:val="fr-FR"/>
        </w:rPr>
      </w:pPr>
      <w:r w:rsidRPr="00B679B7">
        <w:rPr>
          <w:rFonts w:ascii="Open Sans" w:hAnsi="Open Sans" w:cs="Open Sans"/>
          <w:lang w:val="fr-FR"/>
        </w:rPr>
        <w:tab/>
      </w:r>
      <w:r w:rsidRPr="008648B2">
        <w:rPr>
          <w:rStyle w:val="Appelnotedebasdep"/>
        </w:rPr>
        <w:footnoteRef/>
      </w:r>
      <w:r w:rsidRPr="00B679B7">
        <w:rPr>
          <w:rFonts w:ascii="Open Sans" w:hAnsi="Open Sans" w:cs="Open Sans"/>
          <w:lang w:val="fr-FR"/>
        </w:rPr>
        <w:tab/>
      </w:r>
      <w:hyperlink r:id="rId4" w:history="1">
        <w:r w:rsidRPr="00B679B7">
          <w:rPr>
            <w:lang w:val="fr-FR"/>
          </w:rPr>
          <w:t>https://etikkradet.no/en/</w:t>
        </w:r>
      </w:hyperlink>
      <w:r w:rsidRPr="00B679B7">
        <w:rPr>
          <w:lang w:val="fr-FR"/>
        </w:rPr>
        <w:t>.</w:t>
      </w:r>
    </w:p>
  </w:footnote>
  <w:footnote w:id="7">
    <w:p w:rsidR="002633A1" w:rsidRPr="00753CA5" w:rsidRDefault="002633A1" w:rsidP="008648B2">
      <w:pPr>
        <w:pStyle w:val="Notedebasdepage"/>
        <w:rPr>
          <w:lang w:val="fr-FR"/>
        </w:rPr>
      </w:pPr>
      <w:r w:rsidRPr="00B679B7">
        <w:rPr>
          <w:rStyle w:val="NotedebasdepageCar"/>
          <w:lang w:val="fr-FR"/>
        </w:rPr>
        <w:tab/>
      </w:r>
      <w:r w:rsidRPr="008648B2">
        <w:rPr>
          <w:rStyle w:val="Appelnotedebasdep"/>
        </w:rPr>
        <w:footnoteRef/>
      </w:r>
      <w:r w:rsidRPr="00753CA5">
        <w:rPr>
          <w:rStyle w:val="NotedebasdepageCar"/>
          <w:lang w:val="fr-FR"/>
        </w:rPr>
        <w:tab/>
      </w:r>
      <w:r>
        <w:rPr>
          <w:rStyle w:val="NotedebasdepageCar"/>
          <w:lang w:val="fr-FR"/>
        </w:rPr>
        <w:t>À l</w:t>
      </w:r>
      <w:r w:rsidR="00A318A7">
        <w:rPr>
          <w:rStyle w:val="NotedebasdepageCar"/>
          <w:lang w:val="fr-FR"/>
        </w:rPr>
        <w:t>’</w:t>
      </w:r>
      <w:r>
        <w:rPr>
          <w:rStyle w:val="NotedebasdepageCar"/>
          <w:lang w:val="fr-FR"/>
        </w:rPr>
        <w:t xml:space="preserve">exclusion des </w:t>
      </w:r>
      <w:r w:rsidRPr="00753CA5">
        <w:rPr>
          <w:rStyle w:val="NotedebasdepageCar"/>
          <w:lang w:val="fr-FR"/>
        </w:rPr>
        <w:t xml:space="preserve">ménages </w:t>
      </w:r>
      <w:r>
        <w:rPr>
          <w:rStyle w:val="NotedebasdepageCar"/>
          <w:lang w:val="fr-FR"/>
        </w:rPr>
        <w:t>composés</w:t>
      </w:r>
      <w:r w:rsidRPr="00753CA5">
        <w:rPr>
          <w:rStyle w:val="NotedebasdepageCar"/>
          <w:lang w:val="fr-FR"/>
        </w:rPr>
        <w:t xml:space="preserve"> </w:t>
      </w:r>
      <w:r>
        <w:rPr>
          <w:rStyle w:val="NotedebasdepageCar"/>
          <w:lang w:val="fr-FR"/>
        </w:rPr>
        <w:t>d</w:t>
      </w:r>
      <w:r w:rsidR="00A318A7">
        <w:rPr>
          <w:rStyle w:val="NotedebasdepageCar"/>
          <w:lang w:val="fr-FR"/>
        </w:rPr>
        <w:t>’</w:t>
      </w:r>
      <w:r w:rsidRPr="00753CA5">
        <w:rPr>
          <w:rStyle w:val="NotedebasdepageCar"/>
          <w:lang w:val="fr-FR"/>
        </w:rPr>
        <w:t xml:space="preserve">étudiants </w:t>
      </w:r>
      <w:r>
        <w:rPr>
          <w:rStyle w:val="NotedebasdepageCar"/>
          <w:lang w:val="fr-FR"/>
        </w:rPr>
        <w:t>ou d</w:t>
      </w:r>
      <w:r w:rsidR="00A318A7">
        <w:rPr>
          <w:rStyle w:val="NotedebasdepageCar"/>
          <w:lang w:val="fr-FR"/>
        </w:rPr>
        <w:t>’</w:t>
      </w:r>
      <w:r w:rsidRPr="00753CA5">
        <w:rPr>
          <w:rStyle w:val="NotedebasdepageCar"/>
          <w:lang w:val="fr-FR"/>
        </w:rPr>
        <w:t>enfants de moins de 18 ans viv</w:t>
      </w:r>
      <w:r>
        <w:rPr>
          <w:rStyle w:val="NotedebasdepageCar"/>
          <w:lang w:val="fr-FR"/>
        </w:rPr>
        <w:t>a</w:t>
      </w:r>
      <w:r w:rsidRPr="00753CA5">
        <w:rPr>
          <w:rStyle w:val="NotedebasdepageCar"/>
          <w:lang w:val="fr-FR"/>
        </w:rPr>
        <w:t>nt seuls.</w:t>
      </w:r>
    </w:p>
  </w:footnote>
  <w:footnote w:id="8">
    <w:p w:rsidR="002633A1" w:rsidRPr="00753CA5" w:rsidRDefault="002633A1" w:rsidP="008648B2">
      <w:pPr>
        <w:pStyle w:val="Notedebasdepage"/>
        <w:rPr>
          <w:lang w:val="fr-FR"/>
        </w:rPr>
      </w:pPr>
      <w:r w:rsidRPr="00753CA5">
        <w:rPr>
          <w:lang w:val="fr-FR"/>
        </w:rPr>
        <w:tab/>
      </w:r>
      <w:r w:rsidRPr="008648B2">
        <w:rPr>
          <w:rStyle w:val="Appelnotedebasdep"/>
        </w:rPr>
        <w:footnoteRef/>
      </w:r>
      <w:r w:rsidRPr="00753CA5">
        <w:rPr>
          <w:lang w:val="fr-FR"/>
        </w:rPr>
        <w:tab/>
        <w:t>Ce</w:t>
      </w:r>
      <w:r>
        <w:rPr>
          <w:lang w:val="fr-FR"/>
        </w:rPr>
        <w:t xml:space="preserve">s centres </w:t>
      </w:r>
      <w:r w:rsidRPr="00753CA5">
        <w:rPr>
          <w:lang w:val="fr-FR"/>
        </w:rPr>
        <w:t xml:space="preserve">fournissent </w:t>
      </w:r>
      <w:r>
        <w:rPr>
          <w:lang w:val="fr-FR"/>
        </w:rPr>
        <w:t>à ces e</w:t>
      </w:r>
      <w:r w:rsidRPr="00753CA5">
        <w:rPr>
          <w:lang w:val="fr-FR"/>
        </w:rPr>
        <w:t>nfant</w:t>
      </w:r>
      <w:r>
        <w:rPr>
          <w:lang w:val="fr-FR"/>
        </w:rPr>
        <w:t>s</w:t>
      </w:r>
      <w:r w:rsidRPr="00594855">
        <w:rPr>
          <w:lang w:val="fr-FR"/>
        </w:rPr>
        <w:t xml:space="preserve"> des services adaptés </w:t>
      </w:r>
      <w:r>
        <w:rPr>
          <w:lang w:val="fr-FR"/>
        </w:rPr>
        <w:t xml:space="preserve">à leurs </w:t>
      </w:r>
      <w:r w:rsidRPr="00594855">
        <w:rPr>
          <w:lang w:val="fr-FR"/>
        </w:rPr>
        <w:t>besoins particuliers</w:t>
      </w:r>
      <w:r w:rsidRPr="00753CA5">
        <w:rPr>
          <w:lang w:val="fr-FR"/>
        </w:rPr>
        <w:t xml:space="preserve">. </w:t>
      </w:r>
      <w:r>
        <w:rPr>
          <w:lang w:val="fr-FR"/>
        </w:rPr>
        <w:t xml:space="preserve">Le </w:t>
      </w:r>
      <w:r w:rsidRPr="00837715">
        <w:rPr>
          <w:lang w:val="fr-FR"/>
        </w:rPr>
        <w:t>chapitre 5A de la loi sur la protection de l</w:t>
      </w:r>
      <w:r w:rsidR="00A318A7">
        <w:rPr>
          <w:lang w:val="fr-FR"/>
        </w:rPr>
        <w:t>’</w:t>
      </w:r>
      <w:r w:rsidRPr="00837715">
        <w:rPr>
          <w:lang w:val="fr-FR"/>
        </w:rPr>
        <w:t>enfanc</w:t>
      </w:r>
      <w:r>
        <w:rPr>
          <w:lang w:val="fr-FR"/>
        </w:rPr>
        <w:t>e régit ces centres et leurs prestations</w:t>
      </w:r>
      <w:r w:rsidRPr="00753CA5">
        <w:rPr>
          <w:lang w:val="fr-FR"/>
        </w:rPr>
        <w:t xml:space="preserve">. Les règles </w:t>
      </w:r>
      <w:r>
        <w:rPr>
          <w:lang w:val="fr-FR"/>
        </w:rPr>
        <w:t>sur l</w:t>
      </w:r>
      <w:r w:rsidR="00A318A7">
        <w:rPr>
          <w:lang w:val="fr-FR"/>
        </w:rPr>
        <w:t>’</w:t>
      </w:r>
      <w:r w:rsidRPr="00753CA5">
        <w:rPr>
          <w:lang w:val="fr-FR"/>
        </w:rPr>
        <w:t>agrément</w:t>
      </w:r>
      <w:r>
        <w:rPr>
          <w:lang w:val="fr-FR"/>
        </w:rPr>
        <w:t xml:space="preserve"> des centres d</w:t>
      </w:r>
      <w:r w:rsidR="00A318A7">
        <w:rPr>
          <w:lang w:val="fr-FR"/>
        </w:rPr>
        <w:t>’</w:t>
      </w:r>
      <w:r w:rsidRPr="00E46020">
        <w:rPr>
          <w:lang w:val="fr-FR"/>
        </w:rPr>
        <w:t xml:space="preserve">accueil </w:t>
      </w:r>
      <w:r>
        <w:rPr>
          <w:lang w:val="fr-FR"/>
        </w:rPr>
        <w:t xml:space="preserve">et la </w:t>
      </w:r>
      <w:r w:rsidRPr="00753CA5">
        <w:rPr>
          <w:lang w:val="fr-FR"/>
        </w:rPr>
        <w:t>qualité</w:t>
      </w:r>
      <w:r>
        <w:rPr>
          <w:lang w:val="fr-FR"/>
        </w:rPr>
        <w:t xml:space="preserve"> des soins qui y sont dispensés</w:t>
      </w:r>
      <w:r w:rsidRPr="00753CA5">
        <w:rPr>
          <w:lang w:val="fr-FR"/>
        </w:rPr>
        <w:t xml:space="preserve">, </w:t>
      </w:r>
      <w:r>
        <w:rPr>
          <w:lang w:val="fr-FR"/>
        </w:rPr>
        <w:t xml:space="preserve">les </w:t>
      </w:r>
      <w:r w:rsidRPr="00753CA5">
        <w:rPr>
          <w:lang w:val="fr-FR"/>
        </w:rPr>
        <w:t xml:space="preserve">droits des résidents et </w:t>
      </w:r>
      <w:r>
        <w:rPr>
          <w:lang w:val="fr-FR"/>
        </w:rPr>
        <w:t xml:space="preserve">la </w:t>
      </w:r>
      <w:r w:rsidRPr="00753CA5">
        <w:rPr>
          <w:lang w:val="fr-FR"/>
        </w:rPr>
        <w:t xml:space="preserve">supervision dans </w:t>
      </w:r>
      <w:r>
        <w:rPr>
          <w:lang w:val="fr-FR"/>
        </w:rPr>
        <w:t>c</w:t>
      </w:r>
      <w:r w:rsidRPr="00753CA5">
        <w:rPr>
          <w:lang w:val="fr-FR"/>
        </w:rPr>
        <w:t xml:space="preserve">es centres sont </w:t>
      </w:r>
      <w:r>
        <w:rPr>
          <w:lang w:val="fr-FR"/>
        </w:rPr>
        <w:t>identiques à c</w:t>
      </w:r>
      <w:r w:rsidR="005E7DF1">
        <w:rPr>
          <w:lang w:val="fr-FR"/>
        </w:rPr>
        <w:t>eux</w:t>
      </w:r>
      <w:r>
        <w:rPr>
          <w:lang w:val="fr-FR"/>
        </w:rPr>
        <w:t xml:space="preserve"> des </w:t>
      </w:r>
      <w:r w:rsidRPr="00753CA5">
        <w:rPr>
          <w:lang w:val="fr-FR"/>
        </w:rPr>
        <w:t>autres institutions de protection de l</w:t>
      </w:r>
      <w:r w:rsidR="00A318A7">
        <w:rPr>
          <w:lang w:val="fr-FR"/>
        </w:rPr>
        <w:t>’</w:t>
      </w:r>
      <w:r w:rsidRPr="00753CA5">
        <w:rPr>
          <w:lang w:val="fr-FR"/>
        </w:rPr>
        <w:t>enfance.</w:t>
      </w:r>
    </w:p>
  </w:footnote>
  <w:footnote w:id="9">
    <w:p w:rsidR="002633A1" w:rsidRPr="00753CA5" w:rsidRDefault="002633A1" w:rsidP="008648B2">
      <w:pPr>
        <w:pStyle w:val="Notedebasdepage"/>
        <w:rPr>
          <w:lang w:val="fr-FR"/>
        </w:rPr>
      </w:pPr>
      <w:r w:rsidRPr="00753CA5">
        <w:rPr>
          <w:lang w:val="fr-FR"/>
        </w:rPr>
        <w:tab/>
      </w:r>
      <w:r w:rsidRPr="008648B2">
        <w:rPr>
          <w:rStyle w:val="Appelnotedebasdep"/>
        </w:rPr>
        <w:footnoteRef/>
      </w:r>
      <w:r w:rsidRPr="00753CA5">
        <w:rPr>
          <w:lang w:val="fr-FR"/>
        </w:rPr>
        <w:tab/>
        <w:t>Les données statistiques pour 2010 ne sont pas disponibles.</w:t>
      </w:r>
    </w:p>
  </w:footnote>
  <w:footnote w:id="10">
    <w:p w:rsidR="002633A1" w:rsidRPr="00106791" w:rsidRDefault="002633A1" w:rsidP="008648B2">
      <w:pPr>
        <w:pStyle w:val="Notedebasdepage"/>
        <w:rPr>
          <w:lang w:val="nb-NO"/>
        </w:rPr>
      </w:pPr>
      <w:r w:rsidRPr="00753CA5">
        <w:rPr>
          <w:lang w:val="fr-FR"/>
        </w:rPr>
        <w:tab/>
      </w:r>
      <w:r w:rsidRPr="008648B2">
        <w:rPr>
          <w:rStyle w:val="Appelnotedebasdep"/>
        </w:rPr>
        <w:footnoteRef/>
      </w:r>
      <w:r w:rsidRPr="00F660E8">
        <w:rPr>
          <w:lang w:val="de-CH"/>
        </w:rPr>
        <w:tab/>
      </w:r>
      <w:r w:rsidRPr="00B60509">
        <w:rPr>
          <w:lang w:val="nb-NO"/>
        </w:rPr>
        <w:t xml:space="preserve">Klasseblikk på et barnevern i vekst, </w:t>
      </w:r>
      <w:r w:rsidRPr="00F660E8">
        <w:rPr>
          <w:lang w:val="de-CH"/>
        </w:rPr>
        <w:t>NTNU</w:t>
      </w:r>
      <w:r>
        <w:rPr>
          <w:lang w:val="nb-NO"/>
        </w:rPr>
        <w:t xml:space="preserve"> </w:t>
      </w:r>
      <w:r w:rsidRPr="00E83EE8">
        <w:rPr>
          <w:lang w:val="nb-NO"/>
        </w:rPr>
        <w:t>2011;</w:t>
      </w:r>
      <w:r>
        <w:rPr>
          <w:lang w:val="nb-NO"/>
        </w:rPr>
        <w:t xml:space="preserve"> </w:t>
      </w:r>
      <w:r w:rsidRPr="00E83EE8">
        <w:rPr>
          <w:lang w:val="nb-NO"/>
        </w:rPr>
        <w:t>Minst</w:t>
      </w:r>
      <w:r>
        <w:rPr>
          <w:lang w:val="nb-NO"/>
        </w:rPr>
        <w:t xml:space="preserve"> </w:t>
      </w:r>
      <w:r w:rsidRPr="00E83EE8">
        <w:rPr>
          <w:lang w:val="nb-NO"/>
        </w:rPr>
        <w:t>hjelp</w:t>
      </w:r>
      <w:r>
        <w:rPr>
          <w:lang w:val="nb-NO"/>
        </w:rPr>
        <w:t xml:space="preserve"> </w:t>
      </w:r>
      <w:r w:rsidRPr="00E83EE8">
        <w:rPr>
          <w:lang w:val="nb-NO"/>
        </w:rPr>
        <w:t>til</w:t>
      </w:r>
      <w:r>
        <w:rPr>
          <w:lang w:val="nb-NO"/>
        </w:rPr>
        <w:t xml:space="preserve"> </w:t>
      </w:r>
      <w:r w:rsidRPr="00E83EE8">
        <w:rPr>
          <w:lang w:val="nb-NO"/>
        </w:rPr>
        <w:t>dem</w:t>
      </w:r>
      <w:r>
        <w:rPr>
          <w:lang w:val="nb-NO"/>
        </w:rPr>
        <w:t xml:space="preserve"> </w:t>
      </w:r>
      <w:r w:rsidRPr="00E83EE8">
        <w:rPr>
          <w:lang w:val="nb-NO"/>
        </w:rPr>
        <w:t>som</w:t>
      </w:r>
      <w:r>
        <w:rPr>
          <w:lang w:val="nb-NO"/>
        </w:rPr>
        <w:t xml:space="preserve"> trenger det mest. Sluttrapport </w:t>
      </w:r>
      <w:r w:rsidRPr="00E83EE8">
        <w:rPr>
          <w:lang w:val="nb-NO"/>
        </w:rPr>
        <w:t>fra</w:t>
      </w:r>
      <w:r>
        <w:rPr>
          <w:lang w:val="nb-NO"/>
        </w:rPr>
        <w:t xml:space="preserve"> </w:t>
      </w:r>
      <w:r w:rsidRPr="00E83EE8">
        <w:rPr>
          <w:lang w:val="nb-NO"/>
        </w:rPr>
        <w:t>forsknings-</w:t>
      </w:r>
      <w:r>
        <w:rPr>
          <w:lang w:val="nb-NO"/>
        </w:rPr>
        <w:t xml:space="preserve"> </w:t>
      </w:r>
      <w:r w:rsidRPr="00E83EE8">
        <w:rPr>
          <w:lang w:val="nb-NO"/>
        </w:rPr>
        <w:t>og</w:t>
      </w:r>
      <w:r>
        <w:rPr>
          <w:lang w:val="nb-NO"/>
        </w:rPr>
        <w:t xml:space="preserve"> </w:t>
      </w:r>
      <w:r w:rsidRPr="00E83EE8">
        <w:rPr>
          <w:lang w:val="nb-NO"/>
        </w:rPr>
        <w:t>utviklingsprosjektet</w:t>
      </w:r>
      <w:r>
        <w:rPr>
          <w:lang w:val="nb-NO"/>
        </w:rPr>
        <w:t xml:space="preserve"> </w:t>
      </w:r>
      <w:r w:rsidRPr="00E83EE8">
        <w:rPr>
          <w:lang w:val="nb-NO"/>
        </w:rPr>
        <w:t>"Det</w:t>
      </w:r>
      <w:r>
        <w:rPr>
          <w:lang w:val="nb-NO"/>
        </w:rPr>
        <w:t xml:space="preserve"> </w:t>
      </w:r>
      <w:r w:rsidRPr="00E83EE8">
        <w:rPr>
          <w:lang w:val="nb-NO"/>
        </w:rPr>
        <w:t>nye</w:t>
      </w:r>
      <w:r>
        <w:rPr>
          <w:lang w:val="nb-NO"/>
        </w:rPr>
        <w:t xml:space="preserve"> </w:t>
      </w:r>
      <w:r w:rsidRPr="00E83EE8">
        <w:rPr>
          <w:lang w:val="nb-NO"/>
        </w:rPr>
        <w:t>barnevernet",</w:t>
      </w:r>
      <w:r>
        <w:rPr>
          <w:lang w:val="nb-NO"/>
        </w:rPr>
        <w:t xml:space="preserve"> </w:t>
      </w:r>
      <w:r w:rsidRPr="00E83EE8">
        <w:rPr>
          <w:lang w:val="nb-NO"/>
        </w:rPr>
        <w:t>Nordlandsforskning</w:t>
      </w:r>
      <w:r>
        <w:rPr>
          <w:lang w:val="nb-NO"/>
        </w:rPr>
        <w:t xml:space="preserve"> </w:t>
      </w:r>
      <w:r w:rsidRPr="00E83EE8">
        <w:rPr>
          <w:lang w:val="nb-NO"/>
        </w:rPr>
        <w:t>2015</w:t>
      </w:r>
      <w:r>
        <w:rPr>
          <w:lang w:val="nb-NO"/>
        </w:rPr>
        <w:t>.</w:t>
      </w:r>
    </w:p>
  </w:footnote>
  <w:footnote w:id="11">
    <w:p w:rsidR="002633A1" w:rsidRPr="00B679B7" w:rsidRDefault="002633A1" w:rsidP="008648B2">
      <w:pPr>
        <w:pStyle w:val="Notedebasdepage"/>
        <w:rPr>
          <w:lang w:val="fr-FR"/>
        </w:rPr>
      </w:pPr>
      <w:r w:rsidRPr="00B60509">
        <w:rPr>
          <w:lang w:val="nb-NO"/>
        </w:rPr>
        <w:tab/>
      </w:r>
      <w:r w:rsidRPr="008648B2">
        <w:rPr>
          <w:rStyle w:val="Appelnotedebasdep"/>
        </w:rPr>
        <w:footnoteRef/>
      </w:r>
      <w:r w:rsidRPr="00B60509">
        <w:rPr>
          <w:lang w:val="nb-NO"/>
        </w:rPr>
        <w:tab/>
      </w:r>
      <w:r w:rsidRPr="00B60509">
        <w:rPr>
          <w:lang w:val="nb-NO"/>
        </w:rPr>
        <w:t>Myter og realiteter. Innvandreres møte med barnevernet, NTNU Samfunnsforskning 2017</w:t>
      </w:r>
      <w:r>
        <w:rPr>
          <w:lang w:val="nb-NO"/>
        </w:rPr>
        <w:t>.</w:t>
      </w:r>
    </w:p>
  </w:footnote>
  <w:footnote w:id="12">
    <w:p w:rsidR="002633A1" w:rsidRPr="00B679B7" w:rsidRDefault="002633A1" w:rsidP="008648B2">
      <w:pPr>
        <w:pStyle w:val="Notedebasdepage"/>
        <w:rPr>
          <w:lang w:val="fr-FR"/>
        </w:rPr>
      </w:pPr>
      <w:r w:rsidRPr="00B60509">
        <w:rPr>
          <w:lang w:val="nb-NO"/>
        </w:rPr>
        <w:tab/>
      </w:r>
      <w:r w:rsidRPr="008648B2">
        <w:rPr>
          <w:rStyle w:val="Appelnotedebasdep"/>
        </w:rPr>
        <w:footnoteRef/>
      </w:r>
      <w:r w:rsidRPr="00B60509">
        <w:rPr>
          <w:lang w:val="nb-NO"/>
        </w:rPr>
        <w:tab/>
      </w:r>
      <w:r w:rsidRPr="00753CA5">
        <w:rPr>
          <w:lang w:val="fr-FR"/>
        </w:rPr>
        <w:t>En 2017, après un examen de la loi sur la protection de l</w:t>
      </w:r>
      <w:r w:rsidR="00A318A7">
        <w:rPr>
          <w:lang w:val="fr-FR"/>
        </w:rPr>
        <w:t>’</w:t>
      </w:r>
      <w:r w:rsidRPr="00753CA5">
        <w:rPr>
          <w:lang w:val="fr-FR"/>
        </w:rPr>
        <w:t xml:space="preserve">enfance par un comité juridique indépendant, le Gouvernement a présenté au Storting des propositions de modification de </w:t>
      </w:r>
      <w:r>
        <w:rPr>
          <w:lang w:val="fr-FR"/>
        </w:rPr>
        <w:t xml:space="preserve">ladite </w:t>
      </w:r>
      <w:r w:rsidRPr="00753CA5">
        <w:rPr>
          <w:lang w:val="fr-FR"/>
        </w:rPr>
        <w:t xml:space="preserve">loi (Prop. 169 L (2016-2017)). </w:t>
      </w:r>
      <w:r w:rsidRPr="00B679B7">
        <w:rPr>
          <w:lang w:val="fr-FR"/>
        </w:rPr>
        <w:t>Les modifications sont entrées en vigueur le 1</w:t>
      </w:r>
      <w:r w:rsidRPr="00713CFC">
        <w:rPr>
          <w:vertAlign w:val="superscript"/>
          <w:lang w:val="fr-FR"/>
        </w:rPr>
        <w:t>er</w:t>
      </w:r>
      <w:r>
        <w:rPr>
          <w:lang w:val="fr-FR"/>
        </w:rPr>
        <w:t xml:space="preserve"> </w:t>
      </w:r>
      <w:r w:rsidRPr="00B679B7">
        <w:rPr>
          <w:lang w:val="fr-FR"/>
        </w:rPr>
        <w:t>juillet 2018.</w:t>
      </w:r>
    </w:p>
  </w:footnote>
  <w:footnote w:id="13">
    <w:p w:rsidR="002633A1" w:rsidRPr="00B679B7" w:rsidRDefault="002633A1" w:rsidP="008648B2">
      <w:pPr>
        <w:pStyle w:val="Notedebasdepage"/>
        <w:rPr>
          <w:lang w:val="fr-FR"/>
        </w:rPr>
      </w:pPr>
      <w:r w:rsidRPr="00B679B7">
        <w:rPr>
          <w:lang w:val="fr-FR"/>
        </w:rPr>
        <w:tab/>
      </w:r>
      <w:r w:rsidRPr="008648B2">
        <w:rPr>
          <w:rStyle w:val="Appelnotedebasdep"/>
        </w:rPr>
        <w:footnoteRef/>
      </w:r>
      <w:r w:rsidRPr="00B679B7">
        <w:rPr>
          <w:lang w:val="fr-FR"/>
        </w:rPr>
        <w:tab/>
      </w:r>
      <w:hyperlink r:id="rId5" w:history="1">
        <w:r w:rsidRPr="00B679B7">
          <w:rPr>
            <w:rStyle w:val="Lienhypertexte"/>
            <w:color w:val="auto"/>
            <w:lang w:val="fr-FR"/>
          </w:rPr>
          <w:t>https://lovdata.no/dokument/NLE/lov/2017-06-16-51</w:t>
        </w:r>
      </w:hyperlink>
      <w:r w:rsidRPr="00B679B7">
        <w:rPr>
          <w:lang w:val="fr-FR"/>
        </w:rPr>
        <w:t>.</w:t>
      </w:r>
    </w:p>
  </w:footnote>
  <w:footnote w:id="14">
    <w:p w:rsidR="002633A1" w:rsidRPr="001A6953" w:rsidRDefault="002633A1" w:rsidP="008648B2">
      <w:pPr>
        <w:pStyle w:val="Notedebasdepage"/>
        <w:rPr>
          <w:lang w:val="fr-FR"/>
        </w:rPr>
      </w:pPr>
      <w:r w:rsidRPr="00B679B7">
        <w:rPr>
          <w:lang w:val="fr-FR"/>
        </w:rPr>
        <w:tab/>
      </w:r>
      <w:r w:rsidRPr="008648B2">
        <w:rPr>
          <w:rStyle w:val="Appelnotedebasdep"/>
        </w:rPr>
        <w:footnoteRef/>
      </w:r>
      <w:r w:rsidRPr="001A6953">
        <w:rPr>
          <w:lang w:val="fr-FR"/>
        </w:rPr>
        <w:tab/>
      </w:r>
      <w:r>
        <w:rPr>
          <w:lang w:val="fr-FR"/>
        </w:rPr>
        <w:t>L</w:t>
      </w:r>
      <w:r w:rsidRPr="00981D12">
        <w:rPr>
          <w:lang w:val="fr-FR"/>
        </w:rPr>
        <w:t>e Ministère de l</w:t>
      </w:r>
      <w:r w:rsidR="00A318A7">
        <w:rPr>
          <w:lang w:val="fr-FR"/>
        </w:rPr>
        <w:t>’</w:t>
      </w:r>
      <w:r w:rsidRPr="00981D12">
        <w:rPr>
          <w:lang w:val="fr-FR"/>
        </w:rPr>
        <w:t>éducation et de la recherche</w:t>
      </w:r>
      <w:r w:rsidRPr="001A6953">
        <w:rPr>
          <w:lang w:val="fr-FR"/>
        </w:rPr>
        <w:t xml:space="preserve"> est habilit</w:t>
      </w:r>
      <w:r>
        <w:rPr>
          <w:lang w:val="fr-FR"/>
        </w:rPr>
        <w:t xml:space="preserve">é, à la </w:t>
      </w:r>
      <w:r w:rsidRPr="00833ED0">
        <w:rPr>
          <w:lang w:val="fr-FR"/>
        </w:rPr>
        <w:t>demande d</w:t>
      </w:r>
      <w:r w:rsidR="00A318A7">
        <w:rPr>
          <w:lang w:val="fr-FR"/>
        </w:rPr>
        <w:t>’</w:t>
      </w:r>
      <w:r w:rsidRPr="00833ED0">
        <w:rPr>
          <w:lang w:val="fr-FR"/>
        </w:rPr>
        <w:t>un établissement d</w:t>
      </w:r>
      <w:r w:rsidR="00A318A7">
        <w:rPr>
          <w:lang w:val="fr-FR"/>
        </w:rPr>
        <w:t>’</w:t>
      </w:r>
      <w:r w:rsidRPr="00833ED0">
        <w:rPr>
          <w:lang w:val="fr-FR"/>
        </w:rPr>
        <w:t xml:space="preserve">enseignement, </w:t>
      </w:r>
      <w:r w:rsidRPr="001A6953">
        <w:rPr>
          <w:lang w:val="fr-FR"/>
        </w:rPr>
        <w:t>à accorder jusqu</w:t>
      </w:r>
      <w:r w:rsidR="00A318A7">
        <w:rPr>
          <w:lang w:val="fr-FR"/>
        </w:rPr>
        <w:t>’</w:t>
      </w:r>
      <w:r w:rsidRPr="001A6953">
        <w:rPr>
          <w:lang w:val="fr-FR"/>
        </w:rPr>
        <w:t xml:space="preserve">à deux points supplémentaires au </w:t>
      </w:r>
      <w:r>
        <w:rPr>
          <w:lang w:val="fr-FR"/>
        </w:rPr>
        <w:t xml:space="preserve">genre </w:t>
      </w:r>
      <w:r w:rsidRPr="001A6953">
        <w:rPr>
          <w:lang w:val="fr-FR"/>
        </w:rPr>
        <w:t>sous-représenté.</w:t>
      </w:r>
    </w:p>
  </w:footnote>
  <w:footnote w:id="15">
    <w:p w:rsidR="002633A1" w:rsidRPr="00B679B7" w:rsidRDefault="002633A1" w:rsidP="008648B2">
      <w:pPr>
        <w:pStyle w:val="Notedebasdepage"/>
        <w:rPr>
          <w:lang w:val="fr-FR"/>
        </w:rPr>
      </w:pPr>
      <w:r w:rsidRPr="001A6953">
        <w:rPr>
          <w:lang w:val="fr-FR"/>
        </w:rPr>
        <w:tab/>
      </w:r>
      <w:r w:rsidRPr="008648B2">
        <w:rPr>
          <w:rStyle w:val="Appelnotedebasdep"/>
        </w:rPr>
        <w:footnoteRef/>
      </w:r>
      <w:r w:rsidRPr="00B679B7">
        <w:rPr>
          <w:lang w:val="fr-FR"/>
        </w:rPr>
        <w:tab/>
      </w:r>
      <w:hyperlink r:id="rId6" w:history="1">
        <w:r w:rsidRPr="00B679B7">
          <w:rPr>
            <w:rStyle w:val="Lienhypertexte"/>
            <w:color w:val="auto"/>
            <w:lang w:val="fr-FR"/>
          </w:rPr>
          <w:t>https://www.nho.no/samarbeid/jenter-og-teknologi/in-english/</w:t>
        </w:r>
      </w:hyperlink>
      <w:r w:rsidRPr="00B679B7">
        <w:rPr>
          <w:lang w:val="fr-FR"/>
        </w:rPr>
        <w:t>.</w:t>
      </w:r>
    </w:p>
  </w:footnote>
  <w:footnote w:id="16">
    <w:p w:rsidR="002633A1" w:rsidRPr="00B679B7" w:rsidRDefault="002633A1" w:rsidP="008648B2">
      <w:pPr>
        <w:pStyle w:val="Notedebasdepage"/>
        <w:rPr>
          <w:lang w:val="fr-FR"/>
        </w:rPr>
      </w:pPr>
      <w:r w:rsidRPr="00B679B7">
        <w:rPr>
          <w:lang w:val="fr-FR"/>
        </w:rPr>
        <w:tab/>
      </w:r>
      <w:r w:rsidRPr="008648B2">
        <w:rPr>
          <w:rStyle w:val="Appelnotedebasdep"/>
        </w:rPr>
        <w:footnoteRef/>
      </w:r>
      <w:r w:rsidRPr="00B679B7">
        <w:rPr>
          <w:lang w:val="fr-FR"/>
        </w:rPr>
        <w:tab/>
      </w:r>
      <w:hyperlink r:id="rId7" w:history="1">
        <w:r w:rsidRPr="00B679B7">
          <w:rPr>
            <w:rStyle w:val="Lienhypertexte"/>
            <w:color w:val="auto"/>
            <w:lang w:val="fr-FR"/>
          </w:rPr>
          <w:t>https://mennihelse.no/kontakt/</w:t>
        </w:r>
      </w:hyperlink>
      <w:r w:rsidRPr="00B679B7">
        <w:rPr>
          <w:rStyle w:val="Lienhypertexte"/>
          <w:color w:val="auto"/>
          <w:lang w:val="fr-FR"/>
        </w:rPr>
        <w:t>.</w:t>
      </w:r>
    </w:p>
  </w:footnote>
  <w:footnote w:id="17">
    <w:p w:rsidR="002633A1" w:rsidRPr="00B679B7" w:rsidRDefault="002633A1" w:rsidP="008648B2">
      <w:pPr>
        <w:pStyle w:val="Notedebasdepage"/>
        <w:rPr>
          <w:lang w:val="fr-FR"/>
        </w:rPr>
      </w:pPr>
      <w:r w:rsidRPr="00B679B7">
        <w:rPr>
          <w:lang w:val="fr-FR"/>
        </w:rPr>
        <w:tab/>
      </w:r>
      <w:r w:rsidRPr="008648B2">
        <w:rPr>
          <w:rStyle w:val="Appelnotedebasdep"/>
        </w:rPr>
        <w:footnoteRef/>
      </w:r>
      <w:r w:rsidRPr="00B679B7">
        <w:rPr>
          <w:lang w:val="fr-FR"/>
        </w:rPr>
        <w:tab/>
      </w:r>
      <w:hyperlink r:id="rId8" w:history="1">
        <w:r w:rsidRPr="00B679B7">
          <w:rPr>
            <w:rStyle w:val="Lienhypertexte"/>
            <w:color w:val="auto"/>
            <w:lang w:val="fr-FR"/>
          </w:rPr>
          <w:t>https://www.ssb.no/utdanning/artikler-og-publikasjoner/flere-menn-i-kvinnedominerte-utdanningsprogram</w:t>
        </w:r>
      </w:hyperlink>
      <w:r w:rsidRPr="00B679B7">
        <w:rPr>
          <w:rStyle w:val="Lienhypertexte"/>
          <w:color w:val="auto"/>
          <w:lang w:val="fr-FR"/>
        </w:rPr>
        <w:t>.</w:t>
      </w:r>
    </w:p>
  </w:footnote>
  <w:footnote w:id="18">
    <w:p w:rsidR="002633A1" w:rsidRPr="00CC609B" w:rsidRDefault="002633A1" w:rsidP="008648B2">
      <w:pPr>
        <w:pStyle w:val="Notedebasdepage"/>
        <w:rPr>
          <w:lang w:val="fr-FR"/>
        </w:rPr>
      </w:pPr>
      <w:r w:rsidRPr="00B679B7">
        <w:rPr>
          <w:lang w:val="fr-FR"/>
        </w:rPr>
        <w:tab/>
      </w:r>
      <w:r w:rsidRPr="008648B2">
        <w:rPr>
          <w:rStyle w:val="Appelnotedebasdep"/>
        </w:rPr>
        <w:footnoteRef/>
      </w:r>
      <w:r w:rsidRPr="00B679B7">
        <w:rPr>
          <w:lang w:val="fr-FR"/>
        </w:rPr>
        <w:tab/>
      </w:r>
      <w:hyperlink r:id="rId9" w:anchor="KAPITTEL_11" w:history="1">
        <w:r w:rsidRPr="00CC609B">
          <w:rPr>
            <w:rStyle w:val="Lienhypertexte"/>
            <w:color w:val="auto"/>
            <w:lang w:val="fr-FR"/>
          </w:rPr>
          <w:t>https://lovdata.no/dokument/NL/lov/1998-07-17-61/KAPITTEL_11#KAPITTEL_11</w:t>
        </w:r>
      </w:hyperlink>
      <w:r w:rsidRPr="00CC609B">
        <w:rPr>
          <w:rStyle w:val="Lienhypertexte"/>
          <w:color w:val="auto"/>
          <w:lang w:val="fr-FR"/>
        </w:rPr>
        <w:t>.</w:t>
      </w:r>
    </w:p>
  </w:footnote>
  <w:footnote w:id="19">
    <w:p w:rsidR="003D5858" w:rsidRDefault="003D5858" w:rsidP="003D5858">
      <w:pPr>
        <w:pStyle w:val="Notedebasdepage"/>
      </w:pPr>
      <w:r>
        <w:tab/>
      </w:r>
      <w:r>
        <w:rPr>
          <w:rStyle w:val="Appelnotedebasdep"/>
        </w:rPr>
        <w:footnoteRef/>
      </w:r>
      <w:r>
        <w:tab/>
      </w:r>
      <w:r w:rsidRPr="00914C09">
        <w:rPr>
          <w:lang w:val="nb-NO"/>
        </w:rPr>
        <w:t>Antirasistisk</w:t>
      </w:r>
      <w:r>
        <w:rPr>
          <w:lang w:val="nb-NO"/>
        </w:rPr>
        <w:t xml:space="preserve"> </w:t>
      </w:r>
      <w:r w:rsidRPr="00914C09">
        <w:rPr>
          <w:lang w:val="nb-NO"/>
        </w:rPr>
        <w:t>senter</w:t>
      </w:r>
      <w:r>
        <w:rPr>
          <w:lang w:val="nb-NO"/>
        </w:rPr>
        <w:t xml:space="preserve"> </w:t>
      </w:r>
      <w:r w:rsidRPr="00914C09">
        <w:rPr>
          <w:lang w:val="nb-NO"/>
        </w:rPr>
        <w:t>(2017)</w:t>
      </w:r>
      <w:r>
        <w:rPr>
          <w:lang w:val="nb-NO"/>
        </w:rPr>
        <w:t>.</w:t>
      </w:r>
    </w:p>
  </w:footnote>
  <w:footnote w:id="20">
    <w:p w:rsidR="002633A1" w:rsidRPr="001040C5" w:rsidRDefault="002633A1" w:rsidP="008648B2">
      <w:pPr>
        <w:pStyle w:val="Notedebasdepage"/>
        <w:rPr>
          <w:lang w:val="nb-NO"/>
        </w:rPr>
      </w:pPr>
      <w:r>
        <w:rPr>
          <w:lang w:val="nb-NO"/>
        </w:rPr>
        <w:tab/>
      </w:r>
      <w:r w:rsidRPr="008648B2">
        <w:rPr>
          <w:rStyle w:val="Appelnotedebasdep"/>
        </w:rPr>
        <w:footnoteRef/>
      </w:r>
      <w:r>
        <w:rPr>
          <w:lang w:val="nb-NO"/>
        </w:rPr>
        <w:tab/>
      </w:r>
      <w:hyperlink r:id="rId10" w:history="1">
        <w:r w:rsidRPr="005A768F">
          <w:rPr>
            <w:rStyle w:val="Lienhypertexte"/>
            <w:color w:val="auto"/>
            <w:lang w:val="nb-NO"/>
          </w:rPr>
          <w:t>https://dembra.no/en/om-dembra/</w:t>
        </w:r>
      </w:hyperlink>
      <w:r>
        <w:rPr>
          <w:lang w:val="nb-N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3A1" w:rsidRPr="001771B8" w:rsidRDefault="002633A1">
    <w:pPr>
      <w:pStyle w:val="En-tte"/>
    </w:pPr>
    <w:fldSimple w:instr=" TITLE  \* MERGEFORMAT ">
      <w:r w:rsidR="005A768F">
        <w:t>E/C.12/NOR/6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3A1" w:rsidRPr="001771B8" w:rsidRDefault="002633A1" w:rsidP="001771B8">
    <w:pPr>
      <w:pStyle w:val="En-tte"/>
      <w:jc w:val="right"/>
    </w:pPr>
    <w:fldSimple w:instr=" TITLE  \* MERGEFORMAT ">
      <w:r w:rsidR="005A768F">
        <w:t>E/C.12/NOR/6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2" w15:restartNumberingAfterBreak="0">
    <w:nsid w:val="0AC83E07"/>
    <w:multiLevelType w:val="hybridMultilevel"/>
    <w:tmpl w:val="C8FE3CD4"/>
    <w:lvl w:ilvl="0" w:tplc="04140017">
      <w:start w:val="1"/>
      <w:numFmt w:val="lowerLetter"/>
      <w:lvlText w:val="%1)"/>
      <w:lvlJc w:val="left"/>
      <w:pPr>
        <w:ind w:left="1854" w:hanging="360"/>
      </w:pPr>
    </w:lvl>
    <w:lvl w:ilvl="1" w:tplc="04140019" w:tentative="1">
      <w:start w:val="1"/>
      <w:numFmt w:val="lowerLetter"/>
      <w:lvlText w:val="%2."/>
      <w:lvlJc w:val="left"/>
      <w:pPr>
        <w:ind w:left="2574" w:hanging="360"/>
      </w:pPr>
    </w:lvl>
    <w:lvl w:ilvl="2" w:tplc="0414001B" w:tentative="1">
      <w:start w:val="1"/>
      <w:numFmt w:val="lowerRoman"/>
      <w:lvlText w:val="%3."/>
      <w:lvlJc w:val="right"/>
      <w:pPr>
        <w:ind w:left="3294" w:hanging="180"/>
      </w:pPr>
    </w:lvl>
    <w:lvl w:ilvl="3" w:tplc="0414000F" w:tentative="1">
      <w:start w:val="1"/>
      <w:numFmt w:val="decimal"/>
      <w:lvlText w:val="%4."/>
      <w:lvlJc w:val="left"/>
      <w:pPr>
        <w:ind w:left="4014" w:hanging="360"/>
      </w:pPr>
    </w:lvl>
    <w:lvl w:ilvl="4" w:tplc="04140019" w:tentative="1">
      <w:start w:val="1"/>
      <w:numFmt w:val="lowerLetter"/>
      <w:lvlText w:val="%5."/>
      <w:lvlJc w:val="left"/>
      <w:pPr>
        <w:ind w:left="4734" w:hanging="360"/>
      </w:pPr>
    </w:lvl>
    <w:lvl w:ilvl="5" w:tplc="0414001B" w:tentative="1">
      <w:start w:val="1"/>
      <w:numFmt w:val="lowerRoman"/>
      <w:lvlText w:val="%6."/>
      <w:lvlJc w:val="right"/>
      <w:pPr>
        <w:ind w:left="5454" w:hanging="180"/>
      </w:pPr>
    </w:lvl>
    <w:lvl w:ilvl="6" w:tplc="0414000F" w:tentative="1">
      <w:start w:val="1"/>
      <w:numFmt w:val="decimal"/>
      <w:lvlText w:val="%7."/>
      <w:lvlJc w:val="left"/>
      <w:pPr>
        <w:ind w:left="6174" w:hanging="360"/>
      </w:pPr>
    </w:lvl>
    <w:lvl w:ilvl="7" w:tplc="04140019" w:tentative="1">
      <w:start w:val="1"/>
      <w:numFmt w:val="lowerLetter"/>
      <w:lvlText w:val="%8."/>
      <w:lvlJc w:val="left"/>
      <w:pPr>
        <w:ind w:left="6894" w:hanging="360"/>
      </w:pPr>
    </w:lvl>
    <w:lvl w:ilvl="8" w:tplc="0414001B" w:tentative="1">
      <w:start w:val="1"/>
      <w:numFmt w:val="lowerRoman"/>
      <w:lvlText w:val="%9."/>
      <w:lvlJc w:val="right"/>
      <w:pPr>
        <w:ind w:left="7614" w:hanging="180"/>
      </w:pPr>
    </w:lvl>
  </w:abstractNum>
  <w:abstractNum w:abstractNumId="13"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14C3754"/>
    <w:multiLevelType w:val="hybridMultilevel"/>
    <w:tmpl w:val="ACF8104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3A41D41"/>
    <w:multiLevelType w:val="hybridMultilevel"/>
    <w:tmpl w:val="0FF6D2E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9827EA"/>
    <w:multiLevelType w:val="hybridMultilevel"/>
    <w:tmpl w:val="1BEA2C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4AE4280"/>
    <w:multiLevelType w:val="hybridMultilevel"/>
    <w:tmpl w:val="E81AE8FE"/>
    <w:lvl w:ilvl="0" w:tplc="04140001">
      <w:start w:val="1"/>
      <w:numFmt w:val="bullet"/>
      <w:lvlText w:val=""/>
      <w:lvlJc w:val="left"/>
      <w:pPr>
        <w:ind w:left="1854" w:hanging="360"/>
      </w:pPr>
      <w:rPr>
        <w:rFonts w:ascii="Symbol" w:hAnsi="Symbol" w:hint="default"/>
      </w:rPr>
    </w:lvl>
    <w:lvl w:ilvl="1" w:tplc="04140003" w:tentative="1">
      <w:start w:val="1"/>
      <w:numFmt w:val="bullet"/>
      <w:lvlText w:val="o"/>
      <w:lvlJc w:val="left"/>
      <w:pPr>
        <w:ind w:left="2574" w:hanging="360"/>
      </w:pPr>
      <w:rPr>
        <w:rFonts w:ascii="Courier New" w:hAnsi="Courier New" w:cs="Courier New" w:hint="default"/>
      </w:rPr>
    </w:lvl>
    <w:lvl w:ilvl="2" w:tplc="04140005" w:tentative="1">
      <w:start w:val="1"/>
      <w:numFmt w:val="bullet"/>
      <w:lvlText w:val=""/>
      <w:lvlJc w:val="left"/>
      <w:pPr>
        <w:ind w:left="3294" w:hanging="360"/>
      </w:pPr>
      <w:rPr>
        <w:rFonts w:ascii="Wingdings" w:hAnsi="Wingdings" w:hint="default"/>
      </w:rPr>
    </w:lvl>
    <w:lvl w:ilvl="3" w:tplc="04140001" w:tentative="1">
      <w:start w:val="1"/>
      <w:numFmt w:val="bullet"/>
      <w:lvlText w:val=""/>
      <w:lvlJc w:val="left"/>
      <w:pPr>
        <w:ind w:left="4014" w:hanging="360"/>
      </w:pPr>
      <w:rPr>
        <w:rFonts w:ascii="Symbol" w:hAnsi="Symbol" w:hint="default"/>
      </w:rPr>
    </w:lvl>
    <w:lvl w:ilvl="4" w:tplc="04140003" w:tentative="1">
      <w:start w:val="1"/>
      <w:numFmt w:val="bullet"/>
      <w:lvlText w:val="o"/>
      <w:lvlJc w:val="left"/>
      <w:pPr>
        <w:ind w:left="4734" w:hanging="360"/>
      </w:pPr>
      <w:rPr>
        <w:rFonts w:ascii="Courier New" w:hAnsi="Courier New" w:cs="Courier New" w:hint="default"/>
      </w:rPr>
    </w:lvl>
    <w:lvl w:ilvl="5" w:tplc="04140005" w:tentative="1">
      <w:start w:val="1"/>
      <w:numFmt w:val="bullet"/>
      <w:lvlText w:val=""/>
      <w:lvlJc w:val="left"/>
      <w:pPr>
        <w:ind w:left="5454" w:hanging="360"/>
      </w:pPr>
      <w:rPr>
        <w:rFonts w:ascii="Wingdings" w:hAnsi="Wingdings" w:hint="default"/>
      </w:rPr>
    </w:lvl>
    <w:lvl w:ilvl="6" w:tplc="04140001" w:tentative="1">
      <w:start w:val="1"/>
      <w:numFmt w:val="bullet"/>
      <w:lvlText w:val=""/>
      <w:lvlJc w:val="left"/>
      <w:pPr>
        <w:ind w:left="6174" w:hanging="360"/>
      </w:pPr>
      <w:rPr>
        <w:rFonts w:ascii="Symbol" w:hAnsi="Symbol" w:hint="default"/>
      </w:rPr>
    </w:lvl>
    <w:lvl w:ilvl="7" w:tplc="04140003" w:tentative="1">
      <w:start w:val="1"/>
      <w:numFmt w:val="bullet"/>
      <w:lvlText w:val="o"/>
      <w:lvlJc w:val="left"/>
      <w:pPr>
        <w:ind w:left="6894" w:hanging="360"/>
      </w:pPr>
      <w:rPr>
        <w:rFonts w:ascii="Courier New" w:hAnsi="Courier New" w:cs="Courier New" w:hint="default"/>
      </w:rPr>
    </w:lvl>
    <w:lvl w:ilvl="8" w:tplc="04140005" w:tentative="1">
      <w:start w:val="1"/>
      <w:numFmt w:val="bullet"/>
      <w:lvlText w:val=""/>
      <w:lvlJc w:val="left"/>
      <w:pPr>
        <w:ind w:left="7614" w:hanging="360"/>
      </w:pPr>
      <w:rPr>
        <w:rFonts w:ascii="Wingdings" w:hAnsi="Wingdings" w:hint="default"/>
      </w:rPr>
    </w:lvl>
  </w:abstractNum>
  <w:abstractNum w:abstractNumId="21" w15:restartNumberingAfterBreak="0">
    <w:nsid w:val="364F31BC"/>
    <w:multiLevelType w:val="hybridMultilevel"/>
    <w:tmpl w:val="612C3668"/>
    <w:lvl w:ilvl="0" w:tplc="8B804842">
      <w:numFmt w:val="bullet"/>
      <w:lvlText w:val=""/>
      <w:lvlJc w:val="left"/>
      <w:pPr>
        <w:ind w:left="1499" w:hanging="710"/>
      </w:pPr>
      <w:rPr>
        <w:rFonts w:ascii="Symbol" w:eastAsiaTheme="minorHAnsi" w:hAnsi="Symbol" w:cs="Times New Roman" w:hint="default"/>
      </w:rPr>
    </w:lvl>
    <w:lvl w:ilvl="1" w:tplc="04140003" w:tentative="1">
      <w:start w:val="1"/>
      <w:numFmt w:val="bullet"/>
      <w:lvlText w:val="o"/>
      <w:lvlJc w:val="left"/>
      <w:pPr>
        <w:ind w:left="1869" w:hanging="360"/>
      </w:pPr>
      <w:rPr>
        <w:rFonts w:ascii="Courier New" w:hAnsi="Courier New" w:cs="Courier New" w:hint="default"/>
      </w:rPr>
    </w:lvl>
    <w:lvl w:ilvl="2" w:tplc="04140005" w:tentative="1">
      <w:start w:val="1"/>
      <w:numFmt w:val="bullet"/>
      <w:lvlText w:val=""/>
      <w:lvlJc w:val="left"/>
      <w:pPr>
        <w:ind w:left="2589" w:hanging="360"/>
      </w:pPr>
      <w:rPr>
        <w:rFonts w:ascii="Wingdings" w:hAnsi="Wingdings" w:hint="default"/>
      </w:rPr>
    </w:lvl>
    <w:lvl w:ilvl="3" w:tplc="04140001" w:tentative="1">
      <w:start w:val="1"/>
      <w:numFmt w:val="bullet"/>
      <w:lvlText w:val=""/>
      <w:lvlJc w:val="left"/>
      <w:pPr>
        <w:ind w:left="3309" w:hanging="360"/>
      </w:pPr>
      <w:rPr>
        <w:rFonts w:ascii="Symbol" w:hAnsi="Symbol" w:hint="default"/>
      </w:rPr>
    </w:lvl>
    <w:lvl w:ilvl="4" w:tplc="04140003" w:tentative="1">
      <w:start w:val="1"/>
      <w:numFmt w:val="bullet"/>
      <w:lvlText w:val="o"/>
      <w:lvlJc w:val="left"/>
      <w:pPr>
        <w:ind w:left="4029" w:hanging="360"/>
      </w:pPr>
      <w:rPr>
        <w:rFonts w:ascii="Courier New" w:hAnsi="Courier New" w:cs="Courier New" w:hint="default"/>
      </w:rPr>
    </w:lvl>
    <w:lvl w:ilvl="5" w:tplc="04140005" w:tentative="1">
      <w:start w:val="1"/>
      <w:numFmt w:val="bullet"/>
      <w:lvlText w:val=""/>
      <w:lvlJc w:val="left"/>
      <w:pPr>
        <w:ind w:left="4749" w:hanging="360"/>
      </w:pPr>
      <w:rPr>
        <w:rFonts w:ascii="Wingdings" w:hAnsi="Wingdings" w:hint="default"/>
      </w:rPr>
    </w:lvl>
    <w:lvl w:ilvl="6" w:tplc="04140001" w:tentative="1">
      <w:start w:val="1"/>
      <w:numFmt w:val="bullet"/>
      <w:lvlText w:val=""/>
      <w:lvlJc w:val="left"/>
      <w:pPr>
        <w:ind w:left="5469" w:hanging="360"/>
      </w:pPr>
      <w:rPr>
        <w:rFonts w:ascii="Symbol" w:hAnsi="Symbol" w:hint="default"/>
      </w:rPr>
    </w:lvl>
    <w:lvl w:ilvl="7" w:tplc="04140003" w:tentative="1">
      <w:start w:val="1"/>
      <w:numFmt w:val="bullet"/>
      <w:lvlText w:val="o"/>
      <w:lvlJc w:val="left"/>
      <w:pPr>
        <w:ind w:left="6189" w:hanging="360"/>
      </w:pPr>
      <w:rPr>
        <w:rFonts w:ascii="Courier New" w:hAnsi="Courier New" w:cs="Courier New" w:hint="default"/>
      </w:rPr>
    </w:lvl>
    <w:lvl w:ilvl="8" w:tplc="04140005" w:tentative="1">
      <w:start w:val="1"/>
      <w:numFmt w:val="bullet"/>
      <w:lvlText w:val=""/>
      <w:lvlJc w:val="left"/>
      <w:pPr>
        <w:ind w:left="6909" w:hanging="360"/>
      </w:pPr>
      <w:rPr>
        <w:rFonts w:ascii="Wingdings" w:hAnsi="Wingdings" w:hint="default"/>
      </w:rPr>
    </w:lvl>
  </w:abstractNum>
  <w:abstractNum w:abstractNumId="22"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7DB23D5"/>
    <w:multiLevelType w:val="hybridMultilevel"/>
    <w:tmpl w:val="5D4A447E"/>
    <w:lvl w:ilvl="0" w:tplc="F604AB68">
      <w:start w:val="1"/>
      <w:numFmt w:val="lowerLetter"/>
      <w:lvlText w:val="%1."/>
      <w:lvlJc w:val="left"/>
      <w:pPr>
        <w:ind w:left="1689" w:hanging="555"/>
      </w:pPr>
      <w:rPr>
        <w:rFonts w:hint="default"/>
      </w:rPr>
    </w:lvl>
    <w:lvl w:ilvl="1" w:tplc="04140019" w:tentative="1">
      <w:start w:val="1"/>
      <w:numFmt w:val="lowerLetter"/>
      <w:lvlText w:val="%2."/>
      <w:lvlJc w:val="left"/>
      <w:pPr>
        <w:ind w:left="2214" w:hanging="360"/>
      </w:pPr>
    </w:lvl>
    <w:lvl w:ilvl="2" w:tplc="0414001B" w:tentative="1">
      <w:start w:val="1"/>
      <w:numFmt w:val="lowerRoman"/>
      <w:lvlText w:val="%3."/>
      <w:lvlJc w:val="right"/>
      <w:pPr>
        <w:ind w:left="2934" w:hanging="180"/>
      </w:pPr>
    </w:lvl>
    <w:lvl w:ilvl="3" w:tplc="0414000F" w:tentative="1">
      <w:start w:val="1"/>
      <w:numFmt w:val="decimal"/>
      <w:lvlText w:val="%4."/>
      <w:lvlJc w:val="left"/>
      <w:pPr>
        <w:ind w:left="3654" w:hanging="360"/>
      </w:pPr>
    </w:lvl>
    <w:lvl w:ilvl="4" w:tplc="04140019" w:tentative="1">
      <w:start w:val="1"/>
      <w:numFmt w:val="lowerLetter"/>
      <w:lvlText w:val="%5."/>
      <w:lvlJc w:val="left"/>
      <w:pPr>
        <w:ind w:left="4374" w:hanging="360"/>
      </w:pPr>
    </w:lvl>
    <w:lvl w:ilvl="5" w:tplc="0414001B" w:tentative="1">
      <w:start w:val="1"/>
      <w:numFmt w:val="lowerRoman"/>
      <w:lvlText w:val="%6."/>
      <w:lvlJc w:val="right"/>
      <w:pPr>
        <w:ind w:left="5094" w:hanging="180"/>
      </w:pPr>
    </w:lvl>
    <w:lvl w:ilvl="6" w:tplc="0414000F" w:tentative="1">
      <w:start w:val="1"/>
      <w:numFmt w:val="decimal"/>
      <w:lvlText w:val="%7."/>
      <w:lvlJc w:val="left"/>
      <w:pPr>
        <w:ind w:left="5814" w:hanging="360"/>
      </w:pPr>
    </w:lvl>
    <w:lvl w:ilvl="7" w:tplc="04140019" w:tentative="1">
      <w:start w:val="1"/>
      <w:numFmt w:val="lowerLetter"/>
      <w:lvlText w:val="%8."/>
      <w:lvlJc w:val="left"/>
      <w:pPr>
        <w:ind w:left="6534" w:hanging="360"/>
      </w:pPr>
    </w:lvl>
    <w:lvl w:ilvl="8" w:tplc="0414001B" w:tentative="1">
      <w:start w:val="1"/>
      <w:numFmt w:val="lowerRoman"/>
      <w:lvlText w:val="%9."/>
      <w:lvlJc w:val="right"/>
      <w:pPr>
        <w:ind w:left="7254" w:hanging="180"/>
      </w:p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B1144B"/>
    <w:multiLevelType w:val="hybridMultilevel"/>
    <w:tmpl w:val="B36A77E4"/>
    <w:lvl w:ilvl="0" w:tplc="E188AEA6">
      <w:start w:val="1"/>
      <w:numFmt w:val="decimal"/>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C5A65F6"/>
    <w:multiLevelType w:val="hybridMultilevel"/>
    <w:tmpl w:val="BB424F76"/>
    <w:lvl w:ilvl="0" w:tplc="DB2CE21E">
      <w:start w:val="1"/>
      <w:numFmt w:val="bullet"/>
      <w:lvlText w:val=""/>
      <w:lvlJc w:val="left"/>
      <w:pPr>
        <w:ind w:left="720" w:hanging="360"/>
      </w:pPr>
      <w:rPr>
        <w:rFonts w:ascii="Symbol" w:hAnsi="Symbol" w:hint="default"/>
      </w:rPr>
    </w:lvl>
    <w:lvl w:ilvl="1" w:tplc="5D922F56">
      <w:start w:val="1"/>
      <w:numFmt w:val="bullet"/>
      <w:lvlText w:val="o"/>
      <w:lvlJc w:val="left"/>
      <w:pPr>
        <w:ind w:left="1440" w:hanging="360"/>
      </w:pPr>
      <w:rPr>
        <w:rFonts w:ascii="Courier New" w:hAnsi="Courier New" w:hint="default"/>
      </w:rPr>
    </w:lvl>
    <w:lvl w:ilvl="2" w:tplc="840894AE">
      <w:start w:val="1"/>
      <w:numFmt w:val="bullet"/>
      <w:lvlText w:val=""/>
      <w:lvlJc w:val="left"/>
      <w:pPr>
        <w:ind w:left="2160" w:hanging="360"/>
      </w:pPr>
      <w:rPr>
        <w:rFonts w:ascii="Wingdings" w:hAnsi="Wingdings" w:hint="default"/>
      </w:rPr>
    </w:lvl>
    <w:lvl w:ilvl="3" w:tplc="536E19BA">
      <w:start w:val="1"/>
      <w:numFmt w:val="bullet"/>
      <w:lvlText w:val=""/>
      <w:lvlJc w:val="left"/>
      <w:pPr>
        <w:ind w:left="2880" w:hanging="360"/>
      </w:pPr>
      <w:rPr>
        <w:rFonts w:ascii="Symbol" w:hAnsi="Symbol" w:hint="default"/>
      </w:rPr>
    </w:lvl>
    <w:lvl w:ilvl="4" w:tplc="3BF24214">
      <w:start w:val="1"/>
      <w:numFmt w:val="bullet"/>
      <w:lvlText w:val="o"/>
      <w:lvlJc w:val="left"/>
      <w:pPr>
        <w:ind w:left="3600" w:hanging="360"/>
      </w:pPr>
      <w:rPr>
        <w:rFonts w:ascii="Courier New" w:hAnsi="Courier New" w:hint="default"/>
      </w:rPr>
    </w:lvl>
    <w:lvl w:ilvl="5" w:tplc="80943F1A">
      <w:start w:val="1"/>
      <w:numFmt w:val="bullet"/>
      <w:lvlText w:val=""/>
      <w:lvlJc w:val="left"/>
      <w:pPr>
        <w:ind w:left="4320" w:hanging="360"/>
      </w:pPr>
      <w:rPr>
        <w:rFonts w:ascii="Wingdings" w:hAnsi="Wingdings" w:hint="default"/>
      </w:rPr>
    </w:lvl>
    <w:lvl w:ilvl="6" w:tplc="5BB0E5CE">
      <w:start w:val="1"/>
      <w:numFmt w:val="bullet"/>
      <w:lvlText w:val=""/>
      <w:lvlJc w:val="left"/>
      <w:pPr>
        <w:ind w:left="5040" w:hanging="360"/>
      </w:pPr>
      <w:rPr>
        <w:rFonts w:ascii="Symbol" w:hAnsi="Symbol" w:hint="default"/>
      </w:rPr>
    </w:lvl>
    <w:lvl w:ilvl="7" w:tplc="8FF2A278">
      <w:start w:val="1"/>
      <w:numFmt w:val="bullet"/>
      <w:lvlText w:val="o"/>
      <w:lvlJc w:val="left"/>
      <w:pPr>
        <w:ind w:left="5760" w:hanging="360"/>
      </w:pPr>
      <w:rPr>
        <w:rFonts w:ascii="Courier New" w:hAnsi="Courier New" w:hint="default"/>
      </w:rPr>
    </w:lvl>
    <w:lvl w:ilvl="8" w:tplc="532C2E3C">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0"/>
  </w:num>
  <w:num w:numId="15">
    <w:abstractNumId w:val="22"/>
  </w:num>
  <w:num w:numId="16">
    <w:abstractNumId w:val="13"/>
  </w:num>
  <w:num w:numId="17">
    <w:abstractNumId w:val="18"/>
  </w:num>
  <w:num w:numId="18">
    <w:abstractNumId w:val="17"/>
  </w:num>
  <w:num w:numId="19">
    <w:abstractNumId w:val="10"/>
  </w:num>
  <w:num w:numId="20">
    <w:abstractNumId w:val="26"/>
  </w:num>
  <w:num w:numId="21">
    <w:abstractNumId w:val="28"/>
  </w:num>
  <w:num w:numId="22">
    <w:abstractNumId w:val="23"/>
  </w:num>
  <w:num w:numId="23">
    <w:abstractNumId w:val="31"/>
  </w:num>
  <w:num w:numId="24">
    <w:abstractNumId w:val="25"/>
  </w:num>
  <w:num w:numId="25">
    <w:abstractNumId w:val="27"/>
  </w:num>
  <w:num w:numId="26">
    <w:abstractNumId w:val="16"/>
  </w:num>
  <w:num w:numId="27">
    <w:abstractNumId w:val="32"/>
  </w:num>
  <w:num w:numId="28">
    <w:abstractNumId w:val="15"/>
  </w:num>
  <w:num w:numId="29">
    <w:abstractNumId w:val="19"/>
  </w:num>
  <w:num w:numId="30">
    <w:abstractNumId w:val="21"/>
  </w:num>
  <w:num w:numId="31">
    <w:abstractNumId w:val="12"/>
  </w:num>
  <w:num w:numId="32">
    <w:abstractNumId w:val="24"/>
  </w:num>
  <w:num w:numId="33">
    <w:abstractNumId w:val="20"/>
  </w:num>
  <w:num w:numId="34">
    <w:abstractNumId w:val="14"/>
  </w:num>
  <w:num w:numId="35">
    <w:abstractNumId w:val="29"/>
  </w:num>
  <w:num w:numId="36">
    <w:abstractNumId w:val="11"/>
  </w:num>
  <w:num w:numId="37">
    <w:abstractNumId w:val="30"/>
  </w:num>
  <w:num w:numId="38">
    <w:abstractNumId w:val="3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254D9"/>
    <w:rsid w:val="00017523"/>
    <w:rsid w:val="00017F94"/>
    <w:rsid w:val="00023842"/>
    <w:rsid w:val="0002432E"/>
    <w:rsid w:val="00026FC7"/>
    <w:rsid w:val="000334F9"/>
    <w:rsid w:val="00046156"/>
    <w:rsid w:val="0007796D"/>
    <w:rsid w:val="000A1C5F"/>
    <w:rsid w:val="000B7790"/>
    <w:rsid w:val="000F080B"/>
    <w:rsid w:val="000F7E97"/>
    <w:rsid w:val="00111F2F"/>
    <w:rsid w:val="001206EA"/>
    <w:rsid w:val="00137050"/>
    <w:rsid w:val="0014365E"/>
    <w:rsid w:val="00176178"/>
    <w:rsid w:val="001771B8"/>
    <w:rsid w:val="00192D91"/>
    <w:rsid w:val="001C3868"/>
    <w:rsid w:val="001D162F"/>
    <w:rsid w:val="001F525A"/>
    <w:rsid w:val="00223272"/>
    <w:rsid w:val="002254D9"/>
    <w:rsid w:val="0024779E"/>
    <w:rsid w:val="002633A1"/>
    <w:rsid w:val="0026657B"/>
    <w:rsid w:val="00266ACE"/>
    <w:rsid w:val="002832AC"/>
    <w:rsid w:val="00291114"/>
    <w:rsid w:val="002D3956"/>
    <w:rsid w:val="002D7C93"/>
    <w:rsid w:val="002F102D"/>
    <w:rsid w:val="002F4D1E"/>
    <w:rsid w:val="00301456"/>
    <w:rsid w:val="003469F7"/>
    <w:rsid w:val="00363EB3"/>
    <w:rsid w:val="00373E41"/>
    <w:rsid w:val="003D0F3B"/>
    <w:rsid w:val="003D5858"/>
    <w:rsid w:val="003D5AC0"/>
    <w:rsid w:val="0040699E"/>
    <w:rsid w:val="00441C0E"/>
    <w:rsid w:val="00441C3B"/>
    <w:rsid w:val="00446FE5"/>
    <w:rsid w:val="00452396"/>
    <w:rsid w:val="00476BC3"/>
    <w:rsid w:val="004A289D"/>
    <w:rsid w:val="004E468C"/>
    <w:rsid w:val="004F38E7"/>
    <w:rsid w:val="004F46EF"/>
    <w:rsid w:val="004F6646"/>
    <w:rsid w:val="00517FC4"/>
    <w:rsid w:val="005505B7"/>
    <w:rsid w:val="005563A7"/>
    <w:rsid w:val="00560E3E"/>
    <w:rsid w:val="00573942"/>
    <w:rsid w:val="00573BE5"/>
    <w:rsid w:val="00586ED3"/>
    <w:rsid w:val="005961CC"/>
    <w:rsid w:val="00596AA9"/>
    <w:rsid w:val="005A768F"/>
    <w:rsid w:val="005B1DC6"/>
    <w:rsid w:val="005B6CBA"/>
    <w:rsid w:val="005E215C"/>
    <w:rsid w:val="005E7DF1"/>
    <w:rsid w:val="006339BA"/>
    <w:rsid w:val="00642D6B"/>
    <w:rsid w:val="006560E0"/>
    <w:rsid w:val="0067149B"/>
    <w:rsid w:val="006D05E4"/>
    <w:rsid w:val="00703EA3"/>
    <w:rsid w:val="0071601D"/>
    <w:rsid w:val="00740CC6"/>
    <w:rsid w:val="0074108A"/>
    <w:rsid w:val="00751E57"/>
    <w:rsid w:val="007A62E6"/>
    <w:rsid w:val="007D0900"/>
    <w:rsid w:val="007E0244"/>
    <w:rsid w:val="007E0AC1"/>
    <w:rsid w:val="0080236C"/>
    <w:rsid w:val="0080684C"/>
    <w:rsid w:val="00821239"/>
    <w:rsid w:val="00824B81"/>
    <w:rsid w:val="008648B2"/>
    <w:rsid w:val="00871C75"/>
    <w:rsid w:val="008776DC"/>
    <w:rsid w:val="008817F9"/>
    <w:rsid w:val="00884421"/>
    <w:rsid w:val="008855C6"/>
    <w:rsid w:val="008E5927"/>
    <w:rsid w:val="008F5311"/>
    <w:rsid w:val="008F64E5"/>
    <w:rsid w:val="008F7448"/>
    <w:rsid w:val="00942E04"/>
    <w:rsid w:val="009564B2"/>
    <w:rsid w:val="00967489"/>
    <w:rsid w:val="009705C8"/>
    <w:rsid w:val="00972B25"/>
    <w:rsid w:val="00977AC3"/>
    <w:rsid w:val="009977AA"/>
    <w:rsid w:val="009C1AB8"/>
    <w:rsid w:val="009C1CF4"/>
    <w:rsid w:val="009C2952"/>
    <w:rsid w:val="009C430D"/>
    <w:rsid w:val="009D0C53"/>
    <w:rsid w:val="00A30353"/>
    <w:rsid w:val="00A318A7"/>
    <w:rsid w:val="00A83C08"/>
    <w:rsid w:val="00AA42FA"/>
    <w:rsid w:val="00AC3823"/>
    <w:rsid w:val="00AD1FDE"/>
    <w:rsid w:val="00AE323C"/>
    <w:rsid w:val="00AF290F"/>
    <w:rsid w:val="00B00181"/>
    <w:rsid w:val="00B00B0D"/>
    <w:rsid w:val="00B37C1E"/>
    <w:rsid w:val="00B54C5D"/>
    <w:rsid w:val="00B765F7"/>
    <w:rsid w:val="00BA0CA9"/>
    <w:rsid w:val="00C02897"/>
    <w:rsid w:val="00C43C2C"/>
    <w:rsid w:val="00C66184"/>
    <w:rsid w:val="00C93D77"/>
    <w:rsid w:val="00CA3AD7"/>
    <w:rsid w:val="00CA4369"/>
    <w:rsid w:val="00CB3A19"/>
    <w:rsid w:val="00CC69B2"/>
    <w:rsid w:val="00CD0CE7"/>
    <w:rsid w:val="00CE3294"/>
    <w:rsid w:val="00D1683F"/>
    <w:rsid w:val="00D27826"/>
    <w:rsid w:val="00D31C67"/>
    <w:rsid w:val="00D3439C"/>
    <w:rsid w:val="00D411A7"/>
    <w:rsid w:val="00D75300"/>
    <w:rsid w:val="00DB1831"/>
    <w:rsid w:val="00DC1EFE"/>
    <w:rsid w:val="00DD3BFD"/>
    <w:rsid w:val="00DF6678"/>
    <w:rsid w:val="00E010CD"/>
    <w:rsid w:val="00E03026"/>
    <w:rsid w:val="00E16DCA"/>
    <w:rsid w:val="00E4183A"/>
    <w:rsid w:val="00E52A30"/>
    <w:rsid w:val="00E85A57"/>
    <w:rsid w:val="00EB45E2"/>
    <w:rsid w:val="00EB4AD7"/>
    <w:rsid w:val="00ED36BD"/>
    <w:rsid w:val="00ED59C3"/>
    <w:rsid w:val="00EF1FC6"/>
    <w:rsid w:val="00EF2E22"/>
    <w:rsid w:val="00F10884"/>
    <w:rsid w:val="00F1202E"/>
    <w:rsid w:val="00F23CFE"/>
    <w:rsid w:val="00F660DF"/>
    <w:rsid w:val="00F75509"/>
    <w:rsid w:val="00F87571"/>
    <w:rsid w:val="00F95C08"/>
    <w:rsid w:val="00FB1FD8"/>
    <w:rsid w:val="00FB53CF"/>
    <w:rsid w:val="00FB6D59"/>
    <w:rsid w:val="00FE45B4"/>
    <w:rsid w:val="00FF6A3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1B895"/>
  <w15:docId w15:val="{3A4BD504-A178-443E-B7A9-1631BD8C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link w:val="16Point"/>
    <w:uiPriority w:val="99"/>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1C3868"/>
    <w:rPr>
      <w:color w:val="0000FF"/>
      <w:u w:val="none"/>
    </w:rPr>
  </w:style>
  <w:style w:type="character" w:styleId="Lienhypertextesuivivisit">
    <w:name w:val="FollowedHyperlink"/>
    <w:basedOn w:val="Policepardfaut"/>
    <w:uiPriority w:val="99"/>
    <w:unhideWhenUsed/>
    <w:rsid w:val="001C3868"/>
    <w:rPr>
      <w:color w:val="0000FF"/>
      <w:u w:val="none"/>
    </w:rPr>
  </w:style>
  <w:style w:type="paragraph" w:styleId="Notedebasdepage">
    <w:name w:val="footnote text"/>
    <w:aliases w:val="5_G"/>
    <w:basedOn w:val="Normal"/>
    <w:link w:val="NotedebasdepageCar"/>
    <w:uiPriority w:val="99"/>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1771B8"/>
    <w:rPr>
      <w:rFonts w:ascii="Times New Roman" w:eastAsiaTheme="minorHAnsi" w:hAnsi="Times New Roman" w:cs="Times New Roman"/>
      <w:sz w:val="20"/>
      <w:szCs w:val="20"/>
      <w:lang w:eastAsia="en-US"/>
    </w:rPr>
  </w:style>
  <w:style w:type="paragraph" w:customStyle="1" w:styleId="16Point">
    <w:name w:val="16 Point"/>
    <w:aliases w:val="Superscript 6 Point,4_G Char Char,Footnote Reference1 Char Char,Footnotes refss Char Char,ftref Char Char,BVI fnr Char Char,BVI fnr Car Car Char Char,BVI fnr Car Char Char,BVI fnr Car Car Car Car Char Char1"/>
    <w:basedOn w:val="Normal"/>
    <w:link w:val="Appelnotedebasdep"/>
    <w:uiPriority w:val="99"/>
    <w:rsid w:val="001771B8"/>
    <w:pPr>
      <w:suppressAutoHyphens w:val="0"/>
      <w:kinsoku/>
      <w:overflowPunct/>
      <w:autoSpaceDE/>
      <w:autoSpaceDN/>
      <w:adjustRightInd/>
      <w:snapToGrid/>
      <w:spacing w:after="160" w:line="240" w:lineRule="exact"/>
      <w:jc w:val="both"/>
    </w:pPr>
    <w:rPr>
      <w:rFonts w:eastAsia="Times New Roman" w:cstheme="minorBidi"/>
      <w:sz w:val="18"/>
      <w:szCs w:val="22"/>
      <w:vertAlign w:val="superscript"/>
      <w:lang w:eastAsia="zh-CN"/>
    </w:rPr>
  </w:style>
  <w:style w:type="numbering" w:styleId="111111">
    <w:name w:val="Outline List 2"/>
    <w:basedOn w:val="Aucuneliste"/>
    <w:semiHidden/>
    <w:rsid w:val="001771B8"/>
    <w:pPr>
      <w:numPr>
        <w:numId w:val="21"/>
      </w:numPr>
    </w:pPr>
  </w:style>
  <w:style w:type="numbering" w:styleId="1ai">
    <w:name w:val="Outline List 1"/>
    <w:basedOn w:val="Aucuneliste"/>
    <w:semiHidden/>
    <w:rsid w:val="001771B8"/>
    <w:pPr>
      <w:numPr>
        <w:numId w:val="23"/>
      </w:numPr>
    </w:pPr>
  </w:style>
  <w:style w:type="table" w:customStyle="1" w:styleId="TableGrid1">
    <w:name w:val="Table Grid1"/>
    <w:basedOn w:val="TableauNormal"/>
    <w:rsid w:val="001771B8"/>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aNoG">
    <w:name w:val="_ParaNo._G"/>
    <w:basedOn w:val="SingleTxtG"/>
    <w:rsid w:val="001771B8"/>
    <w:pPr>
      <w:tabs>
        <w:tab w:val="num" w:pos="0"/>
      </w:tabs>
      <w:suppressAutoHyphens w:val="0"/>
      <w:kinsoku/>
      <w:overflowPunct/>
      <w:autoSpaceDE/>
      <w:autoSpaceDN/>
      <w:adjustRightInd/>
      <w:snapToGrid/>
    </w:pPr>
    <w:rPr>
      <w:rFonts w:eastAsia="SimSun"/>
      <w:lang w:val="en-GB" w:eastAsia="zh-CN"/>
    </w:rPr>
  </w:style>
  <w:style w:type="character" w:styleId="Titredulivre">
    <w:name w:val="Book Title"/>
    <w:basedOn w:val="Policepardfaut"/>
    <w:uiPriority w:val="33"/>
    <w:semiHidden/>
    <w:rsid w:val="001771B8"/>
    <w:rPr>
      <w:b/>
      <w:bCs/>
      <w:smallCaps/>
      <w:spacing w:val="5"/>
    </w:rPr>
  </w:style>
  <w:style w:type="character" w:styleId="Marquedecommentaire">
    <w:name w:val="annotation reference"/>
    <w:basedOn w:val="Policepardfaut"/>
    <w:uiPriority w:val="99"/>
    <w:semiHidden/>
    <w:unhideWhenUsed/>
    <w:rsid w:val="001771B8"/>
    <w:rPr>
      <w:sz w:val="16"/>
      <w:szCs w:val="16"/>
    </w:rPr>
  </w:style>
  <w:style w:type="paragraph" w:styleId="Commentaire">
    <w:name w:val="annotation text"/>
    <w:basedOn w:val="Normal"/>
    <w:link w:val="CommentaireCar"/>
    <w:uiPriority w:val="99"/>
    <w:unhideWhenUsed/>
    <w:rsid w:val="001771B8"/>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rsid w:val="001771B8"/>
    <w:rPr>
      <w:rFonts w:ascii="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1771B8"/>
    <w:rPr>
      <w:b/>
      <w:bCs/>
    </w:rPr>
  </w:style>
  <w:style w:type="character" w:customStyle="1" w:styleId="ObjetducommentaireCar">
    <w:name w:val="Objet du commentaire Car"/>
    <w:basedOn w:val="CommentaireCar"/>
    <w:link w:val="Objetducommentaire"/>
    <w:uiPriority w:val="99"/>
    <w:semiHidden/>
    <w:rsid w:val="001771B8"/>
    <w:rPr>
      <w:rFonts w:ascii="Times New Roman" w:hAnsi="Times New Roman" w:cs="Times New Roman"/>
      <w:b/>
      <w:bCs/>
      <w:sz w:val="20"/>
      <w:szCs w:val="20"/>
      <w:lang w:val="en-GB" w:eastAsia="en-US"/>
    </w:rPr>
  </w:style>
  <w:style w:type="paragraph" w:styleId="Paragraphedeliste">
    <w:name w:val="List Paragraph"/>
    <w:aliases w:val="List P1,Dot pt,No Spacing1,List Paragraph Char Char Char,Indicator Text,Numbered Para 1,List Paragraph1,Bullet 1,Bullet Points,MAIN CONTENT,F5 List Paragraph,Colorful List - Accent 11,List Paragraph2,List Paragraph12,Párrafo de lista"/>
    <w:basedOn w:val="Normal"/>
    <w:link w:val="ParagraphedelisteCar"/>
    <w:uiPriority w:val="34"/>
    <w:qFormat/>
    <w:rsid w:val="001771B8"/>
    <w:pPr>
      <w:kinsoku/>
      <w:overflowPunct/>
      <w:autoSpaceDE/>
      <w:autoSpaceDN/>
      <w:adjustRightInd/>
      <w:snapToGrid/>
      <w:ind w:left="720"/>
      <w:contextualSpacing/>
    </w:pPr>
    <w:rPr>
      <w:rFonts w:eastAsia="Times New Roman"/>
      <w:lang w:val="en-GB"/>
    </w:rPr>
  </w:style>
  <w:style w:type="character" w:customStyle="1" w:styleId="ParagraphedelisteCar">
    <w:name w:val="Paragraphe de liste Car"/>
    <w:aliases w:val="List P1 Car,Dot pt Car,No Spacing1 Car,List Paragraph Char Char Char Car,Indicator Text Car,Numbered Para 1 Car,List Paragraph1 Car,Bullet 1 Car,Bullet Points Car,MAIN CONTENT Car,F5 List Paragraph Car,List Paragraph2 Car"/>
    <w:link w:val="Paragraphedeliste"/>
    <w:uiPriority w:val="34"/>
    <w:qFormat/>
    <w:rsid w:val="001771B8"/>
    <w:rPr>
      <w:rFonts w:ascii="Times New Roman" w:hAnsi="Times New Roman" w:cs="Times New Roman"/>
      <w:sz w:val="20"/>
      <w:szCs w:val="20"/>
      <w:lang w:val="en-GB" w:eastAsia="en-US"/>
    </w:rPr>
  </w:style>
  <w:style w:type="paragraph" w:customStyle="1" w:styleId="Default">
    <w:name w:val="Default"/>
    <w:rsid w:val="001771B8"/>
    <w:pPr>
      <w:autoSpaceDE w:val="0"/>
      <w:autoSpaceDN w:val="0"/>
      <w:adjustRightInd w:val="0"/>
      <w:spacing w:after="0" w:line="240" w:lineRule="auto"/>
    </w:pPr>
    <w:rPr>
      <w:rFonts w:ascii="Times New Roman" w:eastAsiaTheme="minorHAnsi" w:hAnsi="Times New Roman" w:cs="Times New Roman"/>
      <w:color w:val="000000"/>
      <w:sz w:val="24"/>
      <w:szCs w:val="24"/>
      <w:lang w:val="nb-NO" w:eastAsia="en-US"/>
    </w:rPr>
  </w:style>
  <w:style w:type="paragraph" w:styleId="NormalWeb">
    <w:name w:val="Normal (Web)"/>
    <w:basedOn w:val="Normal"/>
    <w:uiPriority w:val="99"/>
    <w:semiHidden/>
    <w:unhideWhenUsed/>
    <w:rsid w:val="001771B8"/>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nb-NO" w:eastAsia="nb-NO"/>
    </w:rPr>
  </w:style>
  <w:style w:type="paragraph" w:styleId="Citationintense">
    <w:name w:val="Intense Quote"/>
    <w:basedOn w:val="Normal"/>
    <w:next w:val="Normal"/>
    <w:link w:val="CitationintenseCar"/>
    <w:uiPriority w:val="30"/>
    <w:rsid w:val="001771B8"/>
    <w:pPr>
      <w:pBdr>
        <w:top w:val="single" w:sz="4" w:space="10" w:color="4F81BD" w:themeColor="accent1"/>
        <w:bottom w:val="single" w:sz="4" w:space="10" w:color="4F81BD" w:themeColor="accent1"/>
      </w:pBdr>
      <w:kinsoku/>
      <w:overflowPunct/>
      <w:autoSpaceDE/>
      <w:autoSpaceDN/>
      <w:adjustRightInd/>
      <w:snapToGrid/>
      <w:spacing w:before="360" w:after="360"/>
      <w:ind w:left="864" w:right="864"/>
      <w:jc w:val="center"/>
    </w:pPr>
    <w:rPr>
      <w:rFonts w:eastAsia="Times New Roman"/>
      <w:i/>
      <w:iCs/>
      <w:color w:val="4F81BD" w:themeColor="accent1"/>
      <w:lang w:val="en-GB"/>
    </w:rPr>
  </w:style>
  <w:style w:type="character" w:customStyle="1" w:styleId="CitationintenseCar">
    <w:name w:val="Citation intense Car"/>
    <w:basedOn w:val="Policepardfaut"/>
    <w:link w:val="Citationintense"/>
    <w:uiPriority w:val="30"/>
    <w:rsid w:val="001771B8"/>
    <w:rPr>
      <w:rFonts w:ascii="Times New Roman" w:hAnsi="Times New Roman" w:cs="Times New Roman"/>
      <w:i/>
      <w:iCs/>
      <w:color w:val="4F81BD" w:themeColor="accent1"/>
      <w:sz w:val="20"/>
      <w:szCs w:val="20"/>
      <w:lang w:val="en-GB" w:eastAsia="en-US"/>
    </w:rPr>
  </w:style>
  <w:style w:type="table" w:customStyle="1" w:styleId="GridTable1Light-Accent51">
    <w:name w:val="Grid Table 1 Light - Accent 51"/>
    <w:basedOn w:val="TableauNormal"/>
    <w:uiPriority w:val="46"/>
    <w:rsid w:val="001771B8"/>
    <w:pPr>
      <w:spacing w:after="0" w:line="240" w:lineRule="auto"/>
    </w:pPr>
    <w:rPr>
      <w:rFonts w:eastAsiaTheme="minorHAnsi"/>
      <w:lang w:val="nb-NO"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Rvision">
    <w:name w:val="Revision"/>
    <w:hidden/>
    <w:uiPriority w:val="99"/>
    <w:semiHidden/>
    <w:rsid w:val="001771B8"/>
    <w:pPr>
      <w:spacing w:after="0" w:line="240" w:lineRule="auto"/>
    </w:pPr>
    <w:rPr>
      <w:rFonts w:ascii="Times New Roman" w:hAnsi="Times New Roman" w:cs="Times New Roman"/>
      <w:sz w:val="20"/>
      <w:szCs w:val="20"/>
      <w:lang w:val="en-GB" w:eastAsia="en-US"/>
    </w:rPr>
  </w:style>
  <w:style w:type="table" w:customStyle="1" w:styleId="GridTable6Colourful1">
    <w:name w:val="Grid Table 6 Colourful1"/>
    <w:basedOn w:val="TableauNormal"/>
    <w:uiPriority w:val="51"/>
    <w:rsid w:val="001771B8"/>
    <w:pPr>
      <w:spacing w:after="0" w:line="240" w:lineRule="auto"/>
    </w:pPr>
    <w:rPr>
      <w:rFonts w:eastAsia="SimSun"/>
      <w:color w:val="000000" w:themeColor="text1"/>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entionnonrsolue">
    <w:name w:val="Unresolved Mention"/>
    <w:basedOn w:val="Policepardfaut"/>
    <w:uiPriority w:val="99"/>
    <w:semiHidden/>
    <w:unhideWhenUsed/>
    <w:rsid w:val="001771B8"/>
    <w:rPr>
      <w:color w:val="605E5C"/>
      <w:shd w:val="clear" w:color="auto" w:fill="E1DFDD"/>
    </w:rPr>
  </w:style>
  <w:style w:type="character" w:styleId="CitationHTML">
    <w:name w:val="HTML Cite"/>
    <w:basedOn w:val="Policepardfaut"/>
    <w:uiPriority w:val="99"/>
    <w:semiHidden/>
    <w:unhideWhenUsed/>
    <w:rsid w:val="001771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lsedirektoratet.no/statistikk/statistikk/kvalitetsindikatorer/psykisk-helse-for-voksne/tvangsmiddelbruk-i-psykisk-helsevern-for-voksn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lsedirektoratet.no/statistikk/statistikk/kvalitetsindikatorer/psykisk-helse-for-voksne/tvangsinnleggelser-i-psykisk-helsevern-for-voks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egjeringen.no/en/dokumenter/how-to-achieve-gender-balance-at-the-top-in-business/id262507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mstol.no/no/verktoy/juridisk-ordliste/f/Fri-sakforsel/"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ssb.no/utdanning/artikler-og-publikasjoner/flere-menn-i-kvinnedominerte-utdanningsprogram" TargetMode="External"/><Relationship Id="rId3" Type="http://schemas.openxmlformats.org/officeDocument/2006/relationships/hyperlink" Target="http://etikkradet.no/files/2017/04/Etikkraadet_Guidelines-_eng_2017_web.pdf" TargetMode="External"/><Relationship Id="rId7" Type="http://schemas.openxmlformats.org/officeDocument/2006/relationships/hyperlink" Target="https://mennihelse.no/kontakt/" TargetMode="External"/><Relationship Id="rId2" Type="http://schemas.openxmlformats.org/officeDocument/2006/relationships/hyperlink" Target="https://www.nbim.no/contentassets/f5f7addcb20945dfa3560183f6f89d01/childrens-rights-expectations.pdf" TargetMode="External"/><Relationship Id="rId1" Type="http://schemas.openxmlformats.org/officeDocument/2006/relationships/hyperlink" Target="https://www.nbim.no/contentassets/0ff34e35ba1a44c3b6c2039466ccbec7/human-rights-expectations-document2.pdf" TargetMode="External"/><Relationship Id="rId6" Type="http://schemas.openxmlformats.org/officeDocument/2006/relationships/hyperlink" Target="https://www.nho.no/samarbeid/jenter-og-teknologi/in-english/" TargetMode="External"/><Relationship Id="rId5" Type="http://schemas.openxmlformats.org/officeDocument/2006/relationships/hyperlink" Target="https://lovdata.no/dokument/NLE/lov/2017-06-16-51" TargetMode="External"/><Relationship Id="rId10" Type="http://schemas.openxmlformats.org/officeDocument/2006/relationships/hyperlink" Target="https://dembra.no/en/om-dembra/" TargetMode="External"/><Relationship Id="rId4" Type="http://schemas.openxmlformats.org/officeDocument/2006/relationships/hyperlink" Target="https://etikkradet.no/en/" TargetMode="External"/><Relationship Id="rId9" Type="http://schemas.openxmlformats.org/officeDocument/2006/relationships/hyperlink" Target="https://lovdata.no/dokument/NL/lov/1998-07-17-61/KAPITTEL_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8F7C7-8C97-4DB5-8D91-F439FA403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46</Pages>
  <Words>24742</Words>
  <Characters>127922</Characters>
  <Application>Microsoft Office Word</Application>
  <DocSecurity>0</DocSecurity>
  <Lines>4264</Lines>
  <Paragraphs>3053</Paragraphs>
  <ScaleCrop>false</ScaleCrop>
  <HeadingPairs>
    <vt:vector size="2" baseType="variant">
      <vt:variant>
        <vt:lpstr>Titre</vt:lpstr>
      </vt:variant>
      <vt:variant>
        <vt:i4>1</vt:i4>
      </vt:variant>
    </vt:vector>
  </HeadingPairs>
  <TitlesOfParts>
    <vt:vector size="1" baseType="lpstr">
      <vt:lpstr>E/C.12/NOR/6</vt:lpstr>
    </vt:vector>
  </TitlesOfParts>
  <Company>DCM</Company>
  <LinksUpToDate>false</LinksUpToDate>
  <CharactersWithSpaces>149611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E/C.12/NOR/6</dc:title>
  <dc:subject/>
  <dc:creator>Sandrine CLERE</dc:creator>
  <cp:keywords/>
  <cp:lastModifiedBy>Sandrine Clere</cp:lastModifiedBy>
  <cp:revision>2</cp:revision>
  <cp:lastPrinted>2020-02-04T08:29:00Z</cp:lastPrinted>
  <dcterms:created xsi:type="dcterms:W3CDTF">2020-02-04T08:46:00Z</dcterms:created>
  <dcterms:modified xsi:type="dcterms:W3CDTF">2020-02-04T08:46:00Z</dcterms:modified>
</cp:coreProperties>
</file>