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B4A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B4AAF" w:rsidRDefault="006B4A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B4AAF" w:rsidRDefault="00B573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422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B4AAF" w:rsidRDefault="00B57389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E</w:t>
            </w:r>
            <w:r>
              <w:t>/</w:t>
            </w:r>
            <w:r w:rsidR="00900511">
              <w:fldChar w:fldCharType="begin"/>
            </w:r>
            <w:r w:rsidR="00900511">
              <w:instrText xml:space="preserve"> DOCPROPERTY  sym1  \* MERGEFORMAT </w:instrText>
            </w:r>
            <w:r w:rsidR="00900511">
              <w:fldChar w:fldCharType="separate"/>
            </w:r>
            <w:r>
              <w:t>C.12/NOR/6</w:t>
            </w:r>
            <w:r w:rsidR="00900511">
              <w:fldChar w:fldCharType="end"/>
            </w:r>
          </w:p>
        </w:tc>
      </w:tr>
      <w:tr w:rsidR="006B4A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B4AAF" w:rsidRDefault="00B5738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B4AAF" w:rsidRDefault="00B57389">
            <w:pPr>
              <w:spacing w:before="120" w:line="380" w:lineRule="exact"/>
            </w:pPr>
            <w:r>
              <w:rPr>
                <w:b/>
                <w:sz w:val="40"/>
                <w:szCs w:val="40"/>
              </w:rPr>
              <w:t>Economic</w:t>
            </w:r>
            <w:r w:rsidR="0042221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42221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42221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B4AAF" w:rsidRDefault="00B57389">
            <w:pPr>
              <w:suppressAutoHyphens w:val="0"/>
              <w:spacing w:before="240" w:line="240" w:lineRule="exact"/>
            </w:pPr>
            <w:r>
              <w:t>Distr.:</w:t>
            </w:r>
            <w:r w:rsidR="00422215">
              <w:t xml:space="preserve"> </w:t>
            </w:r>
            <w:r w:rsidR="00900511">
              <w:fldChar w:fldCharType="begin"/>
            </w:r>
            <w:r w:rsidR="00900511">
              <w:instrText xml:space="preserve"> DOCPROPERTY  dist  \* MERGEFORMAT </w:instrText>
            </w:r>
            <w:r w:rsidR="00900511">
              <w:fldChar w:fldCharType="separate"/>
            </w:r>
            <w:r>
              <w:t>General</w:t>
            </w:r>
            <w:r w:rsidR="00900511">
              <w:fldChar w:fldCharType="end"/>
            </w:r>
          </w:p>
          <w:p w:rsidR="006B4AAF" w:rsidRDefault="00900511">
            <w:pPr>
              <w:suppressAutoHyphens w:val="0"/>
            </w:pPr>
            <w:r>
              <w:fldChar w:fldCharType="begin"/>
            </w:r>
            <w:r>
              <w:instrText xml:space="preserve"> DOCPROPERTY  date  \* MERGEFORMAT </w:instrText>
            </w:r>
            <w:r>
              <w:fldChar w:fldCharType="separate"/>
            </w:r>
            <w:r w:rsidR="00936B66">
              <w:t>2</w:t>
            </w:r>
            <w:r w:rsidR="00422215">
              <w:t xml:space="preserve"> </w:t>
            </w:r>
            <w:r w:rsidR="00936B66">
              <w:t xml:space="preserve">December </w:t>
            </w:r>
            <w:r w:rsidR="00B57389">
              <w:t>2019</w:t>
            </w:r>
            <w:r>
              <w:fldChar w:fldCharType="end"/>
            </w:r>
          </w:p>
          <w:p w:rsidR="006B4AAF" w:rsidRDefault="00A04DF9">
            <w:pPr>
              <w:suppressAutoHyphens w:val="0"/>
            </w:pPr>
            <w:r>
              <w:fldChar w:fldCharType="begin"/>
            </w:r>
            <w:r>
              <w:instrText xml:space="preserve"> DOCPROPERTY  tlang  \* MERGEFORMAT </w:instrText>
            </w:r>
            <w:r>
              <w:fldChar w:fldCharType="end"/>
            </w:r>
          </w:p>
          <w:p w:rsidR="006B4AAF" w:rsidRDefault="00B57389">
            <w:pPr>
              <w:suppressAutoHyphens w:val="0"/>
            </w:pPr>
            <w:r>
              <w:t>Original:</w:t>
            </w:r>
            <w:r w:rsidR="00422215">
              <w:t xml:space="preserve"> </w:t>
            </w:r>
            <w:r w:rsidR="00900511">
              <w:fldChar w:fldCharType="begin"/>
            </w:r>
            <w:r w:rsidR="00900511">
              <w:instrText xml:space="preserve"> DOCPROPERTY  olang  \* MERGEFORMAT </w:instrText>
            </w:r>
            <w:r w:rsidR="00900511">
              <w:fldChar w:fldCharType="separate"/>
            </w:r>
            <w:r>
              <w:t>English</w:t>
            </w:r>
            <w:r w:rsidR="00900511">
              <w:fldChar w:fldCharType="end"/>
            </w:r>
          </w:p>
          <w:p w:rsidR="006B4AAF" w:rsidRDefault="00900511">
            <w:pPr>
              <w:suppressAutoHyphens w:val="0"/>
            </w:pPr>
            <w:r>
              <w:fldChar w:fldCharType="begin"/>
            </w:r>
            <w:r>
              <w:instrText xml:space="preserve"> DOCPROPERTY  virs  \* MERGEFORMAT </w:instrText>
            </w:r>
            <w:r>
              <w:fldChar w:fldCharType="separate"/>
            </w:r>
            <w:r w:rsidR="00B57389">
              <w:t>English</w:t>
            </w:r>
            <w:r w:rsidR="00E90914">
              <w:t>,</w:t>
            </w:r>
            <w:r w:rsidR="00422215">
              <w:t xml:space="preserve"> </w:t>
            </w:r>
            <w:r w:rsidR="00E90914">
              <w:t>French</w:t>
            </w:r>
            <w:r w:rsidR="00422215">
              <w:t xml:space="preserve"> </w:t>
            </w:r>
            <w:r w:rsidR="00E90914">
              <w:t>and</w:t>
            </w:r>
            <w:r w:rsidR="00422215">
              <w:t xml:space="preserve"> </w:t>
            </w:r>
            <w:r w:rsidR="00E90914">
              <w:t>Spanish</w:t>
            </w:r>
            <w:r w:rsidR="00422215">
              <w:t xml:space="preserve"> </w:t>
            </w:r>
            <w:r w:rsidR="00B57389">
              <w:t>only</w:t>
            </w:r>
            <w:r>
              <w:fldChar w:fldCharType="end"/>
            </w:r>
          </w:p>
        </w:tc>
      </w:tr>
    </w:tbl>
    <w:p w:rsidR="006B4AAF" w:rsidRDefault="00B57389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>Committee</w:t>
      </w:r>
      <w:r w:rsidR="00422215">
        <w:rPr>
          <w:b/>
          <w:sz w:val="24"/>
        </w:rPr>
        <w:t xml:space="preserve"> </w:t>
      </w:r>
      <w:r>
        <w:rPr>
          <w:b/>
          <w:sz w:val="24"/>
        </w:rPr>
        <w:t>on</w:t>
      </w:r>
      <w:r w:rsidR="00422215">
        <w:rPr>
          <w:b/>
          <w:sz w:val="24"/>
        </w:rPr>
        <w:t xml:space="preserve"> </w:t>
      </w:r>
      <w:r>
        <w:rPr>
          <w:b/>
          <w:sz w:val="24"/>
        </w:rPr>
        <w:t>Economic,</w:t>
      </w:r>
      <w:r w:rsidR="00422215">
        <w:rPr>
          <w:b/>
          <w:sz w:val="24"/>
        </w:rPr>
        <w:t xml:space="preserve"> </w:t>
      </w:r>
      <w:r>
        <w:rPr>
          <w:b/>
          <w:sz w:val="24"/>
        </w:rPr>
        <w:t>Social</w:t>
      </w:r>
      <w:r w:rsidR="00422215">
        <w:rPr>
          <w:b/>
          <w:sz w:val="24"/>
        </w:rPr>
        <w:t xml:space="preserve"> </w:t>
      </w:r>
      <w:r>
        <w:rPr>
          <w:b/>
          <w:sz w:val="24"/>
        </w:rPr>
        <w:t>and</w:t>
      </w:r>
      <w:r w:rsidR="00422215">
        <w:rPr>
          <w:b/>
          <w:sz w:val="24"/>
        </w:rPr>
        <w:t xml:space="preserve"> </w:t>
      </w:r>
      <w:r>
        <w:rPr>
          <w:b/>
          <w:sz w:val="24"/>
        </w:rPr>
        <w:t>Cultural</w:t>
      </w:r>
      <w:r w:rsidR="00422215">
        <w:rPr>
          <w:b/>
          <w:sz w:val="24"/>
        </w:rPr>
        <w:t xml:space="preserve"> </w:t>
      </w:r>
      <w:r>
        <w:rPr>
          <w:b/>
          <w:sz w:val="24"/>
        </w:rPr>
        <w:t>Rights</w:t>
      </w:r>
    </w:p>
    <w:p w:rsidR="006B4AAF" w:rsidRDefault="00B57389">
      <w:pPr>
        <w:pStyle w:val="HMG"/>
      </w:pPr>
      <w:r>
        <w:tab/>
      </w:r>
      <w:r>
        <w:tab/>
      </w:r>
      <w:r w:rsidR="00900511">
        <w:fldChar w:fldCharType="begin"/>
      </w:r>
      <w:r w:rsidR="00900511">
        <w:instrText xml:space="preserve"> DOCPROPERTY  prepwc  \* MERGEFORMAT </w:instrText>
      </w:r>
      <w:r w:rsidR="00900511">
        <w:fldChar w:fldCharType="separate"/>
      </w:r>
      <w:r>
        <w:t>Sixth</w:t>
      </w:r>
      <w:r w:rsidR="00422215">
        <w:t xml:space="preserve"> </w:t>
      </w:r>
      <w:r>
        <w:t>periodic</w:t>
      </w:r>
      <w:r w:rsidR="00422215">
        <w:t xml:space="preserve"> </w:t>
      </w:r>
      <w:r>
        <w:t>report</w:t>
      </w:r>
      <w:r w:rsidR="00422215">
        <w:t xml:space="preserve"> </w:t>
      </w:r>
      <w:r w:rsidR="00900511">
        <w:fldChar w:fldCharType="end"/>
      </w:r>
      <w:r>
        <w:t>submitted</w:t>
      </w:r>
      <w:r w:rsidR="00422215">
        <w:t xml:space="preserve"> </w:t>
      </w:r>
      <w:r>
        <w:t>by</w:t>
      </w:r>
      <w:r w:rsidR="00422215">
        <w:t xml:space="preserve"> </w:t>
      </w:r>
      <w:r w:rsidR="00900511">
        <w:fldChar w:fldCharType="begin"/>
      </w:r>
      <w:r w:rsidR="00900511">
        <w:instrText xml:space="preserve"> DOCPROPERTY  countw  \* MERGEFORMAT </w:instrText>
      </w:r>
      <w:r w:rsidR="00900511">
        <w:fldChar w:fldCharType="separate"/>
      </w:r>
      <w:r>
        <w:t>Norway</w:t>
      </w:r>
      <w:r w:rsidR="00900511">
        <w:fldChar w:fldCharType="end"/>
      </w:r>
      <w:r w:rsidR="00422215">
        <w:t xml:space="preserve"> </w:t>
      </w:r>
      <w:r>
        <w:t>under</w:t>
      </w:r>
      <w:r w:rsidR="00422215">
        <w:t xml:space="preserve"> </w:t>
      </w:r>
      <w:r>
        <w:t>articles</w:t>
      </w:r>
      <w:r w:rsidR="00422215">
        <w:t xml:space="preserve"> </w:t>
      </w:r>
      <w:r>
        <w:t>16</w:t>
      </w:r>
      <w:r w:rsidR="00422215">
        <w:t xml:space="preserve"> </w:t>
      </w:r>
      <w:r>
        <w:t>and</w:t>
      </w:r>
      <w:r w:rsidR="00422215">
        <w:t xml:space="preserve"> </w:t>
      </w:r>
      <w:r>
        <w:t>17</w:t>
      </w:r>
      <w:r w:rsidR="00422215">
        <w:t xml:space="preserve"> </w:t>
      </w:r>
      <w:r>
        <w:t>of</w:t>
      </w:r>
      <w:r w:rsidR="00422215">
        <w:t xml:space="preserve"> </w:t>
      </w:r>
      <w:r>
        <w:t>the</w:t>
      </w:r>
      <w:r w:rsidR="00422215">
        <w:t xml:space="preserve"> </w:t>
      </w:r>
      <w:r>
        <w:t>Covenant,</w:t>
      </w:r>
      <w:r w:rsidR="00422215">
        <w:t xml:space="preserve"> </w:t>
      </w:r>
      <w:r>
        <w:t>due</w:t>
      </w:r>
      <w:r w:rsidR="00422215">
        <w:t xml:space="preserve"> </w:t>
      </w:r>
      <w:r>
        <w:t>in</w:t>
      </w:r>
      <w:r w:rsidR="00422215">
        <w:t xml:space="preserve"> </w:t>
      </w:r>
      <w:r w:rsidR="00E90914" w:rsidRPr="00E90914">
        <w:t>2019</w:t>
      </w:r>
      <w:r w:rsidRPr="00DA26C9">
        <w:rPr>
          <w:b w:val="0"/>
          <w:sz w:val="20"/>
        </w:rPr>
        <w:footnoteReference w:customMarkFollows="1" w:id="2"/>
        <w:t>*</w:t>
      </w:r>
    </w:p>
    <w:p w:rsidR="006B4AAF" w:rsidRDefault="00B57389">
      <w:pPr>
        <w:pStyle w:val="SingleTxtG"/>
        <w:jc w:val="right"/>
      </w:pPr>
      <w:r>
        <w:t>[Date</w:t>
      </w:r>
      <w:r w:rsidR="00422215">
        <w:t xml:space="preserve"> </w:t>
      </w:r>
      <w:r>
        <w:t>received:</w:t>
      </w:r>
      <w:r w:rsidR="00422215">
        <w:t xml:space="preserve"> </w:t>
      </w:r>
      <w:r w:rsidR="00E90914">
        <w:t>31</w:t>
      </w:r>
      <w:r w:rsidR="00422215">
        <w:t xml:space="preserve"> </w:t>
      </w:r>
      <w:r w:rsidR="00E90914" w:rsidRPr="00E90914">
        <w:t>October</w:t>
      </w:r>
      <w:r w:rsidR="00422215">
        <w:t xml:space="preserve"> </w:t>
      </w:r>
      <w:r w:rsidR="00E90914" w:rsidRPr="00E90914">
        <w:t>2019</w:t>
      </w:r>
      <w:r>
        <w:t>]</w:t>
      </w:r>
    </w:p>
    <w:p w:rsidR="006B4AAF" w:rsidRDefault="00C04709">
      <w:pPr>
        <w:pStyle w:val="SingleTxtG"/>
      </w:pPr>
      <w:r>
        <w:br w:type="page"/>
      </w:r>
    </w:p>
    <w:p w:rsidR="00341318" w:rsidRPr="00341318" w:rsidRDefault="00DB5028" w:rsidP="00A13A0A">
      <w:pPr>
        <w:pStyle w:val="H1G"/>
      </w:pPr>
      <w:r>
        <w:lastRenderedPageBreak/>
        <w:tab/>
      </w:r>
      <w:r>
        <w:tab/>
      </w:r>
      <w:r w:rsidR="00341318" w:rsidRPr="00341318">
        <w:t>Reply</w:t>
      </w:r>
      <w:r w:rsidR="00422215">
        <w:t xml:space="preserve"> </w:t>
      </w:r>
      <w:r w:rsidR="00341318" w:rsidRPr="00341318">
        <w:t>to</w:t>
      </w:r>
      <w:r w:rsidR="00422215">
        <w:t xml:space="preserve"> </w:t>
      </w:r>
      <w:r w:rsidR="00341318" w:rsidRPr="00341318">
        <w:t>paragraph</w:t>
      </w:r>
      <w:r w:rsidR="00422215">
        <w:t xml:space="preserve"> </w:t>
      </w:r>
      <w:r>
        <w:t>1</w:t>
      </w:r>
      <w:r w:rsidR="00422215">
        <w:t xml:space="preserve"> </w:t>
      </w:r>
      <w:r w:rsidR="00341318" w:rsidRPr="00341318">
        <w:t>of</w:t>
      </w:r>
      <w:r w:rsidR="00422215">
        <w:t xml:space="preserve"> </w:t>
      </w:r>
      <w:r w:rsidR="00341318" w:rsidRPr="00341318">
        <w:t>the</w:t>
      </w:r>
      <w:r w:rsidR="00422215">
        <w:t xml:space="preserve"> </w:t>
      </w:r>
      <w:r w:rsidR="00341318" w:rsidRPr="00341318">
        <w:t>list</w:t>
      </w:r>
      <w:r w:rsidR="00422215">
        <w:t xml:space="preserve"> </w:t>
      </w:r>
      <w:r w:rsidR="00341318" w:rsidRPr="00341318">
        <w:t>of</w:t>
      </w:r>
      <w:r w:rsidR="00422215">
        <w:t xml:space="preserve"> </w:t>
      </w:r>
      <w:r w:rsidR="00341318" w:rsidRPr="00341318">
        <w:t>issues</w:t>
      </w:r>
      <w:r w:rsidR="000B7390">
        <w:t xml:space="preserve"> (</w:t>
      </w:r>
      <w:r w:rsidR="000B7390" w:rsidRPr="000B7390">
        <w:t>E/C.12/NOR/QPR/6</w:t>
      </w:r>
      <w:r w:rsidR="000B7390">
        <w:t>)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catalogue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added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Constitution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2014.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Constitution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contains</w:t>
      </w:r>
      <w:r w:rsidR="00422215">
        <w:t xml:space="preserve"> </w:t>
      </w:r>
      <w:r w:rsidRPr="007D2C07">
        <w:t>provisions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freedom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association,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freedom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join</w:t>
      </w:r>
      <w:r w:rsidR="00422215">
        <w:t xml:space="preserve"> </w:t>
      </w:r>
      <w:r w:rsidRPr="007D2C07">
        <w:t>unions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101),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state’s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economic,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security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104),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state’s</w:t>
      </w:r>
      <w:r w:rsidR="00422215">
        <w:t xml:space="preserve"> </w:t>
      </w:r>
      <w:r w:rsidRPr="007D2C07">
        <w:t>duties</w:t>
      </w:r>
      <w:r w:rsidR="00422215">
        <w:t xml:space="preserve"> </w:t>
      </w:r>
      <w:r w:rsidRPr="007D2C07">
        <w:t>towards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108),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109),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state’s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create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every</w:t>
      </w:r>
      <w:r w:rsidR="00422215">
        <w:t xml:space="preserve"> </w:t>
      </w:r>
      <w:r w:rsidRPr="007D2C07">
        <w:t>person</w:t>
      </w:r>
      <w:r w:rsidR="00422215">
        <w:t xml:space="preserve"> </w:t>
      </w:r>
      <w:r w:rsidRPr="007D2C07">
        <w:t>capable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earn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enterprise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security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110),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natural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healthy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112).</w:t>
      </w:r>
      <w:r w:rsidR="00422215">
        <w:t xml:space="preserve"> </w:t>
      </w:r>
      <w:r w:rsidRPr="007D2C07">
        <w:t>Article</w:t>
      </w:r>
      <w:r w:rsidR="00422215">
        <w:t xml:space="preserve"> </w:t>
      </w:r>
      <w:r w:rsidRPr="007D2C07">
        <w:t>92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Constitution</w:t>
      </w:r>
      <w:r w:rsidR="00422215">
        <w:t xml:space="preserve"> </w:t>
      </w:r>
      <w:r w:rsidRPr="007D2C07">
        <w:t>establishes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respect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prescribed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Constitution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treaties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binding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rPr>
          <w:bCs/>
        </w:rPr>
        <w:t>International</w:t>
      </w:r>
      <w:r w:rsidR="00422215">
        <w:rPr>
          <w:bCs/>
        </w:rPr>
        <w:t xml:space="preserve"> </w:t>
      </w:r>
      <w:r w:rsidRPr="007D2C07">
        <w:rPr>
          <w:bCs/>
        </w:rPr>
        <w:t>Covenant</w:t>
      </w:r>
      <w:r w:rsidR="00422215">
        <w:rPr>
          <w:bCs/>
        </w:rPr>
        <w:t xml:space="preserve"> </w:t>
      </w:r>
      <w:r w:rsidRPr="007D2C07">
        <w:rPr>
          <w:bCs/>
        </w:rPr>
        <w:t>on</w:t>
      </w:r>
      <w:r w:rsidR="00422215">
        <w:rPr>
          <w:bCs/>
        </w:rPr>
        <w:t xml:space="preserve"> </w:t>
      </w:r>
      <w:r w:rsidRPr="007D2C07">
        <w:rPr>
          <w:bCs/>
        </w:rPr>
        <w:t>Economic,</w:t>
      </w:r>
      <w:r w:rsidR="00422215">
        <w:rPr>
          <w:bCs/>
        </w:rPr>
        <w:t xml:space="preserve"> </w:t>
      </w:r>
      <w:r w:rsidRPr="007D2C07">
        <w:rPr>
          <w:bCs/>
        </w:rPr>
        <w:t>Social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Cultural</w:t>
      </w:r>
      <w:r w:rsidR="00422215">
        <w:rPr>
          <w:bCs/>
        </w:rPr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incorporated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thereby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precedence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laws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event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conflict.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period,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rPr>
          <w:bCs/>
        </w:rPr>
        <w:t>Covenant</w:t>
      </w:r>
      <w:r w:rsidR="00422215">
        <w:rPr>
          <w:bCs/>
        </w:rPr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invoked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two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Supreme</w:t>
      </w:r>
      <w:r w:rsidR="00422215">
        <w:t xml:space="preserve"> </w:t>
      </w:r>
      <w:r w:rsidRPr="007D2C07">
        <w:t>Court,</w:t>
      </w:r>
      <w:r w:rsidR="00422215">
        <w:t xml:space="preserve"> </w:t>
      </w:r>
      <w:r w:rsidRPr="007D2C07">
        <w:t>HR-2018-456-P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HR-2015-342-A</w:t>
      </w:r>
      <w:r w:rsidR="00422215">
        <w:t xml:space="preserve"> </w:t>
      </w:r>
      <w:r w:rsidRPr="007D2C07">
        <w:t>(Article</w:t>
      </w:r>
      <w:r w:rsidR="00422215">
        <w:t xml:space="preserve"> </w:t>
      </w:r>
      <w:r w:rsidRPr="007D2C07">
        <w:t>13),</w:t>
      </w:r>
      <w:r w:rsidR="00422215">
        <w:t xml:space="preserve"> </w:t>
      </w:r>
      <w:r w:rsidRPr="007D2C07">
        <w:t>six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appeal,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least</w:t>
      </w:r>
      <w:r w:rsidR="00422215">
        <w:t xml:space="preserve"> </w:t>
      </w:r>
      <w:r w:rsidRPr="007D2C07">
        <w:t>five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district</w:t>
      </w:r>
      <w:r w:rsidR="00422215">
        <w:t xml:space="preserve"> </w:t>
      </w:r>
      <w:r w:rsidRPr="007D2C07">
        <w:t>courts.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constitutional</w:t>
      </w:r>
      <w:r w:rsidR="00422215">
        <w:t xml:space="preserve"> </w:t>
      </w:r>
      <w:r w:rsidRPr="007D2C07">
        <w:t>provisions</w:t>
      </w:r>
      <w:r w:rsidR="00422215">
        <w:t xml:space="preserve"> </w:t>
      </w:r>
      <w:r w:rsidRPr="007D2C07">
        <w:t>mentioned</w:t>
      </w:r>
      <w:r w:rsidR="00422215">
        <w:t xml:space="preserve"> </w:t>
      </w:r>
      <w:r w:rsidRPr="007D2C07">
        <w:t>above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invoked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cases.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judges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initial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module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continuous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way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newly</w:t>
      </w:r>
      <w:r w:rsidR="00422215">
        <w:t xml:space="preserve"> </w:t>
      </w:r>
      <w:r w:rsidRPr="007D2C07">
        <w:t>introduced</w:t>
      </w:r>
      <w:r w:rsidR="00422215">
        <w:t xml:space="preserve"> </w:t>
      </w:r>
      <w:r w:rsidRPr="007D2C07">
        <w:t>judge</w:t>
      </w:r>
      <w:r w:rsidR="00422215">
        <w:t xml:space="preserve"> </w:t>
      </w:r>
      <w:r w:rsidRPr="007D2C07">
        <w:t>seminars.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initial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module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first</w:t>
      </w:r>
      <w:r w:rsidR="00422215">
        <w:t xml:space="preserve"> </w:t>
      </w:r>
      <w:r w:rsidRPr="007D2C07">
        <w:t>year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appointment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emphasises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European</w:t>
      </w:r>
      <w:r w:rsidR="00422215">
        <w:t xml:space="preserve"> </w:t>
      </w:r>
      <w:r w:rsidRPr="007D2C07">
        <w:t>Convention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(ECHR).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standard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judges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directly</w:t>
      </w:r>
      <w:r w:rsidR="00422215">
        <w:t xml:space="preserve"> </w:t>
      </w:r>
      <w:r w:rsidRPr="007D2C07">
        <w:t>related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Covenant,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common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judges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ad</w:t>
      </w:r>
      <w:r w:rsidR="00422215">
        <w:t xml:space="preserve"> </w:t>
      </w:r>
      <w:r w:rsidRPr="007D2C07">
        <w:t>hoc</w:t>
      </w:r>
      <w:r w:rsidR="00422215">
        <w:t xml:space="preserve"> </w:t>
      </w:r>
      <w:r w:rsidRPr="007D2C07">
        <w:t>seminars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covered</w:t>
      </w:r>
      <w:r w:rsidR="00422215">
        <w:t xml:space="preserve"> </w:t>
      </w:r>
      <w:r w:rsidRPr="007D2C07">
        <w:t>elements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Covenant.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strong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particular</w:t>
      </w:r>
      <w:r w:rsidR="00422215">
        <w:t xml:space="preserve"> </w:t>
      </w:r>
      <w:r w:rsidRPr="007D2C07">
        <w:t>needs</w:t>
      </w:r>
      <w:r w:rsidR="00422215">
        <w:t xml:space="preserve"> </w:t>
      </w:r>
      <w:r w:rsidRPr="007D2C07">
        <w:t>reflecting</w:t>
      </w:r>
      <w:r w:rsidR="00422215">
        <w:t xml:space="preserve"> </w:t>
      </w:r>
      <w:r w:rsidRPr="007D2C07">
        <w:t>multi-cultural</w:t>
      </w:r>
      <w:r w:rsidR="00422215">
        <w:t xml:space="preserve"> </w:t>
      </w:r>
      <w:r w:rsidRPr="007D2C07">
        <w:t>society,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children´s</w:t>
      </w:r>
      <w:r w:rsidR="00422215">
        <w:t xml:space="preserve"> </w:t>
      </w:r>
      <w:r w:rsidRPr="007D2C07">
        <w:t>rights,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dimension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judiciary</w:t>
      </w:r>
      <w:r w:rsidR="00422215">
        <w:t xml:space="preserve"> </w:t>
      </w:r>
      <w:r w:rsidRPr="007D2C07">
        <w:t>etc.</w:t>
      </w:r>
      <w:r w:rsidR="00422215">
        <w:t xml:space="preserve"> </w:t>
      </w:r>
    </w:p>
    <w:p w:rsid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Courts</w:t>
      </w:r>
      <w:r w:rsidR="00422215">
        <w:t xml:space="preserve"> </w:t>
      </w:r>
      <w:r w:rsidRPr="007D2C07">
        <w:t>Administration</w:t>
      </w:r>
      <w:r w:rsidR="00422215">
        <w:t xml:space="preserve"> </w:t>
      </w:r>
      <w:r w:rsidRPr="007D2C07">
        <w:t>organises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visits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European</w:t>
      </w:r>
      <w:r w:rsidR="00422215">
        <w:t xml:space="preserve"> </w:t>
      </w:r>
      <w:r w:rsidRPr="007D2C07">
        <w:t>Court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(</w:t>
      </w:r>
      <w:proofErr w:type="spellStart"/>
      <w:r w:rsidRPr="007D2C07">
        <w:t>ECtHR</w:t>
      </w:r>
      <w:proofErr w:type="spellEnd"/>
      <w:r w:rsidRPr="007D2C07">
        <w:t>)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Strasbourg.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Instructions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Preparation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Central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(2016),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“fundamental</w:t>
      </w:r>
      <w:r w:rsidR="00422215">
        <w:t xml:space="preserve"> </w:t>
      </w:r>
      <w:r w:rsidRPr="007D2C07">
        <w:t>questions”</w:t>
      </w:r>
      <w:r w:rsidR="00422215">
        <w:t xml:space="preserve"> </w:t>
      </w:r>
      <w:r w:rsidRPr="007D2C07">
        <w:t>raised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measure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systematically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comprehensively.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instructions,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assessment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description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obligations,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obligations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Covenant.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instance,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Covenant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draft</w:t>
      </w:r>
      <w:r w:rsidR="00422215">
        <w:t xml:space="preserve"> </w:t>
      </w:r>
      <w:r w:rsidRPr="007D2C07">
        <w:t>legislation,</w:t>
      </w:r>
      <w:r w:rsidR="00422215">
        <w:t xml:space="preserve"> </w:t>
      </w:r>
      <w:r w:rsidRPr="007D2C07">
        <w:t>considerations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compatibility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Covenant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included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proposition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(the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Parliament).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(in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2018)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Accounting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impose</w:t>
      </w:r>
      <w:r w:rsidR="00422215">
        <w:t xml:space="preserve"> </w:t>
      </w:r>
      <w:r w:rsidRPr="007D2C07">
        <w:t>duties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enterprises.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undertaking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promoting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preventing</w:t>
      </w:r>
      <w:r w:rsidR="00422215">
        <w:t xml:space="preserve"> </w:t>
      </w:r>
      <w:r w:rsidRPr="007D2C07">
        <w:t>discrimination,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non-financial</w:t>
      </w:r>
      <w:r w:rsidR="00422215">
        <w:t xml:space="preserve"> </w:t>
      </w:r>
      <w:r w:rsidRPr="007D2C07">
        <w:t>statement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corporate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management</w:t>
      </w:r>
      <w:r w:rsidR="00422215">
        <w:t xml:space="preserve"> </w:t>
      </w:r>
      <w:r w:rsidRPr="007D2C07">
        <w:t>report.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what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enterprise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integrate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policies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activities.</w:t>
      </w:r>
      <w:r w:rsidR="00422215">
        <w:t xml:space="preserve"> </w:t>
      </w:r>
    </w:p>
    <w:p w:rsidR="007C7F59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envisage</w:t>
      </w:r>
      <w:r w:rsidR="00422215">
        <w:t xml:space="preserve"> </w:t>
      </w:r>
      <w:r w:rsidRPr="007D2C07">
        <w:t>establishing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separate</w:t>
      </w:r>
      <w:r w:rsidR="00422215">
        <w:t xml:space="preserve"> </w:t>
      </w:r>
      <w:r w:rsidRPr="007D2C07">
        <w:t>unit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mechanism</w:t>
      </w:r>
      <w:r w:rsidR="00422215">
        <w:t xml:space="preserve"> </w:t>
      </w:r>
      <w:r w:rsidRPr="007D2C07">
        <w:t>dedicated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recommendations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treaty</w:t>
      </w:r>
      <w:r w:rsidR="00422215">
        <w:t xml:space="preserve"> </w:t>
      </w:r>
      <w:r w:rsidRPr="007D2C07">
        <w:t>bodies.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recommendations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receives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followed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integrated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ministries’</w:t>
      </w:r>
      <w:r w:rsidR="00422215">
        <w:t xml:space="preserve"> </w:t>
      </w:r>
      <w:r w:rsidRPr="007D2C07">
        <w:t>daily</w:t>
      </w:r>
      <w:r w:rsidR="00422215">
        <w:t xml:space="preserve"> </w:t>
      </w:r>
      <w:r w:rsidRPr="007D2C07">
        <w:t>work.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Norway’s</w:t>
      </w:r>
      <w:r w:rsidR="00422215">
        <w:t xml:space="preserve"> </w:t>
      </w:r>
      <w:r w:rsidRPr="007D2C07">
        <w:t>view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treated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issue</w:t>
      </w:r>
      <w:r w:rsidR="00422215">
        <w:t xml:space="preserve"> </w:t>
      </w:r>
      <w:r w:rsidRPr="007D2C07">
        <w:t>separate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curriculum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Christianity,</w:t>
      </w:r>
      <w:r w:rsidR="00422215">
        <w:t xml:space="preserve"> </w:t>
      </w:r>
      <w:r w:rsidRPr="007D2C07">
        <w:t>Religion,</w:t>
      </w:r>
      <w:r w:rsidR="00422215">
        <w:t xml:space="preserve"> </w:t>
      </w:r>
      <w:r w:rsidRPr="007D2C07">
        <w:t>Philosophies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Ethics</w:t>
      </w:r>
      <w:r w:rsidR="00422215">
        <w:t xml:space="preserve"> </w:t>
      </w:r>
      <w:r w:rsidRPr="007D2C07">
        <w:t>states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end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fourth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year,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United</w:t>
      </w:r>
      <w:r w:rsidR="00422215">
        <w:t xml:space="preserve"> </w:t>
      </w:r>
      <w:r w:rsidRPr="007D2C07">
        <w:t>Nations</w:t>
      </w:r>
      <w:r w:rsidR="00422215">
        <w:t xml:space="preserve"> </w:t>
      </w:r>
      <w:r w:rsidRPr="007D2C07">
        <w:t>Convention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(UNCRC)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understand</w:t>
      </w:r>
      <w:r w:rsidR="00422215">
        <w:t xml:space="preserve"> </w:t>
      </w:r>
      <w:r w:rsidRPr="007D2C07">
        <w:t>children's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equality,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find</w:t>
      </w:r>
      <w:r w:rsidR="00422215">
        <w:t xml:space="preserve"> </w:t>
      </w:r>
      <w:r w:rsidRPr="007D2C07">
        <w:t>examples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media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online.</w:t>
      </w:r>
      <w:r w:rsidR="00422215">
        <w:t xml:space="preserve"> </w:t>
      </w:r>
      <w:r w:rsidRPr="007D2C07">
        <w:t>Teachers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therefore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Convention.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renewing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core</w:t>
      </w:r>
      <w:r w:rsidR="00422215">
        <w:t xml:space="preserve"> </w:t>
      </w:r>
      <w:r w:rsidRPr="007D2C07">
        <w:t>curriculum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curricula.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renewal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scheduled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completed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2020.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overall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curriculum</w:t>
      </w:r>
      <w:r w:rsidR="00422215">
        <w:t xml:space="preserve"> </w:t>
      </w:r>
      <w:r w:rsidRPr="007D2C07">
        <w:t>states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foundation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rule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law.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universal</w:t>
      </w:r>
      <w:r w:rsidR="00422215">
        <w:t xml:space="preserve"> </w:t>
      </w:r>
      <w:r w:rsidRPr="007D2C07">
        <w:t>values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everyone,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matter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come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live.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UNCRC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cornerstone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affords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protection.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accordance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rights.</w:t>
      </w:r>
      <w:r w:rsidR="00422215"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3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prohibits</w:t>
      </w:r>
      <w:r w:rsidR="00422215">
        <w:t xml:space="preserve"> </w:t>
      </w:r>
      <w:r w:rsidRPr="007D2C07">
        <w:t>discrimination,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things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grounds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ethnicity.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obligation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make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outline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taken,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calls</w:t>
      </w:r>
      <w:r w:rsidR="00422215">
        <w:t xml:space="preserve"> </w:t>
      </w:r>
      <w:r w:rsidRPr="007D2C07">
        <w:t>upon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design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address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faced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enterprise.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discrimination.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housing</w:t>
      </w:r>
      <w:r w:rsidR="00422215">
        <w:t xml:space="preserve"> </w:t>
      </w:r>
      <w:r w:rsidRPr="007D2C07">
        <w:t>laws</w:t>
      </w:r>
      <w:r w:rsidR="00422215">
        <w:t xml:space="preserve"> </w:t>
      </w:r>
      <w:r w:rsidRPr="007D2C07">
        <w:t>contain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prohibitions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discrimination,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religious</w:t>
      </w:r>
      <w:r w:rsidR="00422215">
        <w:t xml:space="preserve"> </w:t>
      </w:r>
      <w:r w:rsidRPr="007D2C07">
        <w:t>discrimination.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enforcement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reorganised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effective</w:t>
      </w:r>
      <w:r w:rsidR="00422215">
        <w:t xml:space="preserve"> </w:t>
      </w:r>
      <w:r w:rsidRPr="007D2C07">
        <w:t>protection;</w:t>
      </w:r>
      <w:r w:rsidR="00422215">
        <w:t xml:space="preserve"> </w:t>
      </w:r>
      <w:r w:rsidRPr="007D2C07">
        <w:t>see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answer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question</w:t>
      </w:r>
      <w:r w:rsidR="00422215">
        <w:t xml:space="preserve"> </w:t>
      </w:r>
      <w:r w:rsidRPr="007D2C07">
        <w:t>13.</w:t>
      </w:r>
      <w:r w:rsidR="00422215">
        <w:t xml:space="preserve"> </w:t>
      </w:r>
      <w:r w:rsidRPr="007D2C07">
        <w:t>Alleged</w:t>
      </w:r>
      <w:r w:rsidR="00422215">
        <w:t xml:space="preserve"> </w:t>
      </w:r>
      <w:r w:rsidRPr="007D2C07">
        <w:t>breaches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brought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Tribunal.</w:t>
      </w:r>
      <w:r w:rsidR="00422215">
        <w:t xml:space="preserve"> </w:t>
      </w:r>
      <w:r w:rsidRPr="007D2C07">
        <w:t>Anyone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believes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discriminated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present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offers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guidance.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started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grounds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ethnicity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religion,</w:t>
      </w:r>
      <w:r w:rsidR="00422215">
        <w:t xml:space="preserve"> </w:t>
      </w:r>
      <w:r w:rsidRPr="007D2C07">
        <w:t>scheduled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submission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autumn</w:t>
      </w:r>
      <w:r w:rsidR="00422215">
        <w:t xml:space="preserve"> </w:t>
      </w:r>
      <w:r w:rsidRPr="007D2C07">
        <w:t>2019.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plan,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committed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developing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administration.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Everyone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assessment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professional</w:t>
      </w:r>
      <w:r w:rsidR="00422215">
        <w:t xml:space="preserve"> </w:t>
      </w:r>
      <w:r w:rsidRPr="007D2C07">
        <w:t>interpreter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receiving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advice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rPr>
          <w:bCs/>
        </w:rPr>
        <w:t>Norwegian</w:t>
      </w:r>
      <w:r w:rsidR="00422215">
        <w:rPr>
          <w:bCs/>
        </w:rPr>
        <w:t xml:space="preserve"> </w:t>
      </w:r>
      <w:r w:rsidRPr="007D2C07">
        <w:rPr>
          <w:bCs/>
        </w:rPr>
        <w:t>Labour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Welfare</w:t>
      </w:r>
      <w:r w:rsidR="00422215">
        <w:rPr>
          <w:bCs/>
        </w:rPr>
        <w:t xml:space="preserve"> </w:t>
      </w:r>
      <w:r w:rsidRPr="007D2C07">
        <w:rPr>
          <w:bCs/>
        </w:rPr>
        <w:t>Administration</w:t>
      </w:r>
      <w:r w:rsidR="00422215">
        <w:t xml:space="preserve"> </w:t>
      </w:r>
      <w:r w:rsidRPr="007D2C07">
        <w:t>(NAV).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communication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mutual</w:t>
      </w:r>
      <w:r w:rsidR="00422215">
        <w:t xml:space="preserve"> </w:t>
      </w:r>
      <w:r w:rsidRPr="007D2C07">
        <w:t>understanding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adviser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critical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assure</w:t>
      </w:r>
      <w:r w:rsidR="00422215">
        <w:t xml:space="preserve"> </w:t>
      </w:r>
      <w:r w:rsidRPr="007D2C07">
        <w:t>user</w:t>
      </w:r>
      <w:r w:rsidR="00422215">
        <w:t xml:space="preserve"> </w:t>
      </w:r>
      <w:r w:rsidRPr="007D2C07">
        <w:t>involvement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well-adapted</w:t>
      </w:r>
      <w:r w:rsidR="00422215">
        <w:t xml:space="preserve"> </w:t>
      </w:r>
      <w:r w:rsidRPr="007D2C07">
        <w:t>services.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budget</w:t>
      </w:r>
      <w:r w:rsidR="00422215">
        <w:t xml:space="preserve"> </w:t>
      </w:r>
      <w:r w:rsidRPr="007D2C07">
        <w:t>model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ensures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budget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hindrance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interpreter.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8C6E34">
        <w:t>Everyone</w:t>
      </w:r>
      <w:r w:rsidR="00422215">
        <w:t xml:space="preserve"> </w:t>
      </w:r>
      <w:r w:rsidRPr="008C6E34">
        <w:t>should</w:t>
      </w:r>
      <w:r w:rsidR="00422215">
        <w:t xml:space="preserve"> </w:t>
      </w:r>
      <w:r w:rsidRPr="008C6E34">
        <w:t>be</w:t>
      </w:r>
      <w:r w:rsidR="00422215">
        <w:t xml:space="preserve"> </w:t>
      </w:r>
      <w:r w:rsidRPr="008C6E34">
        <w:t>able</w:t>
      </w:r>
      <w:r w:rsidR="00422215">
        <w:t xml:space="preserve"> </w:t>
      </w:r>
      <w:r w:rsidRPr="008C6E34">
        <w:t>to</w:t>
      </w:r>
      <w:r w:rsidR="00422215">
        <w:t xml:space="preserve"> </w:t>
      </w:r>
      <w:r w:rsidRPr="008C6E34">
        <w:t>use</w:t>
      </w:r>
      <w:r w:rsidR="00422215">
        <w:t xml:space="preserve"> </w:t>
      </w:r>
      <w:r w:rsidRPr="008C6E34">
        <w:t>public</w:t>
      </w:r>
      <w:r w:rsidR="00422215">
        <w:t xml:space="preserve"> </w:t>
      </w:r>
      <w:r w:rsidRPr="008C6E34">
        <w:t>services</w:t>
      </w:r>
      <w:r w:rsidR="00422215">
        <w:t xml:space="preserve"> </w:t>
      </w:r>
      <w:r w:rsidRPr="008C6E34">
        <w:t>regardless</w:t>
      </w:r>
      <w:r w:rsidR="00422215">
        <w:t xml:space="preserve"> </w:t>
      </w:r>
      <w:r w:rsidRPr="008C6E34">
        <w:t>of</w:t>
      </w:r>
      <w:r w:rsidR="00422215">
        <w:t xml:space="preserve"> </w:t>
      </w:r>
      <w:r w:rsidRPr="008C6E34">
        <w:t>which</w:t>
      </w:r>
      <w:r w:rsidR="00422215">
        <w:t xml:space="preserve"> </w:t>
      </w:r>
      <w:r w:rsidRPr="008C6E34">
        <w:t>language</w:t>
      </w:r>
      <w:r w:rsidR="00422215">
        <w:t xml:space="preserve"> </w:t>
      </w:r>
      <w:r w:rsidRPr="008C6E34">
        <w:t>they</w:t>
      </w:r>
      <w:r w:rsidR="00422215">
        <w:t xml:space="preserve"> </w:t>
      </w:r>
      <w:r w:rsidRPr="008C6E34">
        <w:t>speak.</w:t>
      </w:r>
      <w:r w:rsidR="00422215">
        <w:t xml:space="preserve"> </w:t>
      </w:r>
      <w:r w:rsidRPr="008C6E34">
        <w:t>The</w:t>
      </w:r>
      <w:r w:rsidR="00422215">
        <w:rPr>
          <w:bCs/>
        </w:rPr>
        <w:t xml:space="preserve"> </w:t>
      </w:r>
      <w:r w:rsidRPr="007D2C07">
        <w:rPr>
          <w:bCs/>
        </w:rPr>
        <w:t>use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interpreters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public</w:t>
      </w:r>
      <w:r w:rsidR="00422215">
        <w:rPr>
          <w:bCs/>
        </w:rPr>
        <w:t xml:space="preserve"> </w:t>
      </w:r>
      <w:r w:rsidRPr="007D2C07">
        <w:rPr>
          <w:bCs/>
        </w:rPr>
        <w:t>sector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regulated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different</w:t>
      </w:r>
      <w:r w:rsidR="00422215">
        <w:rPr>
          <w:bCs/>
        </w:rPr>
        <w:t xml:space="preserve"> </w:t>
      </w:r>
      <w:r w:rsidRPr="007D2C07">
        <w:rPr>
          <w:bCs/>
        </w:rPr>
        <w:t>sector</w:t>
      </w:r>
      <w:r w:rsidR="00422215">
        <w:rPr>
          <w:bCs/>
        </w:rPr>
        <w:t xml:space="preserve"> </w:t>
      </w:r>
      <w:r w:rsidRPr="007D2C07">
        <w:rPr>
          <w:bCs/>
        </w:rPr>
        <w:t>legislations.</w:t>
      </w:r>
      <w:r w:rsidR="00422215">
        <w:rPr>
          <w:bCs/>
        </w:rPr>
        <w:t xml:space="preserve"> </w:t>
      </w:r>
      <w:r w:rsidRPr="007D2C07">
        <w:rPr>
          <w:bCs/>
        </w:rPr>
        <w:t>There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general</w:t>
      </w:r>
      <w:r w:rsidR="00422215">
        <w:rPr>
          <w:bCs/>
        </w:rPr>
        <w:t xml:space="preserve"> </w:t>
      </w:r>
      <w:r w:rsidRPr="007D2C07">
        <w:rPr>
          <w:bCs/>
        </w:rPr>
        <w:t>obligation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supply</w:t>
      </w:r>
      <w:r w:rsidR="00422215">
        <w:rPr>
          <w:bCs/>
        </w:rPr>
        <w:t xml:space="preserve"> </w:t>
      </w:r>
      <w:r w:rsidRPr="007D2C07">
        <w:rPr>
          <w:bCs/>
        </w:rPr>
        <w:t>information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guidance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matters</w:t>
      </w:r>
      <w:r w:rsidR="00422215">
        <w:rPr>
          <w:bCs/>
        </w:rPr>
        <w:t xml:space="preserve"> </w:t>
      </w:r>
      <w:r w:rsidRPr="007D2C07">
        <w:rPr>
          <w:bCs/>
        </w:rPr>
        <w:t>that</w:t>
      </w:r>
      <w:r w:rsidR="00422215">
        <w:rPr>
          <w:bCs/>
        </w:rPr>
        <w:t xml:space="preserve"> </w:t>
      </w:r>
      <w:r w:rsidRPr="007D2C07">
        <w:rPr>
          <w:bCs/>
        </w:rPr>
        <w:t>fall</w:t>
      </w:r>
      <w:r w:rsidR="00422215">
        <w:rPr>
          <w:bCs/>
        </w:rPr>
        <w:t xml:space="preserve"> </w:t>
      </w:r>
      <w:r w:rsidRPr="007D2C07">
        <w:rPr>
          <w:bCs/>
        </w:rPr>
        <w:t>under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Public</w:t>
      </w:r>
      <w:r w:rsidR="00422215">
        <w:rPr>
          <w:bCs/>
        </w:rPr>
        <w:t xml:space="preserve"> </w:t>
      </w:r>
      <w:r w:rsidRPr="007D2C07">
        <w:rPr>
          <w:bCs/>
        </w:rPr>
        <w:t>Administration</w:t>
      </w:r>
      <w:r w:rsidR="00422215">
        <w:rPr>
          <w:bCs/>
        </w:rPr>
        <w:t xml:space="preserve"> </w:t>
      </w:r>
      <w:r w:rsidRPr="007D2C07">
        <w:rPr>
          <w:bCs/>
        </w:rPr>
        <w:t>Act,</w:t>
      </w:r>
      <w:r w:rsidR="00422215">
        <w:rPr>
          <w:bCs/>
        </w:rPr>
        <w:t xml:space="preserve"> </w:t>
      </w:r>
      <w:r w:rsidRPr="007D2C07">
        <w:rPr>
          <w:bCs/>
        </w:rPr>
        <w:t>which</w:t>
      </w:r>
      <w:r w:rsidR="00422215">
        <w:rPr>
          <w:bCs/>
        </w:rPr>
        <w:t xml:space="preserve"> </w:t>
      </w:r>
      <w:r w:rsidRPr="007D2C07">
        <w:rPr>
          <w:bCs/>
        </w:rPr>
        <w:t>provides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use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interpreters.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Government</w:t>
      </w:r>
      <w:r w:rsidR="00422215">
        <w:rPr>
          <w:bCs/>
        </w:rPr>
        <w:t xml:space="preserve"> </w:t>
      </w:r>
      <w:r w:rsidRPr="007D2C07">
        <w:rPr>
          <w:bCs/>
        </w:rPr>
        <w:t>aims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improve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use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quality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interpreting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public</w:t>
      </w:r>
      <w:r w:rsidR="00422215">
        <w:rPr>
          <w:bCs/>
        </w:rPr>
        <w:t xml:space="preserve"> </w:t>
      </w:r>
      <w:r w:rsidRPr="007D2C07">
        <w:rPr>
          <w:bCs/>
        </w:rPr>
        <w:t>sector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has</w:t>
      </w:r>
      <w:r w:rsidR="00422215">
        <w:rPr>
          <w:bCs/>
        </w:rPr>
        <w:t xml:space="preserve"> </w:t>
      </w:r>
      <w:r w:rsidRPr="007D2C07">
        <w:rPr>
          <w:bCs/>
        </w:rPr>
        <w:t>recently</w:t>
      </w:r>
      <w:r w:rsidR="00422215">
        <w:rPr>
          <w:bCs/>
        </w:rPr>
        <w:t xml:space="preserve"> </w:t>
      </w:r>
      <w:r w:rsidRPr="007D2C07">
        <w:rPr>
          <w:bCs/>
        </w:rPr>
        <w:t>proposed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new</w:t>
      </w:r>
      <w:r w:rsidR="00422215">
        <w:rPr>
          <w:bCs/>
        </w:rPr>
        <w:t xml:space="preserve"> </w:t>
      </w:r>
      <w:r w:rsidRPr="007D2C07">
        <w:rPr>
          <w:bCs/>
        </w:rPr>
        <w:t>Interpretation</w:t>
      </w:r>
      <w:r w:rsidR="00422215">
        <w:rPr>
          <w:bCs/>
        </w:rPr>
        <w:t xml:space="preserve"> </w:t>
      </w:r>
      <w:r w:rsidRPr="007D2C07">
        <w:rPr>
          <w:bCs/>
        </w:rPr>
        <w:t>Act.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ensure</w:t>
      </w:r>
      <w:r w:rsidR="00422215">
        <w:rPr>
          <w:bCs/>
        </w:rPr>
        <w:t xml:space="preserve"> </w:t>
      </w:r>
      <w:r w:rsidRPr="007D2C07">
        <w:rPr>
          <w:bCs/>
        </w:rPr>
        <w:t>good</w:t>
      </w:r>
      <w:r w:rsidR="00422215">
        <w:rPr>
          <w:bCs/>
        </w:rPr>
        <w:t xml:space="preserve"> </w:t>
      </w:r>
      <w:r w:rsidRPr="007D2C07">
        <w:rPr>
          <w:bCs/>
        </w:rPr>
        <w:t>access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qualified</w:t>
      </w:r>
      <w:r w:rsidR="00422215">
        <w:rPr>
          <w:bCs/>
        </w:rPr>
        <w:t xml:space="preserve"> </w:t>
      </w:r>
      <w:r w:rsidRPr="007D2C07">
        <w:rPr>
          <w:bCs/>
        </w:rPr>
        <w:t>interpreters,</w:t>
      </w:r>
      <w:r w:rsidR="00422215">
        <w:rPr>
          <w:bCs/>
        </w:rPr>
        <w:t xml:space="preserve"> </w:t>
      </w:r>
      <w:r w:rsidRPr="007D2C07">
        <w:rPr>
          <w:bCs/>
        </w:rPr>
        <w:t>funding</w:t>
      </w:r>
      <w:r w:rsidR="00422215">
        <w:rPr>
          <w:bCs/>
        </w:rPr>
        <w:t xml:space="preserve"> </w:t>
      </w:r>
      <w:r w:rsidRPr="007D2C07">
        <w:rPr>
          <w:bCs/>
        </w:rPr>
        <w:t>has</w:t>
      </w:r>
      <w:r w:rsidR="00422215">
        <w:rPr>
          <w:bCs/>
        </w:rPr>
        <w:t xml:space="preserve"> </w:t>
      </w:r>
      <w:r w:rsidRPr="007D2C07">
        <w:rPr>
          <w:bCs/>
        </w:rPr>
        <w:t>been</w:t>
      </w:r>
      <w:r w:rsidR="00422215">
        <w:rPr>
          <w:bCs/>
        </w:rPr>
        <w:t xml:space="preserve"> </w:t>
      </w:r>
      <w:r w:rsidRPr="007D2C07">
        <w:rPr>
          <w:bCs/>
        </w:rPr>
        <w:t>granted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qualifications</w:t>
      </w:r>
      <w:r w:rsidR="00422215">
        <w:rPr>
          <w:bCs/>
        </w:rPr>
        <w:t xml:space="preserve"> </w:t>
      </w:r>
      <w:r w:rsidRPr="007D2C07">
        <w:rPr>
          <w:bCs/>
        </w:rPr>
        <w:t>measures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interpreters.</w:t>
      </w:r>
      <w:r w:rsidR="00422215">
        <w:rPr>
          <w:bCs/>
        </w:rPr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  <w:rPr>
          <w:b/>
          <w:bCs/>
        </w:rPr>
      </w:pPr>
      <w:r w:rsidRPr="007D2C07">
        <w:rPr>
          <w:bCs/>
        </w:rPr>
        <w:t>Norwegian</w:t>
      </w:r>
      <w:r w:rsidR="00422215">
        <w:rPr>
          <w:bCs/>
        </w:rPr>
        <w:t xml:space="preserve"> </w:t>
      </w:r>
      <w:r w:rsidRPr="007D2C07">
        <w:rPr>
          <w:bCs/>
        </w:rPr>
        <w:t>courts</w:t>
      </w:r>
      <w:r w:rsidR="00422215">
        <w:rPr>
          <w:bCs/>
        </w:rPr>
        <w:t xml:space="preserve"> </w:t>
      </w:r>
      <w:r w:rsidRPr="007D2C07">
        <w:rPr>
          <w:bCs/>
        </w:rPr>
        <w:t>may</w:t>
      </w:r>
      <w:r w:rsidR="00422215">
        <w:rPr>
          <w:bCs/>
        </w:rPr>
        <w:t xml:space="preserve"> </w:t>
      </w:r>
      <w:r w:rsidRPr="007D2C07">
        <w:rPr>
          <w:bCs/>
        </w:rPr>
        <w:t>appoint</w:t>
      </w:r>
      <w:r w:rsidR="00422215">
        <w:rPr>
          <w:bCs/>
        </w:rPr>
        <w:t xml:space="preserve"> </w:t>
      </w:r>
      <w:r w:rsidRPr="007D2C07">
        <w:rPr>
          <w:bCs/>
        </w:rPr>
        <w:t>an</w:t>
      </w:r>
      <w:r w:rsidR="00422215">
        <w:rPr>
          <w:bCs/>
        </w:rPr>
        <w:t xml:space="preserve"> </w:t>
      </w:r>
      <w:r w:rsidRPr="007D2C07">
        <w:rPr>
          <w:bCs/>
        </w:rPr>
        <w:t>interpreter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order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deal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cases</w:t>
      </w:r>
      <w:r w:rsidR="00422215">
        <w:rPr>
          <w:bCs/>
        </w:rPr>
        <w:t xml:space="preserve"> </w:t>
      </w:r>
      <w:r w:rsidRPr="007D2C07">
        <w:rPr>
          <w:bCs/>
        </w:rPr>
        <w:t>correctly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fairly.</w:t>
      </w:r>
      <w:r w:rsidR="00422215">
        <w:rPr>
          <w:bCs/>
        </w:rPr>
        <w:t xml:space="preserve"> </w:t>
      </w:r>
      <w:r w:rsidRPr="007D2C07">
        <w:rPr>
          <w:bCs/>
        </w:rPr>
        <w:t>This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necessary</w:t>
      </w:r>
      <w:r w:rsidR="00422215">
        <w:rPr>
          <w:bCs/>
        </w:rPr>
        <w:t xml:space="preserve"> </w:t>
      </w:r>
      <w:r w:rsidRPr="007D2C07">
        <w:rPr>
          <w:bCs/>
        </w:rPr>
        <w:t>when</w:t>
      </w:r>
      <w:r w:rsidR="00422215">
        <w:rPr>
          <w:bCs/>
        </w:rPr>
        <w:t xml:space="preserve"> </w:t>
      </w:r>
      <w:r w:rsidRPr="007D2C07">
        <w:rPr>
          <w:bCs/>
        </w:rPr>
        <w:t>one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more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principals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case</w:t>
      </w:r>
      <w:r w:rsidR="00422215">
        <w:rPr>
          <w:bCs/>
        </w:rPr>
        <w:t xml:space="preserve"> </w:t>
      </w:r>
      <w:r w:rsidRPr="007D2C07">
        <w:rPr>
          <w:bCs/>
        </w:rPr>
        <w:t>speak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minority</w:t>
      </w:r>
      <w:r w:rsidR="00422215">
        <w:rPr>
          <w:bCs/>
        </w:rPr>
        <w:t xml:space="preserve"> </w:t>
      </w:r>
      <w:r w:rsidRPr="007D2C07">
        <w:rPr>
          <w:bCs/>
        </w:rPr>
        <w:t>language.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costs</w:t>
      </w:r>
      <w:r w:rsidR="00422215">
        <w:rPr>
          <w:bCs/>
        </w:rPr>
        <w:t xml:space="preserve"> </w:t>
      </w:r>
      <w:r w:rsidRPr="007D2C07">
        <w:rPr>
          <w:bCs/>
        </w:rPr>
        <w:t>will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paid</w:t>
      </w:r>
      <w:r w:rsidR="00422215">
        <w:rPr>
          <w:bCs/>
        </w:rPr>
        <w:t xml:space="preserve"> </w:t>
      </w:r>
      <w:r w:rsidRPr="007D2C07">
        <w:rPr>
          <w:bCs/>
        </w:rPr>
        <w:t>at</w:t>
      </w:r>
      <w:r w:rsidR="00422215">
        <w:rPr>
          <w:bCs/>
        </w:rPr>
        <w:t xml:space="preserve"> </w:t>
      </w:r>
      <w:r w:rsidRPr="007D2C07">
        <w:rPr>
          <w:bCs/>
        </w:rPr>
        <w:t>public</w:t>
      </w:r>
      <w:r w:rsidR="00422215">
        <w:rPr>
          <w:bCs/>
        </w:rPr>
        <w:t xml:space="preserve"> </w:t>
      </w:r>
      <w:r w:rsidRPr="007D2C07">
        <w:rPr>
          <w:bCs/>
        </w:rPr>
        <w:t>expense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cases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hyperlink r:id="rId9" w:tooltip="Legal glossary" w:history="1">
        <w:r w:rsidRPr="007D2C07">
          <w:rPr>
            <w:rStyle w:val="Hyperlink"/>
            <w:bCs/>
          </w:rPr>
          <w:t>free</w:t>
        </w:r>
        <w:r w:rsidR="00422215">
          <w:rPr>
            <w:rStyle w:val="Hyperlink"/>
            <w:bCs/>
          </w:rPr>
          <w:t xml:space="preserve"> </w:t>
        </w:r>
        <w:r w:rsidRPr="007D2C07">
          <w:rPr>
            <w:rStyle w:val="Hyperlink"/>
            <w:bCs/>
          </w:rPr>
          <w:t>process</w:t>
        </w:r>
      </w:hyperlink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all</w:t>
      </w:r>
      <w:r w:rsidR="00422215">
        <w:rPr>
          <w:bCs/>
        </w:rPr>
        <w:t xml:space="preserve"> </w:t>
      </w:r>
      <w:r w:rsidRPr="007D2C07">
        <w:rPr>
          <w:bCs/>
        </w:rPr>
        <w:t>criminal</w:t>
      </w:r>
      <w:r w:rsidR="00422215">
        <w:rPr>
          <w:bCs/>
        </w:rPr>
        <w:t xml:space="preserve"> </w:t>
      </w:r>
      <w:r w:rsidRPr="007D2C07">
        <w:rPr>
          <w:bCs/>
        </w:rPr>
        <w:t>cases.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interpreter’s</w:t>
      </w:r>
      <w:r w:rsidR="00422215">
        <w:rPr>
          <w:bCs/>
        </w:rPr>
        <w:t xml:space="preserve"> </w:t>
      </w:r>
      <w:r w:rsidRPr="007D2C07">
        <w:rPr>
          <w:bCs/>
        </w:rPr>
        <w:t>costs</w:t>
      </w:r>
      <w:r w:rsidR="00422215">
        <w:rPr>
          <w:bCs/>
        </w:rPr>
        <w:t xml:space="preserve"> </w:t>
      </w:r>
      <w:r w:rsidRPr="007D2C07">
        <w:rPr>
          <w:bCs/>
        </w:rPr>
        <w:t>will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paid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other</w:t>
      </w:r>
      <w:r w:rsidR="00422215">
        <w:rPr>
          <w:bCs/>
        </w:rPr>
        <w:t xml:space="preserve"> </w:t>
      </w:r>
      <w:r w:rsidRPr="007D2C07">
        <w:rPr>
          <w:bCs/>
        </w:rPr>
        <w:t>civil</w:t>
      </w:r>
      <w:r w:rsidR="00422215">
        <w:rPr>
          <w:bCs/>
        </w:rPr>
        <w:t xml:space="preserve"> </w:t>
      </w:r>
      <w:r w:rsidRPr="007D2C07">
        <w:rPr>
          <w:bCs/>
        </w:rPr>
        <w:t>cases</w:t>
      </w:r>
      <w:r w:rsidR="00422215">
        <w:rPr>
          <w:bCs/>
        </w:rPr>
        <w:t xml:space="preserve"> </w:t>
      </w:r>
      <w:r w:rsidRPr="007D2C07">
        <w:rPr>
          <w:bCs/>
        </w:rPr>
        <w:t>when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court</w:t>
      </w:r>
      <w:r w:rsidR="00422215">
        <w:rPr>
          <w:bCs/>
        </w:rPr>
        <w:t xml:space="preserve"> </w:t>
      </w:r>
      <w:r w:rsidRPr="007D2C07">
        <w:rPr>
          <w:bCs/>
        </w:rPr>
        <w:t>finds</w:t>
      </w:r>
      <w:r w:rsidR="00422215">
        <w:rPr>
          <w:bCs/>
        </w:rPr>
        <w:t xml:space="preserve"> </w:t>
      </w:r>
      <w:r w:rsidRPr="007D2C07">
        <w:rPr>
          <w:bCs/>
        </w:rPr>
        <w:t>it</w:t>
      </w:r>
      <w:r w:rsidR="00422215">
        <w:rPr>
          <w:bCs/>
        </w:rPr>
        <w:t xml:space="preserve"> </w:t>
      </w:r>
      <w:r w:rsidRPr="007D2C07">
        <w:rPr>
          <w:bCs/>
        </w:rPr>
        <w:t>necessary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use</w:t>
      </w:r>
      <w:r w:rsidR="00422215">
        <w:rPr>
          <w:bCs/>
        </w:rPr>
        <w:t xml:space="preserve"> </w:t>
      </w:r>
      <w:r w:rsidRPr="007D2C07">
        <w:rPr>
          <w:bCs/>
        </w:rPr>
        <w:t>an</w:t>
      </w:r>
      <w:r w:rsidR="00422215">
        <w:rPr>
          <w:bCs/>
        </w:rPr>
        <w:t xml:space="preserve"> </w:t>
      </w:r>
      <w:r w:rsidRPr="007D2C07">
        <w:rPr>
          <w:bCs/>
        </w:rPr>
        <w:t>interpreter</w:t>
      </w:r>
      <w:r w:rsidR="00422215">
        <w:rPr>
          <w:bCs/>
        </w:rPr>
        <w:t xml:space="preserve"> </w:t>
      </w:r>
      <w:r w:rsidRPr="007D2C07">
        <w:rPr>
          <w:bCs/>
        </w:rPr>
        <w:t>because</w:t>
      </w:r>
      <w:r w:rsidR="00422215">
        <w:rPr>
          <w:bCs/>
        </w:rPr>
        <w:t xml:space="preserve"> </w:t>
      </w:r>
      <w:r w:rsidRPr="007D2C07">
        <w:rPr>
          <w:bCs/>
        </w:rPr>
        <w:t>one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more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parties</w:t>
      </w:r>
      <w:r w:rsidR="00422215">
        <w:rPr>
          <w:bCs/>
        </w:rPr>
        <w:t xml:space="preserve"> </w:t>
      </w:r>
      <w:r w:rsidRPr="007D2C07">
        <w:rPr>
          <w:bCs/>
        </w:rPr>
        <w:t>does</w:t>
      </w:r>
      <w:r w:rsidR="00422215">
        <w:rPr>
          <w:bCs/>
        </w:rPr>
        <w:t xml:space="preserve"> </w:t>
      </w:r>
      <w:r w:rsidRPr="007D2C07">
        <w:rPr>
          <w:bCs/>
        </w:rPr>
        <w:t>not</w:t>
      </w:r>
      <w:r w:rsidR="00422215">
        <w:rPr>
          <w:bCs/>
        </w:rPr>
        <w:t xml:space="preserve"> </w:t>
      </w:r>
      <w:r w:rsidRPr="007D2C07">
        <w:rPr>
          <w:bCs/>
        </w:rPr>
        <w:t>speak</w:t>
      </w:r>
      <w:r w:rsidR="00422215">
        <w:rPr>
          <w:bCs/>
        </w:rPr>
        <w:t xml:space="preserve"> </w:t>
      </w:r>
      <w:r w:rsidRPr="007D2C07">
        <w:rPr>
          <w:bCs/>
        </w:rPr>
        <w:t>Norwegian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that</w:t>
      </w:r>
      <w:r w:rsidR="00422215">
        <w:rPr>
          <w:bCs/>
        </w:rPr>
        <w:t xml:space="preserve"> </w:t>
      </w:r>
      <w:r w:rsidRPr="007D2C07">
        <w:rPr>
          <w:bCs/>
        </w:rPr>
        <w:t>party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Norwegian</w:t>
      </w:r>
      <w:r w:rsidR="00422215">
        <w:rPr>
          <w:bCs/>
        </w:rPr>
        <w:t xml:space="preserve"> </w:t>
      </w:r>
      <w:r w:rsidRPr="007D2C07">
        <w:rPr>
          <w:bCs/>
        </w:rPr>
        <w:t>citizen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foreign</w:t>
      </w:r>
      <w:r w:rsidR="00422215">
        <w:rPr>
          <w:bCs/>
        </w:rPr>
        <w:t xml:space="preserve"> </w:t>
      </w:r>
      <w:r w:rsidRPr="007D2C07">
        <w:rPr>
          <w:bCs/>
        </w:rPr>
        <w:t>citizen</w:t>
      </w:r>
      <w:r w:rsidR="00422215">
        <w:rPr>
          <w:bCs/>
        </w:rPr>
        <w:t xml:space="preserve"> </w:t>
      </w:r>
      <w:r w:rsidRPr="007D2C07">
        <w:rPr>
          <w:bCs/>
        </w:rPr>
        <w:t>resident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Norway.</w:t>
      </w:r>
      <w:r w:rsidR="00422215">
        <w:rPr>
          <w:bCs/>
        </w:rPr>
        <w:t xml:space="preserve"> </w:t>
      </w:r>
      <w:r w:rsidRPr="007D2C07">
        <w:rPr>
          <w:bCs/>
        </w:rPr>
        <w:t>If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witness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an</w:t>
      </w:r>
      <w:r w:rsidR="00422215">
        <w:rPr>
          <w:bCs/>
        </w:rPr>
        <w:t xml:space="preserve"> </w:t>
      </w:r>
      <w:r w:rsidRPr="007D2C07">
        <w:rPr>
          <w:bCs/>
        </w:rPr>
        <w:t>expert</w:t>
      </w:r>
      <w:r w:rsidR="00422215">
        <w:rPr>
          <w:bCs/>
        </w:rPr>
        <w:t xml:space="preserve"> </w:t>
      </w:r>
      <w:r w:rsidRPr="007D2C07">
        <w:rPr>
          <w:bCs/>
        </w:rPr>
        <w:t>does</w:t>
      </w:r>
      <w:r w:rsidR="00422215">
        <w:rPr>
          <w:bCs/>
        </w:rPr>
        <w:t xml:space="preserve"> </w:t>
      </w:r>
      <w:r w:rsidRPr="007D2C07">
        <w:rPr>
          <w:bCs/>
        </w:rPr>
        <w:t>not</w:t>
      </w:r>
      <w:r w:rsidR="00422215">
        <w:rPr>
          <w:bCs/>
        </w:rPr>
        <w:t xml:space="preserve"> </w:t>
      </w:r>
      <w:r w:rsidRPr="007D2C07">
        <w:rPr>
          <w:bCs/>
        </w:rPr>
        <w:t>speak</w:t>
      </w:r>
      <w:r w:rsidR="00422215">
        <w:rPr>
          <w:bCs/>
        </w:rPr>
        <w:t xml:space="preserve"> </w:t>
      </w:r>
      <w:r w:rsidRPr="007D2C07">
        <w:rPr>
          <w:bCs/>
        </w:rPr>
        <w:t>Norwegian,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if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party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foreign</w:t>
      </w:r>
      <w:r w:rsidR="00422215">
        <w:rPr>
          <w:bCs/>
        </w:rPr>
        <w:t xml:space="preserve"> </w:t>
      </w:r>
      <w:r w:rsidRPr="007D2C07">
        <w:rPr>
          <w:bCs/>
        </w:rPr>
        <w:t>national</w:t>
      </w:r>
      <w:r w:rsidR="00422215">
        <w:rPr>
          <w:bCs/>
        </w:rPr>
        <w:t xml:space="preserve"> </w:t>
      </w:r>
      <w:r w:rsidRPr="007D2C07">
        <w:rPr>
          <w:bCs/>
        </w:rPr>
        <w:t>non-resident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Norway,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expenses</w:t>
      </w:r>
      <w:r w:rsidR="00422215">
        <w:rPr>
          <w:bCs/>
        </w:rPr>
        <w:t xml:space="preserve"> </w:t>
      </w:r>
      <w:r w:rsidRPr="007D2C07">
        <w:rPr>
          <w:bCs/>
        </w:rPr>
        <w:t>can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paid</w:t>
      </w:r>
      <w:r w:rsidR="00422215">
        <w:rPr>
          <w:bCs/>
        </w:rPr>
        <w:t xml:space="preserve"> </w:t>
      </w:r>
      <w:r w:rsidRPr="007D2C07">
        <w:rPr>
          <w:bCs/>
        </w:rPr>
        <w:t>if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court</w:t>
      </w:r>
      <w:r w:rsidR="00422215">
        <w:rPr>
          <w:bCs/>
        </w:rPr>
        <w:t xml:space="preserve"> </w:t>
      </w:r>
      <w:r w:rsidRPr="007D2C07">
        <w:rPr>
          <w:bCs/>
        </w:rPr>
        <w:t>deems</w:t>
      </w:r>
      <w:r w:rsidR="00422215">
        <w:rPr>
          <w:bCs/>
        </w:rPr>
        <w:t xml:space="preserve"> </w:t>
      </w:r>
      <w:r w:rsidRPr="007D2C07">
        <w:rPr>
          <w:bCs/>
        </w:rPr>
        <w:t>it</w:t>
      </w:r>
      <w:r w:rsidR="00422215">
        <w:rPr>
          <w:bCs/>
        </w:rPr>
        <w:t xml:space="preserve"> </w:t>
      </w:r>
      <w:r w:rsidRPr="007D2C07">
        <w:rPr>
          <w:bCs/>
        </w:rPr>
        <w:t>reasonable.</w:t>
      </w:r>
      <w:r w:rsidR="00422215">
        <w:rPr>
          <w:bCs/>
        </w:rPr>
        <w:t xml:space="preserve"> </w:t>
      </w:r>
      <w:r w:rsidRPr="007D2C07">
        <w:rPr>
          <w:bCs/>
        </w:rPr>
        <w:t>This</w:t>
      </w:r>
      <w:r w:rsidR="00422215">
        <w:rPr>
          <w:bCs/>
        </w:rPr>
        <w:t xml:space="preserve"> </w:t>
      </w:r>
      <w:r w:rsidRPr="007D2C07">
        <w:rPr>
          <w:bCs/>
        </w:rPr>
        <w:t>will</w:t>
      </w:r>
      <w:r w:rsidR="00422215">
        <w:rPr>
          <w:bCs/>
        </w:rPr>
        <w:t xml:space="preserve"> </w:t>
      </w:r>
      <w:r w:rsidRPr="007D2C07">
        <w:rPr>
          <w:bCs/>
        </w:rPr>
        <w:t>depend</w:t>
      </w:r>
      <w:r w:rsidR="00422215">
        <w:rPr>
          <w:bCs/>
        </w:rPr>
        <w:t xml:space="preserve"> </w:t>
      </w:r>
      <w:r w:rsidRPr="007D2C07">
        <w:rPr>
          <w:bCs/>
        </w:rPr>
        <w:t>on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type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case.</w:t>
      </w:r>
      <w:r w:rsidR="00422215">
        <w:rPr>
          <w:bCs/>
        </w:rPr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8C6E34">
        <w:t>According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Act,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person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origin</w:t>
      </w:r>
      <w:r w:rsidR="00422215">
        <w:rPr>
          <w:bCs/>
        </w:rPr>
        <w:t xml:space="preserve"> </w:t>
      </w:r>
      <w:r w:rsidRPr="007D2C07">
        <w:rPr>
          <w:bCs/>
        </w:rPr>
        <w:t>has</w:t>
      </w:r>
      <w:r w:rsidR="00422215">
        <w:rPr>
          <w:bCs/>
        </w:rPr>
        <w:t xml:space="preserve"> </w:t>
      </w:r>
      <w:r w:rsidRPr="007D2C07">
        <w:rPr>
          <w:bCs/>
        </w:rPr>
        <w:t>an</w:t>
      </w:r>
      <w:r w:rsidR="00422215">
        <w:rPr>
          <w:bCs/>
        </w:rPr>
        <w:t xml:space="preserve"> </w:t>
      </w:r>
      <w:r w:rsidRPr="007D2C07">
        <w:rPr>
          <w:bCs/>
        </w:rPr>
        <w:t>individual</w:t>
      </w:r>
      <w:r w:rsidR="00422215">
        <w:rPr>
          <w:bCs/>
        </w:rPr>
        <w:t xml:space="preserve"> </w:t>
      </w:r>
      <w:r w:rsidRPr="007D2C07">
        <w:rPr>
          <w:bCs/>
        </w:rPr>
        <w:t>right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use</w:t>
      </w:r>
      <w:r w:rsidR="00422215">
        <w:rPr>
          <w:bCs/>
        </w:rPr>
        <w:t xml:space="preserve"> </w:t>
      </w:r>
      <w:r w:rsidRPr="007D2C07">
        <w:rPr>
          <w:bCs/>
        </w:rPr>
        <w:t>his</w:t>
      </w:r>
      <w:r w:rsidR="00422215">
        <w:rPr>
          <w:bCs/>
        </w:rPr>
        <w:t xml:space="preserve"> </w:t>
      </w:r>
      <w:r w:rsidRPr="007D2C07">
        <w:rPr>
          <w:bCs/>
        </w:rPr>
        <w:t>own</w:t>
      </w:r>
      <w:r w:rsidR="00422215">
        <w:rPr>
          <w:bCs/>
        </w:rPr>
        <w:t xml:space="preserve"> </w:t>
      </w:r>
      <w:r w:rsidRPr="007D2C07">
        <w:rPr>
          <w:bCs/>
        </w:rPr>
        <w:t>language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courts</w:t>
      </w:r>
      <w:r w:rsidR="00422215">
        <w:rPr>
          <w:bCs/>
        </w:rPr>
        <w:t xml:space="preserve"> </w:t>
      </w:r>
      <w:r w:rsidRPr="007D2C07">
        <w:rPr>
          <w:bCs/>
        </w:rPr>
        <w:t>whose</w:t>
      </w:r>
      <w:r w:rsidR="00422215">
        <w:rPr>
          <w:bCs/>
        </w:rPr>
        <w:t xml:space="preserve"> </w:t>
      </w:r>
      <w:r w:rsidRPr="007D2C07">
        <w:rPr>
          <w:bCs/>
        </w:rPr>
        <w:t>jurisdiction</w:t>
      </w:r>
      <w:r w:rsidR="00422215">
        <w:rPr>
          <w:bCs/>
        </w:rPr>
        <w:t xml:space="preserve"> </w:t>
      </w:r>
      <w:r w:rsidRPr="007D2C07">
        <w:rPr>
          <w:bCs/>
        </w:rPr>
        <w:t>comprises</w:t>
      </w:r>
      <w:r w:rsidR="00422215">
        <w:rPr>
          <w:bCs/>
        </w:rPr>
        <w:t xml:space="preserve"> </w:t>
      </w:r>
      <w:r w:rsidRPr="007D2C07">
        <w:rPr>
          <w:bCs/>
        </w:rPr>
        <w:t>all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parts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administrative</w:t>
      </w:r>
      <w:r w:rsidR="00422215">
        <w:rPr>
          <w:bCs/>
        </w:rPr>
        <w:t xml:space="preserve"> </w:t>
      </w:r>
      <w:r w:rsidRPr="007D2C07">
        <w:rPr>
          <w:bCs/>
        </w:rPr>
        <w:t>district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language.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purpose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Act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enable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people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Norway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safeguard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develop</w:t>
      </w:r>
      <w:r w:rsidR="00422215">
        <w:rPr>
          <w:bCs/>
        </w:rPr>
        <w:t xml:space="preserve"> </w:t>
      </w:r>
      <w:r w:rsidRPr="007D2C07">
        <w:rPr>
          <w:bCs/>
        </w:rPr>
        <w:t>their</w:t>
      </w:r>
      <w:r w:rsidR="00422215">
        <w:rPr>
          <w:bCs/>
        </w:rPr>
        <w:t xml:space="preserve"> </w:t>
      </w:r>
      <w:r w:rsidRPr="007D2C07">
        <w:rPr>
          <w:bCs/>
        </w:rPr>
        <w:t>language,</w:t>
      </w:r>
      <w:r w:rsidR="00422215">
        <w:rPr>
          <w:bCs/>
        </w:rPr>
        <w:t xml:space="preserve"> </w:t>
      </w:r>
      <w:r w:rsidRPr="007D2C07">
        <w:rPr>
          <w:bCs/>
        </w:rPr>
        <w:t>culture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way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life.</w:t>
      </w:r>
      <w:r w:rsidR="00422215">
        <w:rPr>
          <w:bCs/>
        </w:rPr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8C6E34">
        <w:t>The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Act</w:t>
      </w:r>
      <w:r w:rsidR="00422215">
        <w:rPr>
          <w:bCs/>
        </w:rPr>
        <w:t xml:space="preserve"> </w:t>
      </w:r>
      <w:r w:rsidRPr="007D2C07">
        <w:rPr>
          <w:bCs/>
        </w:rPr>
        <w:t>Section</w:t>
      </w:r>
      <w:r w:rsidR="00422215">
        <w:rPr>
          <w:bCs/>
        </w:rPr>
        <w:t xml:space="preserve"> </w:t>
      </w:r>
      <w:r w:rsidRPr="007D2C07">
        <w:rPr>
          <w:bCs/>
        </w:rPr>
        <w:t>3-4</w:t>
      </w:r>
      <w:r w:rsidR="00422215">
        <w:rPr>
          <w:bCs/>
        </w:rPr>
        <w:t xml:space="preserve"> </w:t>
      </w:r>
      <w:r w:rsidRPr="007D2C07">
        <w:rPr>
          <w:bCs/>
        </w:rPr>
        <w:t>stipulates</w:t>
      </w:r>
      <w:r w:rsidR="00422215">
        <w:rPr>
          <w:bCs/>
        </w:rPr>
        <w:t xml:space="preserve"> </w:t>
      </w:r>
      <w:r w:rsidRPr="007D2C07">
        <w:rPr>
          <w:bCs/>
        </w:rPr>
        <w:t>special</w:t>
      </w:r>
      <w:r w:rsidR="00422215">
        <w:rPr>
          <w:bCs/>
        </w:rPr>
        <w:t xml:space="preserve"> </w:t>
      </w:r>
      <w:r w:rsidRPr="007D2C07">
        <w:rPr>
          <w:bCs/>
        </w:rPr>
        <w:t>rules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court</w:t>
      </w:r>
      <w:r w:rsidR="00422215">
        <w:rPr>
          <w:bCs/>
        </w:rPr>
        <w:t xml:space="preserve"> </w:t>
      </w:r>
      <w:r w:rsidRPr="007D2C07">
        <w:rPr>
          <w:bCs/>
        </w:rPr>
        <w:t>proceedings: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right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submit</w:t>
      </w:r>
      <w:r w:rsidR="00422215">
        <w:rPr>
          <w:bCs/>
        </w:rPr>
        <w:t xml:space="preserve"> </w:t>
      </w:r>
      <w:r w:rsidRPr="007D2C07">
        <w:rPr>
          <w:bCs/>
        </w:rPr>
        <w:t>written</w:t>
      </w:r>
      <w:r w:rsidR="00422215">
        <w:rPr>
          <w:bCs/>
        </w:rPr>
        <w:t xml:space="preserve"> </w:t>
      </w:r>
      <w:r w:rsidRPr="007D2C07">
        <w:rPr>
          <w:bCs/>
        </w:rPr>
        <w:t>pleadings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Sami,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right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make</w:t>
      </w:r>
      <w:r w:rsidR="00422215">
        <w:rPr>
          <w:bCs/>
        </w:rPr>
        <w:t xml:space="preserve"> </w:t>
      </w:r>
      <w:r w:rsidRPr="007D2C07">
        <w:rPr>
          <w:bCs/>
        </w:rPr>
        <w:t>an</w:t>
      </w:r>
      <w:r w:rsidR="00422215">
        <w:rPr>
          <w:bCs/>
        </w:rPr>
        <w:t xml:space="preserve"> </w:t>
      </w:r>
      <w:r w:rsidRPr="007D2C07">
        <w:rPr>
          <w:bCs/>
        </w:rPr>
        <w:t>oral</w:t>
      </w:r>
      <w:r w:rsidR="00422215">
        <w:rPr>
          <w:bCs/>
        </w:rPr>
        <w:t xml:space="preserve"> </w:t>
      </w:r>
      <w:r w:rsidRPr="007D2C07">
        <w:rPr>
          <w:bCs/>
        </w:rPr>
        <w:t>application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Sami,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right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speak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at</w:t>
      </w:r>
      <w:r w:rsidR="00422215">
        <w:rPr>
          <w:bCs/>
        </w:rPr>
        <w:t xml:space="preserve"> </w:t>
      </w:r>
      <w:r w:rsidRPr="007D2C07">
        <w:rPr>
          <w:bCs/>
        </w:rPr>
        <w:t>court</w:t>
      </w:r>
      <w:r w:rsidR="00422215">
        <w:rPr>
          <w:bCs/>
        </w:rPr>
        <w:t xml:space="preserve"> </w:t>
      </w:r>
      <w:r w:rsidRPr="007D2C07">
        <w:rPr>
          <w:bCs/>
        </w:rPr>
        <w:t>hearings.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court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responsible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translation</w:t>
      </w:r>
      <w:r w:rsidR="00422215">
        <w:rPr>
          <w:bCs/>
        </w:rPr>
        <w:t xml:space="preserve"> </w:t>
      </w:r>
      <w:r w:rsidRPr="007D2C07">
        <w:rPr>
          <w:bCs/>
        </w:rPr>
        <w:t>into</w:t>
      </w:r>
      <w:r w:rsidR="00422215">
        <w:rPr>
          <w:bCs/>
        </w:rPr>
        <w:t xml:space="preserve"> </w:t>
      </w:r>
      <w:r w:rsidRPr="007D2C07">
        <w:rPr>
          <w:bCs/>
        </w:rPr>
        <w:t>Norwegian.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judge</w:t>
      </w:r>
      <w:r w:rsidR="00422215">
        <w:rPr>
          <w:bCs/>
        </w:rPr>
        <w:t xml:space="preserve"> </w:t>
      </w:r>
      <w:r w:rsidRPr="007D2C07">
        <w:rPr>
          <w:bCs/>
        </w:rPr>
        <w:t>may</w:t>
      </w:r>
      <w:r w:rsidR="00422215">
        <w:rPr>
          <w:bCs/>
        </w:rPr>
        <w:t xml:space="preserve"> </w:t>
      </w:r>
      <w:r w:rsidRPr="007D2C07">
        <w:rPr>
          <w:bCs/>
        </w:rPr>
        <w:t>also</w:t>
      </w:r>
      <w:r w:rsidR="00422215">
        <w:rPr>
          <w:bCs/>
        </w:rPr>
        <w:t xml:space="preserve"> </w:t>
      </w:r>
      <w:r w:rsidRPr="007D2C07">
        <w:rPr>
          <w:bCs/>
        </w:rPr>
        <w:t>decide</w:t>
      </w:r>
      <w:r w:rsidR="00422215">
        <w:rPr>
          <w:bCs/>
        </w:rPr>
        <w:t xml:space="preserve"> </w:t>
      </w:r>
      <w:r w:rsidRPr="007D2C07">
        <w:rPr>
          <w:bCs/>
        </w:rPr>
        <w:t>that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language</w:t>
      </w:r>
      <w:r w:rsidR="00422215">
        <w:rPr>
          <w:bCs/>
        </w:rPr>
        <w:t xml:space="preserve"> </w:t>
      </w:r>
      <w:r w:rsidRPr="007D2C07">
        <w:rPr>
          <w:bCs/>
        </w:rPr>
        <w:t>used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proceedings</w:t>
      </w:r>
      <w:r w:rsidR="00422215">
        <w:rPr>
          <w:bCs/>
        </w:rPr>
        <w:t xml:space="preserve"> </w:t>
      </w:r>
      <w:r w:rsidRPr="007D2C07">
        <w:rPr>
          <w:bCs/>
        </w:rPr>
        <w:t>shall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that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court</w:t>
      </w:r>
      <w:r w:rsidR="00422215">
        <w:rPr>
          <w:bCs/>
        </w:rPr>
        <w:t xml:space="preserve"> </w:t>
      </w:r>
      <w:r w:rsidRPr="007D2C07">
        <w:rPr>
          <w:bCs/>
        </w:rPr>
        <w:t>records</w:t>
      </w:r>
      <w:r w:rsidR="00422215">
        <w:rPr>
          <w:bCs/>
        </w:rPr>
        <w:t xml:space="preserve"> </w:t>
      </w:r>
      <w:r w:rsidRPr="007D2C07">
        <w:rPr>
          <w:bCs/>
        </w:rPr>
        <w:t>shall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Sami.</w:t>
      </w:r>
      <w:r w:rsidR="00422215">
        <w:rPr>
          <w:bCs/>
        </w:rPr>
        <w:t xml:space="preserve"> </w:t>
      </w:r>
    </w:p>
    <w:p w:rsidR="008C6E34" w:rsidRPr="008C6E34" w:rsidRDefault="007D2C07" w:rsidP="008C6E34">
      <w:pPr>
        <w:pStyle w:val="SingleTxtG"/>
        <w:numPr>
          <w:ilvl w:val="0"/>
          <w:numId w:val="35"/>
        </w:numPr>
        <w:ind w:left="1134" w:firstLine="0"/>
        <w:rPr>
          <w:b/>
        </w:rPr>
      </w:pPr>
      <w:r w:rsidRPr="008C6E34">
        <w:t>Announcements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positions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police</w:t>
      </w:r>
      <w:r w:rsidR="00422215">
        <w:rPr>
          <w:bCs/>
        </w:rPr>
        <w:t xml:space="preserve"> </w:t>
      </w:r>
      <w:r w:rsidRPr="007D2C07">
        <w:rPr>
          <w:bCs/>
        </w:rPr>
        <w:t>state</w:t>
      </w:r>
      <w:r w:rsidR="00422215">
        <w:rPr>
          <w:bCs/>
        </w:rPr>
        <w:t xml:space="preserve"> </w:t>
      </w:r>
      <w:r w:rsidRPr="007D2C07">
        <w:rPr>
          <w:bCs/>
        </w:rPr>
        <w:t>that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public</w:t>
      </w:r>
      <w:r w:rsidR="00422215">
        <w:rPr>
          <w:bCs/>
        </w:rPr>
        <w:t xml:space="preserve"> </w:t>
      </w:r>
      <w:r w:rsidRPr="007D2C07">
        <w:rPr>
          <w:bCs/>
        </w:rPr>
        <w:t>workforce</w:t>
      </w:r>
      <w:r w:rsidR="00422215">
        <w:rPr>
          <w:bCs/>
        </w:rPr>
        <w:t xml:space="preserve"> </w:t>
      </w:r>
      <w:r w:rsidRPr="007D2C07">
        <w:rPr>
          <w:bCs/>
        </w:rPr>
        <w:t>shall</w:t>
      </w:r>
      <w:r w:rsidR="00422215">
        <w:rPr>
          <w:bCs/>
        </w:rPr>
        <w:t xml:space="preserve"> </w:t>
      </w:r>
      <w:r w:rsidRPr="007D2C07">
        <w:rPr>
          <w:bCs/>
        </w:rPr>
        <w:t>reflect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diversity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society.</w:t>
      </w:r>
      <w:r w:rsidR="00422215">
        <w:rPr>
          <w:bCs/>
        </w:rPr>
        <w:t xml:space="preserve"> </w:t>
      </w:r>
      <w:r w:rsidRPr="007D2C07">
        <w:rPr>
          <w:bCs/>
        </w:rPr>
        <w:t>Therefore,</w:t>
      </w:r>
      <w:r w:rsidR="00422215">
        <w:rPr>
          <w:bCs/>
        </w:rPr>
        <w:t xml:space="preserve"> </w:t>
      </w:r>
      <w:r w:rsidRPr="007D2C07">
        <w:rPr>
          <w:bCs/>
        </w:rPr>
        <w:t>all</w:t>
      </w:r>
      <w:r w:rsidR="00422215">
        <w:rPr>
          <w:bCs/>
        </w:rPr>
        <w:t xml:space="preserve"> </w:t>
      </w:r>
      <w:r w:rsidRPr="007D2C07">
        <w:rPr>
          <w:bCs/>
        </w:rPr>
        <w:t>qualified</w:t>
      </w:r>
      <w:r w:rsidR="00422215">
        <w:rPr>
          <w:bCs/>
        </w:rPr>
        <w:t xml:space="preserve"> </w:t>
      </w:r>
      <w:r w:rsidRPr="007D2C07">
        <w:rPr>
          <w:bCs/>
        </w:rPr>
        <w:t>persons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diverse</w:t>
      </w:r>
      <w:r w:rsidR="00422215">
        <w:rPr>
          <w:bCs/>
        </w:rPr>
        <w:t xml:space="preserve"> </w:t>
      </w:r>
      <w:r w:rsidRPr="007D2C07">
        <w:rPr>
          <w:bCs/>
        </w:rPr>
        <w:t>education,</w:t>
      </w:r>
      <w:r w:rsidR="00422215">
        <w:rPr>
          <w:bCs/>
        </w:rPr>
        <w:t xml:space="preserve"> </w:t>
      </w:r>
      <w:r w:rsidRPr="007D2C07">
        <w:rPr>
          <w:bCs/>
        </w:rPr>
        <w:t>work-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life-experience</w:t>
      </w:r>
      <w:r w:rsidR="00422215">
        <w:rPr>
          <w:bCs/>
        </w:rPr>
        <w:t xml:space="preserve"> </w:t>
      </w:r>
      <w:r w:rsidRPr="007D2C07">
        <w:rPr>
          <w:bCs/>
        </w:rPr>
        <w:t>are</w:t>
      </w:r>
      <w:r w:rsidR="00422215">
        <w:rPr>
          <w:bCs/>
        </w:rPr>
        <w:t xml:space="preserve"> </w:t>
      </w:r>
      <w:r w:rsidRPr="007D2C07">
        <w:rPr>
          <w:bCs/>
        </w:rPr>
        <w:t>encouraged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apply.</w:t>
      </w:r>
      <w:r w:rsidR="00422215">
        <w:rPr>
          <w:bCs/>
        </w:rPr>
        <w:t xml:space="preserve"> </w:t>
      </w:r>
      <w:r w:rsidRPr="007D2C07">
        <w:rPr>
          <w:bCs/>
        </w:rPr>
        <w:t>An</w:t>
      </w:r>
      <w:r w:rsidR="00422215">
        <w:rPr>
          <w:bCs/>
        </w:rPr>
        <w:t xml:space="preserve"> </w:t>
      </w:r>
      <w:r w:rsidRPr="007D2C07">
        <w:rPr>
          <w:bCs/>
        </w:rPr>
        <w:t>action</w:t>
      </w:r>
      <w:r w:rsidR="00422215">
        <w:rPr>
          <w:bCs/>
        </w:rPr>
        <w:t xml:space="preserve"> </w:t>
      </w:r>
      <w:r w:rsidRPr="007D2C07">
        <w:rPr>
          <w:bCs/>
        </w:rPr>
        <w:t>plan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work</w:t>
      </w:r>
      <w:r w:rsidR="00422215">
        <w:rPr>
          <w:bCs/>
        </w:rPr>
        <w:t xml:space="preserve"> </w:t>
      </w:r>
      <w:r w:rsidRPr="007D2C07">
        <w:rPr>
          <w:bCs/>
        </w:rPr>
        <w:t>on</w:t>
      </w:r>
      <w:r w:rsidR="00422215">
        <w:rPr>
          <w:bCs/>
        </w:rPr>
        <w:t xml:space="preserve"> </w:t>
      </w:r>
      <w:r w:rsidRPr="007D2C07">
        <w:rPr>
          <w:bCs/>
        </w:rPr>
        <w:t>diversity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police</w:t>
      </w:r>
      <w:r w:rsidR="00422215">
        <w:rPr>
          <w:bCs/>
        </w:rPr>
        <w:t xml:space="preserve"> </w:t>
      </w:r>
      <w:r w:rsidRPr="007D2C07">
        <w:rPr>
          <w:bCs/>
        </w:rPr>
        <w:t>force</w:t>
      </w:r>
      <w:r w:rsidR="00422215">
        <w:rPr>
          <w:bCs/>
        </w:rPr>
        <w:t xml:space="preserve"> </w:t>
      </w:r>
      <w:r w:rsidRPr="007D2C07">
        <w:rPr>
          <w:bCs/>
        </w:rPr>
        <w:t>has</w:t>
      </w:r>
      <w:r w:rsidR="00422215">
        <w:rPr>
          <w:bCs/>
        </w:rPr>
        <w:t xml:space="preserve"> </w:t>
      </w:r>
      <w:r w:rsidRPr="007D2C07">
        <w:rPr>
          <w:bCs/>
        </w:rPr>
        <w:t>been</w:t>
      </w:r>
      <w:r w:rsidR="00422215">
        <w:rPr>
          <w:bCs/>
        </w:rPr>
        <w:t xml:space="preserve"> </w:t>
      </w:r>
      <w:r w:rsidRPr="007D2C07">
        <w:rPr>
          <w:bCs/>
        </w:rPr>
        <w:t>established.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plan</w:t>
      </w:r>
      <w:r w:rsidR="00422215">
        <w:rPr>
          <w:bCs/>
        </w:rPr>
        <w:t xml:space="preserve"> </w:t>
      </w:r>
      <w:r w:rsidRPr="007D2C07">
        <w:rPr>
          <w:bCs/>
        </w:rPr>
        <w:t>encompasses</w:t>
      </w:r>
      <w:r w:rsidR="00422215">
        <w:rPr>
          <w:bCs/>
        </w:rPr>
        <w:t xml:space="preserve"> </w:t>
      </w:r>
      <w:r w:rsidRPr="007D2C07">
        <w:rPr>
          <w:bCs/>
        </w:rPr>
        <w:t>equality</w:t>
      </w:r>
      <w:r w:rsidR="00422215">
        <w:rPr>
          <w:bCs/>
        </w:rPr>
        <w:t xml:space="preserve"> </w:t>
      </w:r>
      <w:r w:rsidRPr="007D2C07">
        <w:rPr>
          <w:bCs/>
        </w:rPr>
        <w:t>concerning</w:t>
      </w:r>
      <w:r w:rsidR="00422215">
        <w:rPr>
          <w:bCs/>
        </w:rPr>
        <w:t xml:space="preserve"> </w:t>
      </w:r>
      <w:r w:rsidRPr="007D2C07">
        <w:rPr>
          <w:bCs/>
        </w:rPr>
        <w:t>gender,</w:t>
      </w:r>
      <w:r w:rsidR="00422215">
        <w:rPr>
          <w:bCs/>
        </w:rPr>
        <w:t xml:space="preserve"> </w:t>
      </w:r>
      <w:r w:rsidRPr="007D2C07">
        <w:rPr>
          <w:bCs/>
        </w:rPr>
        <w:t>ethnicity,</w:t>
      </w:r>
      <w:r w:rsidR="00422215">
        <w:rPr>
          <w:bCs/>
        </w:rPr>
        <w:t xml:space="preserve"> </w:t>
      </w:r>
      <w:r w:rsidRPr="007D2C07">
        <w:rPr>
          <w:bCs/>
        </w:rPr>
        <w:t>sexual</w:t>
      </w:r>
      <w:r w:rsidR="00422215">
        <w:rPr>
          <w:bCs/>
        </w:rPr>
        <w:t xml:space="preserve"> </w:t>
      </w:r>
      <w:r w:rsidRPr="007D2C07">
        <w:rPr>
          <w:bCs/>
        </w:rPr>
        <w:t>orientation,</w:t>
      </w:r>
      <w:r w:rsidR="00422215">
        <w:rPr>
          <w:bCs/>
        </w:rPr>
        <w:t xml:space="preserve"> </w:t>
      </w:r>
      <w:r w:rsidRPr="007D2C07">
        <w:rPr>
          <w:bCs/>
        </w:rPr>
        <w:t>age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persons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physical</w:t>
      </w:r>
      <w:r w:rsidR="00422215">
        <w:rPr>
          <w:bCs/>
        </w:rPr>
        <w:t xml:space="preserve"> </w:t>
      </w:r>
      <w:r w:rsidRPr="007D2C07">
        <w:rPr>
          <w:bCs/>
        </w:rPr>
        <w:t>disabilities.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aim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action</w:t>
      </w:r>
      <w:r w:rsidR="00422215">
        <w:rPr>
          <w:bCs/>
        </w:rPr>
        <w:t xml:space="preserve"> </w:t>
      </w:r>
      <w:r w:rsidRPr="007D2C07">
        <w:rPr>
          <w:bCs/>
        </w:rPr>
        <w:t>plan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make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work</w:t>
      </w:r>
      <w:r w:rsidR="00422215">
        <w:rPr>
          <w:bCs/>
        </w:rPr>
        <w:t xml:space="preserve"> </w:t>
      </w:r>
      <w:r w:rsidRPr="007D2C07">
        <w:rPr>
          <w:bCs/>
        </w:rPr>
        <w:t>on</w:t>
      </w:r>
      <w:r w:rsidR="00422215">
        <w:rPr>
          <w:bCs/>
        </w:rPr>
        <w:t xml:space="preserve"> </w:t>
      </w:r>
      <w:r w:rsidRPr="007D2C07">
        <w:rPr>
          <w:bCs/>
        </w:rPr>
        <w:t>promoting</w:t>
      </w:r>
      <w:r w:rsidR="00422215">
        <w:rPr>
          <w:bCs/>
        </w:rPr>
        <w:t xml:space="preserve"> </w:t>
      </w:r>
      <w:r w:rsidRPr="007D2C07">
        <w:rPr>
          <w:bCs/>
        </w:rPr>
        <w:t>diversity</w:t>
      </w:r>
      <w:r w:rsidR="00422215">
        <w:rPr>
          <w:bCs/>
        </w:rPr>
        <w:t xml:space="preserve"> </w:t>
      </w:r>
      <w:r w:rsidRPr="007D2C07">
        <w:rPr>
          <w:bCs/>
        </w:rPr>
        <w:t>as</w:t>
      </w:r>
      <w:r w:rsidR="00422215">
        <w:rPr>
          <w:bCs/>
        </w:rPr>
        <w:t xml:space="preserve"> </w:t>
      </w:r>
      <w:r w:rsidRPr="007D2C07">
        <w:rPr>
          <w:bCs/>
        </w:rPr>
        <w:t>determined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systematic</w:t>
      </w:r>
      <w:r w:rsidR="00422215">
        <w:rPr>
          <w:bCs/>
        </w:rPr>
        <w:t xml:space="preserve"> </w:t>
      </w:r>
      <w:r w:rsidRPr="007D2C07">
        <w:rPr>
          <w:bCs/>
        </w:rPr>
        <w:t>as</w:t>
      </w:r>
      <w:r w:rsidR="00422215">
        <w:rPr>
          <w:bCs/>
        </w:rPr>
        <w:t xml:space="preserve"> </w:t>
      </w:r>
      <w:r w:rsidRPr="007D2C07">
        <w:rPr>
          <w:bCs/>
        </w:rPr>
        <w:t>possible.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  <w:rPr>
          <w:b/>
        </w:rPr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revise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21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Act.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zero</w:t>
      </w:r>
      <w:r w:rsidR="00422215">
        <w:t xml:space="preserve"> </w:t>
      </w:r>
      <w:r w:rsidRPr="007D2C07">
        <w:t>tolerance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discriminatory</w:t>
      </w:r>
      <w:r w:rsidR="00422215">
        <w:t xml:space="preserve"> </w:t>
      </w:r>
      <w:r w:rsidRPr="007D2C07">
        <w:t>behaviour.</w:t>
      </w:r>
      <w:r w:rsidR="00422215"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4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2011–2018,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Research</w:t>
      </w:r>
      <w:r w:rsidR="00422215">
        <w:t xml:space="preserve"> </w:t>
      </w:r>
      <w:r w:rsidRPr="007D2C07">
        <w:t>Council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undertook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reform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reform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phased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gradually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transitional</w:t>
      </w:r>
      <w:r w:rsidR="00422215">
        <w:t xml:space="preserve"> </w:t>
      </w:r>
      <w:r w:rsidRPr="007D2C07">
        <w:t>rules,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continue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economic</w:t>
      </w:r>
      <w:r w:rsidR="00422215">
        <w:t xml:space="preserve"> </w:t>
      </w:r>
      <w:r w:rsidRPr="007D2C07">
        <w:t>effects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decades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come.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2011,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reform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successful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incentives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improving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elderly.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particularly</w:t>
      </w:r>
      <w:r w:rsidR="00422215">
        <w:t xml:space="preserve"> </w:t>
      </w:r>
      <w:r w:rsidRPr="007D2C07">
        <w:t>improved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sector.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incentives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great</w:t>
      </w:r>
      <w:r w:rsidR="00422215">
        <w:t xml:space="preserve"> </w:t>
      </w:r>
      <w:r w:rsidRPr="007D2C07">
        <w:t>extent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pensions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schemes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substantially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2011.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reached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reform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pensions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born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1963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later.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experience</w:t>
      </w:r>
      <w:r w:rsidR="00422215">
        <w:t xml:space="preserve"> </w:t>
      </w:r>
      <w:r w:rsidRPr="007D2C07">
        <w:t>stronger</w:t>
      </w:r>
      <w:r w:rsidR="00422215">
        <w:t xml:space="preserve"> </w:t>
      </w:r>
      <w:r w:rsidRPr="007D2C07">
        <w:t>incentives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mainly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retire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2025</w:t>
      </w:r>
      <w:r w:rsidR="00422215">
        <w:t xml:space="preserve"> </w:t>
      </w:r>
      <w:r w:rsidRPr="007D2C07">
        <w:t>onwards.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Public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spending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short</w:t>
      </w:r>
      <w:r w:rsidR="00422215">
        <w:t xml:space="preserve"> </w:t>
      </w:r>
      <w:r w:rsidRPr="007D2C07">
        <w:t>term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high</w:t>
      </w:r>
      <w:r w:rsidR="00422215">
        <w:t xml:space="preserve"> </w:t>
      </w:r>
      <w:r w:rsidRPr="007D2C07">
        <w:t>take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retirement.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spending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expected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long</w:t>
      </w:r>
      <w:r w:rsidR="00422215">
        <w:t xml:space="preserve"> </w:t>
      </w:r>
      <w:r w:rsidRPr="007D2C07">
        <w:t>term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expectancy</w:t>
      </w:r>
      <w:r w:rsidR="00422215">
        <w:t xml:space="preserve"> </w:t>
      </w:r>
      <w:r w:rsidRPr="007D2C07">
        <w:t>adjustment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pensions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indexation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pensions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retirement.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reform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lead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somewhat</w:t>
      </w:r>
      <w:r w:rsidR="00422215">
        <w:t xml:space="preserve"> </w:t>
      </w:r>
      <w:r w:rsidRPr="007D2C07">
        <w:t>greater</w:t>
      </w:r>
      <w:r w:rsidR="00422215">
        <w:t xml:space="preserve"> </w:t>
      </w:r>
      <w:r w:rsidRPr="007D2C07">
        <w:t>inequality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pensioners,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long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history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late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much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pensions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retire</w:t>
      </w:r>
      <w:r w:rsidR="00422215">
        <w:t xml:space="preserve"> </w:t>
      </w:r>
      <w:r w:rsidRPr="007D2C07">
        <w:t>early.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hand,</w:t>
      </w:r>
      <w:r w:rsidR="00422215">
        <w:t xml:space="preserve"> </w:t>
      </w:r>
      <w:r w:rsidRPr="007D2C07">
        <w:t>recent</w:t>
      </w:r>
      <w:r w:rsidR="00422215">
        <w:t xml:space="preserve"> </w:t>
      </w:r>
      <w:r w:rsidRPr="007D2C07">
        <w:t>increases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contributed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pensions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expectancy</w:t>
      </w:r>
      <w:r w:rsidR="00422215">
        <w:t xml:space="preserve"> </w:t>
      </w:r>
      <w:r w:rsidRPr="007D2C07">
        <w:t>adjustment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starting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half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expectancy</w:t>
      </w:r>
      <w:r w:rsidR="00422215">
        <w:t xml:space="preserve"> </w:t>
      </w:r>
      <w:r w:rsidRPr="007D2C07">
        <w:t>adjustment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non-disabled</w:t>
      </w:r>
      <w:r w:rsidR="00422215">
        <w:t xml:space="preserve"> </w:t>
      </w:r>
      <w:r w:rsidRPr="007D2C07">
        <w:t>persons.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justified</w:t>
      </w:r>
      <w:r w:rsidR="00422215">
        <w:t xml:space="preserve"> </w:t>
      </w:r>
      <w:r w:rsidRPr="007D2C07">
        <w:t>because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longer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compensate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expectancy</w:t>
      </w:r>
      <w:r w:rsidR="00422215">
        <w:t xml:space="preserve"> </w:t>
      </w:r>
      <w:r w:rsidRPr="007D2C07">
        <w:t>adjustment.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When</w:t>
      </w:r>
      <w:r w:rsidR="00422215">
        <w:t xml:space="preserve"> </w:t>
      </w:r>
      <w:r w:rsidRPr="007D2C07">
        <w:t>determining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pensioners,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face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trade-off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considerations.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hand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goal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adequate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pension.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hand,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cost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incentive</w:t>
      </w:r>
      <w:r w:rsidR="00422215">
        <w:t xml:space="preserve"> </w:t>
      </w:r>
      <w:r w:rsidRPr="007D2C07">
        <w:t>effects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giving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retire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considered.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entered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2011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generally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reasonable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compared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non-disabled.</w:t>
      </w:r>
      <w:r w:rsidR="00422215">
        <w:t xml:space="preserve"> </w:t>
      </w:r>
    </w:p>
    <w:p w:rsidR="007C7F59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combine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earnings</w:t>
      </w:r>
      <w:r w:rsidR="00422215">
        <w:t xml:space="preserve"> </w:t>
      </w:r>
      <w:r w:rsidRPr="007D2C07">
        <w:t>test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2011,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combining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pension.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publishes</w:t>
      </w:r>
      <w:r w:rsidR="00422215">
        <w:t xml:space="preserve"> </w:t>
      </w:r>
      <w:r w:rsidRPr="007D2C07">
        <w:t>indicators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withdrawal</w:t>
      </w:r>
      <w:r w:rsidR="00422215">
        <w:t xml:space="preserve"> </w:t>
      </w:r>
      <w:r w:rsidRPr="007D2C07">
        <w:t>(drawing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pension,</w:t>
      </w:r>
      <w:r w:rsidR="00422215">
        <w:t xml:space="preserve"> </w:t>
      </w:r>
      <w:r w:rsidRPr="007D2C07">
        <w:t>contractual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effective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exit.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2011</w:t>
      </w:r>
      <w:r w:rsidR="00422215">
        <w:t xml:space="preserve"> </w:t>
      </w:r>
      <w:r w:rsidRPr="007D2C07">
        <w:t>reform,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withdrawal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decreased,</w:t>
      </w:r>
      <w:r w:rsidR="00422215">
        <w:t xml:space="preserve"> </w:t>
      </w:r>
      <w:r w:rsidRPr="007D2C07">
        <w:t>even</w:t>
      </w:r>
      <w:r w:rsidR="00422215">
        <w:t xml:space="preserve"> </w:t>
      </w:r>
      <w:r w:rsidRPr="007D2C07">
        <w:t>though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effective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exit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seen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significant</w:t>
      </w:r>
      <w:r w:rsidR="00422215">
        <w:t xml:space="preserve"> </w:t>
      </w:r>
      <w:r w:rsidRPr="007D2C07">
        <w:t>increase.</w:t>
      </w:r>
      <w:r w:rsidR="00422215">
        <w:t xml:space="preserve"> </w:t>
      </w:r>
    </w:p>
    <w:p w:rsidR="007C7F59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analysis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patterns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50.</w:t>
      </w:r>
    </w:p>
    <w:p w:rsidR="007C7F59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Table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table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(in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sense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start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draw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pension)</w:t>
      </w:r>
      <w:r w:rsidR="00422215">
        <w:t xml:space="preserve"> </w:t>
      </w:r>
      <w:r w:rsidRPr="007D2C07">
        <w:t>fell</w:t>
      </w:r>
      <w:r w:rsidR="00422215">
        <w:t xml:space="preserve"> </w:t>
      </w:r>
      <w:r w:rsidRPr="007D2C07">
        <w:t>somewhat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2011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high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taking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early.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2012,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fairly</w:t>
      </w:r>
      <w:r w:rsidR="00422215">
        <w:t xml:space="preserve"> </w:t>
      </w:r>
      <w:r w:rsidRPr="007D2C07">
        <w:t>stable.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calculations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Table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pension,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AFP.</w:t>
      </w:r>
    </w:p>
    <w:p w:rsidR="007D2C07" w:rsidRPr="00764260" w:rsidRDefault="007D2C07" w:rsidP="00352F63">
      <w:pPr>
        <w:pStyle w:val="Heading1"/>
        <w:spacing w:before="240" w:after="120"/>
        <w:rPr>
          <w:b/>
        </w:rPr>
      </w:pPr>
      <w:r w:rsidRPr="007D2C07">
        <w:t>Table</w:t>
      </w:r>
      <w:r w:rsidR="00422215">
        <w:t xml:space="preserve"> </w:t>
      </w:r>
      <w:r w:rsidRPr="007D2C07">
        <w:t>1</w:t>
      </w:r>
      <w:r w:rsidR="00495BC2">
        <w:t xml:space="preserve"> </w:t>
      </w:r>
      <w:r w:rsidR="00764260">
        <w:br/>
      </w:r>
      <w:r w:rsidRPr="00764260">
        <w:rPr>
          <w:b/>
        </w:rPr>
        <w:t>Average</w:t>
      </w:r>
      <w:r w:rsidR="00422215" w:rsidRPr="00764260">
        <w:rPr>
          <w:b/>
        </w:rPr>
        <w:t xml:space="preserve"> </w:t>
      </w:r>
      <w:r w:rsidRPr="00764260">
        <w:rPr>
          <w:b/>
        </w:rPr>
        <w:t>age</w:t>
      </w:r>
      <w:r w:rsidR="00422215" w:rsidRPr="00764260">
        <w:rPr>
          <w:b/>
        </w:rPr>
        <w:t xml:space="preserve"> </w:t>
      </w:r>
      <w:r w:rsidRPr="00764260">
        <w:rPr>
          <w:b/>
        </w:rPr>
        <w:t>of</w:t>
      </w:r>
      <w:r w:rsidR="00422215" w:rsidRPr="00764260">
        <w:rPr>
          <w:b/>
        </w:rPr>
        <w:t xml:space="preserve"> </w:t>
      </w:r>
      <w:r w:rsidRPr="00764260">
        <w:rPr>
          <w:b/>
        </w:rPr>
        <w:t>retirement</w:t>
      </w:r>
      <w:r w:rsidR="00422215" w:rsidRPr="00764260">
        <w:rPr>
          <w:b/>
        </w:rPr>
        <w:t xml:space="preserve"> </w:t>
      </w:r>
      <w:r w:rsidRPr="00764260">
        <w:rPr>
          <w:b/>
        </w:rPr>
        <w:t>for</w:t>
      </w:r>
      <w:r w:rsidR="00422215" w:rsidRPr="00764260">
        <w:rPr>
          <w:b/>
        </w:rPr>
        <w:t xml:space="preserve"> </w:t>
      </w:r>
      <w:r w:rsidRPr="00764260">
        <w:rPr>
          <w:b/>
        </w:rPr>
        <w:t>those</w:t>
      </w:r>
      <w:r w:rsidR="00422215" w:rsidRPr="00764260">
        <w:rPr>
          <w:b/>
        </w:rPr>
        <w:t xml:space="preserve"> </w:t>
      </w:r>
      <w:r w:rsidRPr="00764260">
        <w:rPr>
          <w:b/>
        </w:rPr>
        <w:t>in</w:t>
      </w:r>
      <w:r w:rsidR="00422215" w:rsidRPr="00764260">
        <w:rPr>
          <w:b/>
        </w:rPr>
        <w:t xml:space="preserve"> </w:t>
      </w:r>
      <w:r w:rsidRPr="00764260">
        <w:rPr>
          <w:b/>
        </w:rPr>
        <w:t>employment</w:t>
      </w:r>
      <w:r w:rsidR="00422215" w:rsidRPr="00764260">
        <w:rPr>
          <w:b/>
        </w:rPr>
        <w:t xml:space="preserve"> </w:t>
      </w:r>
      <w:r w:rsidRPr="00764260">
        <w:rPr>
          <w:b/>
        </w:rPr>
        <w:t>at</w:t>
      </w:r>
      <w:r w:rsidR="00422215" w:rsidRPr="00764260">
        <w:rPr>
          <w:b/>
        </w:rPr>
        <w:t xml:space="preserve"> </w:t>
      </w:r>
      <w:r w:rsidRPr="00764260">
        <w:rPr>
          <w:b/>
        </w:rPr>
        <w:t>50</w:t>
      </w:r>
      <w:r w:rsidR="00422215" w:rsidRPr="00764260">
        <w:rPr>
          <w:b/>
        </w:rPr>
        <w:t xml:space="preserve"> </w:t>
      </w:r>
      <w:r w:rsidRPr="00764260">
        <w:rPr>
          <w:b/>
        </w:rPr>
        <w:t>years</w:t>
      </w:r>
      <w:r w:rsidR="00422215" w:rsidRPr="00764260">
        <w:rPr>
          <w:b/>
        </w:rPr>
        <w:t xml:space="preserve">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26"/>
        <w:gridCol w:w="1961"/>
        <w:gridCol w:w="1781"/>
      </w:tblGrid>
      <w:tr w:rsidR="007C7F59" w:rsidRPr="007C7F59" w:rsidTr="007C7F59">
        <w:trPr>
          <w:tblHeader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Both</w:t>
            </w:r>
            <w:r w:rsidR="00422215">
              <w:rPr>
                <w:i/>
                <w:sz w:val="16"/>
              </w:rPr>
              <w:t xml:space="preserve"> </w:t>
            </w:r>
            <w:r w:rsidRPr="007C7F59">
              <w:rPr>
                <w:i/>
                <w:sz w:val="16"/>
              </w:rPr>
              <w:t>sexes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Women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Men</w:t>
            </w:r>
          </w:p>
        </w:tc>
      </w:tr>
      <w:tr w:rsidR="007C7F59" w:rsidRPr="007C7F59" w:rsidTr="007C7F59"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2010</w:t>
            </w:r>
          </w:p>
        </w:tc>
        <w:tc>
          <w:tcPr>
            <w:tcW w:w="21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63.7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63.4</w:t>
            </w:r>
          </w:p>
        </w:tc>
        <w:tc>
          <w:tcPr>
            <w:tcW w:w="20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64.0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2011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62.3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62.5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62.3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62.7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62.9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62.5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63.0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63.2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62.8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2014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62.6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62.7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62.6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2015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62.8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62.9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62.7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2016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62.9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63.0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62.8</w:t>
            </w:r>
          </w:p>
        </w:tc>
      </w:tr>
      <w:tr w:rsidR="007C7F59" w:rsidRPr="007C7F59" w:rsidTr="007C7F59">
        <w:tc>
          <w:tcPr>
            <w:tcW w:w="209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2017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62.8</w:t>
            </w:r>
          </w:p>
        </w:tc>
        <w:tc>
          <w:tcPr>
            <w:tcW w:w="2277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62.9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62.8</w:t>
            </w:r>
          </w:p>
        </w:tc>
      </w:tr>
      <w:tr w:rsidR="007C7F59" w:rsidRPr="007C7F59" w:rsidTr="007C7F59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2018</w:t>
            </w:r>
          </w:p>
        </w:tc>
        <w:tc>
          <w:tcPr>
            <w:tcW w:w="2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62.7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62.7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62.8</w:t>
            </w:r>
          </w:p>
        </w:tc>
      </w:tr>
    </w:tbl>
    <w:p w:rsidR="007C7F59" w:rsidRPr="00764260" w:rsidRDefault="007D2C07" w:rsidP="00DA23BB">
      <w:pPr>
        <w:pStyle w:val="SingleTxtG"/>
        <w:spacing w:before="120" w:after="240" w:line="220" w:lineRule="exact"/>
        <w:ind w:firstLine="170"/>
        <w:jc w:val="left"/>
        <w:rPr>
          <w:i/>
          <w:sz w:val="18"/>
          <w:szCs w:val="18"/>
        </w:rPr>
      </w:pPr>
      <w:r w:rsidRPr="00764260">
        <w:rPr>
          <w:i/>
          <w:sz w:val="18"/>
          <w:szCs w:val="18"/>
        </w:rPr>
        <w:t>Source:</w:t>
      </w:r>
      <w:r w:rsidR="00422215" w:rsidRPr="00764260">
        <w:rPr>
          <w:i/>
          <w:sz w:val="18"/>
          <w:szCs w:val="18"/>
        </w:rPr>
        <w:t xml:space="preserve"> </w:t>
      </w:r>
      <w:r w:rsidRPr="00764260">
        <w:rPr>
          <w:sz w:val="18"/>
          <w:szCs w:val="18"/>
        </w:rPr>
        <w:t>The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Labour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and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Welfare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Directorate</w:t>
      </w:r>
      <w:r w:rsidR="00764260">
        <w:rPr>
          <w:sz w:val="18"/>
          <w:szCs w:val="18"/>
        </w:rPr>
        <w:t>.</w:t>
      </w:r>
    </w:p>
    <w:p w:rsidR="007C7F59" w:rsidRDefault="007D2C07" w:rsidP="00DA23BB">
      <w:pPr>
        <w:pStyle w:val="SingleTxtG"/>
        <w:numPr>
          <w:ilvl w:val="0"/>
          <w:numId w:val="35"/>
        </w:numPr>
        <w:spacing w:after="240"/>
        <w:ind w:left="1134" w:firstLine="0"/>
      </w:pPr>
      <w:r w:rsidRPr="007D2C07">
        <w:t>Table</w:t>
      </w:r>
      <w:r w:rsidR="00422215">
        <w:t xml:space="preserve"> </w:t>
      </w:r>
      <w:r w:rsidRPr="007D2C07">
        <w:t>2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leaving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start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draw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pension,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many</w:t>
      </w:r>
      <w:r w:rsidR="00422215">
        <w:t xml:space="preserve"> </w:t>
      </w:r>
      <w:r w:rsidRPr="007D2C07">
        <w:t>combine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taking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years.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average,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leave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somewhat</w:t>
      </w:r>
      <w:r w:rsidR="00422215">
        <w:t xml:space="preserve"> </w:t>
      </w:r>
      <w:r w:rsidRPr="007D2C07">
        <w:t>later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women.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leaving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somewhat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2010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2011,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fairly</w:t>
      </w:r>
      <w:r w:rsidR="00422215">
        <w:t xml:space="preserve"> </w:t>
      </w:r>
      <w:r w:rsidRPr="007D2C07">
        <w:t>stable</w:t>
      </w:r>
      <w:r w:rsidR="00422215">
        <w:t xml:space="preserve"> </w:t>
      </w:r>
      <w:r w:rsidRPr="007D2C07">
        <w:t>since.</w:t>
      </w:r>
    </w:p>
    <w:p w:rsidR="007D2C07" w:rsidRPr="00764260" w:rsidRDefault="007D2C07" w:rsidP="00764260">
      <w:pPr>
        <w:pStyle w:val="Heading1"/>
        <w:spacing w:after="120"/>
        <w:rPr>
          <w:b/>
        </w:rPr>
      </w:pPr>
      <w:r w:rsidRPr="007D2C07">
        <w:t>Table</w:t>
      </w:r>
      <w:r w:rsidR="00422215">
        <w:t xml:space="preserve"> </w:t>
      </w:r>
      <w:r w:rsidRPr="007D2C07">
        <w:t>2</w:t>
      </w:r>
      <w:r w:rsidR="00495BC2">
        <w:t xml:space="preserve"> </w:t>
      </w:r>
      <w:r w:rsidR="00764260">
        <w:br/>
      </w:r>
      <w:r w:rsidRPr="00764260">
        <w:rPr>
          <w:b/>
        </w:rPr>
        <w:t>Average</w:t>
      </w:r>
      <w:r w:rsidR="00422215" w:rsidRPr="00764260">
        <w:rPr>
          <w:b/>
        </w:rPr>
        <w:t xml:space="preserve"> </w:t>
      </w:r>
      <w:r w:rsidRPr="00764260">
        <w:rPr>
          <w:b/>
        </w:rPr>
        <w:t>age</w:t>
      </w:r>
      <w:r w:rsidR="00422215" w:rsidRPr="00764260">
        <w:rPr>
          <w:b/>
        </w:rPr>
        <w:t xml:space="preserve"> </w:t>
      </w:r>
      <w:r w:rsidRPr="00764260">
        <w:rPr>
          <w:b/>
        </w:rPr>
        <w:t>of</w:t>
      </w:r>
      <w:r w:rsidR="00422215" w:rsidRPr="00764260">
        <w:rPr>
          <w:b/>
        </w:rPr>
        <w:t xml:space="preserve"> </w:t>
      </w:r>
      <w:r w:rsidRPr="00764260">
        <w:rPr>
          <w:b/>
        </w:rPr>
        <w:t>leaving</w:t>
      </w:r>
      <w:r w:rsidR="00422215" w:rsidRPr="00764260">
        <w:rPr>
          <w:b/>
        </w:rPr>
        <w:t xml:space="preserve"> </w:t>
      </w:r>
      <w:r w:rsidRPr="00764260">
        <w:rPr>
          <w:b/>
        </w:rPr>
        <w:t>the</w:t>
      </w:r>
      <w:r w:rsidR="00422215" w:rsidRPr="00764260">
        <w:rPr>
          <w:b/>
        </w:rPr>
        <w:t xml:space="preserve"> </w:t>
      </w:r>
      <w:r w:rsidRPr="00764260">
        <w:rPr>
          <w:b/>
        </w:rPr>
        <w:t>labour</w:t>
      </w:r>
      <w:r w:rsidR="00422215" w:rsidRPr="00764260">
        <w:rPr>
          <w:b/>
        </w:rPr>
        <w:t xml:space="preserve"> </w:t>
      </w:r>
      <w:r w:rsidRPr="00764260">
        <w:rPr>
          <w:b/>
        </w:rPr>
        <w:t>force</w:t>
      </w:r>
      <w:r w:rsidR="00422215" w:rsidRPr="00764260">
        <w:rPr>
          <w:b/>
        </w:rPr>
        <w:t xml:space="preserve"> </w:t>
      </w:r>
      <w:r w:rsidRPr="00764260">
        <w:rPr>
          <w:b/>
        </w:rPr>
        <w:t>for</w:t>
      </w:r>
      <w:r w:rsidR="00422215" w:rsidRPr="00764260">
        <w:rPr>
          <w:b/>
        </w:rPr>
        <w:t xml:space="preserve"> </w:t>
      </w:r>
      <w:r w:rsidRPr="00764260">
        <w:rPr>
          <w:b/>
        </w:rPr>
        <w:t>those</w:t>
      </w:r>
      <w:r w:rsidR="00422215" w:rsidRPr="00764260">
        <w:rPr>
          <w:b/>
        </w:rPr>
        <w:t xml:space="preserve"> </w:t>
      </w:r>
      <w:r w:rsidRPr="00764260">
        <w:rPr>
          <w:b/>
        </w:rPr>
        <w:t>in</w:t>
      </w:r>
      <w:r w:rsidR="00422215" w:rsidRPr="00764260">
        <w:rPr>
          <w:b/>
        </w:rPr>
        <w:t xml:space="preserve"> </w:t>
      </w:r>
      <w:r w:rsidRPr="00764260">
        <w:rPr>
          <w:b/>
        </w:rPr>
        <w:t>employment</w:t>
      </w:r>
      <w:r w:rsidR="00422215" w:rsidRPr="00764260">
        <w:rPr>
          <w:b/>
        </w:rPr>
        <w:t xml:space="preserve"> </w:t>
      </w:r>
      <w:r w:rsidRPr="00764260">
        <w:rPr>
          <w:b/>
        </w:rPr>
        <w:t>at</w:t>
      </w:r>
      <w:r w:rsidR="00422215" w:rsidRPr="00764260">
        <w:rPr>
          <w:b/>
        </w:rPr>
        <w:t xml:space="preserve"> </w:t>
      </w:r>
      <w:r w:rsidRPr="00764260">
        <w:rPr>
          <w:b/>
        </w:rPr>
        <w:t>50</w:t>
      </w:r>
      <w:r w:rsidR="00422215" w:rsidRPr="00764260">
        <w:rPr>
          <w:b/>
        </w:rPr>
        <w:t xml:space="preserve"> </w:t>
      </w:r>
      <w:r w:rsidRPr="00764260">
        <w:rPr>
          <w:b/>
        </w:rPr>
        <w:t>years</w:t>
      </w:r>
      <w:r w:rsidR="00422215" w:rsidRPr="00764260">
        <w:rPr>
          <w:b/>
        </w:rPr>
        <w:t xml:space="preserve"> 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26"/>
        <w:gridCol w:w="1961"/>
        <w:gridCol w:w="1781"/>
      </w:tblGrid>
      <w:tr w:rsidR="007C7F59" w:rsidRPr="007C7F59" w:rsidTr="007C7F59">
        <w:trPr>
          <w:tblHeader/>
        </w:trPr>
        <w:tc>
          <w:tcPr>
            <w:tcW w:w="2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Both</w:t>
            </w:r>
            <w:r w:rsidR="00422215">
              <w:rPr>
                <w:i/>
                <w:sz w:val="16"/>
              </w:rPr>
              <w:t xml:space="preserve"> </w:t>
            </w:r>
            <w:r w:rsidRPr="007C7F59">
              <w:rPr>
                <w:i/>
                <w:sz w:val="16"/>
              </w:rPr>
              <w:t>sexes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Women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Men</w:t>
            </w:r>
          </w:p>
        </w:tc>
      </w:tr>
      <w:tr w:rsidR="007C7F59" w:rsidRPr="007C7F59" w:rsidTr="007C7F59">
        <w:tc>
          <w:tcPr>
            <w:tcW w:w="2114" w:type="dxa"/>
            <w:tcBorders>
              <w:top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2010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65.1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64.7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65.6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65.5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65.0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66.0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65.1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66.1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65.7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65.2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66.2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65.8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65.3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66.3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65.7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65.2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66.1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65.3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66.0</w:t>
            </w:r>
          </w:p>
        </w:tc>
      </w:tr>
      <w:tr w:rsidR="007C7F59" w:rsidRPr="007C7F59" w:rsidTr="007C7F59">
        <w:tc>
          <w:tcPr>
            <w:tcW w:w="2114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65.2</w:t>
            </w:r>
          </w:p>
        </w:tc>
        <w:tc>
          <w:tcPr>
            <w:tcW w:w="2089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66.1</w:t>
            </w:r>
          </w:p>
        </w:tc>
      </w:tr>
      <w:tr w:rsidR="007C7F59" w:rsidRPr="007C7F59" w:rsidTr="007C7F59">
        <w:tc>
          <w:tcPr>
            <w:tcW w:w="2114" w:type="dxa"/>
            <w:tcBorders>
              <w:bottom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2018</w:t>
            </w:r>
          </w:p>
        </w:tc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65.7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65.2</w:t>
            </w:r>
          </w:p>
        </w:tc>
        <w:tc>
          <w:tcPr>
            <w:tcW w:w="20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66.1</w:t>
            </w:r>
          </w:p>
        </w:tc>
      </w:tr>
    </w:tbl>
    <w:p w:rsidR="007C7F59" w:rsidRPr="00764260" w:rsidRDefault="007D2C07" w:rsidP="00DA23BB">
      <w:pPr>
        <w:pStyle w:val="SingleTxtG"/>
        <w:spacing w:before="120" w:after="240" w:line="220" w:lineRule="exact"/>
        <w:ind w:firstLine="170"/>
        <w:jc w:val="left"/>
        <w:rPr>
          <w:i/>
          <w:sz w:val="18"/>
          <w:szCs w:val="18"/>
        </w:rPr>
      </w:pPr>
      <w:r w:rsidRPr="00764260">
        <w:rPr>
          <w:i/>
          <w:sz w:val="18"/>
          <w:szCs w:val="18"/>
        </w:rPr>
        <w:t>Source:</w:t>
      </w:r>
      <w:r w:rsidR="00422215" w:rsidRPr="00764260">
        <w:rPr>
          <w:i/>
          <w:sz w:val="18"/>
          <w:szCs w:val="18"/>
        </w:rPr>
        <w:t xml:space="preserve"> </w:t>
      </w:r>
      <w:r w:rsidRPr="00764260">
        <w:rPr>
          <w:sz w:val="18"/>
          <w:szCs w:val="18"/>
        </w:rPr>
        <w:t>The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Labour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and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Welfare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Directorate</w:t>
      </w:r>
      <w:r w:rsidR="00764260">
        <w:rPr>
          <w:sz w:val="18"/>
          <w:szCs w:val="18"/>
        </w:rPr>
        <w:t>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Since</w:t>
      </w:r>
      <w:r w:rsidR="00422215">
        <w:t xml:space="preserve"> </w:t>
      </w:r>
      <w:r w:rsidRPr="007D2C07">
        <w:t>2011,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draw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62,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become</w:t>
      </w:r>
      <w:r w:rsidR="00422215">
        <w:t xml:space="preserve"> </w:t>
      </w:r>
      <w:r w:rsidRPr="007D2C07">
        <w:t>popular</w:t>
      </w:r>
      <w:r w:rsidR="00422215">
        <w:t xml:space="preserve"> </w:t>
      </w:r>
      <w:r w:rsidRPr="007D2C07">
        <w:t>especially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men.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pensioners</w:t>
      </w:r>
      <w:r w:rsidR="00422215">
        <w:t xml:space="preserve"> </w:t>
      </w:r>
      <w:r w:rsidRPr="007D2C07">
        <w:t>start</w:t>
      </w:r>
      <w:r w:rsidR="00422215">
        <w:t xml:space="preserve"> </w:t>
      </w:r>
      <w:r w:rsidRPr="007D2C07">
        <w:t>receiving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67,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contributes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fact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still</w:t>
      </w:r>
      <w:r w:rsidR="00422215">
        <w:t xml:space="preserve"> </w:t>
      </w:r>
      <w:r w:rsidRPr="007D2C07">
        <w:t>start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age.</w:t>
      </w:r>
      <w:r w:rsidR="00422215">
        <w:t xml:space="preserve"> </w:t>
      </w:r>
      <w:r w:rsidRPr="007D2C07">
        <w:t>Drawing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became</w:t>
      </w:r>
      <w:r w:rsidR="00422215">
        <w:t xml:space="preserve"> </w:t>
      </w:r>
      <w:r w:rsidRPr="007D2C07">
        <w:t>increasingly</w:t>
      </w:r>
      <w:r w:rsidR="00422215">
        <w:t xml:space="preserve"> </w:t>
      </w:r>
      <w:r w:rsidRPr="007D2C07">
        <w:t>popular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first</w:t>
      </w:r>
      <w:r w:rsidR="00422215">
        <w:t xml:space="preserve"> </w:t>
      </w:r>
      <w:r w:rsidRPr="007D2C07">
        <w:t>cohorts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possibility,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recently</w:t>
      </w:r>
      <w:r w:rsidR="00422215">
        <w:t xml:space="preserve"> </w:t>
      </w:r>
      <w:r w:rsidRPr="007D2C07">
        <w:t>levelled</w:t>
      </w:r>
      <w:r w:rsidR="00422215">
        <w:t xml:space="preserve"> </w:t>
      </w:r>
      <w:r w:rsidRPr="007D2C07">
        <w:t>out,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reduction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tendency.</w:t>
      </w:r>
    </w:p>
    <w:p w:rsidR="007C7F59" w:rsidRDefault="007D2C07" w:rsidP="00731138">
      <w:pPr>
        <w:pStyle w:val="SingleTxtG"/>
        <w:numPr>
          <w:ilvl w:val="0"/>
          <w:numId w:val="35"/>
        </w:numPr>
        <w:spacing w:after="240"/>
        <w:ind w:left="1134" w:firstLine="0"/>
      </w:pPr>
      <w:r w:rsidRPr="007D2C07">
        <w:t>Tables</w:t>
      </w:r>
      <w:r w:rsidR="00422215">
        <w:t xml:space="preserve"> </w:t>
      </w:r>
      <w:r w:rsidRPr="007D2C07">
        <w:t>3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4</w:t>
      </w:r>
      <w:r w:rsidR="00422215">
        <w:t xml:space="preserve"> </w:t>
      </w:r>
      <w:r w:rsidRPr="007D2C07">
        <w:t>show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share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men,</w:t>
      </w:r>
      <w:r w:rsidR="00422215">
        <w:t xml:space="preserve"> </w:t>
      </w:r>
      <w:r w:rsidRPr="007D2C07">
        <w:t>respectively,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ages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cohorts.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2011,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retire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old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67.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postpone</w:t>
      </w:r>
      <w:r w:rsidR="00422215">
        <w:t xml:space="preserve"> </w:t>
      </w:r>
      <w:r w:rsidRPr="007D2C07">
        <w:t>retirement</w:t>
      </w:r>
      <w:r w:rsidR="00422215">
        <w:t xml:space="preserve"> </w:t>
      </w:r>
      <w:r w:rsidRPr="007D2C07">
        <w:t>until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67,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option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less</w:t>
      </w:r>
      <w:r w:rsidR="00422215">
        <w:t xml:space="preserve"> </w:t>
      </w:r>
      <w:r w:rsidRPr="007D2C07">
        <w:t>used.</w:t>
      </w:r>
      <w:r w:rsidR="00422215">
        <w:t xml:space="preserve"> </w:t>
      </w:r>
    </w:p>
    <w:p w:rsidR="007D2C07" w:rsidRPr="00764260" w:rsidRDefault="007D2C07" w:rsidP="00764260">
      <w:pPr>
        <w:pStyle w:val="Heading1"/>
        <w:spacing w:after="120"/>
        <w:rPr>
          <w:b/>
        </w:rPr>
      </w:pPr>
      <w:r w:rsidRPr="007D2C07">
        <w:t>Table</w:t>
      </w:r>
      <w:r w:rsidR="00422215">
        <w:t xml:space="preserve"> </w:t>
      </w:r>
      <w:r w:rsidRPr="007D2C07">
        <w:t>3</w:t>
      </w:r>
      <w:r w:rsidR="00495BC2">
        <w:t xml:space="preserve"> </w:t>
      </w:r>
      <w:r w:rsidR="00764260">
        <w:br/>
      </w:r>
      <w:r w:rsidRPr="00764260">
        <w:rPr>
          <w:b/>
        </w:rPr>
        <w:t>Percentage</w:t>
      </w:r>
      <w:r w:rsidR="00422215" w:rsidRPr="00764260">
        <w:rPr>
          <w:b/>
        </w:rPr>
        <w:t xml:space="preserve"> </w:t>
      </w:r>
      <w:r w:rsidRPr="00764260">
        <w:rPr>
          <w:b/>
        </w:rPr>
        <w:t>of</w:t>
      </w:r>
      <w:r w:rsidR="00422215" w:rsidRPr="00764260">
        <w:rPr>
          <w:b/>
        </w:rPr>
        <w:t xml:space="preserve"> </w:t>
      </w:r>
      <w:r w:rsidRPr="00764260">
        <w:rPr>
          <w:b/>
        </w:rPr>
        <w:t>women</w:t>
      </w:r>
      <w:r w:rsidR="00422215" w:rsidRPr="00764260">
        <w:rPr>
          <w:b/>
        </w:rPr>
        <w:t xml:space="preserve"> </w:t>
      </w:r>
      <w:r w:rsidRPr="00764260">
        <w:rPr>
          <w:b/>
        </w:rPr>
        <w:t>who</w:t>
      </w:r>
      <w:r w:rsidR="00422215" w:rsidRPr="00764260">
        <w:rPr>
          <w:b/>
        </w:rPr>
        <w:t xml:space="preserve"> </w:t>
      </w:r>
      <w:r w:rsidRPr="00764260">
        <w:rPr>
          <w:b/>
        </w:rPr>
        <w:t>have</w:t>
      </w:r>
      <w:r w:rsidR="00422215" w:rsidRPr="00764260">
        <w:rPr>
          <w:b/>
        </w:rPr>
        <w:t xml:space="preserve"> </w:t>
      </w:r>
      <w:r w:rsidRPr="00764260">
        <w:rPr>
          <w:b/>
        </w:rPr>
        <w:t>taken</w:t>
      </w:r>
      <w:r w:rsidR="00422215" w:rsidRPr="00764260">
        <w:rPr>
          <w:b/>
        </w:rPr>
        <w:t xml:space="preserve"> </w:t>
      </w:r>
      <w:r w:rsidRPr="00764260">
        <w:rPr>
          <w:b/>
        </w:rPr>
        <w:t>out</w:t>
      </w:r>
      <w:r w:rsidR="00422215" w:rsidRPr="00764260">
        <w:rPr>
          <w:b/>
        </w:rPr>
        <w:t xml:space="preserve"> </w:t>
      </w:r>
      <w:r w:rsidRPr="00764260">
        <w:rPr>
          <w:b/>
        </w:rPr>
        <w:t>an</w:t>
      </w:r>
      <w:r w:rsidR="00422215" w:rsidRPr="00764260">
        <w:rPr>
          <w:b/>
        </w:rPr>
        <w:t xml:space="preserve"> </w:t>
      </w:r>
      <w:r w:rsidRPr="00764260">
        <w:rPr>
          <w:b/>
        </w:rPr>
        <w:t>old</w:t>
      </w:r>
      <w:r w:rsidR="00422215" w:rsidRPr="00764260">
        <w:rPr>
          <w:b/>
        </w:rPr>
        <w:t xml:space="preserve"> </w:t>
      </w:r>
      <w:r w:rsidRPr="00764260">
        <w:rPr>
          <w:b/>
        </w:rPr>
        <w:t>age</w:t>
      </w:r>
      <w:r w:rsidR="00422215" w:rsidRPr="00764260">
        <w:rPr>
          <w:b/>
        </w:rPr>
        <w:t xml:space="preserve"> </w:t>
      </w:r>
      <w:r w:rsidRPr="00764260">
        <w:rPr>
          <w:b/>
        </w:rPr>
        <w:t>pension</w:t>
      </w:r>
      <w:r w:rsidR="00422215" w:rsidRPr="00764260">
        <w:rPr>
          <w:b/>
        </w:rPr>
        <w:t xml:space="preserve"> </w:t>
      </w:r>
      <w:r w:rsidRPr="00764260">
        <w:rPr>
          <w:b/>
        </w:rPr>
        <w:t>at</w:t>
      </w:r>
      <w:r w:rsidR="00422215" w:rsidRPr="00764260">
        <w:rPr>
          <w:b/>
        </w:rPr>
        <w:t xml:space="preserve"> </w:t>
      </w:r>
      <w:r w:rsidRPr="00764260">
        <w:rPr>
          <w:b/>
        </w:rPr>
        <w:t>different</w:t>
      </w:r>
      <w:r w:rsidR="00422215" w:rsidRPr="00764260">
        <w:rPr>
          <w:b/>
        </w:rPr>
        <w:t xml:space="preserve"> </w:t>
      </w:r>
      <w:r w:rsidRPr="00764260">
        <w:rPr>
          <w:b/>
        </w:rPr>
        <w:t>ages</w:t>
      </w:r>
    </w:p>
    <w:tbl>
      <w:tblPr>
        <w:tblStyle w:val="TableGrid"/>
        <w:tblW w:w="7370" w:type="dxa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474"/>
        <w:gridCol w:w="1474"/>
        <w:gridCol w:w="1474"/>
        <w:gridCol w:w="1446"/>
      </w:tblGrid>
      <w:tr w:rsidR="007C7F59" w:rsidRPr="007C7F59" w:rsidTr="007C7F59">
        <w:trPr>
          <w:tblHeader/>
        </w:trPr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63–66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68–75</w:t>
            </w:r>
          </w:p>
        </w:tc>
      </w:tr>
      <w:tr w:rsidR="007C7F59" w:rsidRPr="007C7F59" w:rsidTr="007C7F59">
        <w:tc>
          <w:tcPr>
            <w:tcW w:w="1732" w:type="dxa"/>
            <w:tcBorders>
              <w:top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2.2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96.2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1.2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5.8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92.6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1.3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8.7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89.7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1.3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11.5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86.9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1.2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12.8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83.0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1.2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9.0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13.1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75.9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0.9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11.3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12.9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73.5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0.5</w:t>
            </w: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13.3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11.7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65.8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12.3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9.1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13.5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7.0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14.5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4.2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2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14.3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2" w:type="dxa"/>
            <w:tcBorders>
              <w:bottom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12.0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</w:tbl>
    <w:p w:rsidR="007C7F59" w:rsidRPr="00764260" w:rsidRDefault="007D2C07" w:rsidP="00731138">
      <w:pPr>
        <w:pStyle w:val="SingleTxtG"/>
        <w:spacing w:before="120" w:after="240" w:line="220" w:lineRule="exact"/>
        <w:ind w:firstLine="170"/>
        <w:jc w:val="left"/>
        <w:rPr>
          <w:i/>
          <w:sz w:val="18"/>
          <w:szCs w:val="18"/>
        </w:rPr>
      </w:pPr>
      <w:r w:rsidRPr="00764260">
        <w:rPr>
          <w:i/>
          <w:sz w:val="18"/>
          <w:szCs w:val="18"/>
        </w:rPr>
        <w:t>Source:</w:t>
      </w:r>
      <w:r w:rsidR="00422215" w:rsidRPr="00764260">
        <w:rPr>
          <w:i/>
          <w:sz w:val="18"/>
          <w:szCs w:val="18"/>
        </w:rPr>
        <w:t xml:space="preserve"> </w:t>
      </w:r>
      <w:r w:rsidRPr="00764260">
        <w:rPr>
          <w:sz w:val="18"/>
          <w:szCs w:val="18"/>
        </w:rPr>
        <w:t>The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Labour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and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Welfare</w:t>
      </w:r>
      <w:r w:rsidR="00422215" w:rsidRPr="00764260">
        <w:rPr>
          <w:sz w:val="18"/>
          <w:szCs w:val="18"/>
        </w:rPr>
        <w:t xml:space="preserve"> </w:t>
      </w:r>
      <w:r w:rsidRPr="00764260">
        <w:rPr>
          <w:sz w:val="18"/>
          <w:szCs w:val="18"/>
        </w:rPr>
        <w:t>Directorate</w:t>
      </w:r>
      <w:r w:rsidR="00764260">
        <w:rPr>
          <w:sz w:val="18"/>
          <w:szCs w:val="18"/>
        </w:rPr>
        <w:t>.</w:t>
      </w:r>
    </w:p>
    <w:p w:rsidR="007D2C07" w:rsidRPr="00764260" w:rsidRDefault="007D2C07" w:rsidP="00764260">
      <w:pPr>
        <w:pStyle w:val="Heading1"/>
        <w:spacing w:after="120"/>
        <w:rPr>
          <w:b/>
        </w:rPr>
      </w:pPr>
      <w:r w:rsidRPr="007D2C07">
        <w:t>Table</w:t>
      </w:r>
      <w:r w:rsidR="00422215">
        <w:t xml:space="preserve"> </w:t>
      </w:r>
      <w:r w:rsidRPr="007D2C07">
        <w:t>4</w:t>
      </w:r>
      <w:r w:rsidR="00495BC2">
        <w:t xml:space="preserve"> </w:t>
      </w:r>
      <w:r w:rsidR="00764260">
        <w:br/>
      </w:r>
      <w:r w:rsidRPr="00764260">
        <w:rPr>
          <w:b/>
        </w:rPr>
        <w:t>Percentage</w:t>
      </w:r>
      <w:r w:rsidR="00422215" w:rsidRPr="00764260">
        <w:rPr>
          <w:b/>
        </w:rPr>
        <w:t xml:space="preserve"> </w:t>
      </w:r>
      <w:r w:rsidRPr="00764260">
        <w:rPr>
          <w:b/>
        </w:rPr>
        <w:t>of</w:t>
      </w:r>
      <w:r w:rsidR="00422215" w:rsidRPr="00764260">
        <w:rPr>
          <w:b/>
        </w:rPr>
        <w:t xml:space="preserve"> </w:t>
      </w:r>
      <w:r w:rsidRPr="00764260">
        <w:rPr>
          <w:b/>
        </w:rPr>
        <w:t>men</w:t>
      </w:r>
      <w:r w:rsidR="00422215" w:rsidRPr="00764260">
        <w:rPr>
          <w:b/>
        </w:rPr>
        <w:t xml:space="preserve"> </w:t>
      </w:r>
      <w:r w:rsidRPr="00764260">
        <w:rPr>
          <w:b/>
        </w:rPr>
        <w:t>who</w:t>
      </w:r>
      <w:r w:rsidR="00422215" w:rsidRPr="00764260">
        <w:rPr>
          <w:b/>
        </w:rPr>
        <w:t xml:space="preserve"> </w:t>
      </w:r>
      <w:r w:rsidRPr="00764260">
        <w:rPr>
          <w:b/>
        </w:rPr>
        <w:t>have</w:t>
      </w:r>
      <w:r w:rsidR="00422215" w:rsidRPr="00764260">
        <w:rPr>
          <w:b/>
        </w:rPr>
        <w:t xml:space="preserve"> </w:t>
      </w:r>
      <w:r w:rsidRPr="00764260">
        <w:rPr>
          <w:b/>
        </w:rPr>
        <w:t>taken</w:t>
      </w:r>
      <w:r w:rsidR="00422215" w:rsidRPr="00764260">
        <w:rPr>
          <w:b/>
        </w:rPr>
        <w:t xml:space="preserve"> </w:t>
      </w:r>
      <w:r w:rsidRPr="00764260">
        <w:rPr>
          <w:b/>
        </w:rPr>
        <w:t>out</w:t>
      </w:r>
      <w:r w:rsidR="00422215" w:rsidRPr="00764260">
        <w:rPr>
          <w:b/>
        </w:rPr>
        <w:t xml:space="preserve"> </w:t>
      </w:r>
      <w:r w:rsidRPr="00764260">
        <w:rPr>
          <w:b/>
        </w:rPr>
        <w:t>an</w:t>
      </w:r>
      <w:r w:rsidR="00422215" w:rsidRPr="00764260">
        <w:rPr>
          <w:b/>
        </w:rPr>
        <w:t xml:space="preserve"> </w:t>
      </w:r>
      <w:r w:rsidRPr="00764260">
        <w:rPr>
          <w:b/>
        </w:rPr>
        <w:t>old</w:t>
      </w:r>
      <w:r w:rsidR="00422215" w:rsidRPr="00764260">
        <w:rPr>
          <w:b/>
        </w:rPr>
        <w:t xml:space="preserve"> </w:t>
      </w:r>
      <w:r w:rsidRPr="00764260">
        <w:rPr>
          <w:b/>
        </w:rPr>
        <w:t>age</w:t>
      </w:r>
      <w:r w:rsidR="00422215" w:rsidRPr="00764260">
        <w:rPr>
          <w:b/>
        </w:rPr>
        <w:t xml:space="preserve"> </w:t>
      </w:r>
      <w:r w:rsidRPr="00764260">
        <w:rPr>
          <w:b/>
        </w:rPr>
        <w:t>pension</w:t>
      </w:r>
      <w:r w:rsidR="00422215" w:rsidRPr="00764260">
        <w:rPr>
          <w:b/>
        </w:rPr>
        <w:t xml:space="preserve"> </w:t>
      </w:r>
      <w:r w:rsidRPr="00764260">
        <w:rPr>
          <w:b/>
        </w:rPr>
        <w:t>at</w:t>
      </w:r>
      <w:r w:rsidR="00422215" w:rsidRPr="00764260">
        <w:rPr>
          <w:b/>
        </w:rPr>
        <w:t xml:space="preserve"> </w:t>
      </w:r>
      <w:r w:rsidRPr="00764260">
        <w:rPr>
          <w:b/>
        </w:rPr>
        <w:t>different</w:t>
      </w:r>
      <w:r w:rsidR="00422215" w:rsidRPr="00764260">
        <w:rPr>
          <w:b/>
        </w:rPr>
        <w:t xml:space="preserve"> </w:t>
      </w:r>
      <w:r w:rsidRPr="00764260">
        <w:rPr>
          <w:b/>
        </w:rPr>
        <w:t>ages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474"/>
        <w:gridCol w:w="1474"/>
        <w:gridCol w:w="1474"/>
        <w:gridCol w:w="1446"/>
      </w:tblGrid>
      <w:tr w:rsidR="007C7F59" w:rsidRPr="007C7F59" w:rsidTr="007C7F59">
        <w:trPr>
          <w:tblHeader/>
        </w:trPr>
        <w:tc>
          <w:tcPr>
            <w:tcW w:w="17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63–66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7C7F59">
              <w:rPr>
                <w:i/>
                <w:sz w:val="16"/>
              </w:rPr>
              <w:t>68–75</w:t>
            </w:r>
          </w:p>
        </w:tc>
      </w:tr>
      <w:tr w:rsidR="007C7F59" w:rsidRPr="007C7F59" w:rsidTr="007C7F59"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8.9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89.2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1.8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20.0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77.7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2.0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27.6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70.4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1.9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33.5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64.3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1.9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13.2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28.4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56.0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1.7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35.0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19.2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43.2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1.0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38.8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16.2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42.1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0.6</w:t>
            </w: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41.2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14.1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36.8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39.2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11.4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39.4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9.6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39.6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6.3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3" w:type="dxa"/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39.6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C7F59" w:rsidRPr="007C7F59" w:rsidTr="007C7F59"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7C7F59">
              <w:rPr>
                <w:sz w:val="18"/>
              </w:rPr>
              <w:t>1956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7C7F59">
              <w:rPr>
                <w:sz w:val="18"/>
              </w:rPr>
              <w:t>33.1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7C7F59" w:rsidRDefault="007D2C07" w:rsidP="007C7F59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</w:tbl>
    <w:p w:rsidR="007C7F59" w:rsidRPr="001E6239" w:rsidRDefault="007D2C07" w:rsidP="00731138">
      <w:pPr>
        <w:pStyle w:val="SingleTxtG"/>
        <w:spacing w:before="120" w:after="240" w:line="220" w:lineRule="exact"/>
        <w:ind w:firstLine="170"/>
        <w:jc w:val="left"/>
        <w:rPr>
          <w:i/>
          <w:sz w:val="18"/>
          <w:szCs w:val="18"/>
        </w:rPr>
      </w:pPr>
      <w:r w:rsidRPr="001E6239">
        <w:rPr>
          <w:i/>
          <w:sz w:val="18"/>
          <w:szCs w:val="18"/>
        </w:rPr>
        <w:t>Source:</w:t>
      </w:r>
      <w:r w:rsidR="00422215" w:rsidRPr="001E6239">
        <w:rPr>
          <w:i/>
          <w:sz w:val="18"/>
          <w:szCs w:val="18"/>
        </w:rPr>
        <w:t xml:space="preserve"> </w:t>
      </w:r>
      <w:r w:rsidRPr="001E6239">
        <w:rPr>
          <w:sz w:val="18"/>
          <w:szCs w:val="18"/>
        </w:rPr>
        <w:t>The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Labour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and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Welfare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Directorate</w:t>
      </w:r>
      <w:r w:rsidR="00D87315" w:rsidRPr="001E6239">
        <w:rPr>
          <w:sz w:val="18"/>
          <w:szCs w:val="18"/>
        </w:rPr>
        <w:t>.</w:t>
      </w:r>
    </w:p>
    <w:p w:rsidR="008C6E34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efficient</w:t>
      </w:r>
      <w:r w:rsidR="00422215">
        <w:t xml:space="preserve"> </w:t>
      </w:r>
      <w:r w:rsidRPr="007D2C07">
        <w:t>way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economy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give</w:t>
      </w:r>
      <w:r w:rsidR="00422215">
        <w:t xml:space="preserve"> </w:t>
      </w:r>
      <w:r w:rsidRPr="007D2C07">
        <w:t>them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cash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granted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too</w:t>
      </w:r>
      <w:r w:rsidR="00422215">
        <w:t xml:space="preserve"> </w:t>
      </w:r>
      <w:r w:rsidRPr="007D2C07">
        <w:t>high,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negative</w:t>
      </w:r>
      <w:r w:rsidR="00422215">
        <w:t xml:space="preserve"> </w:t>
      </w:r>
      <w:r w:rsidRPr="007D2C07">
        <w:t>effect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market.</w:t>
      </w:r>
      <w:r w:rsidR="00422215">
        <w:t xml:space="preserve"> </w:t>
      </w:r>
    </w:p>
    <w:p w:rsidR="008C6E34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From</w:t>
      </w:r>
      <w:r w:rsidR="00422215">
        <w:t xml:space="preserve"> </w:t>
      </w:r>
      <w:r w:rsidRPr="007D2C07">
        <w:t>1993</w:t>
      </w:r>
      <w:r w:rsidR="00422215">
        <w:t xml:space="preserve"> </w:t>
      </w:r>
      <w:r w:rsidRPr="007D2C07">
        <w:t>until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present,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expenditures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doubled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real</w:t>
      </w:r>
      <w:r w:rsidR="00422215">
        <w:t xml:space="preserve"> </w:t>
      </w:r>
      <w:r w:rsidRPr="007D2C07">
        <w:t>terms.</w:t>
      </w:r>
      <w:r w:rsidR="00422215">
        <w:t xml:space="preserve"> </w:t>
      </w:r>
      <w:r w:rsidRPr="007D2C07">
        <w:t>Kindergartens,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instance,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publicly</w:t>
      </w:r>
      <w:r w:rsidR="00422215">
        <w:t xml:space="preserve"> </w:t>
      </w:r>
      <w:r w:rsidRPr="007D2C07">
        <w:t>financed,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fee.</w:t>
      </w:r>
      <w:r w:rsidR="00422215">
        <w:t xml:space="preserve"> </w:t>
      </w:r>
      <w:r w:rsidRPr="007D2C07">
        <w:t>Additional</w:t>
      </w:r>
      <w:r w:rsidR="00422215">
        <w:t xml:space="preserve"> </w:t>
      </w:r>
      <w:r w:rsidRPr="007D2C07">
        <w:t>schemes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introduced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help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income.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two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attend</w:t>
      </w:r>
      <w:r w:rsidR="00422215">
        <w:t xml:space="preserve"> </w:t>
      </w:r>
      <w:r w:rsidRPr="007D2C07">
        <w:t>kindergarten,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monthly</w:t>
      </w:r>
      <w:r w:rsidR="00422215">
        <w:t xml:space="preserve"> </w:t>
      </w:r>
      <w:r w:rsidRPr="007D2C07">
        <w:t>cash-for-care</w:t>
      </w:r>
      <w:r w:rsidR="00422215">
        <w:t xml:space="preserve"> </w:t>
      </w:r>
      <w:r w:rsidRPr="007D2C07">
        <w:t>benefit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NOK</w:t>
      </w:r>
      <w:r w:rsidR="00422215">
        <w:t xml:space="preserve"> </w:t>
      </w:r>
      <w:r w:rsidR="008C6E34">
        <w:t>7,500.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We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inform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benefit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March</w:t>
      </w:r>
      <w:r w:rsidR="00422215">
        <w:t xml:space="preserve"> </w:t>
      </w:r>
      <w:r w:rsidRPr="007D2C07">
        <w:t>2019.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child,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1,054</w:t>
      </w:r>
      <w:r w:rsidR="00422215">
        <w:t xml:space="preserve"> </w:t>
      </w:r>
      <w:r w:rsidRPr="007D2C07">
        <w:t>each</w:t>
      </w:r>
      <w:r w:rsidR="00422215">
        <w:t xml:space="preserve"> </w:t>
      </w:r>
      <w:r w:rsidRPr="007D2C07">
        <w:t>month.</w:t>
      </w:r>
      <w:r w:rsidR="00422215">
        <w:t xml:space="preserve"> </w:t>
      </w:r>
      <w:r w:rsidRPr="007D2C07">
        <w:t>Single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additional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1,054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month</w:t>
      </w:r>
      <w:r w:rsidR="00422215">
        <w:t xml:space="preserve"> </w:t>
      </w:r>
      <w:r w:rsidRPr="007D2C07">
        <w:t>(an</w:t>
      </w:r>
      <w:r w:rsidR="00422215">
        <w:t xml:space="preserve"> </w:t>
      </w:r>
      <w:r w:rsidRPr="007D2C07">
        <w:t>extra</w:t>
      </w:r>
      <w:r w:rsidR="00422215">
        <w:t xml:space="preserve"> </w:t>
      </w:r>
      <w:r w:rsidRPr="007D2C07">
        <w:t>allowance).</w:t>
      </w:r>
      <w:r w:rsidR="00422215">
        <w:t xml:space="preserve"> </w:t>
      </w:r>
      <w:r w:rsidRPr="007D2C07">
        <w:t>Single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three,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extra</w:t>
      </w:r>
      <w:r w:rsidR="00422215">
        <w:t xml:space="preserve"> </w:t>
      </w:r>
      <w:r w:rsidRPr="007D2C07">
        <w:t>allowance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full</w:t>
      </w:r>
      <w:r w:rsidR="00422215">
        <w:t xml:space="preserve"> </w:t>
      </w:r>
      <w:r w:rsidRPr="007D2C07">
        <w:t>transitional</w:t>
      </w:r>
      <w:r w:rsidR="00422215">
        <w:t xml:space="preserve"> </w:t>
      </w:r>
      <w:r w:rsidRPr="007D2C07">
        <w:t>benefit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Insurance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additional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660</w:t>
      </w:r>
      <w:r w:rsidR="00422215">
        <w:t xml:space="preserve"> </w:t>
      </w:r>
      <w:r w:rsidRPr="007D2C07">
        <w:t>each</w:t>
      </w:r>
      <w:r w:rsidR="00422215">
        <w:t xml:space="preserve"> </w:t>
      </w:r>
      <w:r w:rsidRPr="007D2C07">
        <w:t>month.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5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received</w:t>
      </w:r>
      <w:r w:rsidR="00422215">
        <w:t xml:space="preserve"> </w:t>
      </w:r>
      <w:r w:rsidRPr="007D2C07">
        <w:t>“A”</w:t>
      </w:r>
      <w:r w:rsidR="00422215">
        <w:t xml:space="preserve"> </w:t>
      </w:r>
      <w:r w:rsidRPr="007D2C07">
        <w:t>status</w:t>
      </w:r>
      <w:r w:rsidR="00422215">
        <w:t xml:space="preserve"> </w:t>
      </w:r>
      <w:r w:rsidRPr="007D2C07">
        <w:t>accreditation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Global</w:t>
      </w:r>
      <w:r w:rsidR="00422215">
        <w:t xml:space="preserve"> </w:t>
      </w:r>
      <w:r w:rsidRPr="007D2C07">
        <w:t>Alliance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Institutions</w:t>
      </w:r>
      <w:r w:rsidR="00422215">
        <w:t xml:space="preserve"> </w:t>
      </w:r>
      <w:r w:rsidRPr="007D2C07">
        <w:t>(GANHRI)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June</w:t>
      </w:r>
      <w:r w:rsidR="00422215">
        <w:t xml:space="preserve"> </w:t>
      </w:r>
      <w:r w:rsidRPr="007D2C07">
        <w:t>2017.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broad</w:t>
      </w:r>
      <w:r w:rsidR="00422215">
        <w:t xml:space="preserve"> </w:t>
      </w:r>
      <w:r w:rsidRPr="007D2C07">
        <w:t>mandate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protect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accordance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Constitution,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legislation,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treaties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law.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economic,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rights.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mandated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deal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complaints.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strong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framework.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2015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Institution,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Regulations</w:t>
      </w:r>
      <w:r w:rsidR="00422215">
        <w:t xml:space="preserve"> </w:t>
      </w:r>
      <w:r w:rsidRPr="007D2C07">
        <w:t>pertaining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lay</w:t>
      </w:r>
      <w:r w:rsidR="00422215">
        <w:t xml:space="preserve"> </w:t>
      </w:r>
      <w:r w:rsidRPr="007D2C07">
        <w:t>down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institution’s</w:t>
      </w:r>
      <w:r w:rsidR="00422215">
        <w:t xml:space="preserve"> </w:t>
      </w:r>
      <w:r w:rsidRPr="007D2C07">
        <w:t>mandate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functions,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appointment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director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board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management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duties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director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board.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organised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fully</w:t>
      </w:r>
      <w:r w:rsidR="00422215">
        <w:t xml:space="preserve"> </w:t>
      </w:r>
      <w:r w:rsidRPr="007D2C07">
        <w:t>independent.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Pr="007D2C07">
        <w:t>,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instruct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operational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substantive</w:t>
      </w:r>
      <w:r w:rsidR="00422215">
        <w:t xml:space="preserve"> </w:t>
      </w:r>
      <w:r w:rsidRPr="007D2C07">
        <w:t>matters.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establishes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shall</w:t>
      </w:r>
      <w:r w:rsidR="00422215">
        <w:t xml:space="preserve"> </w:t>
      </w:r>
      <w:r w:rsidRPr="007D2C07">
        <w:t>facilitate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bodies</w:t>
      </w:r>
      <w:r w:rsidR="00422215">
        <w:t xml:space="preserve"> </w:t>
      </w:r>
      <w:r w:rsidRPr="007D2C07">
        <w:t>engaged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work,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institutions.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institution’s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institutions,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civil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authorities,</w:t>
      </w:r>
      <w:r w:rsidR="00422215">
        <w:t xml:space="preserve"> </w:t>
      </w:r>
      <w:r w:rsidRPr="007D2C07">
        <w:t>contributes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systematisation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efforts,</w:t>
      </w:r>
      <w:r w:rsidR="00422215">
        <w:t xml:space="preserve"> </w:t>
      </w:r>
      <w:r w:rsidRPr="007D2C07">
        <w:t>ensuring</w:t>
      </w:r>
      <w:r w:rsidR="00422215">
        <w:t xml:space="preserve"> </w:t>
      </w:r>
      <w:r w:rsidRPr="007D2C07">
        <w:t>comprehensive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protection.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examinations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treaty</w:t>
      </w:r>
      <w:r w:rsidR="00422215">
        <w:t xml:space="preserve"> </w:t>
      </w:r>
      <w:r w:rsidRPr="007D2C07">
        <w:t>bodies,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organises</w:t>
      </w:r>
      <w:r w:rsidR="00422215">
        <w:t xml:space="preserve"> </w:t>
      </w:r>
      <w:r w:rsidRPr="007D2C07">
        <w:t>meetings,</w:t>
      </w:r>
      <w:r w:rsidR="00422215">
        <w:t xml:space="preserve"> </w:t>
      </w:r>
      <w:r w:rsidRPr="007D2C07">
        <w:t>together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ombudsman,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civil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organisations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invited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share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procedures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examination.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advisory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members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proofErr w:type="spellStart"/>
      <w:r w:rsidRPr="007D2C07">
        <w:t>Ombud</w:t>
      </w:r>
      <w:proofErr w:type="spellEnd"/>
      <w:r w:rsidRPr="007D2C07">
        <w:t>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Parliamentary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Administration,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civil</w:t>
      </w:r>
      <w:r w:rsidR="00422215">
        <w:t xml:space="preserve"> </w:t>
      </w:r>
      <w:r w:rsidRPr="007D2C07">
        <w:t>society.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All</w:t>
      </w:r>
      <w:r w:rsidR="00422215">
        <w:t xml:space="preserve"> </w:t>
      </w:r>
      <w:r w:rsidRPr="007D2C07">
        <w:t>citizens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Patient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relation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needs.</w:t>
      </w:r>
      <w:r w:rsidR="00422215">
        <w:t xml:space="preserve"> </w:t>
      </w:r>
      <w:r w:rsidRPr="007D2C07">
        <w:t>Pursuant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Patients'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Users'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shall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documents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facilities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perform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duties.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6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purpose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guarantee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meet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great</w:t>
      </w:r>
      <w:r w:rsidR="00422215">
        <w:t xml:space="preserve"> </w:t>
      </w:r>
      <w:r w:rsidRPr="007D2C07">
        <w:t>importance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welfare.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scheme,</w:t>
      </w:r>
      <w:r w:rsidR="00422215">
        <w:t xml:space="preserve"> </w:t>
      </w:r>
      <w:r w:rsidRPr="007D2C07">
        <w:t>distinctions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drawn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testing,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testing,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non-prioritised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particularly</w:t>
      </w:r>
      <w:r w:rsidR="00422215">
        <w:t xml:space="preserve"> </w:t>
      </w:r>
      <w:r w:rsidRPr="007D2C07">
        <w:t>invasive</w:t>
      </w:r>
      <w:r w:rsidR="00422215">
        <w:t xml:space="preserve"> </w:t>
      </w:r>
      <w:r w:rsidRPr="007D2C07">
        <w:t>nature,</w:t>
      </w:r>
      <w:r w:rsidR="00422215">
        <w:t xml:space="preserve"> </w:t>
      </w:r>
      <w:r w:rsidRPr="007D2C07">
        <w:t>e.g.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coercive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regardless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person’s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assets.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testing,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assets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imposed.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dealing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marriage,</w:t>
      </w:r>
      <w:r w:rsidR="00422215">
        <w:t xml:space="preserve"> </w:t>
      </w:r>
      <w:r w:rsidRPr="007D2C07">
        <w:t>probate,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disputes,</w:t>
      </w:r>
      <w:r w:rsidR="00422215">
        <w:t xml:space="preserve"> </w:t>
      </w:r>
      <w:r w:rsidRPr="007D2C07">
        <w:t>compensation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personal</w:t>
      </w:r>
      <w:r w:rsidR="00422215">
        <w:t xml:space="preserve"> </w:t>
      </w:r>
      <w:r w:rsidRPr="007D2C07">
        <w:t>injury,</w:t>
      </w:r>
      <w:r w:rsidR="00422215">
        <w:t xml:space="preserve"> </w:t>
      </w:r>
      <w:r w:rsidRPr="007D2C07">
        <w:t>evictions,</w:t>
      </w:r>
      <w:r w:rsidR="00422215">
        <w:t xml:space="preserve"> </w:t>
      </w:r>
      <w:r w:rsidRPr="007D2C07">
        <w:t>dismissals,</w:t>
      </w:r>
      <w:r w:rsidR="00422215">
        <w:t xml:space="preserve"> </w:t>
      </w:r>
      <w:r w:rsidRPr="007D2C07">
        <w:t>criminal</w:t>
      </w:r>
      <w:r w:rsidR="00422215">
        <w:t xml:space="preserve"> </w:t>
      </w:r>
      <w:r w:rsidRPr="007D2C07">
        <w:t>injuries</w:t>
      </w:r>
      <w:r w:rsidR="00422215">
        <w:t xml:space="preserve"> </w:t>
      </w:r>
      <w:r w:rsidRPr="007D2C07">
        <w:t>compensation,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insurance</w:t>
      </w:r>
      <w:r w:rsidR="00422215">
        <w:t xml:space="preserve"> </w:t>
      </w:r>
      <w:r w:rsidRPr="007D2C07">
        <w:t>matters.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threshold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determines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person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246,000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single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369,000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married</w:t>
      </w:r>
      <w:r w:rsidR="00422215">
        <w:t xml:space="preserve"> </w:t>
      </w:r>
      <w:r w:rsidRPr="007D2C07">
        <w:t>couples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co-habit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joint</w:t>
      </w:r>
      <w:r w:rsidR="00422215">
        <w:t xml:space="preserve"> </w:t>
      </w:r>
      <w:r w:rsidRPr="007D2C07">
        <w:t>finances.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assets</w:t>
      </w:r>
      <w:r w:rsidR="00422215">
        <w:t xml:space="preserve"> </w:t>
      </w:r>
      <w:r w:rsidRPr="007D2C07">
        <w:t>threshold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100,000.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rule,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tested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share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expenses.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threshold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adjusted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2009.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Under</w:t>
      </w:r>
      <w:r w:rsidR="00422215">
        <w:t xml:space="preserve"> </w:t>
      </w:r>
      <w:r w:rsidRPr="007D2C07">
        <w:t>Sections</w:t>
      </w:r>
      <w:r w:rsidR="00422215">
        <w:t xml:space="preserve"> </w:t>
      </w:r>
      <w:r w:rsidRPr="007D2C07">
        <w:t>11</w:t>
      </w:r>
      <w:r w:rsidR="00422215">
        <w:t xml:space="preserve"> </w:t>
      </w:r>
      <w:r w:rsidRPr="007D2C07">
        <w:t>(3)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16</w:t>
      </w:r>
      <w:r w:rsidR="00422215">
        <w:t xml:space="preserve"> </w:t>
      </w:r>
      <w:r w:rsidRPr="007D2C07">
        <w:t>(3)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exceptionally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listed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(non-prioritised</w:t>
      </w:r>
      <w:r w:rsidR="00422215">
        <w:t xml:space="preserve"> </w:t>
      </w:r>
      <w:r w:rsidRPr="007D2C07">
        <w:t>cases)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pertaining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assets</w:t>
      </w:r>
      <w:r w:rsidR="00422215">
        <w:t xml:space="preserve"> </w:t>
      </w:r>
      <w:r w:rsidRPr="007D2C07">
        <w:t>thresholds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met,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case,</w:t>
      </w:r>
      <w:r w:rsidR="00422215">
        <w:t xml:space="preserve"> </w:t>
      </w:r>
      <w:r w:rsidRPr="007D2C07">
        <w:t>seen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objective</w:t>
      </w:r>
      <w:r w:rsidR="00422215">
        <w:t xml:space="preserve"> </w:t>
      </w:r>
      <w:r w:rsidRPr="007D2C07">
        <w:t>point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view,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especially</w:t>
      </w:r>
      <w:r w:rsidR="00422215">
        <w:t xml:space="preserve"> </w:t>
      </w:r>
      <w:r w:rsidRPr="007D2C07">
        <w:t>pressing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assessment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similarities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specifically</w:t>
      </w:r>
      <w:r w:rsidR="00422215">
        <w:t xml:space="preserve"> </w:t>
      </w:r>
      <w:r w:rsidRPr="007D2C07">
        <w:t>mentioned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law,</w:t>
      </w:r>
      <w:r w:rsidR="00422215">
        <w:t xml:space="preserve"> </w:t>
      </w:r>
      <w:r w:rsidRPr="007D2C07">
        <w:t>consequences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value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stake,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applicant’s</w:t>
      </w:r>
      <w:r w:rsidR="00422215">
        <w:t xml:space="preserve"> </w:t>
      </w:r>
      <w:r w:rsidRPr="007D2C07">
        <w:t>personal</w:t>
      </w:r>
      <w:r w:rsidR="00422215">
        <w:t xml:space="preserve"> </w:t>
      </w:r>
      <w:r w:rsidRPr="007D2C07">
        <w:t>resources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possibilities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attend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his/her</w:t>
      </w:r>
      <w:r w:rsidR="00422215">
        <w:t xml:space="preserve"> </w:t>
      </w:r>
      <w:r w:rsidRPr="007D2C07">
        <w:t>own</w:t>
      </w:r>
      <w:r w:rsidR="00422215">
        <w:t xml:space="preserve"> </w:t>
      </w:r>
      <w:r w:rsidRPr="007D2C07">
        <w:t>interests.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Under</w:t>
      </w:r>
      <w:r w:rsidR="00422215">
        <w:t xml:space="preserve"> </w:t>
      </w:r>
      <w:r w:rsidRPr="007D2C07">
        <w:t>Sections</w:t>
      </w:r>
      <w:r w:rsidR="00422215">
        <w:t xml:space="preserve"> </w:t>
      </w:r>
      <w:r w:rsidRPr="007D2C07">
        <w:t>11</w:t>
      </w:r>
      <w:r w:rsidR="00422215">
        <w:t xml:space="preserve"> </w:t>
      </w:r>
      <w:r w:rsidRPr="007D2C07">
        <w:t>(4)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16</w:t>
      </w:r>
      <w:r w:rsidR="00422215">
        <w:t xml:space="preserve"> </w:t>
      </w:r>
      <w:r w:rsidRPr="007D2C07">
        <w:t>(4)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granted</w:t>
      </w:r>
      <w:r w:rsidR="00422215">
        <w:t xml:space="preserve"> </w:t>
      </w:r>
      <w:r w:rsidRPr="007D2C07">
        <w:t>even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fulfil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conditions,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expenses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substantial</w:t>
      </w:r>
      <w:r w:rsidR="00422215">
        <w:t xml:space="preserve"> </w:t>
      </w:r>
      <w:r w:rsidRPr="007D2C07">
        <w:t>relative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applicant’s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situation.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assessment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applicant’s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assets,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support,</w:t>
      </w:r>
      <w:r w:rsidR="00422215">
        <w:t xml:space="preserve"> </w:t>
      </w:r>
      <w:r w:rsidRPr="007D2C07">
        <w:t>what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dispute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about,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conflict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parties,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amount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documents,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perspective,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</w:t>
      </w:r>
      <w:r w:rsidR="00422215">
        <w:t xml:space="preserve"> </w:t>
      </w:r>
      <w:r w:rsidRPr="007D2C07">
        <w:t>needs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normal,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comprehensive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financially</w:t>
      </w:r>
      <w:r w:rsidR="00422215">
        <w:t xml:space="preserve"> </w:t>
      </w:r>
      <w:r w:rsidRPr="007D2C07">
        <w:t>supports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services.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goes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organisations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specialised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vulnerable</w:t>
      </w:r>
      <w:r w:rsidR="00422215">
        <w:t xml:space="preserve"> </w:t>
      </w:r>
      <w:r w:rsidRPr="007D2C07">
        <w:t>situations.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organisations</w:t>
      </w:r>
      <w:r w:rsidR="00422215">
        <w:t xml:space="preserve"> </w:t>
      </w:r>
      <w:r w:rsidRPr="007D2C07">
        <w:t>spread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rights,</w:t>
      </w:r>
      <w:r w:rsidR="00422215">
        <w:t xml:space="preserve"> </w:t>
      </w:r>
      <w:r w:rsidRPr="007D2C07">
        <w:t>perform</w:t>
      </w:r>
      <w:r w:rsidR="00422215">
        <w:t xml:space="preserve"> </w:t>
      </w:r>
      <w:r w:rsidRPr="007D2C07">
        <w:t>outreach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offer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aid.</w:t>
      </w:r>
      <w:r w:rsidR="00422215">
        <w:t xml:space="preserve"> </w:t>
      </w:r>
    </w:p>
    <w:p w:rsidR="007C7F59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present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many</w:t>
      </w:r>
      <w:r w:rsidR="00422215">
        <w:t xml:space="preserve"> </w:t>
      </w:r>
      <w:r w:rsidRPr="007D2C07">
        <w:t>years,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addressed.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October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therefore</w:t>
      </w:r>
      <w:r w:rsidR="00422215">
        <w:t xml:space="preserve"> </w:t>
      </w:r>
      <w:r w:rsidRPr="007D2C07">
        <w:t>appointed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scheme.</w:t>
      </w:r>
      <w:r w:rsidR="00422215">
        <w:t xml:space="preserve"> </w:t>
      </w:r>
      <w:r w:rsidRPr="007D2C07">
        <w:t>Issues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assessed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expand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cover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types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present,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thresholds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adjusted,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complete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2020.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7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(NAP)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launched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2015</w:t>
      </w:r>
      <w:r w:rsidR="00422215">
        <w:t xml:space="preserve"> </w:t>
      </w:r>
      <w:r w:rsidRPr="007D2C07">
        <w:t>making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“early</w:t>
      </w:r>
      <w:r w:rsidR="00422215">
        <w:t xml:space="preserve"> </w:t>
      </w:r>
      <w:r w:rsidRPr="007D2C07">
        <w:t>adaptor”.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aims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achieve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coherent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response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relation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implementing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</w:t>
      </w:r>
      <w:r w:rsidR="00422215">
        <w:t xml:space="preserve"> </w:t>
      </w:r>
      <w:r w:rsidRPr="007D2C07">
        <w:t>Guiding</w:t>
      </w:r>
      <w:r w:rsidR="00422215">
        <w:t xml:space="preserve"> </w:t>
      </w:r>
      <w:r w:rsidRPr="007D2C07">
        <w:t>Principles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(UNGP).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end,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affected</w:t>
      </w:r>
      <w:r w:rsidR="00422215">
        <w:t xml:space="preserve"> </w:t>
      </w:r>
      <w:r w:rsidRPr="007D2C07">
        <w:t>ministries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involved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inter-ministerial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establish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communicate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common</w:t>
      </w:r>
      <w:r w:rsidR="00422215">
        <w:t xml:space="preserve"> </w:t>
      </w:r>
      <w:r w:rsidRPr="007D2C07">
        <w:t>expectations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conduct</w:t>
      </w:r>
      <w:r w:rsidR="00422215">
        <w:t xml:space="preserve"> </w:t>
      </w:r>
      <w:r w:rsidRPr="007D2C07">
        <w:t>(RBC)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sectors.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encouraged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follow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remits.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initiatives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reported</w:t>
      </w:r>
      <w:r w:rsidR="00422215">
        <w:t xml:space="preserve"> </w:t>
      </w:r>
      <w:r w:rsidRPr="007D2C07">
        <w:t>back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group.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expects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comply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UNGPs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OECD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Multinational</w:t>
      </w:r>
      <w:r w:rsidR="00422215">
        <w:t xml:space="preserve"> </w:t>
      </w:r>
      <w:r w:rsidRPr="007D2C07">
        <w:t>Enterprises.</w:t>
      </w:r>
      <w:r w:rsidR="00422215">
        <w:t xml:space="preserve"> </w:t>
      </w:r>
      <w:r w:rsidRPr="007D2C07">
        <w:t>Conducting</w:t>
      </w:r>
      <w:r w:rsidR="00422215">
        <w:t xml:space="preserve"> </w:t>
      </w:r>
      <w:r w:rsidRPr="007D2C07">
        <w:t>risk-based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diligence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conduct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priority,</w:t>
      </w:r>
      <w:r w:rsidR="00422215">
        <w:t xml:space="preserve"> </w:t>
      </w:r>
      <w:r w:rsidRPr="007D2C07">
        <w:t>particularly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challenging</w:t>
      </w:r>
      <w:r w:rsidR="00422215">
        <w:t xml:space="preserve"> </w:t>
      </w:r>
      <w:r w:rsidRPr="007D2C07">
        <w:t>markets.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actively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conduct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UNGPs</w:t>
      </w:r>
      <w:r w:rsidR="00422215">
        <w:t xml:space="preserve"> </w:t>
      </w:r>
      <w:r w:rsidRPr="007D2C07">
        <w:t>underpinning</w:t>
      </w:r>
      <w:r w:rsidR="00422215">
        <w:t xml:space="preserve"> </w:t>
      </w:r>
      <w:r w:rsidRPr="007D2C07">
        <w:t>sustainable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economic</w:t>
      </w:r>
      <w:r w:rsidR="00422215">
        <w:t xml:space="preserve"> </w:t>
      </w:r>
      <w:r w:rsidRPr="007D2C07">
        <w:t>growth</w:t>
      </w:r>
      <w:r w:rsidR="00422215">
        <w:t xml:space="preserve"> </w:t>
      </w:r>
      <w:r w:rsidRPr="007D2C07">
        <w:t>worldwide.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NAP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UNGP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impetus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recent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prepared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Agency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Agency,</w:t>
      </w:r>
      <w:r w:rsidR="00422215">
        <w:t xml:space="preserve"> </w:t>
      </w:r>
      <w:proofErr w:type="spellStart"/>
      <w:proofErr w:type="gramStart"/>
      <w:r w:rsidRPr="007D2C07">
        <w:t>Norad</w:t>
      </w:r>
      <w:proofErr w:type="spellEnd"/>
      <w:proofErr w:type="gramEnd"/>
      <w:r w:rsidRPr="007D2C07">
        <w:t>.</w:t>
      </w:r>
      <w:r w:rsidR="00422215">
        <w:t xml:space="preserve"> </w:t>
      </w:r>
      <w:r w:rsidRPr="007D2C07">
        <w:rPr>
          <w:lang w:val="en-US"/>
        </w:rPr>
        <w:t>The</w:t>
      </w:r>
      <w:r w:rsidR="00422215">
        <w:rPr>
          <w:lang w:val="en-US"/>
        </w:rPr>
        <w:t xml:space="preserve"> </w:t>
      </w:r>
      <w:r w:rsidRPr="008C6E34">
        <w:t>evaluation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found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strong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and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clear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references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to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UNGP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high-level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Norwegian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policy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documents.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However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attention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given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to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coherent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guidance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and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practical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implementation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of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these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principles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still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has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room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for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improvement.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response,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Ministry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of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Foreign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Affairs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has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taken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several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tangible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follow-up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measures.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G</w:t>
      </w:r>
      <w:proofErr w:type="spellStart"/>
      <w:r w:rsidRPr="007D2C07">
        <w:t>iven</w:t>
      </w:r>
      <w:proofErr w:type="spellEnd"/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complexity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UNGP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issues,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embassies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capacity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follow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projects</w:t>
      </w:r>
      <w:r w:rsidR="00422215">
        <w:t xml:space="preserve"> </w:t>
      </w:r>
      <w:r w:rsidRPr="007D2C07">
        <w:t>involving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acquire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skills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assess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nature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host</w:t>
      </w:r>
      <w:r w:rsidR="00422215">
        <w:t xml:space="preserve"> </w:t>
      </w:r>
      <w:r w:rsidRPr="007D2C07">
        <w:t>countries.</w:t>
      </w:r>
      <w:r w:rsidR="00422215">
        <w:t xml:space="preserve"> </w:t>
      </w:r>
      <w:r w:rsidRPr="007D2C07">
        <w:rPr>
          <w:lang w:val="en-US"/>
        </w:rPr>
        <w:t>A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more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systematic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approach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to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competence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building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under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development.</w:t>
      </w:r>
      <w:r w:rsidR="00422215">
        <w:rPr>
          <w:lang w:val="en-US"/>
        </w:rPr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collaboration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Norway’s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Point</w:t>
      </w:r>
      <w:r w:rsidR="00422215">
        <w:t xml:space="preserve"> </w:t>
      </w:r>
      <w:r w:rsidRPr="007D2C07">
        <w:t>(NCP)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OECD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Multinational</w:t>
      </w:r>
      <w:r w:rsidR="00422215">
        <w:t xml:space="preserve"> </w:t>
      </w:r>
      <w:r w:rsidRPr="007D2C07">
        <w:t>Enterprises,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provides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RBC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embassies.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NCP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contributed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introducing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state-owned</w:t>
      </w:r>
      <w:r w:rsidR="00422215">
        <w:t xml:space="preserve"> </w:t>
      </w:r>
      <w:r w:rsidRPr="007D2C07">
        <w:t>enterprises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method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diligence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conduct.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NCP</w:t>
      </w:r>
      <w:r w:rsidR="00422215">
        <w:t xml:space="preserve"> </w:t>
      </w:r>
      <w:r w:rsidRPr="007D2C07">
        <w:t>handles</w:t>
      </w:r>
      <w:r w:rsidR="00422215">
        <w:t xml:space="preserve"> </w:t>
      </w:r>
      <w:r w:rsidRPr="007D2C07">
        <w:t>complaints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perceived</w:t>
      </w:r>
      <w:r w:rsidR="00422215">
        <w:t xml:space="preserve"> </w:t>
      </w:r>
      <w:r w:rsidRPr="007D2C07">
        <w:t>non-compliance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OECD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gives</w:t>
      </w:r>
      <w:r w:rsidR="00422215">
        <w:t xml:space="preserve"> </w:t>
      </w:r>
      <w:r w:rsidRPr="007D2C07">
        <w:t>advice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conduct.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keep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integrating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concerns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procurement</w:t>
      </w:r>
      <w:r w:rsidR="00422215">
        <w:t xml:space="preserve"> </w:t>
      </w:r>
      <w:r w:rsidRPr="007D2C07">
        <w:t>contracts.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regard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Export</w:t>
      </w:r>
      <w:r w:rsidR="00422215">
        <w:t xml:space="preserve"> </w:t>
      </w:r>
      <w:r w:rsidRPr="007D2C07">
        <w:t>Credit</w:t>
      </w:r>
      <w:r w:rsidR="00422215">
        <w:t xml:space="preserve"> </w:t>
      </w:r>
      <w:r w:rsidRPr="007D2C07">
        <w:t>Guarantee</w:t>
      </w:r>
      <w:r w:rsidR="00422215">
        <w:t xml:space="preserve"> </w:t>
      </w:r>
      <w:r w:rsidRPr="007D2C07">
        <w:t>Agency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Export</w:t>
      </w:r>
      <w:r w:rsidR="00422215">
        <w:t xml:space="preserve"> </w:t>
      </w:r>
      <w:r w:rsidRPr="007D2C07">
        <w:t>Credit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applications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assessed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risks,</w:t>
      </w:r>
      <w:r w:rsidR="00422215">
        <w:t xml:space="preserve"> </w:t>
      </w:r>
      <w:r w:rsidRPr="007D2C07">
        <w:t>impacts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consequences.</w:t>
      </w:r>
      <w:r w:rsidR="00422215">
        <w:t xml:space="preserve"> </w:t>
      </w:r>
      <w:r w:rsidRPr="007D2C07">
        <w:t>Applicants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expected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perform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potential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impacts</w:t>
      </w:r>
      <w:r w:rsidR="00422215">
        <w:t xml:space="preserve"> </w:t>
      </w:r>
      <w:r w:rsidRPr="007D2C07">
        <w:t>related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project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adequ</w:t>
      </w:r>
      <w:bookmarkStart w:id="0" w:name="_GoBack"/>
      <w:bookmarkEnd w:id="0"/>
      <w:r w:rsidRPr="007D2C07">
        <w:t>ate</w:t>
      </w:r>
      <w:r w:rsidR="00422215">
        <w:t xml:space="preserve"> </w:t>
      </w:r>
      <w:r w:rsidRPr="007D2C07">
        <w:t>polices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systems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avoid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mitigate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possible.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Business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impact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sustainability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affect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profitability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ultimately</w:t>
      </w:r>
      <w:r w:rsidR="00422215">
        <w:t xml:space="preserve"> </w:t>
      </w:r>
      <w:r w:rsidRPr="007D2C07">
        <w:t>investors’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return.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long-term</w:t>
      </w:r>
      <w:r w:rsidR="00422215">
        <w:t xml:space="preserve"> </w:t>
      </w:r>
      <w:r w:rsidRPr="007D2C07">
        <w:t>financial</w:t>
      </w:r>
      <w:r w:rsidR="00422215">
        <w:t xml:space="preserve"> </w:t>
      </w:r>
      <w:r w:rsidRPr="007D2C07">
        <w:t>investor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9,000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70</w:t>
      </w:r>
      <w:r w:rsidR="00422215">
        <w:t xml:space="preserve"> </w:t>
      </w:r>
      <w:r w:rsidRPr="007D2C07">
        <w:t>countries,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Fund</w:t>
      </w:r>
      <w:r w:rsidR="00422215">
        <w:t xml:space="preserve"> </w:t>
      </w:r>
      <w:r w:rsidRPr="007D2C07">
        <w:t>Global</w:t>
      </w:r>
      <w:r w:rsidR="00422215">
        <w:t xml:space="preserve"> </w:t>
      </w:r>
      <w:r w:rsidRPr="007D2C07">
        <w:t>(GPFG)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interested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sustainability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companies.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fund</w:t>
      </w:r>
      <w:r w:rsidR="00422215">
        <w:t xml:space="preserve"> </w:t>
      </w:r>
      <w:r w:rsidRPr="007D2C07">
        <w:t>manager,</w:t>
      </w:r>
      <w:r w:rsidR="00422215">
        <w:t xml:space="preserve"> </w:t>
      </w:r>
      <w:proofErr w:type="spellStart"/>
      <w:r w:rsidRPr="007D2C07">
        <w:t>Norges</w:t>
      </w:r>
      <w:proofErr w:type="spellEnd"/>
      <w:r w:rsidR="00422215">
        <w:t xml:space="preserve"> </w:t>
      </w:r>
      <w:r w:rsidRPr="007D2C07">
        <w:t>Bank,</w:t>
      </w:r>
      <w:r w:rsidR="00422215">
        <w:t xml:space="preserve"> </w:t>
      </w:r>
      <w:r w:rsidRPr="007D2C07">
        <w:t>consequently</w:t>
      </w:r>
      <w:r w:rsidR="00422215">
        <w:t xml:space="preserve"> </w:t>
      </w:r>
      <w:r w:rsidRPr="007D2C07">
        <w:t>expects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respect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address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issues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practices.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GPFG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developed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expectations</w:t>
      </w:r>
      <w:r w:rsidR="00422215">
        <w:t xml:space="preserve"> </w:t>
      </w:r>
      <w:r w:rsidRPr="007D2C07">
        <w:t>towards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regards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Pr="007D2C07">
        <w:rPr>
          <w:vertAlign w:val="superscript"/>
        </w:rPr>
        <w:footnoteReference w:id="3"/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children’s</w:t>
      </w:r>
      <w:r w:rsidR="00422215">
        <w:t xml:space="preserve"> </w:t>
      </w:r>
      <w:r w:rsidRPr="007D2C07">
        <w:t>rights.</w:t>
      </w:r>
      <w:r w:rsidRPr="007D2C07">
        <w:rPr>
          <w:vertAlign w:val="superscript"/>
        </w:rPr>
        <w:footnoteReference w:id="4"/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are,</w:t>
      </w:r>
      <w:r w:rsidR="00422215">
        <w:t xml:space="preserve"> </w:t>
      </w:r>
      <w:r w:rsidRPr="007D2C07">
        <w:t>furthermore,</w:t>
      </w:r>
      <w:r w:rsidR="00422215">
        <w:t xml:space="preserve"> </w:t>
      </w:r>
      <w:r w:rsidRPr="007D2C07">
        <w:t>integrated</w:t>
      </w:r>
      <w:r w:rsidR="00422215">
        <w:t xml:space="preserve"> </w:t>
      </w:r>
      <w:r w:rsidRPr="007D2C07">
        <w:t>in</w:t>
      </w:r>
      <w:r w:rsidR="00422215">
        <w:t xml:space="preserve"> </w:t>
      </w:r>
      <w:proofErr w:type="spellStart"/>
      <w:r w:rsidRPr="007D2C07">
        <w:t>Norges</w:t>
      </w:r>
      <w:proofErr w:type="spellEnd"/>
      <w:r w:rsidR="00422215">
        <w:t xml:space="preserve"> </w:t>
      </w:r>
      <w:r w:rsidRPr="007D2C07">
        <w:t>Bank’s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develop</w:t>
      </w:r>
      <w:r w:rsidR="00422215">
        <w:t xml:space="preserve"> </w:t>
      </w:r>
      <w:r w:rsidRPr="007D2C07">
        <w:t>standards,</w:t>
      </w:r>
      <w:r w:rsidR="00422215">
        <w:t xml:space="preserve"> </w:t>
      </w:r>
      <w:r w:rsidRPr="007D2C07">
        <w:t>exercise</w:t>
      </w:r>
      <w:r w:rsidR="00422215">
        <w:t xml:space="preserve"> </w:t>
      </w:r>
      <w:r w:rsidRPr="007D2C07">
        <w:t>ownership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handle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opportunities.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Finance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ethically</w:t>
      </w:r>
      <w:r w:rsidR="00422215">
        <w:t xml:space="preserve"> </w:t>
      </w:r>
      <w:r w:rsidRPr="007D2C07">
        <w:t>motivated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observation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exclusion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GPFG.</w:t>
      </w:r>
      <w:r w:rsidRPr="007D2C07">
        <w:rPr>
          <w:vertAlign w:val="superscript"/>
        </w:rPr>
        <w:footnoteReference w:id="5"/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excluded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GPFG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contribute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themselves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serious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systematic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violations.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Executive</w:t>
      </w:r>
      <w:r w:rsidR="00422215">
        <w:t xml:space="preserve"> </w:t>
      </w:r>
      <w:r w:rsidRPr="007D2C07">
        <w:t>Board</w:t>
      </w:r>
      <w:r w:rsidR="00422215">
        <w:t xml:space="preserve"> </w:t>
      </w:r>
      <w:r w:rsidRPr="007D2C07">
        <w:t>of</w:t>
      </w:r>
      <w:r w:rsidR="00422215">
        <w:t xml:space="preserve"> </w:t>
      </w:r>
      <w:proofErr w:type="spellStart"/>
      <w:r w:rsidRPr="007D2C07">
        <w:t>Norges</w:t>
      </w:r>
      <w:proofErr w:type="spellEnd"/>
      <w:r w:rsidR="00422215">
        <w:t xml:space="preserve"> </w:t>
      </w:r>
      <w:r w:rsidRPr="007D2C07">
        <w:t>Bank</w:t>
      </w:r>
      <w:r w:rsidR="00422215">
        <w:t xml:space="preserve"> </w:t>
      </w:r>
      <w:r w:rsidRPr="007D2C07">
        <w:t>makes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final</w:t>
      </w:r>
      <w:r w:rsidR="00422215">
        <w:t xml:space="preserve"> </w:t>
      </w:r>
      <w:r w:rsidRPr="007D2C07">
        <w:t>decision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exclusion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companies,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recommendations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Council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Ethics.</w:t>
      </w:r>
      <w:r w:rsidRPr="007D2C07">
        <w:rPr>
          <w:vertAlign w:val="superscript"/>
        </w:rPr>
        <w:footnoteReference w:id="6"/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Finally,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stepping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modern</w:t>
      </w:r>
      <w:r w:rsidR="00422215">
        <w:t xml:space="preserve"> </w:t>
      </w:r>
      <w:r w:rsidRPr="007D2C07">
        <w:t>slavery.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conduct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awareness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modern</w:t>
      </w:r>
      <w:r w:rsidR="00422215">
        <w:t xml:space="preserve"> </w:t>
      </w:r>
      <w:r w:rsidRPr="007D2C07">
        <w:t>slavery.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member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itself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assessment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carried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modern</w:t>
      </w:r>
      <w:r w:rsidR="00422215">
        <w:t xml:space="preserve"> </w:t>
      </w:r>
      <w:r w:rsidRPr="007D2C07">
        <w:t>slavery,</w:t>
      </w:r>
      <w:r w:rsidR="00422215">
        <w:t xml:space="preserve"> </w:t>
      </w:r>
      <w:r w:rsidRPr="007D2C07">
        <w:t>taking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UK</w:t>
      </w:r>
      <w:r w:rsidR="00422215">
        <w:t xml:space="preserve"> </w:t>
      </w:r>
      <w:r w:rsidRPr="007D2C07">
        <w:t>Modern</w:t>
      </w:r>
      <w:r w:rsidR="00422215">
        <w:t xml:space="preserve"> </w:t>
      </w:r>
      <w:r w:rsidRPr="007D2C07">
        <w:t>Slavery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model.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8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aims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fulfil</w:t>
      </w:r>
      <w:r w:rsidR="00422215">
        <w:t xml:space="preserve"> </w:t>
      </w:r>
      <w:r w:rsidRPr="007D2C07">
        <w:t>our</w:t>
      </w:r>
      <w:r w:rsidR="00422215">
        <w:t xml:space="preserve"> </w:t>
      </w:r>
      <w:r w:rsidRPr="007D2C07">
        <w:t>emission</w:t>
      </w:r>
      <w:r w:rsidR="00422215">
        <w:t xml:space="preserve"> </w:t>
      </w:r>
      <w:r w:rsidRPr="007D2C07">
        <w:t>reduction</w:t>
      </w:r>
      <w:r w:rsidR="00422215">
        <w:t xml:space="preserve"> </w:t>
      </w:r>
      <w:r w:rsidRPr="007D2C07">
        <w:t>target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2030</w:t>
      </w:r>
      <w:r w:rsidR="00422215">
        <w:t xml:space="preserve"> </w:t>
      </w:r>
      <w:r w:rsidRPr="007D2C07">
        <w:t>together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EU.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already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Emission</w:t>
      </w:r>
      <w:r w:rsidR="00422215">
        <w:t xml:space="preserve"> </w:t>
      </w:r>
      <w:r w:rsidRPr="007D2C07">
        <w:t>Trading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(ETS),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implement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EU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regulates</w:t>
      </w:r>
      <w:r w:rsidR="00422215">
        <w:t xml:space="preserve"> </w:t>
      </w:r>
      <w:r w:rsidRPr="007D2C07">
        <w:t>emissions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covered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(non-ETS)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2021-2030.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commit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reducing</w:t>
      </w:r>
      <w:r w:rsidR="00422215">
        <w:t xml:space="preserve"> </w:t>
      </w:r>
      <w:r w:rsidRPr="007D2C07">
        <w:t>non-ETS</w:t>
      </w:r>
      <w:r w:rsidR="00422215">
        <w:t xml:space="preserve"> </w:t>
      </w:r>
      <w:r w:rsidRPr="007D2C07">
        <w:t>emissions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40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propose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achieve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45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emission</w:t>
      </w:r>
      <w:r w:rsidR="00422215">
        <w:t xml:space="preserve"> </w:t>
      </w:r>
      <w:r w:rsidRPr="007D2C07">
        <w:t>reduction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domestic</w:t>
      </w:r>
      <w:r w:rsidR="00422215">
        <w:t xml:space="preserve"> </w:t>
      </w:r>
      <w:r w:rsidRPr="007D2C07">
        <w:t>non-ETS</w:t>
      </w:r>
      <w:r w:rsidR="00422215">
        <w:t xml:space="preserve"> </w:t>
      </w:r>
      <w:r w:rsidRPr="007D2C07">
        <w:t>sectors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finalised.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political</w:t>
      </w:r>
      <w:r w:rsidR="00422215">
        <w:t xml:space="preserve"> </w:t>
      </w:r>
      <w:r w:rsidRPr="007D2C07">
        <w:t>platform,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purchase</w:t>
      </w:r>
      <w:r w:rsidR="00422215">
        <w:t xml:space="preserve"> </w:t>
      </w:r>
      <w:r w:rsidRPr="007D2C07">
        <w:t>emission</w:t>
      </w:r>
      <w:r w:rsidR="00422215">
        <w:t xml:space="preserve"> </w:t>
      </w:r>
      <w:r w:rsidRPr="007D2C07">
        <w:t>reductions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European</w:t>
      </w:r>
      <w:r w:rsidR="00422215">
        <w:t xml:space="preserve"> </w:t>
      </w:r>
      <w:r w:rsidRPr="007D2C07">
        <w:t>countries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meet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obligations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strictly</w:t>
      </w:r>
      <w:r w:rsidR="00422215">
        <w:t xml:space="preserve"> </w:t>
      </w:r>
      <w:r w:rsidRPr="007D2C07">
        <w:t>necessary.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Since</w:t>
      </w:r>
      <w:r w:rsidR="00422215">
        <w:t xml:space="preserve"> </w:t>
      </w:r>
      <w:r w:rsidRPr="007D2C07">
        <w:t>2008,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emissions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Norway's</w:t>
      </w:r>
      <w:r w:rsidR="00422215">
        <w:t xml:space="preserve"> </w:t>
      </w:r>
      <w:r w:rsidRPr="007D2C07">
        <w:t>petroleum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ETS.</w:t>
      </w:r>
      <w:r w:rsidR="00422215">
        <w:t xml:space="preserve"> </w:t>
      </w:r>
      <w:r w:rsidRPr="007D2C07">
        <w:t>Emissions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ETS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43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2030</w:t>
      </w:r>
      <w:r w:rsidR="00422215">
        <w:t xml:space="preserve"> </w:t>
      </w:r>
      <w:r w:rsidRPr="007D2C07">
        <w:t>compared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2005</w:t>
      </w:r>
      <w:r w:rsidR="00422215">
        <w:t xml:space="preserve"> </w:t>
      </w:r>
      <w:r w:rsidRPr="007D2C07">
        <w:t>level.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petroleum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CO2</w:t>
      </w:r>
      <w:r w:rsidR="00422215">
        <w:t xml:space="preserve"> </w:t>
      </w:r>
      <w:r w:rsidRPr="007D2C07">
        <w:t>tax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environmental</w:t>
      </w:r>
      <w:r w:rsidR="00422215">
        <w:t xml:space="preserve"> </w:t>
      </w:r>
      <w:r w:rsidRPr="007D2C07">
        <w:t>requirements.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allocated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1.68</w:t>
      </w:r>
      <w:r w:rsidR="00422215">
        <w:t xml:space="preserve"> </w:t>
      </w:r>
      <w:r w:rsidRPr="007D2C07">
        <w:t>billion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Green</w:t>
      </w:r>
      <w:r w:rsidR="00422215">
        <w:t xml:space="preserve"> </w:t>
      </w:r>
      <w:r w:rsidRPr="007D2C07">
        <w:t>Climate</w:t>
      </w:r>
      <w:r w:rsidR="00422215">
        <w:t xml:space="preserve"> </w:t>
      </w:r>
      <w:r w:rsidRPr="007D2C07">
        <w:t>Fund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2015-2018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400</w:t>
      </w:r>
      <w:r w:rsidR="00422215">
        <w:t xml:space="preserve"> </w:t>
      </w:r>
      <w:r w:rsidRPr="007D2C07">
        <w:t>million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GCF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2019.</w:t>
      </w:r>
      <w:r w:rsidR="00422215"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9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delivered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official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Sami's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December</w:t>
      </w:r>
      <w:r w:rsidR="00422215">
        <w:t xml:space="preserve"> </w:t>
      </w:r>
      <w:r w:rsidRPr="007D2C07">
        <w:t>2007.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suggestions,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consultations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levels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representatives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interests.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September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presented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proposition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(bill)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consultations</w:t>
      </w:r>
      <w:r w:rsidR="00422215">
        <w:t xml:space="preserve"> </w:t>
      </w:r>
      <w:r w:rsidRPr="007D2C07">
        <w:t>(Prop.</w:t>
      </w:r>
      <w:r w:rsidR="00422215">
        <w:t xml:space="preserve"> </w:t>
      </w:r>
      <w:r w:rsidRPr="007D2C07">
        <w:t>116</w:t>
      </w:r>
      <w:r w:rsidR="00422215">
        <w:t xml:space="preserve"> </w:t>
      </w:r>
      <w:r w:rsidRPr="007D2C07">
        <w:t>L</w:t>
      </w:r>
      <w:r w:rsidR="00422215">
        <w:t xml:space="preserve"> </w:t>
      </w:r>
      <w:r w:rsidRPr="007D2C07">
        <w:t>(2017–2018)).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Committee’s</w:t>
      </w:r>
      <w:r w:rsidR="00422215">
        <w:t xml:space="preserve"> </w:t>
      </w:r>
      <w:r w:rsidRPr="007D2C07">
        <w:t>report.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plenary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decided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9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2019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return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proposition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renewed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hearing,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hearing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10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t>ago.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If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bill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adopted,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clarify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people's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consulted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matters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affect</w:t>
      </w:r>
      <w:r w:rsidR="00422215">
        <w:t xml:space="preserve"> </w:t>
      </w:r>
      <w:r w:rsidRPr="007D2C07">
        <w:t>them</w:t>
      </w:r>
      <w:r w:rsidR="00422215">
        <w:t xml:space="preserve"> </w:t>
      </w:r>
      <w:r w:rsidRPr="007D2C07">
        <w:t>directly.</w:t>
      </w:r>
      <w:r w:rsidR="00422215">
        <w:t xml:space="preserve"> </w:t>
      </w:r>
      <w:r w:rsidRPr="007D2C07">
        <w:t>Consultations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meaningful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objective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achieving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–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consent</w:t>
      </w:r>
      <w:r w:rsidR="00422215">
        <w:t xml:space="preserve"> </w:t>
      </w:r>
      <w:r w:rsidRPr="007D2C07">
        <w:t>–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measures.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2007,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Modernisation</w:t>
      </w:r>
      <w:r w:rsidR="00422215">
        <w:t xml:space="preserve"> </w:t>
      </w:r>
      <w:r w:rsidRPr="007D2C07">
        <w:t>issued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survey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ministries,</w:t>
      </w:r>
      <w:r w:rsidR="00422215">
        <w:t xml:space="preserve"> </w:t>
      </w:r>
      <w:r w:rsidRPr="007D2C07">
        <w:t>governmental</w:t>
      </w:r>
      <w:r w:rsidR="00422215">
        <w:t xml:space="preserve"> </w:t>
      </w:r>
      <w:r w:rsidRPr="007D2C07">
        <w:t>agencies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Sámediggi</w:t>
      </w:r>
      <w:proofErr w:type="spellEnd"/>
      <w:r w:rsidR="00422215">
        <w:t xml:space="preserve"> </w:t>
      </w:r>
      <w:r w:rsidRPr="007D2C07">
        <w:t>(the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parliament)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evaluate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experiences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consultation</w:t>
      </w:r>
      <w:r w:rsidR="00422215">
        <w:t xml:space="preserve"> </w:t>
      </w:r>
      <w:r w:rsidRPr="007D2C07">
        <w:t>procedures.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results</w:t>
      </w:r>
      <w:r w:rsidR="00422215">
        <w:t xml:space="preserve"> </w:t>
      </w:r>
      <w:r w:rsidRPr="007D2C07">
        <w:t>indicated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procedures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easier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Sámediggi</w:t>
      </w:r>
      <w:proofErr w:type="spellEnd"/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stage.</w:t>
      </w:r>
      <w:r w:rsidR="00422215">
        <w:t xml:space="preserve"> </w:t>
      </w:r>
      <w:r w:rsidRPr="007D2C07">
        <w:t>Furthermore,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perspectives.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Justice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Security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process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evaluating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Committee’s</w:t>
      </w:r>
      <w:r w:rsidR="00422215">
        <w:t xml:space="preserve"> </w:t>
      </w:r>
      <w:r w:rsidRPr="007D2C07">
        <w:t>proposal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surveying</w:t>
      </w:r>
      <w:r w:rsidR="00422215">
        <w:t xml:space="preserve"> </w:t>
      </w:r>
      <w:r w:rsidRPr="007D2C07">
        <w:t>south</w:t>
      </w:r>
      <w:r w:rsidR="00422215">
        <w:t xml:space="preserve"> </w:t>
      </w:r>
      <w:r w:rsidRPr="007D2C07">
        <w:t>of</w:t>
      </w:r>
      <w:r w:rsidR="00422215">
        <w:t xml:space="preserve"> </w:t>
      </w:r>
      <w:proofErr w:type="spellStart"/>
      <w:r w:rsidRPr="007D2C07">
        <w:t>Finnmark</w:t>
      </w:r>
      <w:proofErr w:type="spellEnd"/>
      <w:r w:rsidR="00422215">
        <w:t xml:space="preserve"> </w:t>
      </w:r>
      <w:r w:rsidRPr="007D2C07">
        <w:t>County.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Coastal</w:t>
      </w:r>
      <w:r w:rsidR="00422215">
        <w:t xml:space="preserve"> </w:t>
      </w:r>
      <w:r w:rsidRPr="007D2C07">
        <w:t>Fisheries</w:t>
      </w:r>
      <w:r w:rsidR="00422215">
        <w:t xml:space="preserve"> </w:t>
      </w:r>
      <w:r w:rsidRPr="007D2C07">
        <w:t>off</w:t>
      </w:r>
      <w:r w:rsidR="00422215">
        <w:t xml:space="preserve"> </w:t>
      </w:r>
      <w:proofErr w:type="spellStart"/>
      <w:r w:rsidRPr="007D2C07">
        <w:t>Finnmark</w:t>
      </w:r>
      <w:proofErr w:type="spellEnd"/>
      <w:r w:rsidR="00422215">
        <w:t xml:space="preserve"> </w:t>
      </w:r>
      <w:r w:rsidRPr="007D2C07">
        <w:t>delivered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18</w:t>
      </w:r>
      <w:r w:rsidR="00422215">
        <w:t xml:space="preserve"> </w:t>
      </w:r>
      <w:r w:rsidRPr="007D2C07">
        <w:t>February</w:t>
      </w:r>
      <w:r w:rsidR="00422215">
        <w:t xml:space="preserve"> </w:t>
      </w:r>
      <w:r w:rsidRPr="007D2C07">
        <w:t>2008.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Sámediggi</w:t>
      </w:r>
      <w:proofErr w:type="spellEnd"/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concluded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consultations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2011.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consultation</w:t>
      </w:r>
      <w:r w:rsidR="00422215">
        <w:t xml:space="preserve"> </w:t>
      </w:r>
      <w:r w:rsidRPr="007D2C07">
        <w:t>parties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views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aspects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Law,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successfully</w:t>
      </w:r>
      <w:r w:rsidR="00422215">
        <w:t xml:space="preserve"> </w:t>
      </w:r>
      <w:r w:rsidRPr="007D2C07">
        <w:t>came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intended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secure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natural</w:t>
      </w:r>
      <w:r w:rsidR="00422215">
        <w:t xml:space="preserve"> </w:t>
      </w:r>
      <w:r w:rsidRPr="007D2C07">
        <w:t>resources,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form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Coastal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culture.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One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law,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conditions,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fish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inhabitants</w:t>
      </w:r>
      <w:r w:rsidR="00422215">
        <w:t xml:space="preserve"> </w:t>
      </w:r>
      <w:r w:rsidRPr="007D2C07">
        <w:t>of</w:t>
      </w:r>
      <w:r w:rsidR="00422215">
        <w:t xml:space="preserve"> </w:t>
      </w:r>
      <w:proofErr w:type="spellStart"/>
      <w:r w:rsidRPr="007D2C07">
        <w:t>Finnmark</w:t>
      </w:r>
      <w:proofErr w:type="spellEnd"/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Northern</w:t>
      </w:r>
      <w:r w:rsidR="00422215">
        <w:t xml:space="preserve"> </w:t>
      </w:r>
      <w:r w:rsidRPr="007D2C07">
        <w:t>Troms,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Northern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Coastal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areas.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Marine</w:t>
      </w:r>
      <w:r w:rsidR="00422215">
        <w:t xml:space="preserve"> </w:t>
      </w:r>
      <w:r w:rsidRPr="007D2C07">
        <w:t>Resources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importance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emphasising</w:t>
      </w:r>
      <w:r w:rsidR="00422215">
        <w:t xml:space="preserve"> </w:t>
      </w:r>
      <w:r w:rsidRPr="007D2C07">
        <w:t>consideration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culture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regulation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management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fishing.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stating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applied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accordance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indigenous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minorities.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proofErr w:type="spellStart"/>
      <w:r w:rsidRPr="007D2C07">
        <w:t>Finnmark</w:t>
      </w:r>
      <w:proofErr w:type="spellEnd"/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stating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claim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recognition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fishing</w:t>
      </w:r>
      <w:r w:rsidR="00422215">
        <w:t xml:space="preserve"> </w:t>
      </w:r>
      <w:r w:rsidRPr="007D2C07">
        <w:t>grounds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put</w:t>
      </w:r>
      <w:r w:rsidR="00422215">
        <w:t xml:space="preserve"> </w:t>
      </w:r>
      <w:r w:rsidRPr="007D2C07">
        <w:t>forward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Finnmark</w:t>
      </w:r>
      <w:proofErr w:type="spellEnd"/>
      <w:r w:rsidR="00422215">
        <w:t xml:space="preserve"> </w:t>
      </w:r>
      <w:r w:rsidRPr="007D2C07">
        <w:t>Commission.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2012.</w:t>
      </w:r>
      <w:r w:rsidR="00422215"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10</w:t>
      </w:r>
      <w:r w:rsidR="00A13A0A">
        <w:t xml:space="preserve"> </w:t>
      </w:r>
      <w:r w:rsidR="001E6239">
        <w:t>(a)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10.</w:t>
      </w:r>
      <w:r w:rsidRPr="007D2C07">
        <w:tab/>
        <w:t>Norway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official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line,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</w:t>
      </w:r>
      <w:r w:rsidR="00422215">
        <w:t xml:space="preserve"> </w:t>
      </w:r>
      <w:r w:rsidRPr="007D2C07">
        <w:t>definition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often</w:t>
      </w:r>
      <w:r w:rsidR="00422215">
        <w:t xml:space="preserve"> </w:t>
      </w:r>
      <w:r w:rsidRPr="007D2C07">
        <w:t>applied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mapping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extent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income.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</w:t>
      </w:r>
      <w:r w:rsidR="00422215">
        <w:t xml:space="preserve"> </w:t>
      </w:r>
      <w:r w:rsidRPr="007D2C07">
        <w:t>At-risk-of-poverty</w:t>
      </w:r>
      <w:r w:rsidR="00422215">
        <w:t xml:space="preserve"> </w:t>
      </w:r>
      <w:r w:rsidRPr="007D2C07">
        <w:t>indicator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50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threshold,</w:t>
      </w:r>
      <w:r w:rsidR="00422215">
        <w:t xml:space="preserve"> </w:t>
      </w:r>
      <w:r w:rsidRPr="007D2C07">
        <w:t>incomes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50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median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line.</w:t>
      </w:r>
      <w:r w:rsidR="00422215">
        <w:t xml:space="preserve"> </w:t>
      </w:r>
      <w:r w:rsidRPr="007D2C07">
        <w:t>Likewise,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60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threshold</w:t>
      </w:r>
      <w:r w:rsidR="00422215">
        <w:t xml:space="preserve"> </w:t>
      </w:r>
      <w:r w:rsidRPr="007D2C07">
        <w:t>considers</w:t>
      </w:r>
      <w:r w:rsidR="00422215">
        <w:t xml:space="preserve"> </w:t>
      </w:r>
      <w:r w:rsidRPr="007D2C07">
        <w:t>incomes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60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median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line.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Although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households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yearly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line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years,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still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rPr>
          <w:bCs/>
        </w:rPr>
        <w:t>little</w:t>
      </w:r>
      <w:r w:rsidR="00422215">
        <w:rPr>
          <w:bCs/>
        </w:rPr>
        <w:t xml:space="preserve"> </w:t>
      </w:r>
      <w:r w:rsidRPr="007D2C07">
        <w:rPr>
          <w:bCs/>
        </w:rPr>
        <w:t>disparity</w:t>
      </w:r>
      <w:r w:rsidR="00422215">
        <w:rPr>
          <w:bCs/>
        </w:rPr>
        <w:t xml:space="preserve"> </w:t>
      </w:r>
      <w:r w:rsidRPr="007D2C07">
        <w:rPr>
          <w:bCs/>
        </w:rPr>
        <w:t>between</w:t>
      </w:r>
      <w:r w:rsidR="00422215">
        <w:rPr>
          <w:bCs/>
        </w:rPr>
        <w:t xml:space="preserve"> </w:t>
      </w:r>
      <w:r w:rsidRPr="007D2C07">
        <w:rPr>
          <w:bCs/>
        </w:rPr>
        <w:t>rich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poor</w:t>
      </w:r>
      <w:r w:rsidRPr="007D2C07">
        <w:t>.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kindergarten,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rPr>
          <w:bCs/>
        </w:rPr>
        <w:t>publicly</w:t>
      </w:r>
      <w:r w:rsidR="00422215">
        <w:rPr>
          <w:bCs/>
        </w:rPr>
        <w:t xml:space="preserve"> </w:t>
      </w:r>
      <w:r w:rsidRPr="007D2C07">
        <w:rPr>
          <w:bCs/>
        </w:rPr>
        <w:t>subsidised</w:t>
      </w:r>
      <w:r w:rsidRPr="007D2C07">
        <w:t>,</w:t>
      </w:r>
      <w:r w:rsidR="00422215">
        <w:t xml:space="preserve"> </w:t>
      </w:r>
      <w:r w:rsidRPr="007D2C07">
        <w:t>reducing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consequences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income.</w:t>
      </w:r>
    </w:p>
    <w:p w:rsidR="007D2C07" w:rsidRPr="001E6239" w:rsidRDefault="007D2C07" w:rsidP="009B4E2B">
      <w:pPr>
        <w:pStyle w:val="Heading1"/>
        <w:spacing w:after="120"/>
        <w:rPr>
          <w:b/>
        </w:rPr>
      </w:pPr>
      <w:r w:rsidRPr="001E6239">
        <w:rPr>
          <w:b/>
        </w:rPr>
        <w:t>People</w:t>
      </w:r>
      <w:r w:rsidR="00422215" w:rsidRPr="001E6239">
        <w:rPr>
          <w:b/>
        </w:rPr>
        <w:t xml:space="preserve"> </w:t>
      </w:r>
      <w:proofErr w:type="gramStart"/>
      <w:r w:rsidRPr="001E6239">
        <w:rPr>
          <w:b/>
        </w:rPr>
        <w:t>in</w:t>
      </w:r>
      <w:r w:rsidR="00422215" w:rsidRPr="001E6239">
        <w:rPr>
          <w:b/>
        </w:rPr>
        <w:t xml:space="preserve"> </w:t>
      </w:r>
      <w:r w:rsidRPr="001E6239">
        <w:rPr>
          <w:b/>
        </w:rPr>
        <w:t>households</w:t>
      </w:r>
      <w:r w:rsidR="00422215" w:rsidRPr="001E6239">
        <w:rPr>
          <w:b/>
        </w:rPr>
        <w:t xml:space="preserve"> </w:t>
      </w:r>
      <w:r w:rsidRPr="001E6239">
        <w:rPr>
          <w:b/>
        </w:rPr>
        <w:t>with</w:t>
      </w:r>
      <w:r w:rsidR="00422215" w:rsidRPr="001E6239">
        <w:rPr>
          <w:b/>
        </w:rPr>
        <w:t xml:space="preserve"> </w:t>
      </w:r>
      <w:r w:rsidRPr="001E6239">
        <w:rPr>
          <w:b/>
        </w:rPr>
        <w:t>yearly</w:t>
      </w:r>
      <w:r w:rsidR="00422215" w:rsidRPr="001E6239">
        <w:rPr>
          <w:b/>
        </w:rPr>
        <w:t xml:space="preserve"> </w:t>
      </w:r>
      <w:r w:rsidRPr="001E6239">
        <w:rPr>
          <w:b/>
        </w:rPr>
        <w:t>income</w:t>
      </w:r>
      <w:r w:rsidR="00422215" w:rsidRPr="001E6239">
        <w:rPr>
          <w:b/>
        </w:rPr>
        <w:t xml:space="preserve"> </w:t>
      </w:r>
      <w:r w:rsidRPr="001E6239">
        <w:rPr>
          <w:b/>
        </w:rPr>
        <w:t>after</w:t>
      </w:r>
      <w:r w:rsidR="00422215" w:rsidRPr="001E6239">
        <w:rPr>
          <w:b/>
        </w:rPr>
        <w:t xml:space="preserve"> </w:t>
      </w:r>
      <w:r w:rsidRPr="001E6239">
        <w:rPr>
          <w:b/>
        </w:rPr>
        <w:t>taxes</w:t>
      </w:r>
      <w:r w:rsidR="00422215" w:rsidRPr="001E6239">
        <w:rPr>
          <w:b/>
        </w:rPr>
        <w:t xml:space="preserve"> </w:t>
      </w:r>
      <w:r w:rsidRPr="001E6239">
        <w:rPr>
          <w:b/>
        </w:rPr>
        <w:t>per</w:t>
      </w:r>
      <w:r w:rsidR="00422215" w:rsidRPr="001E6239">
        <w:rPr>
          <w:b/>
        </w:rPr>
        <w:t xml:space="preserve"> </w:t>
      </w:r>
      <w:r w:rsidRPr="001E6239">
        <w:rPr>
          <w:b/>
        </w:rPr>
        <w:t>consumption</w:t>
      </w:r>
      <w:r w:rsidR="00422215" w:rsidRPr="001E6239">
        <w:rPr>
          <w:b/>
        </w:rPr>
        <w:t xml:space="preserve"> </w:t>
      </w:r>
      <w:r w:rsidRPr="001E6239">
        <w:rPr>
          <w:b/>
        </w:rPr>
        <w:t>unit</w:t>
      </w:r>
      <w:r w:rsidR="00495BC2">
        <w:rPr>
          <w:b/>
        </w:rPr>
        <w:t xml:space="preserve"> </w:t>
      </w:r>
      <w:r w:rsidR="001E6239">
        <w:rPr>
          <w:b/>
        </w:rPr>
        <w:br/>
      </w:r>
      <w:r w:rsidRPr="001E6239">
        <w:rPr>
          <w:b/>
        </w:rPr>
        <w:t>below</w:t>
      </w:r>
      <w:r w:rsidR="00422215" w:rsidRPr="001E6239">
        <w:rPr>
          <w:b/>
        </w:rPr>
        <w:t xml:space="preserve"> </w:t>
      </w:r>
      <w:r w:rsidRPr="001E6239">
        <w:rPr>
          <w:b/>
        </w:rPr>
        <w:t>50</w:t>
      </w:r>
      <w:r w:rsidR="00422215" w:rsidRPr="001E6239">
        <w:rPr>
          <w:b/>
        </w:rPr>
        <w:t xml:space="preserve"> </w:t>
      </w:r>
      <w:r w:rsidRPr="001E6239">
        <w:rPr>
          <w:b/>
        </w:rPr>
        <w:t>and</w:t>
      </w:r>
      <w:r w:rsidR="00422215" w:rsidRPr="001E6239">
        <w:rPr>
          <w:b/>
        </w:rPr>
        <w:t xml:space="preserve"> </w:t>
      </w:r>
      <w:r w:rsidRPr="001E6239">
        <w:rPr>
          <w:b/>
        </w:rPr>
        <w:t>60</w:t>
      </w:r>
      <w:r w:rsidR="00422215" w:rsidRPr="001E6239">
        <w:rPr>
          <w:b/>
        </w:rPr>
        <w:t xml:space="preserve"> </w:t>
      </w:r>
      <w:r w:rsidRPr="001E6239">
        <w:rPr>
          <w:b/>
        </w:rPr>
        <w:t>pct.</w:t>
      </w:r>
      <w:r w:rsidR="00422215" w:rsidRPr="001E6239">
        <w:rPr>
          <w:b/>
        </w:rPr>
        <w:t xml:space="preserve"> </w:t>
      </w:r>
      <w:r w:rsidRPr="001E6239">
        <w:rPr>
          <w:b/>
        </w:rPr>
        <w:t>of</w:t>
      </w:r>
      <w:r w:rsidR="00422215" w:rsidRPr="001E6239">
        <w:rPr>
          <w:b/>
        </w:rPr>
        <w:t xml:space="preserve"> </w:t>
      </w:r>
      <w:r w:rsidRPr="001E6239">
        <w:rPr>
          <w:b/>
        </w:rPr>
        <w:t>median</w:t>
      </w:r>
      <w:r w:rsidR="00422215" w:rsidRPr="001E6239">
        <w:rPr>
          <w:b/>
        </w:rPr>
        <w:t xml:space="preserve"> </w:t>
      </w:r>
      <w:r w:rsidRPr="001E6239">
        <w:rPr>
          <w:b/>
        </w:rPr>
        <w:t>income</w:t>
      </w:r>
      <w:r w:rsidR="00422215" w:rsidRPr="001E6239">
        <w:rPr>
          <w:b/>
        </w:rPr>
        <w:t xml:space="preserve"> </w:t>
      </w:r>
      <w:r w:rsidRPr="001E6239">
        <w:rPr>
          <w:b/>
        </w:rPr>
        <w:t>in</w:t>
      </w:r>
      <w:r w:rsidR="00422215" w:rsidRPr="001E6239">
        <w:rPr>
          <w:b/>
        </w:rPr>
        <w:t xml:space="preserve"> </w:t>
      </w:r>
      <w:r w:rsidRPr="001E6239">
        <w:rPr>
          <w:b/>
        </w:rPr>
        <w:t>2007-2017</w:t>
      </w:r>
      <w:proofErr w:type="gramEnd"/>
      <w:r w:rsidRPr="00495BC2">
        <w:rPr>
          <w:vertAlign w:val="superscript"/>
        </w:rPr>
        <w:footnoteReference w:id="7"/>
      </w:r>
      <w:r w:rsidRPr="001E6239">
        <w:rPr>
          <w:b/>
        </w:rPr>
        <w:t>.</w:t>
      </w:r>
      <w:r w:rsidR="00422215" w:rsidRPr="001E6239">
        <w:rPr>
          <w:b/>
        </w:rPr>
        <w:t xml:space="preserve"> </w:t>
      </w:r>
      <w:r w:rsidRPr="001E6239">
        <w:rPr>
          <w:b/>
        </w:rPr>
        <w:t>In</w:t>
      </w:r>
      <w:r w:rsidR="00422215" w:rsidRPr="001E6239">
        <w:rPr>
          <w:b/>
        </w:rPr>
        <w:t xml:space="preserve"> </w:t>
      </w:r>
      <w:r w:rsidRPr="001E6239">
        <w:rPr>
          <w:b/>
        </w:rPr>
        <w:t>pct.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618"/>
        <w:gridCol w:w="618"/>
        <w:gridCol w:w="620"/>
        <w:gridCol w:w="618"/>
        <w:gridCol w:w="618"/>
        <w:gridCol w:w="619"/>
        <w:gridCol w:w="617"/>
        <w:gridCol w:w="617"/>
        <w:gridCol w:w="619"/>
        <w:gridCol w:w="617"/>
        <w:gridCol w:w="619"/>
      </w:tblGrid>
      <w:tr w:rsidR="009B4E2B" w:rsidRPr="00341318" w:rsidTr="009B4E2B">
        <w:trPr>
          <w:tblHeader/>
        </w:trPr>
        <w:tc>
          <w:tcPr>
            <w:tcW w:w="10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2007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2008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2009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2012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2013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2014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2015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2017</w:t>
            </w:r>
          </w:p>
        </w:tc>
      </w:tr>
      <w:tr w:rsidR="009B4E2B" w:rsidRPr="00341318" w:rsidTr="009B4E2B">
        <w:tc>
          <w:tcPr>
            <w:tcW w:w="1001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EU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scale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50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per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cent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5.1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5.2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4.7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4.6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4.7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4.9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5.2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5.4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5.5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5.5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5.6</w:t>
            </w:r>
          </w:p>
        </w:tc>
      </w:tr>
      <w:tr w:rsidR="009B4E2B" w:rsidRPr="00341318" w:rsidTr="009B4E2B">
        <w:tc>
          <w:tcPr>
            <w:tcW w:w="100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EU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scale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60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per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cent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10.2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9.5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9.4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9.6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10.1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10.5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10.8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10.9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11.0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11.2</w:t>
            </w:r>
          </w:p>
        </w:tc>
      </w:tr>
    </w:tbl>
    <w:p w:rsidR="007D2C07" w:rsidRPr="001E6239" w:rsidRDefault="007D2C07" w:rsidP="00DA23BB">
      <w:pPr>
        <w:pStyle w:val="SingleTxtG"/>
        <w:spacing w:before="120" w:after="240" w:line="220" w:lineRule="exact"/>
        <w:ind w:firstLine="170"/>
        <w:jc w:val="left"/>
        <w:rPr>
          <w:sz w:val="18"/>
          <w:szCs w:val="18"/>
        </w:rPr>
      </w:pPr>
      <w:r w:rsidRPr="001E6239">
        <w:rPr>
          <w:i/>
          <w:sz w:val="18"/>
          <w:szCs w:val="18"/>
        </w:rPr>
        <w:t>Source</w:t>
      </w:r>
      <w:r w:rsidRPr="001E6239">
        <w:rPr>
          <w:sz w:val="18"/>
          <w:szCs w:val="18"/>
        </w:rPr>
        <w:t>: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Statistics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Norway</w:t>
      </w:r>
      <w:r w:rsidR="00495BC2">
        <w:rPr>
          <w:sz w:val="18"/>
          <w:szCs w:val="18"/>
        </w:rPr>
        <w:t>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table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(the</w:t>
      </w:r>
      <w:r w:rsidR="00422215">
        <w:t xml:space="preserve"> </w:t>
      </w:r>
      <w:r w:rsidRPr="007D2C07">
        <w:t>sum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income,</w:t>
      </w:r>
      <w:r w:rsidR="00422215">
        <w:t xml:space="preserve"> </w:t>
      </w:r>
      <w:r w:rsidRPr="007D2C07">
        <w:t>capital</w:t>
      </w:r>
      <w:r w:rsidR="00422215">
        <w:t xml:space="preserve"> </w:t>
      </w:r>
      <w:r w:rsidRPr="007D2C07">
        <w:t>income,</w:t>
      </w:r>
      <w:r w:rsidR="00422215">
        <w:t xml:space="preserve"> </w:t>
      </w:r>
      <w:r w:rsidRPr="007D2C07">
        <w:t>taxable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tax-free</w:t>
      </w:r>
      <w:r w:rsidR="00422215">
        <w:t xml:space="preserve"> </w:t>
      </w:r>
      <w:r w:rsidRPr="007D2C07">
        <w:t>transfers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year)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accrues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tenth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decile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poorest</w:t>
      </w:r>
      <w:r w:rsidR="00422215">
        <w:t xml:space="preserve"> </w:t>
      </w:r>
      <w:r w:rsidRPr="007D2C07">
        <w:t>40</w:t>
      </w:r>
      <w:r w:rsidR="00422215">
        <w:t xml:space="preserve"> </w:t>
      </w:r>
      <w:r w:rsidRPr="007D2C07">
        <w:t>pct.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population,</w:t>
      </w:r>
      <w:r w:rsidR="00422215">
        <w:t xml:space="preserve"> </w:t>
      </w:r>
      <w:r w:rsidRPr="007D2C07">
        <w:t>respectively.</w:t>
      </w:r>
    </w:p>
    <w:p w:rsidR="007D2C07" w:rsidRPr="001E6239" w:rsidRDefault="007D2C07" w:rsidP="00352F63">
      <w:pPr>
        <w:pStyle w:val="Heading1"/>
        <w:spacing w:before="240" w:after="120"/>
        <w:rPr>
          <w:b/>
        </w:rPr>
      </w:pPr>
      <w:r w:rsidRPr="001E6239">
        <w:rPr>
          <w:b/>
        </w:rPr>
        <w:t>Share</w:t>
      </w:r>
      <w:r w:rsidR="00422215" w:rsidRPr="001E6239">
        <w:rPr>
          <w:b/>
        </w:rPr>
        <w:t xml:space="preserve"> </w:t>
      </w:r>
      <w:r w:rsidRPr="001E6239">
        <w:rPr>
          <w:b/>
        </w:rPr>
        <w:t>of</w:t>
      </w:r>
      <w:r w:rsidR="00422215" w:rsidRPr="001E6239">
        <w:rPr>
          <w:b/>
        </w:rPr>
        <w:t xml:space="preserve"> </w:t>
      </w:r>
      <w:r w:rsidRPr="001E6239">
        <w:rPr>
          <w:b/>
        </w:rPr>
        <w:t>total</w:t>
      </w:r>
      <w:r w:rsidR="00422215" w:rsidRPr="001E6239">
        <w:rPr>
          <w:b/>
        </w:rPr>
        <w:t xml:space="preserve"> </w:t>
      </w:r>
      <w:r w:rsidRPr="001E6239">
        <w:rPr>
          <w:b/>
        </w:rPr>
        <w:t>income</w:t>
      </w:r>
      <w:r w:rsidR="00422215" w:rsidRPr="001E6239">
        <w:rPr>
          <w:b/>
        </w:rPr>
        <w:t xml:space="preserve"> </w:t>
      </w:r>
      <w:r w:rsidRPr="001E6239">
        <w:rPr>
          <w:b/>
        </w:rPr>
        <w:t>accruing</w:t>
      </w:r>
      <w:r w:rsidR="00422215" w:rsidRPr="001E6239">
        <w:rPr>
          <w:b/>
        </w:rPr>
        <w:t xml:space="preserve"> </w:t>
      </w:r>
      <w:r w:rsidRPr="001E6239">
        <w:rPr>
          <w:b/>
        </w:rPr>
        <w:t>income</w:t>
      </w:r>
      <w:r w:rsidR="00422215" w:rsidRPr="001E6239">
        <w:rPr>
          <w:b/>
        </w:rPr>
        <w:t xml:space="preserve"> </w:t>
      </w:r>
      <w:r w:rsidRPr="001E6239">
        <w:rPr>
          <w:b/>
        </w:rPr>
        <w:t>decile</w:t>
      </w:r>
      <w:r w:rsidR="00422215" w:rsidRPr="001E6239">
        <w:rPr>
          <w:b/>
        </w:rPr>
        <w:t xml:space="preserve"> </w:t>
      </w:r>
      <w:r w:rsidRPr="001E6239">
        <w:rPr>
          <w:b/>
        </w:rPr>
        <w:t>1-4</w:t>
      </w:r>
      <w:r w:rsidR="00422215" w:rsidRPr="001E6239">
        <w:rPr>
          <w:b/>
        </w:rPr>
        <w:t xml:space="preserve"> </w:t>
      </w:r>
      <w:r w:rsidRPr="001E6239">
        <w:rPr>
          <w:b/>
        </w:rPr>
        <w:t>and</w:t>
      </w:r>
      <w:r w:rsidR="00422215" w:rsidRPr="001E6239">
        <w:rPr>
          <w:b/>
        </w:rPr>
        <w:t xml:space="preserve"> </w:t>
      </w:r>
      <w:r w:rsidRPr="001E6239">
        <w:rPr>
          <w:b/>
        </w:rPr>
        <w:t>income</w:t>
      </w:r>
      <w:r w:rsidR="00422215" w:rsidRPr="001E6239">
        <w:rPr>
          <w:b/>
        </w:rPr>
        <w:t xml:space="preserve"> </w:t>
      </w:r>
      <w:r w:rsidRPr="001E6239">
        <w:rPr>
          <w:b/>
        </w:rPr>
        <w:t>decile</w:t>
      </w:r>
      <w:r w:rsidR="00422215" w:rsidRPr="001E6239">
        <w:rPr>
          <w:b/>
        </w:rPr>
        <w:t xml:space="preserve"> </w:t>
      </w:r>
      <w:r w:rsidRPr="001E6239">
        <w:rPr>
          <w:b/>
        </w:rPr>
        <w:t>10,</w:t>
      </w:r>
      <w:r w:rsidR="00495BC2">
        <w:rPr>
          <w:b/>
        </w:rPr>
        <w:t xml:space="preserve"> </w:t>
      </w:r>
      <w:r w:rsidR="001E6239" w:rsidRPr="001E6239">
        <w:rPr>
          <w:b/>
        </w:rPr>
        <w:br/>
      </w:r>
      <w:r w:rsidRPr="001E6239">
        <w:rPr>
          <w:b/>
        </w:rPr>
        <w:t>residents</w:t>
      </w:r>
      <w:r w:rsidR="00422215" w:rsidRPr="001E6239">
        <w:rPr>
          <w:b/>
        </w:rPr>
        <w:t xml:space="preserve"> </w:t>
      </w:r>
      <w:r w:rsidRPr="001E6239">
        <w:rPr>
          <w:b/>
        </w:rPr>
        <w:t>17</w:t>
      </w:r>
      <w:r w:rsidR="00422215" w:rsidRPr="001E6239">
        <w:rPr>
          <w:b/>
        </w:rPr>
        <w:t xml:space="preserve"> </w:t>
      </w:r>
      <w:r w:rsidRPr="001E6239">
        <w:rPr>
          <w:b/>
        </w:rPr>
        <w:t>years</w:t>
      </w:r>
      <w:r w:rsidR="00422215" w:rsidRPr="001E6239">
        <w:rPr>
          <w:b/>
        </w:rPr>
        <w:t xml:space="preserve"> </w:t>
      </w:r>
      <w:r w:rsidRPr="001E6239">
        <w:rPr>
          <w:b/>
        </w:rPr>
        <w:t>and</w:t>
      </w:r>
      <w:r w:rsidR="00422215" w:rsidRPr="001E6239">
        <w:rPr>
          <w:b/>
        </w:rPr>
        <w:t xml:space="preserve"> </w:t>
      </w:r>
      <w:r w:rsidRPr="001E6239">
        <w:rPr>
          <w:b/>
        </w:rPr>
        <w:t>above</w:t>
      </w:r>
      <w:r w:rsidR="00422215" w:rsidRPr="001E6239">
        <w:rPr>
          <w:b/>
        </w:rPr>
        <w:t xml:space="preserve"> </w:t>
      </w:r>
      <w:r w:rsidRPr="001E6239">
        <w:rPr>
          <w:b/>
        </w:rPr>
        <w:t>in</w:t>
      </w:r>
      <w:r w:rsidR="00422215" w:rsidRPr="001E6239">
        <w:rPr>
          <w:b/>
        </w:rPr>
        <w:t xml:space="preserve"> </w:t>
      </w:r>
      <w:r w:rsidRPr="001E6239">
        <w:rPr>
          <w:b/>
        </w:rPr>
        <w:t>2007-2017.</w:t>
      </w:r>
      <w:r w:rsidR="00422215" w:rsidRPr="001E6239">
        <w:rPr>
          <w:b/>
        </w:rPr>
        <w:t xml:space="preserve"> </w:t>
      </w:r>
      <w:r w:rsidRPr="001E6239">
        <w:rPr>
          <w:b/>
        </w:rPr>
        <w:t>In</w:t>
      </w:r>
      <w:r w:rsidR="00422215" w:rsidRPr="001E6239">
        <w:rPr>
          <w:b/>
        </w:rPr>
        <w:t xml:space="preserve"> </w:t>
      </w:r>
      <w:r w:rsidRPr="001E6239">
        <w:rPr>
          <w:b/>
        </w:rPr>
        <w:t>pct.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89"/>
        <w:gridCol w:w="590"/>
        <w:gridCol w:w="591"/>
        <w:gridCol w:w="590"/>
        <w:gridCol w:w="591"/>
        <w:gridCol w:w="590"/>
        <w:gridCol w:w="591"/>
        <w:gridCol w:w="590"/>
        <w:gridCol w:w="591"/>
        <w:gridCol w:w="590"/>
        <w:gridCol w:w="591"/>
      </w:tblGrid>
      <w:tr w:rsidR="007D2C07" w:rsidRPr="00341318" w:rsidTr="00341318">
        <w:trPr>
          <w:tblHeader/>
        </w:trPr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2007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2008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2009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2011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2013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2015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2017</w:t>
            </w:r>
          </w:p>
        </w:tc>
      </w:tr>
      <w:tr w:rsidR="007D2C07" w:rsidRPr="00341318" w:rsidTr="00341318"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Decile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1-4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16.45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16.40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16.71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16.55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16.46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16.35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16.19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16.02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15.87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16.14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16.22</w:t>
            </w:r>
            <w:r w:rsidR="00422215">
              <w:rPr>
                <w:sz w:val="18"/>
              </w:rPr>
              <w:t xml:space="preserve"> </w:t>
            </w:r>
          </w:p>
        </w:tc>
      </w:tr>
      <w:tr w:rsidR="007D2C07" w:rsidRPr="00341318" w:rsidTr="00341318"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Decile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10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28.27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27.80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27.09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27.60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27.72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27.74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27.89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28.24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29.65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28.48</w:t>
            </w:r>
            <w:r w:rsidR="00422215">
              <w:rPr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28.47</w:t>
            </w:r>
            <w:r w:rsidR="00422215">
              <w:rPr>
                <w:sz w:val="18"/>
              </w:rPr>
              <w:t xml:space="preserve"> </w:t>
            </w:r>
          </w:p>
        </w:tc>
      </w:tr>
    </w:tbl>
    <w:p w:rsidR="007C7F59" w:rsidRPr="001E6239" w:rsidRDefault="007D2C07" w:rsidP="00731138">
      <w:pPr>
        <w:pStyle w:val="SingleTxtG"/>
        <w:spacing w:before="120" w:after="240" w:line="220" w:lineRule="exact"/>
        <w:ind w:firstLine="170"/>
        <w:jc w:val="left"/>
        <w:rPr>
          <w:sz w:val="18"/>
          <w:szCs w:val="18"/>
        </w:rPr>
      </w:pPr>
      <w:r w:rsidRPr="001E6239">
        <w:rPr>
          <w:i/>
          <w:sz w:val="18"/>
          <w:szCs w:val="18"/>
        </w:rPr>
        <w:t>Source</w:t>
      </w:r>
      <w:r w:rsidRPr="001E6239">
        <w:rPr>
          <w:sz w:val="18"/>
          <w:szCs w:val="18"/>
        </w:rPr>
        <w:t>: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Statistics</w:t>
      </w:r>
      <w:r w:rsidR="00422215" w:rsidRPr="001E6239">
        <w:rPr>
          <w:sz w:val="18"/>
          <w:szCs w:val="18"/>
        </w:rPr>
        <w:t xml:space="preserve"> </w:t>
      </w:r>
      <w:r w:rsidRPr="001E6239">
        <w:rPr>
          <w:sz w:val="18"/>
          <w:szCs w:val="18"/>
        </w:rPr>
        <w:t>Norway</w:t>
      </w:r>
      <w:r w:rsidR="00495BC2">
        <w:rPr>
          <w:sz w:val="18"/>
          <w:szCs w:val="18"/>
        </w:rPr>
        <w:t>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(students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excluded)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households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persistently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income,</w:t>
      </w:r>
      <w:r w:rsidR="00422215">
        <w:t xml:space="preserve"> </w:t>
      </w:r>
      <w:r w:rsidRPr="007D2C07">
        <w:t>defined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three-year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60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median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EU</w:t>
      </w:r>
      <w:r w:rsidR="00422215">
        <w:t xml:space="preserve"> </w:t>
      </w:r>
      <w:r w:rsidRPr="007D2C07">
        <w:t>equivalence</w:t>
      </w:r>
      <w:r w:rsidR="00422215">
        <w:t xml:space="preserve"> </w:t>
      </w:r>
      <w:r w:rsidRPr="007D2C07">
        <w:t>scale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slightly</w:t>
      </w:r>
      <w:r w:rsidR="00422215">
        <w:t xml:space="preserve"> </w:t>
      </w:r>
      <w:r w:rsidRPr="007D2C07">
        <w:t>augmented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ten</w:t>
      </w:r>
      <w:r w:rsidR="00422215">
        <w:t xml:space="preserve"> </w:t>
      </w:r>
      <w:r w:rsidRPr="007D2C07">
        <w:t>years: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4021"/>
      </w:tblGrid>
      <w:tr w:rsidR="007D2C07" w:rsidRPr="00341318" w:rsidTr="00341318">
        <w:trPr>
          <w:tblHeader/>
        </w:trPr>
        <w:tc>
          <w:tcPr>
            <w:tcW w:w="33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Period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</w:rPr>
            </w:pPr>
            <w:r w:rsidRPr="00341318">
              <w:rPr>
                <w:i/>
                <w:sz w:val="16"/>
              </w:rPr>
              <w:t>Proportion</w:t>
            </w:r>
            <w:r w:rsidR="00422215">
              <w:rPr>
                <w:i/>
                <w:sz w:val="16"/>
              </w:rPr>
              <w:t xml:space="preserve"> </w:t>
            </w:r>
            <w:r w:rsidRPr="00341318">
              <w:rPr>
                <w:i/>
                <w:sz w:val="16"/>
              </w:rPr>
              <w:t>of</w:t>
            </w:r>
            <w:r w:rsidR="00422215">
              <w:rPr>
                <w:i/>
                <w:sz w:val="16"/>
              </w:rPr>
              <w:t xml:space="preserve"> </w:t>
            </w:r>
            <w:r w:rsidRPr="00341318">
              <w:rPr>
                <w:i/>
                <w:sz w:val="16"/>
              </w:rPr>
              <w:t>the</w:t>
            </w:r>
            <w:r w:rsidR="00422215">
              <w:rPr>
                <w:i/>
                <w:sz w:val="16"/>
              </w:rPr>
              <w:t xml:space="preserve"> </w:t>
            </w:r>
            <w:r w:rsidRPr="00341318">
              <w:rPr>
                <w:i/>
                <w:sz w:val="16"/>
              </w:rPr>
              <w:t>population</w:t>
            </w:r>
            <w:r w:rsidR="00422215">
              <w:rPr>
                <w:i/>
                <w:sz w:val="16"/>
              </w:rPr>
              <w:t xml:space="preserve"> </w:t>
            </w:r>
            <w:r w:rsidRPr="00341318">
              <w:rPr>
                <w:i/>
                <w:sz w:val="16"/>
              </w:rPr>
              <w:t>(%)</w:t>
            </w:r>
          </w:p>
        </w:tc>
      </w:tr>
      <w:tr w:rsidR="007D2C07" w:rsidRPr="00341318" w:rsidTr="00341318">
        <w:tc>
          <w:tcPr>
            <w:tcW w:w="3349" w:type="dxa"/>
            <w:tcBorders>
              <w:top w:val="single" w:sz="12" w:space="0" w:color="auto"/>
            </w:tcBorders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2015-2017</w:t>
            </w:r>
          </w:p>
        </w:tc>
        <w:tc>
          <w:tcPr>
            <w:tcW w:w="40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9.6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2014-2016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9.4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2013-2015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9.3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2012-2014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9.0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2011-2013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8.6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2010-2012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7.9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2009-2011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7.7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2008-2010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7.9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2007-2009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8.1</w:t>
            </w:r>
          </w:p>
        </w:tc>
      </w:tr>
      <w:tr w:rsidR="007D2C07" w:rsidRPr="00341318" w:rsidTr="00341318">
        <w:tc>
          <w:tcPr>
            <w:tcW w:w="3349" w:type="dxa"/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2006-2008</w:t>
            </w:r>
          </w:p>
        </w:tc>
        <w:tc>
          <w:tcPr>
            <w:tcW w:w="4021" w:type="dxa"/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8.2</w:t>
            </w:r>
          </w:p>
        </w:tc>
      </w:tr>
      <w:tr w:rsidR="007D2C07" w:rsidRPr="00341318" w:rsidTr="00341318">
        <w:tc>
          <w:tcPr>
            <w:tcW w:w="3349" w:type="dxa"/>
            <w:tcBorders>
              <w:bottom w:val="single" w:sz="12" w:space="0" w:color="auto"/>
            </w:tcBorders>
            <w:shd w:val="clear" w:color="auto" w:fill="auto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2005-2007</w:t>
            </w:r>
          </w:p>
        </w:tc>
        <w:tc>
          <w:tcPr>
            <w:tcW w:w="40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8.1</w:t>
            </w:r>
          </w:p>
        </w:tc>
      </w:tr>
    </w:tbl>
    <w:p w:rsidR="001E6239" w:rsidRPr="00341318" w:rsidRDefault="001E623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10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1E6239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revenue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financed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taxes:</w:t>
      </w:r>
      <w:r w:rsidR="00422215">
        <w:t xml:space="preserve"> 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423"/>
      </w:tblGrid>
      <w:tr w:rsidR="009B4E2B" w:rsidRPr="00341318" w:rsidTr="00731138">
        <w:trPr>
          <w:tblHeader/>
        </w:trPr>
        <w:tc>
          <w:tcPr>
            <w:tcW w:w="10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  <w:r w:rsidRPr="00341318">
              <w:rPr>
                <w:i/>
                <w:iCs/>
                <w:sz w:val="16"/>
              </w:rPr>
              <w:t>Nominal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341318">
              <w:rPr>
                <w:i/>
                <w:iCs/>
                <w:sz w:val="16"/>
              </w:rPr>
              <w:t>NOK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341318">
              <w:rPr>
                <w:i/>
                <w:iCs/>
                <w:sz w:val="16"/>
              </w:rPr>
              <w:t>Bn.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2009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2011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2013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2018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proofErr w:type="spellStart"/>
            <w:r w:rsidRPr="00341318">
              <w:rPr>
                <w:bCs/>
                <w:i/>
                <w:sz w:val="16"/>
              </w:rPr>
              <w:t>Avg</w:t>
            </w:r>
            <w:proofErr w:type="spellEnd"/>
          </w:p>
        </w:tc>
      </w:tr>
      <w:tr w:rsidR="009B4E2B" w:rsidRPr="00341318" w:rsidTr="00731138">
        <w:tc>
          <w:tcPr>
            <w:tcW w:w="1088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Income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excl.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petroleum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income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744.9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747.4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768.7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851.3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869.6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913.1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931.7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980.2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1009.9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1031.5</w:t>
            </w:r>
          </w:p>
        </w:tc>
        <w:tc>
          <w:tcPr>
            <w:tcW w:w="33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1077.1</w:t>
            </w:r>
          </w:p>
        </w:tc>
        <w:tc>
          <w:tcPr>
            <w:tcW w:w="24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341318" w:rsidTr="00731138">
        <w:tc>
          <w:tcPr>
            <w:tcW w:w="1088" w:type="pct"/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Non-petroleum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taxes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680.4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684.7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713.5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777.5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807.4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868.2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892.6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916.8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943.6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986.4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7D2C07" w:rsidRPr="00341318" w:rsidRDefault="00422215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B4E2B" w:rsidRPr="00341318" w:rsidTr="00731138"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1A5C69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1A5C69">
              <w:rPr>
                <w:bCs/>
                <w:sz w:val="18"/>
              </w:rPr>
              <w:t>Non-petroleum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taxes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as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a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share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of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income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excl.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petroleum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income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(%)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92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93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after="0" w:line="220" w:lineRule="exact"/>
              <w:ind w:right="0" w:firstLine="17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93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93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93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91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73113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92</w:t>
            </w:r>
          </w:p>
        </w:tc>
        <w:tc>
          <w:tcPr>
            <w:tcW w:w="24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92</w:t>
            </w:r>
          </w:p>
        </w:tc>
      </w:tr>
    </w:tbl>
    <w:p w:rsidR="001E6239" w:rsidRPr="00341318" w:rsidRDefault="001E623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10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1E6239">
      <w:pPr>
        <w:pStyle w:val="SingleTxtG"/>
        <w:numPr>
          <w:ilvl w:val="0"/>
          <w:numId w:val="35"/>
        </w:numPr>
        <w:ind w:left="1134" w:firstLine="0"/>
      </w:pPr>
      <w:r w:rsidRPr="007D2C07">
        <w:t>Tax</w:t>
      </w:r>
      <w:r w:rsidR="00422215">
        <w:t xml:space="preserve"> </w:t>
      </w:r>
      <w:r w:rsidRPr="007D2C07">
        <w:t>rates</w:t>
      </w:r>
      <w:r w:rsidR="00422215">
        <w:t xml:space="preserve"> </w:t>
      </w:r>
      <w:r w:rsidRPr="007D2C07">
        <w:t>levied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corporate</w:t>
      </w:r>
      <w:r w:rsidR="00422215">
        <w:t xml:space="preserve"> </w:t>
      </w:r>
      <w:r w:rsidRPr="007D2C07">
        <w:t>profits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personal</w:t>
      </w:r>
      <w:r w:rsidR="00422215">
        <w:t xml:space="preserve"> </w:t>
      </w:r>
      <w:r w:rsidRPr="007D2C07">
        <w:t>incomes,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value</w:t>
      </w:r>
      <w:r w:rsidR="00422215">
        <w:t xml:space="preserve"> </w:t>
      </w:r>
      <w:r w:rsidRPr="007D2C07">
        <w:t>added</w:t>
      </w:r>
      <w:r w:rsidR="00422215">
        <w:t xml:space="preserve"> </w:t>
      </w:r>
      <w:r w:rsidRPr="007D2C07">
        <w:t>tax</w:t>
      </w:r>
      <w:r w:rsidR="00422215">
        <w:t xml:space="preserve"> </w:t>
      </w:r>
      <w:r w:rsidRPr="007D2C07">
        <w:t>(exclusive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value</w:t>
      </w:r>
      <w:r w:rsidR="00422215">
        <w:t xml:space="preserve"> </w:t>
      </w:r>
      <w:r w:rsidRPr="007D2C07">
        <w:t>added</w:t>
      </w:r>
      <w:r w:rsidR="00422215">
        <w:t xml:space="preserve"> </w:t>
      </w:r>
      <w:r w:rsidRPr="007D2C07">
        <w:t>tax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luxury</w:t>
      </w:r>
      <w:r w:rsidR="00422215">
        <w:t xml:space="preserve"> </w:t>
      </w:r>
      <w:r w:rsidRPr="007D2C07">
        <w:t>items,</w:t>
      </w:r>
      <w:r w:rsidR="00422215">
        <w:t xml:space="preserve"> </w:t>
      </w:r>
      <w:r w:rsidRPr="007D2C07">
        <w:t>tobacco,</w:t>
      </w:r>
      <w:r w:rsidR="00422215">
        <w:t xml:space="preserve"> </w:t>
      </w:r>
      <w:r w:rsidRPr="007D2C07">
        <w:t>alcohol,</w:t>
      </w:r>
      <w:r w:rsidR="00422215">
        <w:t xml:space="preserve"> </w:t>
      </w:r>
      <w:r w:rsidRPr="007D2C07">
        <w:t>sugary</w:t>
      </w:r>
      <w:r w:rsidR="00422215">
        <w:t xml:space="preserve"> </w:t>
      </w:r>
      <w:r w:rsidRPr="007D2C07">
        <w:t>drinks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snacks,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petrol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diesel);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percentage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revenue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personal</w:t>
      </w:r>
      <w:r w:rsidR="00422215">
        <w:t xml:space="preserve"> </w:t>
      </w:r>
      <w:r w:rsidRPr="007D2C07">
        <w:t>income</w:t>
      </w:r>
      <w:r w:rsidR="00422215">
        <w:t xml:space="preserve"> </w:t>
      </w:r>
      <w:r w:rsidRPr="007D2C07">
        <w:t>taxes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collected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richest</w:t>
      </w:r>
      <w:r w:rsidR="00422215">
        <w:t xml:space="preserve"> </w:t>
      </w:r>
      <w:r w:rsidRPr="007D2C07">
        <w:t>decile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population: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527"/>
        <w:gridCol w:w="530"/>
        <w:gridCol w:w="526"/>
        <w:gridCol w:w="530"/>
        <w:gridCol w:w="526"/>
        <w:gridCol w:w="528"/>
        <w:gridCol w:w="528"/>
        <w:gridCol w:w="526"/>
        <w:gridCol w:w="528"/>
        <w:gridCol w:w="526"/>
        <w:gridCol w:w="528"/>
        <w:gridCol w:w="526"/>
        <w:gridCol w:w="528"/>
        <w:gridCol w:w="526"/>
      </w:tblGrid>
      <w:tr w:rsidR="009B4E2B" w:rsidRPr="009B4E2B" w:rsidTr="00495BC2">
        <w:trPr>
          <w:tblHeader/>
        </w:trPr>
        <w:tc>
          <w:tcPr>
            <w:tcW w:w="11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z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2007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2008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2009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2012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2014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2016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9B4E2B">
              <w:rPr>
                <w:bCs/>
                <w:i/>
                <w:sz w:val="16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proofErr w:type="spellStart"/>
            <w:r w:rsidRPr="009B4E2B">
              <w:rPr>
                <w:bCs/>
                <w:i/>
                <w:sz w:val="16"/>
              </w:rPr>
              <w:t>Avg</w:t>
            </w:r>
            <w:proofErr w:type="spellEnd"/>
          </w:p>
        </w:tc>
      </w:tr>
      <w:tr w:rsidR="009B4E2B" w:rsidRPr="001A5C69" w:rsidTr="00495BC2">
        <w:tc>
          <w:tcPr>
            <w:tcW w:w="116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1A5C69">
              <w:rPr>
                <w:bCs/>
                <w:sz w:val="18"/>
              </w:rPr>
              <w:t>CIT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rate</w:t>
            </w:r>
            <w:r w:rsidR="00422215" w:rsidRPr="001A5C69">
              <w:rPr>
                <w:bCs/>
                <w:sz w:val="18"/>
              </w:rPr>
              <w:t xml:space="preserve"> </w:t>
            </w:r>
            <w:r w:rsidRPr="001A5C69">
              <w:rPr>
                <w:bCs/>
                <w:sz w:val="18"/>
              </w:rPr>
              <w:t>(%)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28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27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27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25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24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23</w:t>
            </w: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1A5C69">
              <w:rPr>
                <w:sz w:val="18"/>
              </w:rPr>
              <w:t>22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1A5C69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EB042F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EB042F">
              <w:rPr>
                <w:bCs/>
                <w:sz w:val="18"/>
              </w:rPr>
              <w:t>PIT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rates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(%)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Social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security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contribution,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wages</w:t>
            </w:r>
            <w:r w:rsidR="00422215" w:rsidRPr="009B4E2B">
              <w:rPr>
                <w:sz w:val="18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8.2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Surtax,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first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bracket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0.44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0.93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1.40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1.90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Surtax,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second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bracket</w:t>
            </w:r>
            <w:r w:rsidR="00422215" w:rsidRPr="009B4E2B">
              <w:rPr>
                <w:sz w:val="18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12.00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1.70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2.41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3.30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4.20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D94F8C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Surtax,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third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bracket</w:t>
            </w:r>
            <w:r w:rsidR="00D94F8C">
              <w:rPr>
                <w:sz w:val="18"/>
              </w:rPr>
              <w:br/>
            </w:r>
            <w:r w:rsidRPr="009B4E2B">
              <w:rPr>
                <w:sz w:val="18"/>
              </w:rPr>
              <w:t>(from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2016)</w:t>
            </w:r>
            <w:r w:rsidR="00422215" w:rsidRPr="009B4E2B">
              <w:rPr>
                <w:sz w:val="18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10.70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11.52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12.40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13.20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Surtax,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forth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bracket</w:t>
            </w:r>
            <w:r w:rsidR="001A5C69">
              <w:rPr>
                <w:sz w:val="18"/>
              </w:rPr>
              <w:br/>
            </w:r>
            <w:r w:rsidRPr="009B4E2B">
              <w:rPr>
                <w:sz w:val="18"/>
              </w:rPr>
              <w:t>(from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2016)</w:t>
            </w:r>
            <w:r w:rsidR="00422215" w:rsidRPr="009B4E2B">
              <w:rPr>
                <w:sz w:val="18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13.70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14.52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15.40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16.20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Tax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rate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on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ordinary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income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(net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income)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23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Max.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marginal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tax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rate,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wages</w:t>
            </w:r>
            <w:r w:rsidR="00422215" w:rsidRPr="009B4E2B">
              <w:rPr>
                <w:sz w:val="18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47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46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EB042F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EB042F">
              <w:rPr>
                <w:bCs/>
                <w:sz w:val="18"/>
              </w:rPr>
              <w:t>VAT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rate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(%)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General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rate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Middle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rate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(food)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9B4E2B" w:rsidTr="00495BC2"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Low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rate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(transport,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culture)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9B4E2B" w:rsidRPr="00EB042F" w:rsidTr="00495BC2">
        <w:tc>
          <w:tcPr>
            <w:tcW w:w="116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bCs/>
                <w:sz w:val="18"/>
              </w:rPr>
            </w:pPr>
            <w:r w:rsidRPr="00EB042F">
              <w:rPr>
                <w:b/>
                <w:bCs/>
                <w:sz w:val="18"/>
              </w:rPr>
              <w:t>Total</w:t>
            </w:r>
            <w:r w:rsidR="00422215" w:rsidRPr="00EB042F">
              <w:rPr>
                <w:b/>
                <w:bCs/>
                <w:sz w:val="18"/>
              </w:rPr>
              <w:t xml:space="preserve"> </w:t>
            </w:r>
            <w:r w:rsidRPr="00EB042F">
              <w:rPr>
                <w:b/>
                <w:bCs/>
                <w:sz w:val="18"/>
              </w:rPr>
              <w:t>tax</w:t>
            </w:r>
            <w:r w:rsidR="00422215" w:rsidRPr="00EB042F">
              <w:rPr>
                <w:b/>
                <w:bCs/>
                <w:sz w:val="18"/>
              </w:rPr>
              <w:t xml:space="preserve"> </w:t>
            </w:r>
            <w:r w:rsidRPr="00EB042F">
              <w:rPr>
                <w:b/>
                <w:bCs/>
                <w:sz w:val="18"/>
              </w:rPr>
              <w:t>revenue</w:t>
            </w:r>
            <w:r w:rsidR="00422215" w:rsidRPr="00EB042F">
              <w:rPr>
                <w:b/>
                <w:bCs/>
                <w:sz w:val="18"/>
              </w:rPr>
              <w:t xml:space="preserve"> </w:t>
            </w:r>
            <w:r w:rsidRPr="00EB042F">
              <w:rPr>
                <w:b/>
                <w:bCs/>
                <w:sz w:val="18"/>
              </w:rPr>
              <w:t>all</w:t>
            </w:r>
            <w:r w:rsidR="00422215" w:rsidRPr="00EB042F">
              <w:rPr>
                <w:b/>
                <w:bCs/>
                <w:sz w:val="18"/>
              </w:rPr>
              <w:t xml:space="preserve"> </w:t>
            </w:r>
            <w:r w:rsidRPr="00EB042F">
              <w:rPr>
                <w:b/>
                <w:bCs/>
                <w:sz w:val="18"/>
              </w:rPr>
              <w:t>deciles,</w:t>
            </w:r>
            <w:r w:rsidR="00422215" w:rsidRPr="00EB042F">
              <w:rPr>
                <w:b/>
                <w:bCs/>
                <w:sz w:val="18"/>
              </w:rPr>
              <w:t xml:space="preserve"> </w:t>
            </w:r>
            <w:r w:rsidRPr="00EB042F">
              <w:rPr>
                <w:b/>
                <w:bCs/>
                <w:sz w:val="18"/>
              </w:rPr>
              <w:t>NOK</w:t>
            </w:r>
            <w:r w:rsidR="00422215" w:rsidRPr="00EB042F">
              <w:rPr>
                <w:b/>
                <w:bCs/>
                <w:sz w:val="18"/>
              </w:rPr>
              <w:t xml:space="preserve"> </w:t>
            </w:r>
            <w:proofErr w:type="spellStart"/>
            <w:r w:rsidR="001A5C69" w:rsidRPr="00EB042F">
              <w:rPr>
                <w:b/>
                <w:bCs/>
                <w:sz w:val="18"/>
              </w:rPr>
              <w:t>Bn</w:t>
            </w:r>
            <w:proofErr w:type="spellEnd"/>
            <w:r w:rsidR="001A5C69" w:rsidRPr="00EB042F">
              <w:rPr>
                <w:b/>
                <w:bCs/>
                <w:sz w:val="18"/>
              </w:rPr>
              <w:t>*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301.9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320.5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333.6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352.2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374.5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396.9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418.3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433.8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466.1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468.8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480.8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EB042F">
              <w:rPr>
                <w:b/>
                <w:sz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EB042F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</w:p>
        </w:tc>
      </w:tr>
      <w:tr w:rsidR="009B4E2B" w:rsidRPr="00EB042F" w:rsidTr="00495BC2">
        <w:tc>
          <w:tcPr>
            <w:tcW w:w="11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EB042F">
              <w:rPr>
                <w:bCs/>
                <w:sz w:val="18"/>
              </w:rPr>
              <w:t>Share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of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total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revenue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levied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on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10th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decile</w:t>
            </w:r>
            <w:r w:rsidR="00422215" w:rsidRPr="00EB042F">
              <w:rPr>
                <w:bCs/>
                <w:sz w:val="18"/>
              </w:rPr>
              <w:t xml:space="preserve"> </w:t>
            </w:r>
            <w:r w:rsidRPr="00EB042F">
              <w:rPr>
                <w:bCs/>
                <w:sz w:val="18"/>
              </w:rPr>
              <w:t>(%)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38.4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37.9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37.5</w:t>
            </w:r>
          </w:p>
        </w:tc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38.0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38.5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38.4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38.5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38.6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39.4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38.5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38.8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-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-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EB042F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EB042F">
              <w:rPr>
                <w:sz w:val="18"/>
              </w:rPr>
              <w:t>38.4</w:t>
            </w:r>
          </w:p>
        </w:tc>
      </w:tr>
    </w:tbl>
    <w:p w:rsidR="007D2C07" w:rsidRPr="001E6239" w:rsidRDefault="001E6239" w:rsidP="00052F82">
      <w:pPr>
        <w:pStyle w:val="SingleTxtG"/>
        <w:spacing w:before="120" w:after="0" w:line="220" w:lineRule="exact"/>
        <w:ind w:left="0" w:right="0" w:firstLine="170"/>
        <w:jc w:val="left"/>
        <w:rPr>
          <w:sz w:val="18"/>
        </w:rPr>
      </w:pPr>
      <w:r w:rsidRPr="009B4E2B">
        <w:rPr>
          <w:i/>
          <w:sz w:val="18"/>
        </w:rPr>
        <w:t>Source</w:t>
      </w:r>
      <w:r w:rsidRPr="001E6239">
        <w:rPr>
          <w:sz w:val="18"/>
        </w:rPr>
        <w:t>: Norwegian Ministry of Finance and Statistics Norway</w:t>
      </w:r>
      <w:r w:rsidR="009B4E2B">
        <w:rPr>
          <w:sz w:val="18"/>
        </w:rPr>
        <w:t>.</w:t>
      </w:r>
    </w:p>
    <w:p w:rsidR="001E6239" w:rsidRPr="00D94F8C" w:rsidRDefault="001A5C69" w:rsidP="00495BC2">
      <w:pPr>
        <w:pStyle w:val="SingleTxtG"/>
        <w:tabs>
          <w:tab w:val="left" w:pos="426"/>
          <w:tab w:val="left" w:pos="567"/>
          <w:tab w:val="left" w:pos="851"/>
        </w:tabs>
        <w:spacing w:after="0" w:line="220" w:lineRule="exact"/>
        <w:ind w:left="0" w:right="0" w:firstLine="170"/>
        <w:jc w:val="left"/>
        <w:rPr>
          <w:sz w:val="18"/>
        </w:rPr>
      </w:pPr>
      <w:proofErr w:type="gramStart"/>
      <w:r w:rsidRPr="00D94F8C">
        <w:rPr>
          <w:sz w:val="18"/>
        </w:rPr>
        <w:t>*</w:t>
      </w:r>
      <w:r w:rsidR="00495BC2">
        <w:rPr>
          <w:sz w:val="18"/>
        </w:rPr>
        <w:t xml:space="preserve">  </w:t>
      </w:r>
      <w:r w:rsidR="001E6239" w:rsidRPr="00D94F8C">
        <w:rPr>
          <w:sz w:val="18"/>
        </w:rPr>
        <w:t>Includes</w:t>
      </w:r>
      <w:proofErr w:type="gramEnd"/>
      <w:r w:rsidR="001E6239" w:rsidRPr="00D94F8C">
        <w:rPr>
          <w:sz w:val="18"/>
        </w:rPr>
        <w:t xml:space="preserve"> revenue from all direct taxes from personal taxpayers, i.e. employees share of social security contribution, surtax, tax on ordinary income, property tax and wealth tax.</w:t>
      </w:r>
    </w:p>
    <w:p w:rsidR="001E6239" w:rsidRPr="00341318" w:rsidRDefault="007D2C07" w:rsidP="00A13A0A">
      <w:pPr>
        <w:pStyle w:val="H1G"/>
      </w:pPr>
      <w:r w:rsidRPr="007D2C07">
        <w:tab/>
      </w:r>
      <w:r w:rsidR="001E6239">
        <w:tab/>
      </w:r>
      <w:r w:rsidR="001E6239">
        <w:tab/>
      </w:r>
      <w:r w:rsidR="001E6239" w:rsidRPr="00341318">
        <w:t>Reply</w:t>
      </w:r>
      <w:r w:rsidR="001E6239">
        <w:t xml:space="preserve"> </w:t>
      </w:r>
      <w:r w:rsidR="001E6239" w:rsidRPr="00341318">
        <w:t>to</w:t>
      </w:r>
      <w:r w:rsidR="001E6239">
        <w:t xml:space="preserve"> </w:t>
      </w:r>
      <w:r w:rsidR="001E6239" w:rsidRPr="00341318">
        <w:t>paragraph</w:t>
      </w:r>
      <w:r w:rsidR="001E6239">
        <w:t xml:space="preserve"> 10</w:t>
      </w:r>
      <w:r w:rsidR="00A13A0A">
        <w:t xml:space="preserve"> </w:t>
      </w:r>
      <w:r w:rsidR="001E6239">
        <w:t xml:space="preserve">(d) </w:t>
      </w:r>
      <w:r w:rsidR="001E6239" w:rsidRPr="00341318">
        <w:t>of</w:t>
      </w:r>
      <w:r w:rsidR="001E6239">
        <w:t xml:space="preserve"> </w:t>
      </w:r>
      <w:r w:rsidR="001E6239" w:rsidRPr="00341318">
        <w:t>the</w:t>
      </w:r>
      <w:r w:rsidR="001E6239">
        <w:t xml:space="preserve"> </w:t>
      </w:r>
      <w:r w:rsidR="001E6239" w:rsidRPr="00341318">
        <w:t>list</w:t>
      </w:r>
      <w:r w:rsidR="001E6239">
        <w:t xml:space="preserve"> </w:t>
      </w:r>
      <w:r w:rsidR="001E6239" w:rsidRPr="00341318">
        <w:t>of</w:t>
      </w:r>
      <w:r w:rsidR="001E6239">
        <w:t xml:space="preserve"> </w:t>
      </w:r>
      <w:r w:rsidR="001E6239" w:rsidRPr="00341318">
        <w:t>issues</w:t>
      </w:r>
    </w:p>
    <w:p w:rsidR="007D2C07" w:rsidRPr="007D2C07" w:rsidRDefault="007D2C07" w:rsidP="001E6239">
      <w:pPr>
        <w:pStyle w:val="SingleTxtG"/>
        <w:numPr>
          <w:ilvl w:val="0"/>
          <w:numId w:val="35"/>
        </w:numPr>
        <w:ind w:left="1134" w:firstLine="0"/>
      </w:pPr>
      <w:r w:rsidRPr="007D2C07">
        <w:t>Public</w:t>
      </w:r>
      <w:r w:rsidR="00422215">
        <w:t xml:space="preserve"> </w:t>
      </w:r>
      <w:r w:rsidRPr="007D2C07">
        <w:t>expenses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percentage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gross</w:t>
      </w:r>
      <w:r w:rsidR="00422215">
        <w:t xml:space="preserve"> </w:t>
      </w:r>
      <w:r w:rsidRPr="007D2C07">
        <w:t>domestic</w:t>
      </w:r>
      <w:r w:rsidR="00422215">
        <w:t xml:space="preserve"> </w:t>
      </w:r>
      <w:r w:rsidRPr="007D2C07">
        <w:t>product</w:t>
      </w:r>
      <w:r w:rsidR="00422215">
        <w:t xml:space="preserve"> </w:t>
      </w:r>
      <w:r w:rsidRPr="007D2C07">
        <w:t>and,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expenses,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budget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dedicated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priorities</w:t>
      </w:r>
      <w:r w:rsidR="00422215">
        <w:t xml:space="preserve"> </w:t>
      </w:r>
      <w:r w:rsidRPr="007D2C07">
        <w:t>(employment,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food,</w:t>
      </w:r>
      <w:r w:rsidR="00422215">
        <w:t xml:space="preserve"> </w:t>
      </w:r>
      <w:r w:rsidRPr="007D2C07">
        <w:t>health,</w:t>
      </w:r>
      <w:r w:rsidR="00422215">
        <w:t xml:space="preserve"> </w:t>
      </w:r>
      <w:r w:rsidRPr="007D2C07">
        <w:t>water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sanitation,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security,</w:t>
      </w:r>
      <w:r w:rsidR="00422215">
        <w:t xml:space="preserve"> </w:t>
      </w:r>
      <w:r w:rsidRPr="007D2C07">
        <w:t>housing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culture):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1"/>
      </w:tblGrid>
      <w:tr w:rsidR="007D2C07" w:rsidRPr="00341318" w:rsidTr="001A5C69">
        <w:trPr>
          <w:tblHeader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052F82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  <w:r w:rsidRPr="00341318">
              <w:rPr>
                <w:i/>
                <w:iCs/>
                <w:sz w:val="16"/>
              </w:rPr>
              <w:t>Share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341318">
              <w:rPr>
                <w:i/>
                <w:iCs/>
                <w:sz w:val="16"/>
              </w:rPr>
              <w:t>of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341318">
              <w:rPr>
                <w:i/>
                <w:iCs/>
                <w:sz w:val="16"/>
              </w:rPr>
              <w:t>non-oil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341318">
              <w:rPr>
                <w:i/>
                <w:iCs/>
                <w:sz w:val="16"/>
              </w:rPr>
              <w:t>GDP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341318">
              <w:rPr>
                <w:i/>
                <w:iCs/>
                <w:sz w:val="16"/>
              </w:rPr>
              <w:t>(pct.)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2009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341318">
              <w:rPr>
                <w:bCs/>
                <w:i/>
                <w:sz w:val="16"/>
              </w:rPr>
              <w:t>2018</w:t>
            </w:r>
          </w:p>
        </w:tc>
      </w:tr>
      <w:tr w:rsidR="007D2C07" w:rsidRPr="00341318" w:rsidTr="001A5C69">
        <w:tc>
          <w:tcPr>
            <w:tcW w:w="1250" w:type="pct"/>
            <w:shd w:val="clear" w:color="auto" w:fill="auto"/>
            <w:noWrap/>
            <w:hideMark/>
          </w:tcPr>
          <w:p w:rsidR="007D2C07" w:rsidRPr="007754FF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7754FF">
              <w:rPr>
                <w:bCs/>
                <w:sz w:val="18"/>
              </w:rPr>
              <w:t>General</w:t>
            </w:r>
            <w:r w:rsidR="00422215" w:rsidRPr="007754FF">
              <w:rPr>
                <w:bCs/>
                <w:sz w:val="18"/>
              </w:rPr>
              <w:t xml:space="preserve"> </w:t>
            </w:r>
            <w:r w:rsidRPr="007754FF">
              <w:rPr>
                <w:bCs/>
                <w:sz w:val="18"/>
              </w:rPr>
              <w:t>government</w:t>
            </w:r>
            <w:r w:rsidR="00422215" w:rsidRPr="007754FF">
              <w:rPr>
                <w:bCs/>
                <w:sz w:val="18"/>
              </w:rPr>
              <w:t xml:space="preserve"> </w:t>
            </w:r>
            <w:r w:rsidRPr="007754FF">
              <w:rPr>
                <w:bCs/>
                <w:sz w:val="18"/>
              </w:rPr>
              <w:t>expenditures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52.8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56.8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56.1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56.5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55.4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55.8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56.7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58.1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58.4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59.0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59.2</w:t>
            </w:r>
          </w:p>
        </w:tc>
      </w:tr>
    </w:tbl>
    <w:p w:rsidR="007D2C07" w:rsidRPr="00FE6BCF" w:rsidRDefault="00495BC2" w:rsidP="00495BC2">
      <w:pPr>
        <w:pStyle w:val="H23G"/>
      </w:pPr>
      <w:r>
        <w:rPr>
          <w:w w:val="103"/>
        </w:rPr>
        <w:tab/>
      </w:r>
      <w:r>
        <w:rPr>
          <w:w w:val="103"/>
        </w:rPr>
        <w:tab/>
      </w:r>
      <w:r w:rsidR="00FE6BCF" w:rsidRPr="00FE6BCF">
        <w:rPr>
          <w:w w:val="103"/>
        </w:rPr>
        <w:t>Nominal NOK bn. and real growth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84"/>
        <w:gridCol w:w="626"/>
        <w:gridCol w:w="626"/>
        <w:gridCol w:w="626"/>
        <w:gridCol w:w="879"/>
        <w:gridCol w:w="880"/>
        <w:gridCol w:w="880"/>
      </w:tblGrid>
      <w:tr w:rsidR="007D2C07" w:rsidRPr="009B4E2B" w:rsidTr="00052F82">
        <w:trPr>
          <w:tblHeader/>
        </w:trPr>
        <w:tc>
          <w:tcPr>
            <w:tcW w:w="1539" w:type="pct"/>
            <w:tcBorders>
              <w:top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i/>
                <w:spacing w:val="4"/>
                <w:w w:val="103"/>
                <w:kern w:val="14"/>
                <w:sz w:val="16"/>
              </w:rPr>
              <w:t>Nominal</w:t>
            </w:r>
            <w:r w:rsidR="00422215" w:rsidRPr="009B4E2B">
              <w:rPr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9B4E2B">
              <w:rPr>
                <w:i/>
                <w:spacing w:val="4"/>
                <w:w w:val="103"/>
                <w:kern w:val="14"/>
                <w:sz w:val="16"/>
              </w:rPr>
              <w:t>value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i/>
                <w:spacing w:val="4"/>
                <w:w w:val="103"/>
                <w:kern w:val="14"/>
                <w:sz w:val="16"/>
              </w:rPr>
              <w:t>Real</w:t>
            </w:r>
            <w:r w:rsidR="00422215" w:rsidRPr="009B4E2B">
              <w:rPr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9B4E2B">
              <w:rPr>
                <w:i/>
                <w:spacing w:val="4"/>
                <w:w w:val="103"/>
                <w:kern w:val="14"/>
                <w:sz w:val="16"/>
              </w:rPr>
              <w:t>growth</w:t>
            </w:r>
          </w:p>
        </w:tc>
      </w:tr>
      <w:tr w:rsidR="007D2C07" w:rsidRPr="009B4E2B" w:rsidTr="00052F82">
        <w:trPr>
          <w:tblHeader/>
        </w:trPr>
        <w:tc>
          <w:tcPr>
            <w:tcW w:w="1539" w:type="pct"/>
            <w:tcBorders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Selected</w:t>
            </w:r>
            <w:r w:rsidR="00422215"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central</w:t>
            </w:r>
            <w:r w:rsidR="00422215"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government</w:t>
            </w:r>
            <w:r w:rsidR="00422215"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expenditures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2009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2013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2009-2013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2013-2017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1A5C69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9B4E2B">
              <w:rPr>
                <w:bCs/>
                <w:i/>
                <w:spacing w:val="4"/>
                <w:w w:val="103"/>
                <w:kern w:val="14"/>
                <w:sz w:val="16"/>
              </w:rPr>
              <w:t>2017-2018</w:t>
            </w:r>
          </w:p>
        </w:tc>
      </w:tr>
      <w:tr w:rsidR="007D2C07" w:rsidRPr="009B4E2B" w:rsidTr="00052F82">
        <w:tc>
          <w:tcPr>
            <w:tcW w:w="153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Education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Grants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for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training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and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kindergarten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14.1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14.3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2.2%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7.4%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-1.1%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Higher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education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and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research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38.4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46.0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56.0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59.3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1.3%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2.4%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3.5%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Culture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and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religious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denominations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10.6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13.5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13.8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3.5%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3.2%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-1.1%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Labour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and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social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purposes*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25.9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27.0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31.8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31.3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-2.3%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1.2%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-3.5%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Healthcare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Specialist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healthcare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services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(hospitals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and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other)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95.6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116.8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142.9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149.6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1.5%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2.6%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2.0%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Other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healthcare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purposes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8.9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10.7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16.9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17.9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1.7%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9.2%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3.3%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Children,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family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and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equality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23.0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24.7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26.7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27.0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-0.4%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-0.5%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-0.6%</w:t>
            </w:r>
          </w:p>
        </w:tc>
      </w:tr>
      <w:tr w:rsidR="007D2C07" w:rsidRPr="009B4E2B" w:rsidTr="00EB042F">
        <w:tc>
          <w:tcPr>
            <w:tcW w:w="1539" w:type="pct"/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/>
                <w:iCs/>
                <w:sz w:val="18"/>
              </w:rPr>
            </w:pPr>
            <w:r w:rsidRPr="00EB042F">
              <w:rPr>
                <w:iCs/>
                <w:sz w:val="18"/>
              </w:rPr>
              <w:t>Memo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iCs/>
                <w:sz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D2C07" w:rsidRPr="009B4E2B" w:rsidTr="00EB042F">
        <w:tc>
          <w:tcPr>
            <w:tcW w:w="153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9B4E2B" w:rsidRDefault="007D2C07" w:rsidP="00EB042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9B4E2B">
              <w:rPr>
                <w:sz w:val="18"/>
              </w:rPr>
              <w:t>National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Insurance</w:t>
            </w:r>
            <w:r w:rsidR="00422215" w:rsidRPr="009B4E2B">
              <w:rPr>
                <w:sz w:val="18"/>
              </w:rPr>
              <w:t xml:space="preserve"> </w:t>
            </w:r>
            <w:r w:rsidRPr="009B4E2B">
              <w:rPr>
                <w:sz w:val="18"/>
              </w:rPr>
              <w:t>Scheme**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288.1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365.0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435.3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457.0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2.4%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2.2%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9B4E2B" w:rsidRDefault="007D2C07" w:rsidP="009B4E2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9B4E2B">
              <w:rPr>
                <w:sz w:val="18"/>
              </w:rPr>
              <w:t>2.2%</w:t>
            </w:r>
          </w:p>
        </w:tc>
      </w:tr>
    </w:tbl>
    <w:p w:rsidR="009B4E2B" w:rsidRPr="00DA23BB" w:rsidRDefault="009B4E2B" w:rsidP="00052F82">
      <w:pPr>
        <w:pStyle w:val="SingleTxtG"/>
        <w:spacing w:before="120" w:after="0" w:line="220" w:lineRule="exact"/>
        <w:ind w:firstLine="170"/>
        <w:jc w:val="left"/>
        <w:rPr>
          <w:sz w:val="18"/>
        </w:rPr>
      </w:pPr>
      <w:proofErr w:type="gramStart"/>
      <w:r w:rsidRPr="00DA23BB">
        <w:rPr>
          <w:sz w:val="18"/>
        </w:rPr>
        <w:t>*</w:t>
      </w:r>
      <w:r w:rsidR="00495BC2">
        <w:rPr>
          <w:sz w:val="18"/>
        </w:rPr>
        <w:t xml:space="preserve">  </w:t>
      </w:r>
      <w:r w:rsidRPr="00DA23BB">
        <w:rPr>
          <w:sz w:val="18"/>
        </w:rPr>
        <w:t>Operating</w:t>
      </w:r>
      <w:proofErr w:type="gramEnd"/>
      <w:r w:rsidRPr="00DA23BB">
        <w:rPr>
          <w:sz w:val="18"/>
        </w:rPr>
        <w:t xml:space="preserve"> the Labour and Welfare Administration, grants for the Public Service Pension Fund, labour market measures etc.</w:t>
      </w:r>
    </w:p>
    <w:p w:rsidR="009B4E2B" w:rsidRPr="00DA23BB" w:rsidRDefault="009B4E2B" w:rsidP="00DA23BB">
      <w:pPr>
        <w:pStyle w:val="SingleTxtG"/>
        <w:spacing w:after="0" w:line="220" w:lineRule="exact"/>
        <w:ind w:firstLine="170"/>
        <w:jc w:val="left"/>
        <w:rPr>
          <w:sz w:val="18"/>
        </w:rPr>
      </w:pPr>
      <w:r w:rsidRPr="00DA23BB">
        <w:rPr>
          <w:sz w:val="18"/>
        </w:rPr>
        <w:t>*</w:t>
      </w:r>
      <w:proofErr w:type="gramStart"/>
      <w:r w:rsidRPr="00DA23BB">
        <w:rPr>
          <w:sz w:val="18"/>
        </w:rPr>
        <w:t>*</w:t>
      </w:r>
      <w:r w:rsidR="00495BC2">
        <w:rPr>
          <w:sz w:val="18"/>
        </w:rPr>
        <w:t xml:space="preserve">  </w:t>
      </w:r>
      <w:r w:rsidRPr="00DA23BB">
        <w:rPr>
          <w:sz w:val="18"/>
        </w:rPr>
        <w:t>Sickness</w:t>
      </w:r>
      <w:proofErr w:type="gramEnd"/>
      <w:r w:rsidRPr="00DA23BB">
        <w:rPr>
          <w:sz w:val="18"/>
        </w:rPr>
        <w:t xml:space="preserve"> benefit, work assessment allowance, disability benefit, old age pension, single provider, parental allowance, drugs etc., other</w:t>
      </w:r>
      <w:r w:rsidR="00495BC2">
        <w:rPr>
          <w:sz w:val="18"/>
        </w:rPr>
        <w:t>.</w:t>
      </w:r>
    </w:p>
    <w:p w:rsidR="007754FF" w:rsidRPr="00341318" w:rsidRDefault="001A5C69" w:rsidP="00A13A0A">
      <w:pPr>
        <w:pStyle w:val="H1G"/>
      </w:pPr>
      <w:r>
        <w:tab/>
      </w:r>
      <w:r>
        <w:tab/>
      </w:r>
      <w:r w:rsidR="007754FF" w:rsidRPr="00341318">
        <w:t>Reply</w:t>
      </w:r>
      <w:r w:rsidR="007754FF">
        <w:t xml:space="preserve"> </w:t>
      </w:r>
      <w:r w:rsidR="007754FF" w:rsidRPr="00341318">
        <w:t>to</w:t>
      </w:r>
      <w:r w:rsidR="007754FF">
        <w:t xml:space="preserve"> </w:t>
      </w:r>
      <w:r w:rsidR="007754FF" w:rsidRPr="00341318">
        <w:t>paragraph</w:t>
      </w:r>
      <w:r w:rsidR="007754FF">
        <w:t xml:space="preserve"> 10</w:t>
      </w:r>
      <w:r w:rsidR="00A13A0A">
        <w:t xml:space="preserve"> </w:t>
      </w:r>
      <w:r w:rsidR="007754FF">
        <w:t xml:space="preserve">(e) </w:t>
      </w:r>
      <w:r w:rsidR="007754FF" w:rsidRPr="00341318">
        <w:t>of</w:t>
      </w:r>
      <w:r w:rsidR="007754FF">
        <w:t xml:space="preserve"> </w:t>
      </w:r>
      <w:r w:rsidR="007754FF" w:rsidRPr="00341318">
        <w:t>the</w:t>
      </w:r>
      <w:r w:rsidR="007754FF">
        <w:t xml:space="preserve"> </w:t>
      </w:r>
      <w:r w:rsidR="007754FF" w:rsidRPr="00341318">
        <w:t>list</w:t>
      </w:r>
      <w:r w:rsidR="007754FF">
        <w:t xml:space="preserve"> </w:t>
      </w:r>
      <w:r w:rsidR="007754FF" w:rsidRPr="00341318">
        <w:t>of</w:t>
      </w:r>
      <w:r w:rsidR="007754FF">
        <w:t xml:space="preserve"> </w:t>
      </w:r>
      <w:r w:rsidR="007754FF" w:rsidRPr="00341318">
        <w:t>issues</w:t>
      </w:r>
    </w:p>
    <w:p w:rsidR="007D2C07" w:rsidRDefault="007D2C07" w:rsidP="007754FF">
      <w:pPr>
        <w:pStyle w:val="SingleTxtG"/>
        <w:numPr>
          <w:ilvl w:val="0"/>
          <w:numId w:val="35"/>
        </w:numPr>
        <w:ind w:left="1134" w:firstLine="0"/>
      </w:pPr>
      <w:r w:rsidRPr="007D2C07">
        <w:t>Inflation-adjusted</w:t>
      </w:r>
      <w:r w:rsidR="00422215">
        <w:t xml:space="preserve"> </w:t>
      </w:r>
      <w:r w:rsidRPr="007D2C07">
        <w:t>absolute</w:t>
      </w:r>
      <w:r w:rsidR="00422215">
        <w:t xml:space="preserve"> </w:t>
      </w:r>
      <w:r w:rsidRPr="007D2C07">
        <w:t>levels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spending.</w:t>
      </w:r>
    </w:p>
    <w:p w:rsidR="00FE6BCF" w:rsidRPr="00FE6BCF" w:rsidRDefault="00FE6BCF" w:rsidP="00495BC2">
      <w:pPr>
        <w:pStyle w:val="Heading1"/>
        <w:spacing w:after="120"/>
        <w:rPr>
          <w:b/>
        </w:rPr>
      </w:pPr>
      <w:r w:rsidRPr="00FE6BCF">
        <w:rPr>
          <w:b/>
        </w:rPr>
        <w:t>Share of non-oil central government expenditures and real levels (bn. 2018-NOK)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74"/>
        <w:gridCol w:w="674"/>
        <w:gridCol w:w="674"/>
        <w:gridCol w:w="675"/>
        <w:gridCol w:w="601"/>
        <w:gridCol w:w="601"/>
        <w:gridCol w:w="601"/>
        <w:gridCol w:w="604"/>
      </w:tblGrid>
      <w:tr w:rsidR="007D2C07" w:rsidRPr="00FE6BCF" w:rsidTr="00FE6BCF">
        <w:tc>
          <w:tcPr>
            <w:tcW w:w="1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1829" w:type="pct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Shares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Real</w:t>
            </w:r>
            <w:r w:rsidR="00422215" w:rsidRPr="00FE6BCF">
              <w:rPr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FE6BCF">
              <w:rPr>
                <w:i/>
                <w:spacing w:val="4"/>
                <w:w w:val="103"/>
                <w:kern w:val="14"/>
                <w:sz w:val="16"/>
              </w:rPr>
              <w:t>levels</w:t>
            </w:r>
          </w:p>
        </w:tc>
      </w:tr>
      <w:tr w:rsidR="007D2C07" w:rsidRPr="00FE6BCF" w:rsidTr="00FE6BCF">
        <w:tc>
          <w:tcPr>
            <w:tcW w:w="153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>Selected</w:t>
            </w:r>
            <w:r w:rsidR="00422215"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>central</w:t>
            </w:r>
            <w:r w:rsidR="00422215"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>government</w:t>
            </w:r>
            <w:r w:rsidR="00422215"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 xml:space="preserve"> </w:t>
            </w:r>
            <w:r w:rsidRPr="00FE6BCF">
              <w:rPr>
                <w:bCs/>
                <w:i/>
                <w:spacing w:val="4"/>
                <w:w w:val="103"/>
                <w:kern w:val="14"/>
                <w:sz w:val="16"/>
              </w:rPr>
              <w:t>expenditures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2009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2013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2009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2013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FE6BCF" w:rsidRDefault="007D2C07" w:rsidP="00FE6BC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pacing w:val="4"/>
                <w:w w:val="103"/>
                <w:kern w:val="14"/>
                <w:sz w:val="16"/>
              </w:rPr>
            </w:pPr>
            <w:r w:rsidRPr="00FE6BCF">
              <w:rPr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</w:tr>
      <w:tr w:rsidR="007D2C07" w:rsidRPr="00341318" w:rsidTr="00FE6BCF">
        <w:tc>
          <w:tcPr>
            <w:tcW w:w="1537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Education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422215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Grants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for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training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and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kindergarten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0.9%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0.9%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1.1%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1.1%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10.9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14.5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14.3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Higher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education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and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research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4.6%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4.5%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4.5%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4.6%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49.4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52.1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57.3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59.3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Culture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and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religious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denominations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0.9%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1.0%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1.1%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1.1%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10.6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12.2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13,8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13.8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Labour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and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social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purposes*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3.1%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2.6%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2.5%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2.4%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34.0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30.9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32.4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31.3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34131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Healthcare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422215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Specialist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healthcare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services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(hospitals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and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more)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11.3%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11.3%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11.4%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11.5%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124.8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132.5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146.7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149.6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Other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healthcare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purposes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1.1%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1.0%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1.3%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1.4%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11.4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12.2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17.3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17.9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Children,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family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and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equality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2.7%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2.4%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2.1%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2.1%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28.0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27.6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27.0</w:t>
            </w:r>
          </w:p>
        </w:tc>
      </w:tr>
      <w:tr w:rsidR="007D2C07" w:rsidRPr="00341318" w:rsidTr="00FE6BCF">
        <w:tc>
          <w:tcPr>
            <w:tcW w:w="1537" w:type="pct"/>
            <w:shd w:val="clear" w:color="auto" w:fill="auto"/>
            <w:noWrap/>
            <w:hideMark/>
          </w:tcPr>
          <w:p w:rsidR="007D2C07" w:rsidRPr="00341318" w:rsidRDefault="007D2C07" w:rsidP="00EB042F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/>
                <w:sz w:val="18"/>
              </w:rPr>
            </w:pPr>
            <w:r w:rsidRPr="00EB042F">
              <w:rPr>
                <w:sz w:val="18"/>
              </w:rPr>
              <w:t>Memo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i/>
                <w:sz w:val="18"/>
              </w:rPr>
            </w:pPr>
          </w:p>
        </w:tc>
      </w:tr>
      <w:tr w:rsidR="007D2C07" w:rsidRPr="00341318" w:rsidTr="00FE6BCF">
        <w:tc>
          <w:tcPr>
            <w:tcW w:w="153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sz w:val="18"/>
              </w:rPr>
            </w:pPr>
            <w:r w:rsidRPr="00341318">
              <w:rPr>
                <w:sz w:val="18"/>
              </w:rPr>
              <w:t>Non-oil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central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government</w:t>
            </w:r>
            <w:r w:rsidR="00422215">
              <w:rPr>
                <w:sz w:val="18"/>
              </w:rPr>
              <w:t xml:space="preserve"> </w:t>
            </w:r>
            <w:r w:rsidRPr="00341318">
              <w:rPr>
                <w:sz w:val="18"/>
              </w:rPr>
              <w:t>expenditures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843.9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1,029.5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1,254.3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341318">
              <w:rPr>
                <w:sz w:val="18"/>
              </w:rPr>
              <w:t>1,295.6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2C07" w:rsidRPr="00341318" w:rsidRDefault="007D2C07" w:rsidP="00FE6BCF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</w:p>
        </w:tc>
      </w:tr>
    </w:tbl>
    <w:p w:rsidR="00FE6BCF" w:rsidRPr="00FE6BCF" w:rsidRDefault="00FE6BCF" w:rsidP="00DA23BB">
      <w:pPr>
        <w:pStyle w:val="SingleTxtG"/>
        <w:tabs>
          <w:tab w:val="left" w:pos="1560"/>
        </w:tabs>
        <w:spacing w:after="0" w:line="220" w:lineRule="exact"/>
        <w:ind w:firstLine="170"/>
        <w:jc w:val="left"/>
        <w:rPr>
          <w:sz w:val="18"/>
        </w:rPr>
      </w:pPr>
      <w:proofErr w:type="gramStart"/>
      <w:r w:rsidRPr="00FE6BCF">
        <w:rPr>
          <w:sz w:val="18"/>
        </w:rPr>
        <w:t>*</w:t>
      </w:r>
      <w:r w:rsidR="00495BC2">
        <w:rPr>
          <w:sz w:val="18"/>
        </w:rPr>
        <w:t xml:space="preserve">  </w:t>
      </w:r>
      <w:r w:rsidRPr="00FE6BCF">
        <w:rPr>
          <w:sz w:val="18"/>
        </w:rPr>
        <w:t>Operating</w:t>
      </w:r>
      <w:proofErr w:type="gramEnd"/>
      <w:r w:rsidRPr="00FE6BCF">
        <w:rPr>
          <w:sz w:val="18"/>
        </w:rPr>
        <w:t xml:space="preserve"> the Labour and Welfare Administration, grants for the Public Service Pension Fund, labour market measures and more.</w:t>
      </w:r>
    </w:p>
    <w:p w:rsidR="007D2C07" w:rsidRPr="007D2C07" w:rsidRDefault="00EB042F" w:rsidP="00A13A0A">
      <w:pPr>
        <w:pStyle w:val="H1G"/>
      </w:pPr>
      <w:r>
        <w:tab/>
      </w:r>
      <w:r>
        <w:tab/>
      </w:r>
      <w:r w:rsidR="008C6E34" w:rsidRPr="00341318">
        <w:t>Reply</w:t>
      </w:r>
      <w:r w:rsidR="00422215">
        <w:t xml:space="preserve"> </w:t>
      </w:r>
      <w:r w:rsidR="008C6E34" w:rsidRPr="00341318">
        <w:t>to</w:t>
      </w:r>
      <w:r w:rsidR="00422215">
        <w:t xml:space="preserve"> </w:t>
      </w:r>
      <w:r w:rsidR="008C6E34" w:rsidRPr="00341318">
        <w:t>paragraph</w:t>
      </w:r>
      <w:r w:rsidR="00422215">
        <w:t xml:space="preserve"> </w:t>
      </w:r>
      <w:r w:rsidR="008C6E34">
        <w:t>11</w:t>
      </w:r>
      <w:r w:rsidR="00422215">
        <w:t xml:space="preserve"> </w:t>
      </w:r>
      <w:r w:rsidR="008C6E34" w:rsidRPr="00341318">
        <w:t>of</w:t>
      </w:r>
      <w:r w:rsidR="00422215">
        <w:t xml:space="preserve"> </w:t>
      </w:r>
      <w:r w:rsidR="008C6E34" w:rsidRPr="00341318">
        <w:t>the</w:t>
      </w:r>
      <w:r w:rsidR="00422215">
        <w:t xml:space="preserve"> </w:t>
      </w:r>
      <w:r w:rsidR="008C6E34" w:rsidRPr="00341318">
        <w:t>list</w:t>
      </w:r>
      <w:r w:rsidR="00422215">
        <w:t xml:space="preserve"> </w:t>
      </w:r>
      <w:r w:rsidR="008C6E34" w:rsidRPr="00341318">
        <w:t>of</w:t>
      </w:r>
      <w:r w:rsidR="00422215">
        <w:t xml:space="preserve"> </w:t>
      </w:r>
      <w:r w:rsidR="008C6E34" w:rsidRPr="00341318">
        <w:t>issues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strategic</w:t>
      </w:r>
      <w:r w:rsidR="00422215">
        <w:t xml:space="preserve"> </w:t>
      </w:r>
      <w:r w:rsidRPr="007D2C07">
        <w:t>approach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effectiveness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official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assistance,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system-related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organisational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transparency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strategic</w:t>
      </w:r>
      <w:r w:rsidR="00422215">
        <w:t xml:space="preserve"> </w:t>
      </w:r>
      <w:r w:rsidRPr="007D2C07">
        <w:t>management.</w:t>
      </w:r>
    </w:p>
    <w:p w:rsidR="007D2C07" w:rsidRPr="007D2C07" w:rsidRDefault="007D2C07" w:rsidP="00F06ECA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budget</w:t>
      </w:r>
      <w:r w:rsidR="00422215">
        <w:t xml:space="preserve"> </w:t>
      </w:r>
      <w:r w:rsidRPr="007D2C07">
        <w:t>structure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strategic</w:t>
      </w:r>
      <w:r w:rsidR="00422215">
        <w:t xml:space="preserve"> </w:t>
      </w:r>
      <w:r w:rsidRPr="007D2C07">
        <w:t>clarity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objectives,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SDGs.</w:t>
      </w:r>
      <w:r w:rsidR="00422215">
        <w:t xml:space="preserve"> </w:t>
      </w:r>
      <w:r w:rsidRPr="007D2C07">
        <w:t>Grant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revised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results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simplify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requirements.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digital</w:t>
      </w:r>
      <w:r w:rsidR="00422215">
        <w:t xml:space="preserve"> </w:t>
      </w:r>
      <w:r w:rsidRPr="007D2C07">
        <w:t>grants</w:t>
      </w:r>
      <w:r w:rsidR="00422215">
        <w:t xml:space="preserve"> </w:t>
      </w:r>
      <w:r w:rsidRPr="007D2C07">
        <w:t>portal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significantly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efficiency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stakeholders</w:t>
      </w:r>
      <w:r w:rsidR="00422215">
        <w:t xml:space="preserve"> </w:t>
      </w:r>
      <w:r w:rsidRPr="007D2C07">
        <w:t>involved.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organisational</w:t>
      </w:r>
      <w:r w:rsidR="00422215">
        <w:t xml:space="preserve"> </w:t>
      </w:r>
      <w:r w:rsidRPr="007D2C07">
        <w:t>reform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administration,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clarifies</w:t>
      </w:r>
      <w:r w:rsidR="00422215">
        <w:t xml:space="preserve"> </w:t>
      </w:r>
      <w:r w:rsidRPr="007D2C07">
        <w:t>responsibilities,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efficiency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delivering</w:t>
      </w:r>
      <w:r w:rsidR="00422215">
        <w:t xml:space="preserve"> </w:t>
      </w:r>
      <w:r w:rsidRPr="007D2C07">
        <w:t>ODA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aid.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Predictability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relation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partner</w:t>
      </w:r>
      <w:r w:rsidR="00422215">
        <w:t xml:space="preserve"> </w:t>
      </w:r>
      <w:r w:rsidRPr="007D2C07">
        <w:t>countries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improved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extension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multi-year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civil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organisations,</w:t>
      </w:r>
      <w:r w:rsidR="00422215">
        <w:t xml:space="preserve"> </w:t>
      </w:r>
      <w:r w:rsidRPr="007D2C07">
        <w:t>humanitarian</w:t>
      </w:r>
      <w:r w:rsidR="00422215">
        <w:t xml:space="preserve"> </w:t>
      </w:r>
      <w:r w:rsidRPr="007D2C07">
        <w:t>partners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UN</w:t>
      </w:r>
      <w:r w:rsidR="00422215">
        <w:t xml:space="preserve"> </w:t>
      </w:r>
      <w:r w:rsidRPr="007D2C07">
        <w:t>agencies,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launch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multiannual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strategies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Norway’s</w:t>
      </w:r>
      <w:r w:rsidR="00422215">
        <w:t xml:space="preserve"> </w:t>
      </w:r>
      <w:r w:rsidRPr="007D2C07">
        <w:t>16</w:t>
      </w:r>
      <w:r w:rsidR="00422215">
        <w:t xml:space="preserve"> </w:t>
      </w:r>
      <w:r w:rsidRPr="007D2C07">
        <w:t>partner</w:t>
      </w:r>
      <w:r w:rsidR="00422215">
        <w:t xml:space="preserve"> </w:t>
      </w:r>
      <w:r w:rsidRPr="007D2C07">
        <w:t>countries.</w:t>
      </w:r>
      <w:r w:rsidR="00422215">
        <w:t xml:space="preserve"> </w:t>
      </w:r>
    </w:p>
    <w:p w:rsidR="007D2C07" w:rsidRP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donor</w:t>
      </w:r>
      <w:r w:rsidR="00422215">
        <w:t xml:space="preserve"> </w:t>
      </w:r>
      <w:r w:rsidRPr="007D2C07">
        <w:t>coordination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line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commitments,</w:t>
      </w:r>
      <w:r w:rsidR="00422215">
        <w:t xml:space="preserve"> </w:t>
      </w:r>
      <w:r w:rsidRPr="007D2C07">
        <w:t>notably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Grand</w:t>
      </w:r>
      <w:r w:rsidR="00422215">
        <w:t xml:space="preserve"> </w:t>
      </w:r>
      <w:r w:rsidRPr="007D2C07">
        <w:t>Bargain.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coordinating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engagement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regular</w:t>
      </w:r>
      <w:r w:rsidR="00422215">
        <w:t xml:space="preserve"> </w:t>
      </w:r>
      <w:r w:rsidRPr="007D2C07">
        <w:t>dialogue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helping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elaborate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joint</w:t>
      </w:r>
      <w:r w:rsidR="00422215">
        <w:t xml:space="preserve"> </w:t>
      </w:r>
      <w:r w:rsidRPr="007D2C07">
        <w:t>initiatives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sectors.</w:t>
      </w:r>
    </w:p>
    <w:p w:rsidR="008C6E34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Norway’s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line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DAC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principles.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Evaluation</w:t>
      </w:r>
      <w:r w:rsidR="00422215">
        <w:t xml:space="preserve"> </w:t>
      </w:r>
      <w:r w:rsidRPr="007D2C07">
        <w:t>Department</w:t>
      </w:r>
      <w:r w:rsidR="00422215">
        <w:t xml:space="preserve"> </w:t>
      </w:r>
      <w:r w:rsidRPr="007D2C07">
        <w:t>increasingly</w:t>
      </w:r>
      <w:r w:rsidR="00422215">
        <w:t xml:space="preserve"> </w:t>
      </w:r>
      <w:r w:rsidRPr="007D2C07">
        <w:t>carries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joint</w:t>
      </w:r>
      <w:r w:rsidR="00422215">
        <w:t xml:space="preserve"> </w:t>
      </w:r>
      <w:r w:rsidRPr="007D2C07">
        <w:t>evaluations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donors,</w:t>
      </w:r>
      <w:r w:rsidR="00422215">
        <w:t xml:space="preserve"> </w:t>
      </w:r>
      <w:r w:rsidRPr="007D2C07">
        <w:t>organisations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partner</w:t>
      </w:r>
      <w:r w:rsidR="00422215">
        <w:t xml:space="preserve"> </w:t>
      </w:r>
      <w:r w:rsidRPr="007D2C07">
        <w:t>countries.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duplicate</w:t>
      </w:r>
      <w:r w:rsidR="00422215">
        <w:t xml:space="preserve"> </w:t>
      </w:r>
      <w:r w:rsidRPr="007D2C07">
        <w:t>structures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add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administrative</w:t>
      </w:r>
      <w:r w:rsidR="00422215">
        <w:t xml:space="preserve"> </w:t>
      </w:r>
      <w:r w:rsidRPr="007D2C07">
        <w:t>processes.</w:t>
      </w:r>
    </w:p>
    <w:p w:rsidR="007D2C07" w:rsidRDefault="007D2C07" w:rsidP="008C6E34">
      <w:pPr>
        <w:pStyle w:val="SingleTxtG"/>
        <w:numPr>
          <w:ilvl w:val="0"/>
          <w:numId w:val="35"/>
        </w:numPr>
        <w:ind w:left="1134" w:firstLine="0"/>
      </w:pPr>
      <w:r w:rsidRPr="007D2C07">
        <w:t>Norway’s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in-donor</w:t>
      </w:r>
      <w:r w:rsidR="00422215">
        <w:t xml:space="preserve"> </w:t>
      </w:r>
      <w:r w:rsidRPr="007D2C07">
        <w:t>refugee</w:t>
      </w:r>
      <w:r w:rsidR="00422215">
        <w:t xml:space="preserve"> </w:t>
      </w:r>
      <w:r w:rsidRPr="007D2C07">
        <w:t>costs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2013-2018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table</w:t>
      </w:r>
      <w:r w:rsidR="00422215">
        <w:t xml:space="preserve"> </w:t>
      </w:r>
      <w:r w:rsidRPr="007D2C07">
        <w:t>below.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followed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clarifications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OECD</w:t>
      </w:r>
      <w:r w:rsidR="00422215">
        <w:t xml:space="preserve"> </w:t>
      </w:r>
      <w:r w:rsidRPr="007D2C07">
        <w:t>DAC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costs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included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in-donor</w:t>
      </w:r>
      <w:r w:rsidR="00422215">
        <w:t xml:space="preserve"> </w:t>
      </w:r>
      <w:r w:rsidRPr="007D2C07">
        <w:t>refugee</w:t>
      </w:r>
      <w:r w:rsidR="00422215">
        <w:t xml:space="preserve"> </w:t>
      </w:r>
      <w:r w:rsidRPr="007D2C07">
        <w:t>costs,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outline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2020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2019</w:t>
      </w:r>
      <w:r w:rsidR="00422215">
        <w:t xml:space="preserve"> </w:t>
      </w:r>
      <w:r w:rsidRPr="007D2C07">
        <w:t>budget.</w:t>
      </w:r>
    </w:p>
    <w:p w:rsidR="00B523E5" w:rsidRPr="00B523E5" w:rsidRDefault="00B523E5" w:rsidP="00352F63">
      <w:pPr>
        <w:pStyle w:val="Heading1"/>
        <w:spacing w:before="240" w:after="120"/>
        <w:rPr>
          <w:b/>
        </w:rPr>
      </w:pPr>
      <w:r w:rsidRPr="00B523E5">
        <w:rPr>
          <w:b/>
        </w:rPr>
        <w:t>Official development assistance (ODA) to in</w:t>
      </w:r>
      <w:r w:rsidR="00052F82">
        <w:rPr>
          <w:b/>
        </w:rPr>
        <w:t>-donor refugee costs, 2013-2018</w:t>
      </w:r>
      <w:r w:rsidR="003845BD">
        <w:rPr>
          <w:b/>
        </w:rPr>
        <w:t xml:space="preserve">, </w:t>
      </w:r>
      <w:r w:rsidRPr="00B523E5">
        <w:rPr>
          <w:b/>
        </w:rPr>
        <w:br/>
        <w:t xml:space="preserve">Mill. NOK and </w:t>
      </w:r>
      <w:r w:rsidR="00052F82">
        <w:rPr>
          <w:b/>
        </w:rPr>
        <w:t>per cent of total Norwegian ODA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08"/>
        <w:gridCol w:w="708"/>
        <w:gridCol w:w="709"/>
        <w:gridCol w:w="708"/>
        <w:gridCol w:w="708"/>
        <w:gridCol w:w="709"/>
      </w:tblGrid>
      <w:tr w:rsidR="007D2C07" w:rsidRPr="00B523E5" w:rsidTr="00B523E5">
        <w:tc>
          <w:tcPr>
            <w:tcW w:w="21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 w:val="16"/>
              </w:rPr>
            </w:pPr>
            <w:r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>DAC</w:t>
            </w:r>
            <w:r w:rsidR="00422215"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 xml:space="preserve"> </w:t>
            </w:r>
            <w:r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>Main</w:t>
            </w:r>
            <w:r w:rsidR="00422215"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 xml:space="preserve"> </w:t>
            </w:r>
            <w:r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>sector</w:t>
            </w:r>
            <w:r w:rsidR="00422215"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 xml:space="preserve"> </w:t>
            </w:r>
            <w:r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>(</w:t>
            </w:r>
            <w:proofErr w:type="spellStart"/>
            <w:r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>code+name</w:t>
            </w:r>
            <w:proofErr w:type="spellEnd"/>
            <w:r w:rsidRPr="00B523E5">
              <w:rPr>
                <w:i/>
                <w:iCs/>
                <w:spacing w:val="4"/>
                <w:w w:val="103"/>
                <w:kern w:val="14"/>
                <w:sz w:val="16"/>
              </w:rPr>
              <w:t>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523E5">
              <w:rPr>
                <w:bCs/>
                <w:i/>
                <w:spacing w:val="4"/>
                <w:w w:val="103"/>
                <w:kern w:val="14"/>
                <w:sz w:val="16"/>
              </w:rPr>
              <w:t>2013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523E5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523E5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523E5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523E5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523E5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</w:tr>
      <w:tr w:rsidR="00B523E5" w:rsidRPr="00DB5028" w:rsidTr="00B523E5">
        <w:tc>
          <w:tcPr>
            <w:tcW w:w="2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930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–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Refugees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in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donor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countries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  <w:r w:rsidR="00422215">
              <w:rPr>
                <w:bCs/>
                <w:sz w:val="18"/>
              </w:rPr>
              <w:t xml:space="preserve"> </w:t>
            </w:r>
            <w:r w:rsidRPr="00DB5028">
              <w:rPr>
                <w:bCs/>
                <w:sz w:val="18"/>
              </w:rPr>
              <w:t>587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  <w:r w:rsidR="00422215">
              <w:rPr>
                <w:bCs/>
                <w:sz w:val="18"/>
              </w:rPr>
              <w:t xml:space="preserve"> </w:t>
            </w:r>
            <w:r w:rsidRPr="00DB5028">
              <w:rPr>
                <w:bCs/>
                <w:sz w:val="18"/>
              </w:rPr>
              <w:t>757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  <w:r w:rsidR="00422215">
              <w:rPr>
                <w:bCs/>
                <w:sz w:val="18"/>
              </w:rPr>
              <w:t xml:space="preserve"> </w:t>
            </w:r>
            <w:r w:rsidRPr="00DB5028">
              <w:rPr>
                <w:bCs/>
                <w:sz w:val="18"/>
              </w:rPr>
              <w:t>733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  <w:r w:rsidR="00422215">
              <w:rPr>
                <w:bCs/>
                <w:sz w:val="18"/>
              </w:rPr>
              <w:t xml:space="preserve"> </w:t>
            </w:r>
            <w:r w:rsidRPr="00DB5028">
              <w:rPr>
                <w:bCs/>
                <w:sz w:val="18"/>
              </w:rPr>
              <w:t>720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  <w:r w:rsidR="00422215">
              <w:rPr>
                <w:bCs/>
                <w:sz w:val="18"/>
              </w:rPr>
              <w:t xml:space="preserve"> </w:t>
            </w:r>
            <w:r w:rsidRPr="00DB5028">
              <w:rPr>
                <w:bCs/>
                <w:sz w:val="18"/>
              </w:rPr>
              <w:t>240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827</w:t>
            </w:r>
          </w:p>
        </w:tc>
      </w:tr>
      <w:tr w:rsidR="007D2C07" w:rsidRPr="00B523E5" w:rsidTr="00B523E5">
        <w:tc>
          <w:tcPr>
            <w:tcW w:w="21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iCs/>
                <w:sz w:val="18"/>
              </w:rPr>
            </w:pPr>
            <w:r w:rsidRPr="00B523E5">
              <w:rPr>
                <w:b/>
                <w:iCs/>
                <w:sz w:val="18"/>
              </w:rPr>
              <w:t>Total</w:t>
            </w:r>
            <w:r w:rsidR="00422215" w:rsidRPr="00B523E5">
              <w:rPr>
                <w:b/>
                <w:iCs/>
                <w:sz w:val="18"/>
              </w:rPr>
              <w:t xml:space="preserve"> </w:t>
            </w:r>
            <w:r w:rsidRPr="00B523E5">
              <w:rPr>
                <w:b/>
                <w:iCs/>
                <w:sz w:val="18"/>
              </w:rPr>
              <w:t>Norwegian</w:t>
            </w:r>
            <w:r w:rsidR="00422215" w:rsidRPr="00B523E5">
              <w:rPr>
                <w:b/>
                <w:iCs/>
                <w:sz w:val="18"/>
              </w:rPr>
              <w:t xml:space="preserve"> </w:t>
            </w:r>
            <w:r w:rsidRPr="00B523E5">
              <w:rPr>
                <w:b/>
                <w:iCs/>
                <w:sz w:val="18"/>
              </w:rPr>
              <w:t>ODA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32</w:t>
            </w:r>
            <w:r w:rsidR="00422215" w:rsidRPr="00B523E5">
              <w:rPr>
                <w:b/>
                <w:bCs/>
                <w:sz w:val="18"/>
              </w:rPr>
              <w:t xml:space="preserve"> </w:t>
            </w:r>
            <w:r w:rsidRPr="00B523E5">
              <w:rPr>
                <w:b/>
                <w:bCs/>
                <w:sz w:val="18"/>
              </w:rPr>
              <w:t>800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32</w:t>
            </w:r>
            <w:r w:rsidR="00422215" w:rsidRPr="00B523E5">
              <w:rPr>
                <w:b/>
                <w:bCs/>
                <w:sz w:val="18"/>
              </w:rPr>
              <w:t xml:space="preserve"> </w:t>
            </w:r>
            <w:r w:rsidRPr="00B523E5">
              <w:rPr>
                <w:b/>
                <w:bCs/>
                <w:sz w:val="18"/>
              </w:rPr>
              <w:t>046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34</w:t>
            </w:r>
            <w:r w:rsidR="00422215" w:rsidRPr="00B523E5">
              <w:rPr>
                <w:b/>
                <w:bCs/>
                <w:sz w:val="18"/>
              </w:rPr>
              <w:t xml:space="preserve"> </w:t>
            </w:r>
            <w:r w:rsidRPr="00B523E5">
              <w:rPr>
                <w:b/>
                <w:bCs/>
                <w:sz w:val="18"/>
              </w:rPr>
              <w:t>486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36</w:t>
            </w:r>
            <w:r w:rsidR="00422215" w:rsidRPr="00B523E5">
              <w:rPr>
                <w:b/>
                <w:bCs/>
                <w:sz w:val="18"/>
              </w:rPr>
              <w:t xml:space="preserve"> </w:t>
            </w:r>
            <w:r w:rsidRPr="00B523E5">
              <w:rPr>
                <w:b/>
                <w:bCs/>
                <w:sz w:val="18"/>
              </w:rPr>
              <w:t>791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34</w:t>
            </w:r>
            <w:r w:rsidR="00422215" w:rsidRPr="00B523E5">
              <w:rPr>
                <w:b/>
                <w:bCs/>
                <w:sz w:val="18"/>
              </w:rPr>
              <w:t xml:space="preserve"> </w:t>
            </w:r>
            <w:r w:rsidRPr="00B523E5">
              <w:rPr>
                <w:b/>
                <w:bCs/>
                <w:sz w:val="18"/>
              </w:rPr>
              <w:t>118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34</w:t>
            </w:r>
            <w:r w:rsidR="00422215" w:rsidRPr="00B523E5">
              <w:rPr>
                <w:b/>
                <w:bCs/>
                <w:sz w:val="18"/>
              </w:rPr>
              <w:t xml:space="preserve"> </w:t>
            </w:r>
            <w:r w:rsidRPr="00B523E5">
              <w:rPr>
                <w:b/>
                <w:bCs/>
                <w:sz w:val="18"/>
              </w:rPr>
              <w:t>632</w:t>
            </w:r>
          </w:p>
        </w:tc>
      </w:tr>
      <w:tr w:rsidR="007D2C07" w:rsidRPr="00B523E5" w:rsidTr="00B523E5">
        <w:tc>
          <w:tcPr>
            <w:tcW w:w="21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523E5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B523E5">
              <w:rPr>
                <w:iCs/>
                <w:sz w:val="18"/>
              </w:rPr>
              <w:t>In-donor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refugee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costs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as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per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cent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of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total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Norwegian</w:t>
            </w:r>
            <w:r w:rsidR="00422215" w:rsidRPr="00B523E5">
              <w:rPr>
                <w:iCs/>
                <w:sz w:val="18"/>
              </w:rPr>
              <w:t xml:space="preserve"> </w:t>
            </w:r>
            <w:r w:rsidRPr="00B523E5">
              <w:rPr>
                <w:iCs/>
                <w:sz w:val="18"/>
              </w:rPr>
              <w:t>ODA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B523E5">
              <w:rPr>
                <w:bCs/>
                <w:sz w:val="18"/>
              </w:rPr>
              <w:t>4.8%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B523E5">
              <w:rPr>
                <w:bCs/>
                <w:sz w:val="18"/>
              </w:rPr>
              <w:t>5.5%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B523E5">
              <w:rPr>
                <w:bCs/>
                <w:sz w:val="18"/>
              </w:rPr>
              <w:t>10.8%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B523E5">
              <w:rPr>
                <w:bCs/>
                <w:sz w:val="18"/>
              </w:rPr>
              <w:t>18.3%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B523E5">
              <w:rPr>
                <w:bCs/>
                <w:sz w:val="18"/>
              </w:rPr>
              <w:t>3.6%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B523E5">
              <w:rPr>
                <w:bCs/>
                <w:sz w:val="18"/>
              </w:rPr>
              <w:t>2.4%</w:t>
            </w:r>
          </w:p>
        </w:tc>
      </w:tr>
    </w:tbl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12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  <w:r w:rsidR="00422215">
        <w:t xml:space="preserve"> </w:t>
      </w:r>
      <w:r>
        <w:t>prior</w:t>
      </w:r>
      <w:r w:rsidR="00422215">
        <w:t xml:space="preserve"> </w:t>
      </w:r>
      <w:r>
        <w:t>to</w:t>
      </w:r>
      <w:r w:rsidR="00422215">
        <w:t xml:space="preserve"> </w:t>
      </w:r>
      <w:r>
        <w:t>reporting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prohibits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gender,</w:t>
      </w:r>
      <w:r w:rsidR="00422215">
        <w:t xml:space="preserve"> </w:t>
      </w:r>
      <w:r w:rsidRPr="007D2C07">
        <w:t>leave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childbirth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adoption,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responsibilities,</w:t>
      </w:r>
      <w:r w:rsidR="00422215">
        <w:t xml:space="preserve"> </w:t>
      </w:r>
      <w:r w:rsidRPr="007D2C07">
        <w:t>ethnicity,</w:t>
      </w:r>
      <w:r w:rsidR="00422215">
        <w:t xml:space="preserve"> </w:t>
      </w:r>
      <w:r w:rsidRPr="007D2C07">
        <w:t>religion,</w:t>
      </w:r>
      <w:r w:rsidR="00422215">
        <w:t xml:space="preserve"> </w:t>
      </w:r>
      <w:r w:rsidRPr="007D2C07">
        <w:t>beliefs,</w:t>
      </w:r>
      <w:r w:rsidR="00422215">
        <w:t xml:space="preserve"> </w:t>
      </w:r>
      <w:r w:rsidRPr="007D2C07">
        <w:t>disability,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orientation,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identity,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expression,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combination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factors.</w:t>
      </w:r>
      <w:r w:rsidR="00422215">
        <w:t xml:space="preserve"> </w:t>
      </w:r>
      <w:r w:rsidRPr="007D2C07">
        <w:t>“Ethnicity”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origin,</w:t>
      </w:r>
      <w:r w:rsidR="00422215">
        <w:t xml:space="preserve"> </w:t>
      </w:r>
      <w:r w:rsidRPr="007D2C07">
        <w:t>descent,</w:t>
      </w:r>
      <w:r w:rsidR="00422215">
        <w:t xml:space="preserve"> </w:t>
      </w:r>
      <w:r w:rsidRPr="007D2C07">
        <w:t>skin</w:t>
      </w:r>
      <w:r w:rsidR="00422215">
        <w:t xml:space="preserve"> </w:t>
      </w:r>
      <w:r w:rsidRPr="007D2C07">
        <w:t>colour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language.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prohibits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political</w:t>
      </w:r>
      <w:r w:rsidR="00422215">
        <w:t xml:space="preserve"> </w:t>
      </w:r>
      <w:r w:rsidRPr="007D2C07">
        <w:t>views,</w:t>
      </w:r>
      <w:r w:rsidR="00422215">
        <w:t xml:space="preserve"> </w:t>
      </w:r>
      <w:r w:rsidRPr="007D2C07">
        <w:t>membership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trade</w:t>
      </w:r>
      <w:r w:rsidR="00422215">
        <w:t xml:space="preserve"> </w:t>
      </w:r>
      <w:r w:rsidRPr="007D2C07">
        <w:t>union,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age,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employee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works</w:t>
      </w:r>
      <w:r w:rsidR="00422215">
        <w:t xml:space="preserve"> </w:t>
      </w:r>
      <w:r w:rsidRPr="007D2C07">
        <w:t>part-time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temporary</w:t>
      </w:r>
      <w:r w:rsidR="00422215">
        <w:t xml:space="preserve"> </w:t>
      </w:r>
      <w:r w:rsidRPr="007D2C07">
        <w:t>basis.</w:t>
      </w:r>
      <w:r w:rsidR="00422215"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13</w:t>
      </w:r>
      <w:r w:rsidR="00A13A0A">
        <w:t xml:space="preserve"> </w:t>
      </w:r>
      <w:r w:rsidR="007754FF">
        <w:t>(a)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enforcement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reorganised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2018.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complaints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implied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handling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complaints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transferred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strengthened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Ombudsman's</w:t>
      </w:r>
      <w:r w:rsidR="00422215">
        <w:t xml:space="preserve"> </w:t>
      </w:r>
      <w:r w:rsidRPr="007D2C07">
        <w:t>role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proactive</w:t>
      </w:r>
      <w:r w:rsidR="00422215">
        <w:t xml:space="preserve"> </w:t>
      </w:r>
      <w:r w:rsidRPr="007D2C07">
        <w:t>agent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opportunities.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award</w:t>
      </w:r>
      <w:r w:rsidR="00422215">
        <w:t xml:space="preserve"> </w:t>
      </w:r>
      <w:r w:rsidRPr="007D2C07">
        <w:t>redress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compensation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simple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Neither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nor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refer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courts.</w:t>
      </w:r>
    </w:p>
    <w:p w:rsid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October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appointed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scheme.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complete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2020.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questions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assessing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discrimination.</w:t>
      </w:r>
      <w:r w:rsidR="00422215">
        <w:t xml:space="preserve"> </w:t>
      </w:r>
      <w:r w:rsidRPr="007D2C07">
        <w:t>Today,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therefore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statistical</w:t>
      </w:r>
      <w:r w:rsidR="00422215">
        <w:t xml:space="preserve"> </w:t>
      </w:r>
      <w:r w:rsidRPr="007D2C07">
        <w:t>data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topic.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situations</w:t>
      </w:r>
      <w:r w:rsidR="00422215">
        <w:t xml:space="preserve"> </w:t>
      </w:r>
      <w:r w:rsidRPr="007D2C07">
        <w:t>cover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formulated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cover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types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example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orders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evictions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tenants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dismissals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employees,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involve</w:t>
      </w:r>
      <w:r w:rsidR="00422215">
        <w:t xml:space="preserve"> </w:t>
      </w:r>
      <w:r w:rsidRPr="007D2C07">
        <w:t>claims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discrimination.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addition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specifically</w:t>
      </w:r>
      <w:r w:rsidR="00422215">
        <w:t xml:space="preserve"> </w:t>
      </w:r>
      <w:r w:rsidRPr="007D2C07">
        <w:t>mentioned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granted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case,</w:t>
      </w:r>
      <w:r w:rsidR="00422215">
        <w:t xml:space="preserve"> </w:t>
      </w:r>
      <w:r w:rsidRPr="007D2C07">
        <w:t>seen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objective</w:t>
      </w:r>
      <w:r w:rsidR="00422215">
        <w:t xml:space="preserve"> </w:t>
      </w:r>
      <w:r w:rsidRPr="007D2C07">
        <w:t>point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view,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especially</w:t>
      </w:r>
      <w:r w:rsidR="00422215">
        <w:t xml:space="preserve"> </w:t>
      </w:r>
      <w:r w:rsidRPr="007D2C07">
        <w:t>pressing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financially</w:t>
      </w:r>
      <w:r w:rsidR="00422215">
        <w:t xml:space="preserve"> </w:t>
      </w:r>
      <w:r w:rsidRPr="007D2C07">
        <w:t>supports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funding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organisations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specialise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vulnerable</w:t>
      </w:r>
      <w:r w:rsidR="00422215">
        <w:t xml:space="preserve"> </w:t>
      </w:r>
      <w:r w:rsidRPr="007D2C07">
        <w:t>situations.</w:t>
      </w:r>
    </w:p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13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reached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phone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via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internet</w:t>
      </w:r>
      <w:r w:rsidR="00422215">
        <w:t xml:space="preserve"> </w:t>
      </w:r>
      <w:r w:rsidRPr="007D2C07">
        <w:t>site,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visiting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Ombudsman's</w:t>
      </w:r>
      <w:r w:rsidR="00422215">
        <w:t xml:space="preserve"> </w:t>
      </w:r>
      <w:r w:rsidRPr="007D2C07">
        <w:t>office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Oslo.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internet</w:t>
      </w:r>
      <w:r w:rsidR="00422215">
        <w:t xml:space="preserve"> </w:t>
      </w:r>
      <w:r w:rsidRPr="007D2C07">
        <w:t>site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English.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interpreting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whose</w:t>
      </w:r>
      <w:r w:rsidR="00422215">
        <w:t xml:space="preserve"> </w:t>
      </w:r>
      <w:r w:rsidRPr="007D2C07">
        <w:t>mother</w:t>
      </w:r>
      <w:r w:rsidR="00422215">
        <w:t xml:space="preserve"> </w:t>
      </w:r>
      <w:r w:rsidRPr="007D2C07">
        <w:t>tongue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Norwegian.</w:t>
      </w:r>
      <w:r w:rsidR="00422215">
        <w:t xml:space="preserve"> </w:t>
      </w:r>
    </w:p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13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2014-2017,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778</w:t>
      </w:r>
      <w:r w:rsidR="00422215">
        <w:t xml:space="preserve"> </w:t>
      </w:r>
      <w:r w:rsidRPr="007D2C07">
        <w:t>complaint</w:t>
      </w:r>
      <w:r w:rsidR="00422215">
        <w:t xml:space="preserve"> </w:t>
      </w:r>
      <w:r w:rsidRPr="007D2C07">
        <w:t>cases:</w:t>
      </w:r>
      <w:r w:rsidR="00422215">
        <w:t xml:space="preserve">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370"/>
        <w:gridCol w:w="1369"/>
        <w:gridCol w:w="1371"/>
        <w:gridCol w:w="991"/>
      </w:tblGrid>
      <w:tr w:rsidR="007D2C07" w:rsidRPr="00DB5028" w:rsidTr="00DA23BB">
        <w:trPr>
          <w:tblHeader/>
        </w:trPr>
        <w:tc>
          <w:tcPr>
            <w:tcW w:w="15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523E5">
            <w:pPr>
              <w:pStyle w:val="SingleTxtG"/>
              <w:suppressAutoHyphens w:val="0"/>
              <w:spacing w:before="80" w:after="80" w:line="200" w:lineRule="exact"/>
              <w:ind w:left="142" w:right="0"/>
              <w:jc w:val="left"/>
              <w:rPr>
                <w:i/>
                <w:iCs/>
                <w:sz w:val="16"/>
              </w:rPr>
            </w:pPr>
            <w:r w:rsidRPr="00DB5028">
              <w:rPr>
                <w:i/>
                <w:iCs/>
                <w:sz w:val="16"/>
              </w:rPr>
              <w:t>Legal</w:t>
            </w:r>
            <w:r w:rsidR="00422215">
              <w:rPr>
                <w:i/>
                <w:iCs/>
                <w:sz w:val="16"/>
              </w:rPr>
              <w:t xml:space="preserve"> </w:t>
            </w:r>
            <w:r w:rsidRPr="00DB5028">
              <w:rPr>
                <w:i/>
                <w:iCs/>
                <w:sz w:val="16"/>
              </w:rPr>
              <w:t>ground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Violation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of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the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law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Not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violation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of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the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law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Rejections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and</w:t>
            </w:r>
            <w:r w:rsidR="00422215">
              <w:rPr>
                <w:bCs/>
                <w:i/>
                <w:sz w:val="16"/>
              </w:rPr>
              <w:t xml:space="preserve"> </w:t>
            </w:r>
            <w:r w:rsidRPr="00DB5028">
              <w:rPr>
                <w:bCs/>
                <w:i/>
                <w:sz w:val="16"/>
              </w:rPr>
              <w:t>dismissals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Total</w:t>
            </w:r>
          </w:p>
        </w:tc>
      </w:tr>
      <w:tr w:rsidR="007D2C07" w:rsidRPr="00DB5028" w:rsidTr="00DA23BB">
        <w:tc>
          <w:tcPr>
            <w:tcW w:w="1539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Disability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70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152</w:t>
            </w:r>
          </w:p>
        </w:tc>
        <w:tc>
          <w:tcPr>
            <w:tcW w:w="93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56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278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25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58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107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19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37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69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37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14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24</w:t>
            </w:r>
          </w:p>
        </w:tc>
      </w:tr>
      <w:tr w:rsidR="007D2C07" w:rsidRPr="00DA23BB" w:rsidTr="00DA23BB">
        <w:tc>
          <w:tcPr>
            <w:tcW w:w="1539" w:type="pct"/>
            <w:shd w:val="clear" w:color="auto" w:fill="auto"/>
            <w:noWrap/>
          </w:tcPr>
          <w:p w:rsidR="007D2C07" w:rsidRPr="00DA23BB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A23BB">
              <w:rPr>
                <w:b/>
                <w:iCs/>
                <w:sz w:val="18"/>
              </w:rPr>
              <w:t>Housing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A23BB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A23BB">
              <w:rPr>
                <w:b/>
                <w:bCs/>
                <w:sz w:val="18"/>
              </w:rPr>
              <w:t>4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A23BB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A23BB">
              <w:rPr>
                <w:b/>
                <w:bCs/>
                <w:sz w:val="18"/>
              </w:rPr>
              <w:t>12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A23BB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A23BB">
              <w:rPr>
                <w:b/>
                <w:bCs/>
                <w:sz w:val="18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A23BB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A23BB">
              <w:rPr>
                <w:b/>
                <w:bCs/>
                <w:sz w:val="18"/>
              </w:rPr>
              <w:t>19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18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Police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judicial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system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Gender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84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80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191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76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64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20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160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10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8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7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8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422215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>
              <w:rPr>
                <w:iCs/>
                <w:sz w:val="18"/>
              </w:rPr>
              <w:t>P</w:t>
            </w:r>
            <w:r w:rsidR="007D2C07" w:rsidRPr="00DB5028">
              <w:rPr>
                <w:iCs/>
                <w:sz w:val="18"/>
              </w:rPr>
              <w:t>olice</w:t>
            </w:r>
            <w:r>
              <w:rPr>
                <w:iCs/>
                <w:sz w:val="18"/>
              </w:rPr>
              <w:t xml:space="preserve"> </w:t>
            </w:r>
            <w:r w:rsidR="007D2C07" w:rsidRPr="00DB5028">
              <w:rPr>
                <w:iCs/>
                <w:sz w:val="18"/>
              </w:rPr>
              <w:t>and</w:t>
            </w:r>
            <w:r>
              <w:rPr>
                <w:iCs/>
                <w:sz w:val="18"/>
              </w:rPr>
              <w:t xml:space="preserve"> </w:t>
            </w:r>
            <w:r w:rsidR="007D2C07" w:rsidRPr="00DB5028">
              <w:rPr>
                <w:iCs/>
                <w:sz w:val="18"/>
              </w:rPr>
              <w:t>judicial</w:t>
            </w:r>
            <w:r>
              <w:rPr>
                <w:iCs/>
                <w:sz w:val="18"/>
              </w:rPr>
              <w:t xml:space="preserve"> </w:t>
            </w:r>
            <w:r w:rsidR="007D2C07" w:rsidRPr="00DB5028">
              <w:rPr>
                <w:iCs/>
                <w:sz w:val="18"/>
              </w:rPr>
              <w:t>system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Ethnicity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20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66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20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106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8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36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7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8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10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Police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judicial</w:t>
            </w:r>
            <w:r w:rsidR="00422215">
              <w:rPr>
                <w:iCs/>
                <w:sz w:val="18"/>
              </w:rPr>
              <w:t xml:space="preserve"> S</w:t>
            </w:r>
            <w:r w:rsidRPr="00DB5028">
              <w:rPr>
                <w:iCs/>
                <w:sz w:val="18"/>
              </w:rPr>
              <w:t>ystem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9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7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Housing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Age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20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43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5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68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20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43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67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Multiple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14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7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42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13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16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Police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judicial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system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Housing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Other</w:t>
            </w:r>
            <w:r w:rsidR="00422215">
              <w:rPr>
                <w:b/>
                <w:iCs/>
                <w:sz w:val="18"/>
              </w:rPr>
              <w:t xml:space="preserve"> </w:t>
            </w:r>
            <w:r w:rsidRPr="00DB5028">
              <w:rPr>
                <w:b/>
                <w:iCs/>
                <w:sz w:val="18"/>
              </w:rPr>
              <w:t>grounds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25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9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15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Police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judicial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system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Language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9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24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9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18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Housing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Religion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9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6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19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8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4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Gender</w:t>
            </w:r>
            <w:r w:rsidR="00422215">
              <w:rPr>
                <w:b/>
                <w:iCs/>
                <w:sz w:val="18"/>
              </w:rPr>
              <w:t xml:space="preserve"> </w:t>
            </w:r>
            <w:r w:rsidRPr="00DB5028">
              <w:rPr>
                <w:b/>
                <w:iCs/>
                <w:sz w:val="18"/>
              </w:rPr>
              <w:t>identity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4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8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4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16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5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7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6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Education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iCs/>
                <w:sz w:val="18"/>
              </w:rPr>
            </w:pPr>
            <w:r w:rsidRPr="00DB5028">
              <w:rPr>
                <w:b/>
                <w:iCs/>
                <w:sz w:val="18"/>
              </w:rPr>
              <w:t>Sexual</w:t>
            </w:r>
            <w:r w:rsidR="00422215">
              <w:rPr>
                <w:b/>
                <w:iCs/>
                <w:sz w:val="18"/>
              </w:rPr>
              <w:t xml:space="preserve"> </w:t>
            </w:r>
            <w:r w:rsidRPr="00DB5028">
              <w:rPr>
                <w:b/>
                <w:iCs/>
                <w:sz w:val="18"/>
              </w:rPr>
              <w:t>orientation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6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2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b/>
                <w:bCs/>
                <w:sz w:val="18"/>
              </w:rPr>
              <w:t>9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Public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administration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3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Work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related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Other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areas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2</w:t>
            </w:r>
          </w:p>
        </w:tc>
      </w:tr>
      <w:tr w:rsidR="007D2C07" w:rsidRPr="00DB5028" w:rsidTr="00DA23BB">
        <w:tc>
          <w:tcPr>
            <w:tcW w:w="1539" w:type="pct"/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Goods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services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930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DB5028" w:rsidTr="00DA23BB"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B523E5">
            <w:pPr>
              <w:pStyle w:val="SingleTxtG"/>
              <w:suppressAutoHyphens w:val="0"/>
              <w:spacing w:before="40" w:after="40" w:line="220" w:lineRule="exact"/>
              <w:ind w:left="142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Police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and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judicial</w:t>
            </w:r>
            <w:r w:rsidR="00422215">
              <w:rPr>
                <w:iCs/>
                <w:sz w:val="18"/>
              </w:rPr>
              <w:t xml:space="preserve"> </w:t>
            </w:r>
            <w:r w:rsidRPr="00DB5028">
              <w:rPr>
                <w:iCs/>
                <w:sz w:val="18"/>
              </w:rPr>
              <w:t>system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-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bCs/>
                <w:sz w:val="18"/>
              </w:rPr>
              <w:t>1</w:t>
            </w:r>
          </w:p>
        </w:tc>
      </w:tr>
      <w:tr w:rsidR="007D2C07" w:rsidRPr="00B523E5" w:rsidTr="00DA23BB">
        <w:tc>
          <w:tcPr>
            <w:tcW w:w="15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142" w:right="0"/>
              <w:jc w:val="left"/>
              <w:rPr>
                <w:b/>
                <w:iCs/>
                <w:sz w:val="18"/>
              </w:rPr>
            </w:pPr>
            <w:r w:rsidRPr="00B523E5">
              <w:rPr>
                <w:b/>
                <w:iCs/>
                <w:sz w:val="18"/>
              </w:rPr>
              <w:t>Total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232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405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141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523E5" w:rsidRDefault="007D2C07" w:rsidP="00B523E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523E5">
              <w:rPr>
                <w:b/>
                <w:bCs/>
                <w:sz w:val="18"/>
              </w:rPr>
              <w:t>778</w:t>
            </w:r>
          </w:p>
        </w:tc>
      </w:tr>
    </w:tbl>
    <w:p w:rsidR="007D2C07" w:rsidRPr="007D2C07" w:rsidRDefault="007D2C07" w:rsidP="00B523E5">
      <w:pPr>
        <w:pStyle w:val="SingleTxtG"/>
        <w:numPr>
          <w:ilvl w:val="0"/>
          <w:numId w:val="35"/>
        </w:numPr>
        <w:spacing w:before="240"/>
        <w:ind w:left="1134" w:firstLine="0"/>
      </w:pPr>
      <w:r w:rsidRPr="007D2C07">
        <w:t>We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yet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sufficient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Tribunal.</w:t>
      </w:r>
    </w:p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13</w:t>
      </w:r>
      <w:r w:rsidR="00A13A0A">
        <w:t xml:space="preserve"> </w:t>
      </w:r>
      <w:r>
        <w:t xml:space="preserve">(d)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budget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(NOK):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16"/>
        <w:gridCol w:w="1016"/>
        <w:gridCol w:w="1016"/>
        <w:gridCol w:w="1016"/>
        <w:gridCol w:w="1016"/>
        <w:gridCol w:w="1016"/>
      </w:tblGrid>
      <w:tr w:rsidR="007D2C07" w:rsidRPr="00DB5028" w:rsidTr="00B523E5">
        <w:trPr>
          <w:tblHeader/>
        </w:trPr>
        <w:tc>
          <w:tcPr>
            <w:tcW w:w="8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2017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2018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B5028">
              <w:rPr>
                <w:bCs/>
                <w:i/>
                <w:sz w:val="16"/>
              </w:rPr>
              <w:t>2019</w:t>
            </w:r>
          </w:p>
        </w:tc>
      </w:tr>
      <w:tr w:rsidR="007D2C07" w:rsidRPr="00DB5028" w:rsidTr="00B523E5">
        <w:tc>
          <w:tcPr>
            <w:tcW w:w="864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Tribunal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891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859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935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sz w:val="18"/>
              </w:rPr>
              <w:t>6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447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sz w:val="18"/>
              </w:rPr>
              <w:t>18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902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B5028">
              <w:rPr>
                <w:sz w:val="18"/>
              </w:rPr>
              <w:t>19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006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</w:tr>
      <w:tr w:rsidR="007D2C07" w:rsidRPr="00DB5028" w:rsidTr="00B523E5">
        <w:tc>
          <w:tcPr>
            <w:tcW w:w="86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7D2C07" w:rsidRPr="00DB5028" w:rsidRDefault="003845BD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iCs/>
                <w:sz w:val="18"/>
              </w:rPr>
              <w:t>Ombudsman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035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53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981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856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107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821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843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000</w:t>
            </w:r>
          </w:p>
        </w:tc>
      </w:tr>
    </w:tbl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14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  <w:r w:rsidR="00422215">
        <w:t xml:space="preserve"> </w:t>
      </w:r>
      <w:r>
        <w:t>prior</w:t>
      </w:r>
      <w:r w:rsidR="00422215">
        <w:t xml:space="preserve"> </w:t>
      </w:r>
      <w:r>
        <w:t>to</w:t>
      </w:r>
      <w:r w:rsidR="00422215">
        <w:t xml:space="preserve"> </w:t>
      </w:r>
      <w:r>
        <w:t>reporting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14.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Modernisation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Official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(NOU)</w:t>
      </w:r>
      <w:r w:rsidR="00422215">
        <w:t xml:space="preserve"> </w:t>
      </w:r>
      <w:r w:rsidRPr="007D2C07">
        <w:t>2015:</w:t>
      </w:r>
      <w:r w:rsidR="00422215">
        <w:t xml:space="preserve"> </w:t>
      </w:r>
      <w:r w:rsidRPr="007D2C07">
        <w:t>7</w:t>
      </w:r>
      <w:r w:rsidR="00422215">
        <w:t xml:space="preserve"> </w:t>
      </w:r>
      <w:r w:rsidRPr="007D2C07">
        <w:t>Assimilation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Resistance,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input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hearing.</w:t>
      </w:r>
      <w:r w:rsidR="00422215">
        <w:t xml:space="preserve"> </w:t>
      </w:r>
      <w:r w:rsidRPr="007D2C07">
        <w:t>Representatives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Romani</w:t>
      </w:r>
      <w:r w:rsidR="00422215">
        <w:t xml:space="preserve"> </w:t>
      </w:r>
      <w:r w:rsidRPr="007D2C07">
        <w:t>people/Tater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included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group.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followed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minorities,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presented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2020.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aware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orders</w:t>
      </w:r>
      <w:r w:rsidR="00422215">
        <w:t xml:space="preserve"> </w:t>
      </w:r>
      <w:r w:rsidRPr="007D2C07">
        <w:t>issued.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official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background,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ethnicity,</w:t>
      </w:r>
      <w:r w:rsidR="00422215">
        <w:t xml:space="preserve"> </w:t>
      </w:r>
      <w:r w:rsidRPr="007D2C07">
        <w:t>thus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Roma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available.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Most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cannot</w:t>
      </w:r>
      <w:r w:rsidR="00422215">
        <w:t xml:space="preserve"> </w:t>
      </w:r>
      <w:r w:rsidRPr="007D2C07">
        <w:t>live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placed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foster</w:t>
      </w:r>
      <w:r w:rsidR="00422215">
        <w:t xml:space="preserve"> </w:t>
      </w:r>
      <w:r w:rsidRPr="007D2C07">
        <w:t>home.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choose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foster</w:t>
      </w:r>
      <w:r w:rsidR="00422215">
        <w:t xml:space="preserve"> </w:t>
      </w:r>
      <w:r w:rsidRPr="007D2C07">
        <w:t>home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child’s</w:t>
      </w:r>
      <w:r w:rsidR="00422215">
        <w:t xml:space="preserve"> </w:t>
      </w:r>
      <w:r w:rsidRPr="007D2C07">
        <w:t>distinctive</w:t>
      </w:r>
      <w:r w:rsidR="00422215">
        <w:t xml:space="preserve"> </w:t>
      </w:r>
      <w:r w:rsidRPr="007D2C07">
        <w:t>characteristics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needs.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account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continuity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child’s</w:t>
      </w:r>
      <w:r w:rsidR="00422215">
        <w:t xml:space="preserve"> </w:t>
      </w:r>
      <w:r w:rsidRPr="007D2C07">
        <w:t>upbringing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child’s</w:t>
      </w:r>
      <w:r w:rsidR="00422215">
        <w:t xml:space="preserve"> </w:t>
      </w:r>
      <w:r w:rsidRPr="007D2C07">
        <w:t>religious,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linguistic</w:t>
      </w:r>
      <w:r w:rsidR="00422215">
        <w:t xml:space="preserve"> </w:t>
      </w:r>
      <w:r w:rsidRPr="007D2C07">
        <w:t>background.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recognises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importance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ties,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consider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someone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child's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network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appointed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foster</w:t>
      </w:r>
      <w:r w:rsidR="00422215">
        <w:t xml:space="preserve"> </w:t>
      </w:r>
      <w:r w:rsidRPr="007D2C07">
        <w:t>parent.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draft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distributed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consultation.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service’s</w:t>
      </w:r>
      <w:r w:rsidR="00422215">
        <w:t xml:space="preserve"> </w:t>
      </w:r>
      <w:r w:rsidRPr="007D2C07">
        <w:t>consideration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child’s</w:t>
      </w:r>
      <w:r w:rsidR="00422215">
        <w:t xml:space="preserve"> </w:t>
      </w:r>
      <w:r w:rsidRPr="007D2C07">
        <w:t>religious,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linguistic</w:t>
      </w:r>
      <w:r w:rsidR="00422215">
        <w:t xml:space="preserve"> </w:t>
      </w:r>
      <w:r w:rsidRPr="007D2C07">
        <w:t>background.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draft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proposes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visitation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child's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family.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(2018–2024)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implemented.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educational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aim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greater</w:t>
      </w:r>
      <w:r w:rsidR="00422215">
        <w:t xml:space="preserve"> </w:t>
      </w:r>
      <w:r w:rsidRPr="007D2C07">
        <w:t>understanding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sensitivity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minority</w:t>
      </w:r>
      <w:r w:rsidR="00422215">
        <w:t xml:space="preserve"> </w:t>
      </w:r>
      <w:r w:rsidRPr="007D2C07">
        <w:t>backgrounds.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appointed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truth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reconciliation</w:t>
      </w:r>
      <w:r w:rsidR="00422215">
        <w:t xml:space="preserve"> </w:t>
      </w:r>
      <w:r w:rsidRPr="007D2C07">
        <w:t>commission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examine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assimilation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injustices</w:t>
      </w:r>
      <w:r w:rsidR="00422215">
        <w:t xml:space="preserve"> </w:t>
      </w:r>
      <w:r w:rsidRPr="007D2C07">
        <w:t>perpetrated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and</w:t>
      </w:r>
      <w:r w:rsidR="00422215">
        <w:t xml:space="preserve"> </w:t>
      </w:r>
      <w:proofErr w:type="spellStart"/>
      <w:r w:rsidRPr="007D2C07">
        <w:t>Kven</w:t>
      </w:r>
      <w:proofErr w:type="spellEnd"/>
      <w:r w:rsidRPr="007D2C07">
        <w:t>/Norwegian</w:t>
      </w:r>
      <w:r w:rsidR="00422215">
        <w:t xml:space="preserve"> </w:t>
      </w:r>
      <w:r w:rsidRPr="007D2C07">
        <w:t>Finns.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preparatory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carried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Sámediggi</w:t>
      </w:r>
      <w:proofErr w:type="spellEnd"/>
      <w:r w:rsidR="00422215">
        <w:t xml:space="preserve"> </w:t>
      </w:r>
      <w:r w:rsidRPr="007D2C07">
        <w:t>and</w:t>
      </w:r>
      <w:r w:rsidR="00422215">
        <w:t xml:space="preserve"> </w:t>
      </w:r>
      <w:proofErr w:type="spellStart"/>
      <w:r w:rsidRPr="007D2C07">
        <w:t>Kven</w:t>
      </w:r>
      <w:proofErr w:type="spellEnd"/>
      <w:r w:rsidRPr="007D2C07">
        <w:t>/Norwegian</w:t>
      </w:r>
      <w:r w:rsidR="00422215">
        <w:t xml:space="preserve"> </w:t>
      </w:r>
      <w:r w:rsidRPr="007D2C07">
        <w:t>Finn</w:t>
      </w:r>
      <w:r w:rsidR="00422215">
        <w:t xml:space="preserve"> </w:t>
      </w:r>
      <w:r w:rsidRPr="007D2C07">
        <w:t>organisations.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commission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scheduled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submit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September</w:t>
      </w:r>
      <w:r w:rsidR="00422215">
        <w:t xml:space="preserve"> </w:t>
      </w:r>
      <w:r w:rsidRPr="007D2C07">
        <w:t>2022.</w:t>
      </w:r>
    </w:p>
    <w:p w:rsidR="00DB502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15</w:t>
      </w:r>
      <w:r w:rsidR="00A13A0A">
        <w:t xml:space="preserve"> </w:t>
      </w:r>
      <w:r w:rsidR="007754FF">
        <w:t>(a)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B37B02" w:rsidRPr="00B37B02" w:rsidRDefault="00B37B02" w:rsidP="00B37B02">
      <w:pPr>
        <w:pStyle w:val="Heading1"/>
        <w:spacing w:after="120"/>
        <w:rPr>
          <w:b/>
        </w:rPr>
      </w:pPr>
      <w:r w:rsidRPr="00B37B02">
        <w:rPr>
          <w:b/>
        </w:rPr>
        <w:t>Asylum applicants - total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B37B02" w:rsidTr="003845BD">
        <w:trPr>
          <w:tblHeader/>
        </w:trPr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B37B02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89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89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164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765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82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999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536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529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017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419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145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882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947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45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342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991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987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28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800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130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837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561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681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</w:t>
            </w:r>
          </w:p>
        </w:tc>
      </w:tr>
      <w:tr w:rsidR="007D2C07" w:rsidRPr="00DB5028" w:rsidTr="00B37B02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239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327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860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714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619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184</w:t>
            </w:r>
          </w:p>
        </w:tc>
      </w:tr>
      <w:tr w:rsidR="007D2C07" w:rsidRPr="00B37B02" w:rsidTr="00B37B02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iCs/>
                <w:sz w:val="18"/>
              </w:rPr>
            </w:pPr>
            <w:r w:rsidRPr="00B37B02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11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480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31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145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3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460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3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560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2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655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667</w:t>
            </w:r>
          </w:p>
        </w:tc>
      </w:tr>
    </w:tbl>
    <w:p w:rsidR="00B37B02" w:rsidRPr="00B37B02" w:rsidRDefault="00B37B02" w:rsidP="00B37B02">
      <w:pPr>
        <w:pStyle w:val="Heading1"/>
        <w:spacing w:before="240" w:after="120"/>
        <w:rPr>
          <w:b/>
        </w:rPr>
      </w:pPr>
      <w:r w:rsidRPr="00B37B02">
        <w:rPr>
          <w:b/>
        </w:rPr>
        <w:t>Asylum applicants - male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B37B02" w:rsidTr="00B37B02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B37B02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93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660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882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73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196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138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347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940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258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913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804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283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87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366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</w:tr>
      <w:tr w:rsidR="007D2C07" w:rsidRPr="00DB5028" w:rsidTr="00B37B02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487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</w:tr>
      <w:tr w:rsidR="007D2C07" w:rsidRPr="00DB5028" w:rsidTr="00B37B02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540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731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623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470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422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B37B02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113</w:t>
            </w:r>
          </w:p>
        </w:tc>
      </w:tr>
      <w:tr w:rsidR="007D2C07" w:rsidRPr="00B37B02" w:rsidTr="00B37B02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iCs/>
                <w:sz w:val="18"/>
              </w:rPr>
            </w:pPr>
            <w:r w:rsidRPr="00B37B02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8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623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23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930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2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143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2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091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1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565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390</w:t>
            </w:r>
          </w:p>
        </w:tc>
      </w:tr>
    </w:tbl>
    <w:p w:rsidR="00B37B02" w:rsidRPr="00B37B02" w:rsidRDefault="00B37B02" w:rsidP="00B37B02">
      <w:pPr>
        <w:pStyle w:val="Heading1"/>
        <w:spacing w:before="240" w:after="120"/>
        <w:rPr>
          <w:b/>
        </w:rPr>
      </w:pPr>
      <w:r w:rsidRPr="00B37B02">
        <w:rPr>
          <w:b/>
        </w:rPr>
        <w:t>Asylum applicants - female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B37B02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iCs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B37B02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71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320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339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654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256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464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686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809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353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402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733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074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195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194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iCs/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699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596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237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244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197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71</w:t>
            </w:r>
          </w:p>
        </w:tc>
      </w:tr>
      <w:tr w:rsidR="007D2C07" w:rsidRPr="00B37B02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iCs/>
                <w:sz w:val="18"/>
              </w:rPr>
            </w:pPr>
            <w:r w:rsidRPr="00B37B02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2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857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7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215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1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317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1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469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1</w:t>
            </w:r>
            <w:r w:rsidR="00422215" w:rsidRPr="00B37B02">
              <w:rPr>
                <w:b/>
                <w:bCs/>
                <w:sz w:val="18"/>
              </w:rPr>
              <w:t xml:space="preserve"> </w:t>
            </w:r>
            <w:r w:rsidRPr="00B37B02">
              <w:rPr>
                <w:b/>
                <w:bCs/>
                <w:sz w:val="18"/>
              </w:rPr>
              <w:t>090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B37B02">
              <w:rPr>
                <w:b/>
                <w:bCs/>
                <w:sz w:val="18"/>
              </w:rPr>
              <w:t>277</w:t>
            </w:r>
          </w:p>
        </w:tc>
      </w:tr>
    </w:tbl>
    <w:p w:rsidR="007D2C07" w:rsidRPr="006735FB" w:rsidRDefault="00B37B02" w:rsidP="006735FB">
      <w:pPr>
        <w:pStyle w:val="Heading1"/>
        <w:spacing w:before="240" w:after="120"/>
        <w:rPr>
          <w:b/>
        </w:rPr>
      </w:pPr>
      <w:r w:rsidRPr="006735FB">
        <w:rPr>
          <w:b/>
        </w:rPr>
        <w:t>Granted asylum - total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6735FB" w:rsidTr="003845BD">
        <w:trPr>
          <w:tblHeader/>
        </w:trPr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129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70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247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551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414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869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126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912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615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636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779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496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56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505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606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494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753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410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492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190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314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575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36</w:t>
            </w:r>
          </w:p>
        </w:tc>
      </w:tr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4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929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6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267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12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771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4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754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1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459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511</w:t>
            </w:r>
          </w:p>
        </w:tc>
      </w:tr>
    </w:tbl>
    <w:p w:rsidR="006735FB" w:rsidRPr="006735FB" w:rsidRDefault="006735FB" w:rsidP="006735FB">
      <w:pPr>
        <w:pStyle w:val="Heading1"/>
        <w:spacing w:before="240" w:after="120"/>
        <w:rPr>
          <w:b/>
        </w:rPr>
      </w:pPr>
      <w:r w:rsidRPr="006735FB">
        <w:rPr>
          <w:b/>
        </w:rPr>
        <w:t>Granted asylum - male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004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279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402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315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284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496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948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146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465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337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167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284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359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678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445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112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</w:t>
            </w:r>
          </w:p>
        </w:tc>
      </w:tr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3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635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4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787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9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413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3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294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768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6735FB">
              <w:rPr>
                <w:b/>
                <w:bCs/>
                <w:sz w:val="18"/>
              </w:rPr>
              <w:t>282</w:t>
            </w:r>
          </w:p>
        </w:tc>
      </w:tr>
    </w:tbl>
    <w:p w:rsidR="006735FB" w:rsidRPr="006735FB" w:rsidRDefault="006735FB" w:rsidP="003845BD">
      <w:pPr>
        <w:pStyle w:val="Heading1"/>
        <w:spacing w:before="240" w:after="120"/>
        <w:rPr>
          <w:b/>
        </w:rPr>
      </w:pPr>
      <w:r w:rsidRPr="006735FB">
        <w:rPr>
          <w:b/>
        </w:rPr>
        <w:t>Granted asylum - female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  <w:r w:rsidR="00422215">
              <w:rPr>
                <w:sz w:val="18"/>
              </w:rPr>
              <w:t xml:space="preserve"> </w:t>
            </w:r>
            <w:r w:rsidRPr="00DB5028">
              <w:rPr>
                <w:sz w:val="18"/>
              </w:rPr>
              <w:t>012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416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667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490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314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198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111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116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130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74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</w:tr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1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294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1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480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3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358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1</w:t>
            </w:r>
            <w:r w:rsidR="00422215" w:rsidRPr="006735FB">
              <w:rPr>
                <w:b/>
                <w:bCs/>
                <w:sz w:val="18"/>
              </w:rPr>
              <w:t xml:space="preserve"> </w:t>
            </w:r>
            <w:r w:rsidRPr="006735FB">
              <w:rPr>
                <w:b/>
                <w:bCs/>
                <w:sz w:val="18"/>
              </w:rPr>
              <w:t>460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691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229</w:t>
            </w:r>
          </w:p>
        </w:tc>
      </w:tr>
    </w:tbl>
    <w:p w:rsidR="007D2C07" w:rsidRPr="006735FB" w:rsidRDefault="006735FB" w:rsidP="006735FB">
      <w:pPr>
        <w:pStyle w:val="Heading1"/>
        <w:spacing w:before="240" w:after="120"/>
        <w:rPr>
          <w:b/>
        </w:rPr>
      </w:pPr>
      <w:r w:rsidRPr="006735FB">
        <w:rPr>
          <w:b/>
        </w:rPr>
        <w:t>Appeals - total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569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425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533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1192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504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362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3662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49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353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446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493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165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2256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1346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1459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485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346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120</w:t>
            </w:r>
          </w:p>
        </w:tc>
      </w:tr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4628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3341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9309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3322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1091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357</w:t>
            </w:r>
          </w:p>
        </w:tc>
      </w:tr>
    </w:tbl>
    <w:p w:rsidR="006735FB" w:rsidRPr="006735FB" w:rsidRDefault="006735FB" w:rsidP="006735FB">
      <w:pPr>
        <w:pStyle w:val="Heading1"/>
        <w:spacing w:before="240" w:after="120"/>
        <w:rPr>
          <w:b/>
        </w:rPr>
      </w:pPr>
      <w:r w:rsidRPr="006735FB">
        <w:rPr>
          <w:b/>
        </w:rPr>
        <w:t>Appeals - male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32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171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411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247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382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156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19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914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334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2793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1285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219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99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136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127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370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278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58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342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114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48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8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1673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989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1091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341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239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77</w:t>
            </w:r>
          </w:p>
        </w:tc>
      </w:tr>
      <w:tr w:rsidR="007D2C07" w:rsidRPr="006735FB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3238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2346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6831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2521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704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6735FB">
              <w:rPr>
                <w:b/>
                <w:bCs/>
                <w:sz w:val="18"/>
              </w:rPr>
              <w:t>222</w:t>
            </w:r>
          </w:p>
        </w:tc>
      </w:tr>
    </w:tbl>
    <w:p w:rsidR="006735FB" w:rsidRPr="006735FB" w:rsidRDefault="006735FB" w:rsidP="006735FB">
      <w:pPr>
        <w:pStyle w:val="Heading1"/>
        <w:spacing w:before="240" w:after="120"/>
        <w:rPr>
          <w:b/>
        </w:rPr>
      </w:pPr>
      <w:r w:rsidRPr="006735FB">
        <w:rPr>
          <w:b/>
        </w:rPr>
        <w:t>Appeals - female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016"/>
        <w:gridCol w:w="1017"/>
        <w:gridCol w:w="1017"/>
        <w:gridCol w:w="1016"/>
        <w:gridCol w:w="1017"/>
        <w:gridCol w:w="1017"/>
      </w:tblGrid>
      <w:tr w:rsidR="007D2C07" w:rsidRPr="006735FB" w:rsidTr="003845BD">
        <w:trPr>
          <w:tblHeader/>
        </w:trPr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2018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6735FB" w:rsidRDefault="007D2C07" w:rsidP="006735FB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6735FB">
              <w:rPr>
                <w:bCs/>
                <w:i/>
                <w:spacing w:val="4"/>
                <w:w w:val="103"/>
                <w:kern w:val="14"/>
                <w:sz w:val="16"/>
              </w:rPr>
              <w:t>2019*</w:t>
            </w:r>
          </w:p>
        </w:tc>
      </w:tr>
      <w:tr w:rsidR="007D2C07" w:rsidRPr="00DB5028" w:rsidTr="006735FB">
        <w:tc>
          <w:tcPr>
            <w:tcW w:w="862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B5028">
              <w:rPr>
                <w:sz w:val="18"/>
              </w:rPr>
              <w:t>Turkey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i/>
                <w:sz w:val="18"/>
              </w:rPr>
            </w:pPr>
            <w:r w:rsidRPr="00DB5028">
              <w:rPr>
                <w:sz w:val="18"/>
              </w:rPr>
              <w:t>7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i/>
                <w:sz w:val="18"/>
              </w:rPr>
            </w:pPr>
            <w:r w:rsidRPr="00DB5028">
              <w:rPr>
                <w:sz w:val="18"/>
              </w:rPr>
              <w:t>23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i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i/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i/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i/>
                <w:sz w:val="18"/>
              </w:rPr>
            </w:pPr>
            <w:r w:rsidRPr="00DB5028">
              <w:rPr>
                <w:sz w:val="18"/>
              </w:rPr>
              <w:t>6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Syria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158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Eritrea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168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178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47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Iran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50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151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73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Iraq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62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278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170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56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Afghanistan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102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88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869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184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12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Stateless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75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24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Albania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69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81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5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Russia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110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52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42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17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4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Somalia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156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168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30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15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10</w:t>
            </w:r>
          </w:p>
        </w:tc>
      </w:tr>
      <w:tr w:rsidR="007D2C07" w:rsidRPr="00DB5028" w:rsidTr="006735FB">
        <w:tc>
          <w:tcPr>
            <w:tcW w:w="862" w:type="pct"/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Ethiopia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46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28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151</w:t>
            </w:r>
          </w:p>
        </w:tc>
        <w:tc>
          <w:tcPr>
            <w:tcW w:w="689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51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29</w:t>
            </w:r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6</w:t>
            </w:r>
          </w:p>
        </w:tc>
      </w:tr>
      <w:tr w:rsidR="007D2C07" w:rsidRPr="00DB5028" w:rsidTr="006735FB"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2C07" w:rsidRPr="00DB5028" w:rsidRDefault="007D2C07" w:rsidP="00DB5028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B5028">
              <w:rPr>
                <w:sz w:val="18"/>
              </w:rPr>
              <w:t>Other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583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357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368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144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107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2C07" w:rsidRPr="00DB5028" w:rsidRDefault="007D2C07" w:rsidP="006735FB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B5028">
              <w:rPr>
                <w:sz w:val="18"/>
              </w:rPr>
              <w:t>43</w:t>
            </w:r>
          </w:p>
        </w:tc>
      </w:tr>
      <w:tr w:rsidR="007D2C07" w:rsidRPr="00B37B02" w:rsidTr="006735FB">
        <w:tc>
          <w:tcPr>
            <w:tcW w:w="8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2C07" w:rsidRPr="00B37B02" w:rsidRDefault="007D2C07" w:rsidP="00B37B02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Total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1390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995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2478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801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387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2C07" w:rsidRPr="00B37B02" w:rsidRDefault="007D2C07" w:rsidP="006735FB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B37B02">
              <w:rPr>
                <w:b/>
                <w:bCs/>
                <w:sz w:val="18"/>
              </w:rPr>
              <w:t>135</w:t>
            </w:r>
          </w:p>
        </w:tc>
      </w:tr>
    </w:tbl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15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applies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regardless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status,</w:t>
      </w:r>
      <w:r w:rsidR="00422215">
        <w:t xml:space="preserve"> </w:t>
      </w:r>
      <w:r w:rsidRPr="007D2C07">
        <w:t>nationality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citizenship.</w:t>
      </w:r>
      <w:r w:rsidR="00422215">
        <w:t xml:space="preserve"> </w:t>
      </w:r>
      <w:r w:rsidRPr="007D2C07">
        <w:t>Minor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offered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compliance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</w:t>
      </w:r>
      <w:r w:rsidR="00422215">
        <w:t xml:space="preserve"> </w:t>
      </w:r>
      <w:r w:rsidRPr="007D2C07">
        <w:t>Convention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asylum-seeking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shared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Unaccompanied</w:t>
      </w:r>
      <w:r w:rsidR="00422215">
        <w:t xml:space="preserve"> </w:t>
      </w:r>
      <w:r w:rsidRPr="007D2C07">
        <w:t>asylum-seeking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15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offered</w:t>
      </w:r>
      <w:r w:rsidR="00422215">
        <w:t xml:space="preserve"> </w:t>
      </w:r>
      <w:r w:rsidRPr="007D2C07">
        <w:t>accommodation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Office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Children,</w:t>
      </w:r>
      <w:r w:rsidR="00422215">
        <w:t xml:space="preserve"> </w:t>
      </w:r>
      <w:r w:rsidRPr="007D2C07">
        <w:t>Youth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Affairs</w:t>
      </w:r>
      <w:r w:rsidR="00422215">
        <w:t xml:space="preserve"> </w:t>
      </w:r>
      <w:r w:rsidRPr="007D2C07">
        <w:t>(</w:t>
      </w:r>
      <w:proofErr w:type="spellStart"/>
      <w:r w:rsidRPr="007D2C07">
        <w:t>Bufetat</w:t>
      </w:r>
      <w:proofErr w:type="spellEnd"/>
      <w:r w:rsidRPr="007D2C07">
        <w:t>).</w:t>
      </w:r>
      <w:r w:rsidRPr="007D2C07">
        <w:rPr>
          <w:vertAlign w:val="superscript"/>
        </w:rPr>
        <w:footnoteReference w:id="8"/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housing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asylum-seeking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above</w:t>
      </w:r>
      <w:r w:rsidR="00422215">
        <w:t xml:space="preserve"> </w:t>
      </w:r>
      <w:r w:rsidRPr="007D2C07">
        <w:t>15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age.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rPr>
          <w:lang w:val="en-US"/>
        </w:rPr>
        <w:t>Norwegian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authorities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are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also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process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of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regulating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responsibility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and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care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for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this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group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the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Norwegian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Immigration</w:t>
      </w:r>
      <w:r w:rsidR="00422215">
        <w:rPr>
          <w:lang w:val="en-US"/>
        </w:rPr>
        <w:t xml:space="preserve"> </w:t>
      </w:r>
      <w:r w:rsidRPr="007D2C07">
        <w:rPr>
          <w:lang w:val="en-US"/>
        </w:rPr>
        <w:t>Act.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considering</w:t>
      </w:r>
      <w:r w:rsidR="00422215">
        <w:t xml:space="preserve"> </w:t>
      </w:r>
      <w:r w:rsidRPr="007D2C07">
        <w:t>transferring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aged</w:t>
      </w:r>
      <w:r w:rsidR="00422215">
        <w:t xml:space="preserve"> </w:t>
      </w:r>
      <w:r w:rsidRPr="007D2C07">
        <w:t>15–18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service.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acknowledges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asylum-seeking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require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accommodation</w:t>
      </w:r>
      <w:r w:rsidR="00422215">
        <w:t xml:space="preserve"> </w:t>
      </w:r>
      <w:r w:rsidRPr="007D2C07">
        <w:t>designated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needs.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younger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normally</w:t>
      </w:r>
      <w:r w:rsidR="00422215">
        <w:t xml:space="preserve"> </w:t>
      </w:r>
      <w:r w:rsidRPr="007D2C07">
        <w:t>require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older</w:t>
      </w:r>
      <w:r w:rsidR="00422215">
        <w:t xml:space="preserve"> </w:t>
      </w:r>
      <w:r w:rsidRPr="007D2C07">
        <w:t>children.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accordingly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age-adjusted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offer.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facilities</w:t>
      </w:r>
      <w:r w:rsidR="00422215">
        <w:t xml:space="preserve"> </w:t>
      </w:r>
      <w:r w:rsidRPr="007D2C07">
        <w:t>offered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aged</w:t>
      </w:r>
      <w:r w:rsidR="00422215">
        <w:t xml:space="preserve"> </w:t>
      </w:r>
      <w:r w:rsidRPr="007D2C07">
        <w:t>15–18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designed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meet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needs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group.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systematically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managed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best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way.</w:t>
      </w:r>
      <w:r w:rsidR="00422215">
        <w:t xml:space="preserve"> </w:t>
      </w:r>
    </w:p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15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2016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2017,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went</w:t>
      </w:r>
      <w:r w:rsidR="00422215">
        <w:t xml:space="preserve"> </w:t>
      </w:r>
      <w:r w:rsidRPr="007D2C07">
        <w:t>missing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144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198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2016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2017,</w:t>
      </w:r>
      <w:r w:rsidR="00422215">
        <w:t xml:space="preserve"> </w:t>
      </w:r>
      <w:r w:rsidRPr="007D2C07">
        <w:t>respectively.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factors,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longer</w:t>
      </w:r>
      <w:r w:rsidR="00422215">
        <w:t xml:space="preserve"> </w:t>
      </w:r>
      <w:r w:rsidRPr="007D2C07">
        <w:t>processing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hence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longer</w:t>
      </w:r>
      <w:r w:rsidR="00422215">
        <w:t xml:space="preserve"> </w:t>
      </w:r>
      <w:r w:rsidRPr="007D2C07">
        <w:t>stay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group,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received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limited</w:t>
      </w:r>
      <w:r w:rsidR="00422215">
        <w:t xml:space="preserve"> </w:t>
      </w:r>
      <w:r w:rsidRPr="007D2C07">
        <w:t>permit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expires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holder</w:t>
      </w:r>
      <w:r w:rsidR="00422215">
        <w:t xml:space="preserve"> </w:t>
      </w:r>
      <w:r w:rsidRPr="007D2C07">
        <w:t>turns</w:t>
      </w:r>
      <w:r w:rsidR="00422215">
        <w:t xml:space="preserve"> </w:t>
      </w:r>
      <w:r w:rsidRPr="007D2C07">
        <w:t>18,</w:t>
      </w:r>
      <w:r w:rsidR="00422215">
        <w:t xml:space="preserve"> </w:t>
      </w:r>
      <w:r w:rsidRPr="007D2C07">
        <w:t>relocations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fear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forced</w:t>
      </w:r>
      <w:r w:rsidR="00422215">
        <w:t xml:space="preserve"> </w:t>
      </w:r>
      <w:r w:rsidRPr="007D2C07">
        <w:t>return.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undertaken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address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situation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group,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funding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enhance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quantity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staff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quickly</w:t>
      </w:r>
      <w:r w:rsidR="00422215">
        <w:t xml:space="preserve"> </w:t>
      </w:r>
      <w:r w:rsidRPr="007D2C07">
        <w:t>settling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limited</w:t>
      </w:r>
      <w:r w:rsidR="00422215">
        <w:t xml:space="preserve"> </w:t>
      </w:r>
      <w:r w:rsidRPr="007D2C07">
        <w:t>resident</w:t>
      </w:r>
      <w:r w:rsidR="00422215">
        <w:t xml:space="preserve"> </w:t>
      </w:r>
      <w:r w:rsidRPr="007D2C07">
        <w:t>permit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doubt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identity.</w:t>
      </w:r>
      <w:r w:rsidR="00422215">
        <w:t xml:space="preserve"> </w:t>
      </w:r>
    </w:p>
    <w:p w:rsidR="007754FF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deal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disappearances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separated</w:t>
      </w:r>
      <w:r w:rsidR="00422215">
        <w:t xml:space="preserve"> </w:t>
      </w:r>
      <w:r w:rsidRPr="007D2C07">
        <w:t>children.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inform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go</w:t>
      </w:r>
      <w:r w:rsidR="00422215">
        <w:t xml:space="preserve"> </w:t>
      </w:r>
      <w:r w:rsidRPr="007D2C07">
        <w:t>missing.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reports</w:t>
      </w:r>
      <w:r w:rsidR="00422215">
        <w:t xml:space="preserve"> </w:t>
      </w:r>
      <w:r w:rsidRPr="007D2C07">
        <w:t>indicate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disappear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mainly</w:t>
      </w:r>
      <w:r w:rsidR="00422215">
        <w:t xml:space="preserve"> </w:t>
      </w:r>
      <w:r w:rsidRPr="007D2C07">
        <w:t>leave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own</w:t>
      </w:r>
      <w:r w:rsidR="00422215">
        <w:t xml:space="preserve"> </w:t>
      </w:r>
      <w:r w:rsidRPr="007D2C07">
        <w:t>will,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pressure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traffickers.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always</w:t>
      </w:r>
      <w:r w:rsidR="00422215">
        <w:t xml:space="preserve"> </w:t>
      </w:r>
      <w:r w:rsidRPr="007D2C07">
        <w:t>assess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conduct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investigation.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showing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outcome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investigations.</w:t>
      </w:r>
    </w:p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15</w:t>
      </w:r>
      <w:r w:rsidR="00A13A0A">
        <w:t xml:space="preserve"> </w:t>
      </w:r>
      <w:r>
        <w:t xml:space="preserve">(d)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754FF" w:rsidRDefault="007D2C07" w:rsidP="007754FF">
      <w:pPr>
        <w:pStyle w:val="SingleTxtG"/>
        <w:numPr>
          <w:ilvl w:val="0"/>
          <w:numId w:val="35"/>
        </w:numPr>
        <w:ind w:left="1134" w:firstLine="0"/>
      </w:pPr>
      <w:r w:rsidRPr="007D2C07">
        <w:t>Most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applications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merits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rule,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stay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appeal</w:t>
      </w:r>
      <w:r w:rsidR="00422215">
        <w:t xml:space="preserve"> </w:t>
      </w:r>
      <w:r w:rsidRPr="007D2C07">
        <w:t>procedure.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Dublin</w:t>
      </w:r>
      <w:r w:rsidR="00422215">
        <w:t xml:space="preserve"> </w:t>
      </w:r>
      <w:r w:rsidRPr="007D2C07">
        <w:t>Regulation.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refused</w:t>
      </w:r>
      <w:r w:rsidR="00422215">
        <w:t xml:space="preserve"> </w:t>
      </w:r>
      <w:r w:rsidRPr="007D2C07">
        <w:t>consideration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merits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travelled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having</w:t>
      </w:r>
      <w:r w:rsidR="00422215">
        <w:t xml:space="preserve"> </w:t>
      </w:r>
      <w:r w:rsidRPr="007D2C07">
        <w:t>stayed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third</w:t>
      </w:r>
      <w:r w:rsidR="00422215">
        <w:t xml:space="preserve"> </w:t>
      </w:r>
      <w:r w:rsidRPr="007D2C07">
        <w:t>country,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another</w:t>
      </w:r>
      <w:r w:rsidR="00422215">
        <w:t xml:space="preserve"> </w:t>
      </w:r>
      <w:r w:rsidRPr="007D2C07">
        <w:t>state.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consideration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real</w:t>
      </w:r>
      <w:r w:rsidR="00422215">
        <w:t xml:space="preserve"> </w:t>
      </w:r>
      <w:r w:rsidRPr="007D2C07">
        <w:t>risk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contrary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ECHR</w:t>
      </w:r>
      <w:r w:rsidR="00422215">
        <w:t xml:space="preserve"> </w:t>
      </w:r>
      <w:r w:rsidRPr="007D2C07">
        <w:t>Article</w:t>
      </w:r>
      <w:r w:rsidR="00422215">
        <w:t xml:space="preserve"> </w:t>
      </w:r>
      <w:r w:rsidRPr="007D2C07">
        <w:t>3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third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sent</w:t>
      </w:r>
      <w:r w:rsidR="00422215">
        <w:t xml:space="preserve"> </w:t>
      </w:r>
      <w:r w:rsidRPr="007D2C07">
        <w:t>onward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treatment.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refused</w:t>
      </w:r>
      <w:r w:rsidR="00422215">
        <w:t xml:space="preserve"> </w:t>
      </w:r>
      <w:r w:rsidRPr="007D2C07">
        <w:t>examination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merits.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402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2,672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decisions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rejected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Dublin</w:t>
      </w:r>
      <w:r w:rsidR="00422215">
        <w:t xml:space="preserve"> </w:t>
      </w:r>
      <w:r w:rsidRPr="007D2C07">
        <w:t>procedure,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126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referred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third</w:t>
      </w:r>
      <w:r w:rsidR="00422215">
        <w:t xml:space="preserve"> </w:t>
      </w:r>
      <w:r w:rsidRPr="007D2C07">
        <w:t>country,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2017,</w:t>
      </w:r>
      <w:r w:rsidR="00422215">
        <w:t xml:space="preserve"> </w:t>
      </w:r>
      <w:r w:rsidRPr="007D2C07">
        <w:t>431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7,489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decisions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rejected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Dublin</w:t>
      </w:r>
      <w:r w:rsidR="00422215">
        <w:t xml:space="preserve"> </w:t>
      </w:r>
      <w:r w:rsidRPr="007D2C07">
        <w:t>procedure,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118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referred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third</w:t>
      </w:r>
      <w:r w:rsidR="00422215">
        <w:t xml:space="preserve"> </w:t>
      </w:r>
      <w:r w:rsidRPr="007D2C07">
        <w:t>country.</w:t>
      </w:r>
    </w:p>
    <w:p w:rsidR="007754FF" w:rsidRPr="00341318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15</w:t>
      </w:r>
      <w:r w:rsidR="00A13A0A">
        <w:t xml:space="preserve"> </w:t>
      </w:r>
      <w:r>
        <w:t xml:space="preserve">(e)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respects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principle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non-</w:t>
      </w:r>
      <w:proofErr w:type="spellStart"/>
      <w:r w:rsidRPr="007D2C07">
        <w:t>refoulement</w:t>
      </w:r>
      <w:proofErr w:type="spellEnd"/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underlines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importance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parts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process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secure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principle.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interviewed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specially</w:t>
      </w:r>
      <w:r w:rsidR="00422215">
        <w:t xml:space="preserve"> </w:t>
      </w:r>
      <w:r w:rsidRPr="007D2C07">
        <w:t>trained</w:t>
      </w:r>
      <w:r w:rsidR="00422215">
        <w:t xml:space="preserve"> </w:t>
      </w:r>
      <w:r w:rsidRPr="007D2C07">
        <w:t>interviewers.</w:t>
      </w:r>
      <w:r w:rsidR="00422215">
        <w:t xml:space="preserve"> </w:t>
      </w:r>
      <w:r w:rsidRPr="007D2C07">
        <w:t>Topics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interviewer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reason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believe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relevant,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trafficking,</w:t>
      </w:r>
      <w:r w:rsidR="00422215">
        <w:t xml:space="preserve"> </w:t>
      </w:r>
      <w:r w:rsidRPr="007D2C07">
        <w:t>gender-related</w:t>
      </w:r>
      <w:r w:rsidR="00422215">
        <w:t xml:space="preserve"> </w:t>
      </w:r>
      <w:r w:rsidRPr="007D2C07">
        <w:t>persecution,</w:t>
      </w:r>
      <w:r w:rsidR="00422215">
        <w:t xml:space="preserve"> </w:t>
      </w:r>
      <w:r w:rsidRPr="007D2C07">
        <w:t>genital</w:t>
      </w:r>
      <w:r w:rsidR="00422215">
        <w:t xml:space="preserve"> </w:t>
      </w:r>
      <w:r w:rsidRPr="007D2C07">
        <w:t>mutilation,</w:t>
      </w:r>
      <w:r w:rsidR="00422215">
        <w:t xml:space="preserve"> </w:t>
      </w:r>
      <w:r w:rsidRPr="007D2C07">
        <w:t>forced</w:t>
      </w:r>
      <w:r w:rsidR="00422215">
        <w:t xml:space="preserve"> </w:t>
      </w:r>
      <w:r w:rsidRPr="007D2C07">
        <w:t>marriage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violence,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addressed.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Origin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(</w:t>
      </w:r>
      <w:proofErr w:type="spellStart"/>
      <w:r w:rsidRPr="007D2C07">
        <w:t>Landinfo</w:t>
      </w:r>
      <w:proofErr w:type="spellEnd"/>
      <w:r w:rsidRPr="007D2C07">
        <w:t>)</w:t>
      </w:r>
      <w:r w:rsidR="00422215">
        <w:t xml:space="preserve"> </w:t>
      </w:r>
      <w:r w:rsidRPr="007D2C07">
        <w:t>collects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distributes</w:t>
      </w:r>
      <w:r w:rsidR="00422215">
        <w:t xml:space="preserve"> </w:t>
      </w:r>
      <w:r w:rsidRPr="007D2C07">
        <w:t>extensive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up-to-date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decision</w:t>
      </w:r>
      <w:r w:rsidR="00422215">
        <w:t xml:space="preserve"> </w:t>
      </w:r>
      <w:r w:rsidRPr="007D2C07">
        <w:t>makers.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recognise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difficult</w:t>
      </w:r>
      <w:r w:rsidR="00422215">
        <w:t xml:space="preserve"> </w:t>
      </w:r>
      <w:r w:rsidRPr="007D2C07">
        <w:t>security</w:t>
      </w:r>
      <w:r w:rsidR="00422215">
        <w:t xml:space="preserve"> </w:t>
      </w:r>
      <w:r w:rsidRPr="007D2C07">
        <w:t>situation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Kabul,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opinion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Kabul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still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internal</w:t>
      </w:r>
      <w:r w:rsidR="00422215">
        <w:t xml:space="preserve"> </w:t>
      </w:r>
      <w:r w:rsidRPr="007D2C07">
        <w:t>flight</w:t>
      </w:r>
      <w:r w:rsidR="00422215">
        <w:t xml:space="preserve"> </w:t>
      </w:r>
      <w:r w:rsidRPr="007D2C07">
        <w:t>alternative.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Kabul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accessible</w:t>
      </w:r>
      <w:r w:rsidR="00422215">
        <w:t xml:space="preserve"> </w:t>
      </w:r>
      <w:r w:rsidRPr="007D2C07">
        <w:t>internal</w:t>
      </w:r>
      <w:r w:rsidR="00422215">
        <w:t xml:space="preserve"> </w:t>
      </w:r>
      <w:r w:rsidRPr="007D2C07">
        <w:t>flight</w:t>
      </w:r>
      <w:r w:rsidR="00422215">
        <w:t xml:space="preserve"> </w:t>
      </w:r>
      <w:r w:rsidRPr="007D2C07">
        <w:t>alternative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assessed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basis,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All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appealing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negative</w:t>
      </w:r>
      <w:r w:rsidR="00422215">
        <w:t xml:space="preserve"> </w:t>
      </w:r>
      <w:r w:rsidRPr="007D2C07">
        <w:t>decision.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appeal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independent</w:t>
      </w:r>
      <w:r w:rsidR="00422215">
        <w:t xml:space="preserve"> </w:t>
      </w:r>
      <w:r w:rsidRPr="007D2C07">
        <w:t>appeals</w:t>
      </w:r>
      <w:r w:rsidR="00422215">
        <w:t xml:space="preserve"> </w:t>
      </w:r>
      <w:r w:rsidRPr="007D2C07">
        <w:t>board.</w:t>
      </w:r>
      <w:r w:rsidR="00422215">
        <w:t xml:space="preserve"> </w:t>
      </w:r>
      <w:r w:rsidRPr="007D2C07">
        <w:t>Rejected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court.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person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accordance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rules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everyone.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exceptional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applicants</w:t>
      </w:r>
      <w:r w:rsidR="00422215">
        <w:t xml:space="preserve"> </w:t>
      </w:r>
      <w:r w:rsidRPr="007D2C07">
        <w:t>claim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experienced</w:t>
      </w:r>
      <w:r w:rsidR="00422215">
        <w:t xml:space="preserve"> </w:t>
      </w:r>
      <w:r w:rsidRPr="007D2C07">
        <w:t>persecution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violations</w:t>
      </w:r>
      <w:r w:rsidR="00422215">
        <w:t xml:space="preserve"> </w:t>
      </w:r>
      <w:r w:rsidRPr="007D2C07">
        <w:t>upon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return.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claims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found</w:t>
      </w:r>
      <w:r w:rsidR="00422215">
        <w:t xml:space="preserve"> </w:t>
      </w:r>
      <w:r w:rsidRPr="007D2C07">
        <w:t>credible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indicate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decision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incorrect,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investigations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conducted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authorities.</w:t>
      </w:r>
      <w:r w:rsidR="00422215">
        <w:t xml:space="preserve"> </w:t>
      </w:r>
      <w:r w:rsidRPr="007D2C07">
        <w:t>Depending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outcome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investigations,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former</w:t>
      </w:r>
      <w:r w:rsidR="00422215">
        <w:t xml:space="preserve"> </w:t>
      </w:r>
      <w:r w:rsidRPr="007D2C07">
        <w:t>decision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revoked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allowed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re-enter</w:t>
      </w:r>
      <w:r w:rsidR="00422215">
        <w:t xml:space="preserve"> </w:t>
      </w:r>
      <w:r w:rsidRPr="007D2C07">
        <w:t>Norway.</w:t>
      </w:r>
      <w:r w:rsidR="00422215"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16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prohibits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e.g.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orientation,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identity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expression.</w:t>
      </w:r>
      <w:r w:rsidR="00422215">
        <w:t xml:space="preserve"> </w:t>
      </w:r>
      <w:r w:rsidRPr="007D2C07">
        <w:t>Pursuant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Gender</w:t>
      </w:r>
      <w:r w:rsidR="00422215">
        <w:rPr>
          <w:bCs/>
        </w:rPr>
        <w:t xml:space="preserve"> </w:t>
      </w:r>
      <w:r w:rsidRPr="007D2C07">
        <w:rPr>
          <w:bCs/>
        </w:rPr>
        <w:t>Amendment</w:t>
      </w:r>
      <w:r w:rsidR="00422215">
        <w:rPr>
          <w:bCs/>
        </w:rPr>
        <w:t xml:space="preserve"> </w:t>
      </w:r>
      <w:r w:rsidRPr="007D2C07">
        <w:rPr>
          <w:bCs/>
        </w:rPr>
        <w:t>Act</w:t>
      </w:r>
      <w:r w:rsidRPr="007D2C07">
        <w:t>,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16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amend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recorded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Register</w:t>
      </w:r>
      <w:r w:rsidR="00422215">
        <w:t xml:space="preserve"> </w:t>
      </w:r>
      <w:r w:rsidRPr="007D2C07">
        <w:t>(legal</w:t>
      </w:r>
      <w:r w:rsidR="00422215">
        <w:t xml:space="preserve"> </w:t>
      </w:r>
      <w:r w:rsidRPr="007D2C07">
        <w:t>gender)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having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undergo</w:t>
      </w:r>
      <w:r w:rsidR="00422215">
        <w:t xml:space="preserve"> </w:t>
      </w:r>
      <w:r w:rsidRPr="007D2C07">
        <w:t>medical</w:t>
      </w:r>
      <w:r w:rsidR="00422215">
        <w:t xml:space="preserve"> </w:t>
      </w:r>
      <w:r w:rsidRPr="007D2C07">
        <w:t>treatment.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Government's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(entitled</w:t>
      </w:r>
      <w:r w:rsidR="00422215">
        <w:t xml:space="preserve"> </w:t>
      </w:r>
      <w:r w:rsidRPr="007D2C07">
        <w:t>"Talk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it!")</w:t>
      </w:r>
      <w:r w:rsidR="00422215">
        <w:t xml:space="preserve"> </w:t>
      </w:r>
      <w:r w:rsidRPr="007D2C07">
        <w:t>emphasises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heteronormative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discriminatory</w:t>
      </w:r>
      <w:r w:rsidR="00422215">
        <w:t xml:space="preserve"> </w:t>
      </w:r>
      <w:r w:rsidRPr="007D2C07">
        <w:t>issues.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LGBTI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help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others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treated</w:t>
      </w:r>
      <w:r w:rsidR="00422215">
        <w:t xml:space="preserve"> </w:t>
      </w:r>
      <w:r w:rsidRPr="007D2C07">
        <w:t>professionally,</w:t>
      </w:r>
      <w:r w:rsidR="00422215">
        <w:t xml:space="preserve"> </w:t>
      </w:r>
      <w:r w:rsidRPr="007D2C07">
        <w:t>respectfully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open,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manner.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LGBTI</w:t>
      </w:r>
      <w:r w:rsidR="00422215">
        <w:t xml:space="preserve"> </w:t>
      </w:r>
      <w:r w:rsidRPr="007D2C07">
        <w:t>perspective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systematically</w:t>
      </w:r>
      <w:r w:rsidR="00422215">
        <w:t xml:space="preserve"> </w:t>
      </w:r>
      <w:r w:rsidRPr="007D2C07">
        <w:t>incorporated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availability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levels.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supports</w:t>
      </w:r>
      <w:r w:rsidR="00422215">
        <w:t xml:space="preserve"> </w:t>
      </w:r>
      <w:r w:rsidRPr="007D2C07">
        <w:t>initiatives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civil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agents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educational</w:t>
      </w:r>
      <w:r w:rsidR="00422215">
        <w:t xml:space="preserve"> </w:t>
      </w:r>
      <w:r w:rsidRPr="007D2C07">
        <w:t>material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targeting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professionals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"pink</w:t>
      </w:r>
      <w:r w:rsidR="00422215">
        <w:t xml:space="preserve"> </w:t>
      </w:r>
      <w:r w:rsidRPr="007D2C07">
        <w:t>awareness".</w:t>
      </w:r>
      <w:r w:rsidR="00422215">
        <w:t xml:space="preserve"> </w:t>
      </w:r>
      <w:proofErr w:type="gramStart"/>
      <w:r w:rsidRPr="007D2C07">
        <w:t>i.e</w:t>
      </w:r>
      <w:proofErr w:type="gramEnd"/>
      <w:r w:rsidRPr="007D2C07">
        <w:t>.</w:t>
      </w:r>
      <w:r w:rsidR="00422215">
        <w:t xml:space="preserve"> </w:t>
      </w:r>
      <w:r w:rsidRPr="007D2C07">
        <w:t>addressing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attitudes</w:t>
      </w:r>
      <w:r w:rsidR="00422215">
        <w:t xml:space="preserve"> </w:t>
      </w:r>
      <w:r w:rsidRPr="007D2C07">
        <w:t>towards</w:t>
      </w:r>
      <w:r w:rsidR="00422215">
        <w:t xml:space="preserve"> </w:t>
      </w:r>
      <w:r w:rsidRPr="007D2C07">
        <w:t>LGBTI</w:t>
      </w:r>
      <w:r w:rsidR="00422215">
        <w:t xml:space="preserve"> </w:t>
      </w:r>
      <w:r w:rsidRPr="007D2C07">
        <w:t>persons.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range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auspices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peer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organisations.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developing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professional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incongruence.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started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will,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schedule,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completed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2020.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high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attention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bullying,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2019,</w:t>
      </w:r>
      <w:r w:rsidR="00422215">
        <w:t xml:space="preserve"> </w:t>
      </w:r>
      <w:r w:rsidRPr="007D2C07">
        <w:t>approximately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115</w:t>
      </w:r>
      <w:r w:rsidR="00422215">
        <w:t xml:space="preserve"> </w:t>
      </w:r>
      <w:r w:rsidRPr="007D2C07">
        <w:t>million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earmarked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anti-bullying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budget.</w:t>
      </w:r>
      <w:r w:rsidR="00422215">
        <w:t xml:space="preserve"> </w:t>
      </w:r>
      <w:r w:rsidRPr="007D2C07">
        <w:t>Pupils'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recently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greatly</w:t>
      </w:r>
      <w:r w:rsidR="00422215">
        <w:t xml:space="preserve"> </w:t>
      </w:r>
      <w:r w:rsidRPr="007D2C07">
        <w:t>strengthened.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August</w:t>
      </w:r>
      <w:r w:rsidR="00422215">
        <w:t xml:space="preserve"> </w:t>
      </w:r>
      <w:r w:rsidRPr="007D2C07">
        <w:t>2017</w:t>
      </w:r>
      <w:r w:rsidR="00422215">
        <w:t xml:space="preserve"> </w:t>
      </w:r>
      <w:r w:rsidRPr="007D2C07">
        <w:t>impose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pupil</w:t>
      </w:r>
      <w:r w:rsidR="00422215">
        <w:t xml:space="preserve"> </w:t>
      </w:r>
      <w:r w:rsidRPr="007D2C07">
        <w:t>reports</w:t>
      </w:r>
      <w:r w:rsidR="00422215">
        <w:t xml:space="preserve"> </w:t>
      </w:r>
      <w:r w:rsidRPr="007D2C07">
        <w:t>bullying,</w:t>
      </w:r>
      <w:r w:rsidR="00422215">
        <w:t xml:space="preserve"> </w:t>
      </w:r>
      <w:r w:rsidRPr="007D2C07">
        <w:t>violence,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harassment.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continued</w:t>
      </w:r>
      <w:r w:rsidR="00422215">
        <w:t xml:space="preserve"> </w:t>
      </w:r>
      <w:r w:rsidRPr="007D2C07">
        <w:t>until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pupil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regained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learning</w:t>
      </w:r>
      <w:r w:rsidR="00422215">
        <w:t xml:space="preserve"> </w:t>
      </w:r>
      <w:r w:rsidRPr="007D2C07">
        <w:t>environment.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compliance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duty,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address</w:t>
      </w:r>
      <w:r w:rsidR="00422215">
        <w:t xml:space="preserve"> </w:t>
      </w:r>
      <w:r w:rsidRPr="007D2C07">
        <w:t>complaints</w:t>
      </w:r>
      <w:r w:rsidR="00422215">
        <w:t xml:space="preserve"> </w:t>
      </w:r>
      <w:r w:rsidRPr="007D2C07">
        <w:t>directly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County</w:t>
      </w:r>
      <w:r w:rsidR="00422215">
        <w:t xml:space="preserve"> </w:t>
      </w:r>
      <w:r w:rsidRPr="007D2C07">
        <w:t>Governor.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  <w:rPr>
          <w:b/>
          <w:bCs/>
        </w:rPr>
      </w:pPr>
      <w:r w:rsidRPr="007D2C07">
        <w:t>The</w:t>
      </w:r>
      <w:r w:rsidR="00422215">
        <w:t xml:space="preserve"> </w:t>
      </w:r>
      <w:r w:rsidRPr="007D2C07">
        <w:t>County</w:t>
      </w:r>
      <w:r w:rsidR="00422215">
        <w:t xml:space="preserve"> </w:t>
      </w:r>
      <w:r w:rsidRPr="007D2C07">
        <w:t>Governor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follow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until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found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solution,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impose</w:t>
      </w:r>
      <w:r w:rsidR="00422215">
        <w:t xml:space="preserve"> </w:t>
      </w:r>
      <w:r w:rsidRPr="007D2C07">
        <w:t>day-by-day</w:t>
      </w:r>
      <w:r w:rsidR="00422215">
        <w:t xml:space="preserve"> </w:t>
      </w:r>
      <w:r w:rsidRPr="007D2C07">
        <w:t>fines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municipality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owner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owner</w:t>
      </w:r>
      <w:r w:rsidR="00422215">
        <w:t xml:space="preserve"> </w:t>
      </w:r>
      <w:r w:rsidRPr="007D2C07">
        <w:t>until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solution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found.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See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no.</w:t>
      </w:r>
      <w:r w:rsidR="00422215">
        <w:t xml:space="preserve"> </w:t>
      </w:r>
      <w:r w:rsidRPr="007D2C07">
        <w:t>15</w:t>
      </w:r>
      <w:r w:rsidR="00422215">
        <w:t xml:space="preserve"> </w:t>
      </w:r>
      <w:r w:rsidRPr="007D2C07">
        <w:t>letters</w:t>
      </w:r>
      <w:r w:rsidR="00422215">
        <w:t xml:space="preserve"> </w:t>
      </w:r>
      <w:r w:rsidRPr="007D2C07">
        <w:t>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handle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orientation</w:t>
      </w:r>
      <w:r w:rsidR="00422215">
        <w:t xml:space="preserve"> </w:t>
      </w:r>
      <w:r w:rsidRPr="007D2C07">
        <w:t>(GI-07/2012)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Supreme</w:t>
      </w:r>
      <w:r w:rsidR="00422215">
        <w:t xml:space="preserve"> </w:t>
      </w:r>
      <w:r w:rsidRPr="007D2C07">
        <w:t>Court</w:t>
      </w:r>
      <w:r w:rsidR="00422215">
        <w:t xml:space="preserve"> </w:t>
      </w:r>
      <w:r w:rsidRPr="007D2C07">
        <w:t>ruling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cannot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expected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required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persons,</w:t>
      </w:r>
      <w:r w:rsidR="00422215">
        <w:t xml:space="preserve"> </w:t>
      </w:r>
      <w:r w:rsidRPr="007D2C07">
        <w:t>upon</w:t>
      </w:r>
      <w:r w:rsidR="00422215">
        <w:t xml:space="preserve"> </w:t>
      </w:r>
      <w:r w:rsidRPr="007D2C07">
        <w:t>return,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adapt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social,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norms,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conceal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orientation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identity,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avoid</w:t>
      </w:r>
      <w:r w:rsidR="00422215">
        <w:t xml:space="preserve"> </w:t>
      </w:r>
      <w:r w:rsidRPr="007D2C07">
        <w:t>persecution.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probable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conceal</w:t>
      </w:r>
      <w:r w:rsidR="00422215">
        <w:t xml:space="preserve"> </w:t>
      </w:r>
      <w:r w:rsidRPr="007D2C07">
        <w:t>his/her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orientation</w:t>
      </w:r>
      <w:r w:rsidR="00422215">
        <w:t xml:space="preserve"> </w:t>
      </w:r>
      <w:r w:rsidRPr="007D2C07">
        <w:t>upon</w:t>
      </w:r>
      <w:r w:rsidR="00422215">
        <w:t xml:space="preserve"> </w:t>
      </w:r>
      <w:r w:rsidRPr="007D2C07">
        <w:t>return,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reason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secrecy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assessed.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significant</w:t>
      </w:r>
      <w:r w:rsidR="00422215">
        <w:t xml:space="preserve"> </w:t>
      </w:r>
      <w:r w:rsidRPr="007D2C07">
        <w:t>reason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well-founded</w:t>
      </w:r>
      <w:r w:rsidR="00422215">
        <w:t xml:space="preserve"> </w:t>
      </w:r>
      <w:r w:rsidRPr="007D2C07">
        <w:t>fear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persecution,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eligible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refugee</w:t>
      </w:r>
      <w:r w:rsidR="00422215">
        <w:t xml:space="preserve"> </w:t>
      </w:r>
      <w:r w:rsidRPr="007D2C07">
        <w:t>status.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accommodate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needs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seeking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orientation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identity,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securing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(UDI</w:t>
      </w:r>
      <w:r w:rsidR="00422215">
        <w:t xml:space="preserve"> </w:t>
      </w:r>
      <w:r w:rsidRPr="007D2C07">
        <w:t>IM</w:t>
      </w:r>
      <w:r w:rsidR="00422215">
        <w:t xml:space="preserve"> </w:t>
      </w:r>
      <w:r w:rsidRPr="007D2C07">
        <w:t>2018-004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RS</w:t>
      </w:r>
      <w:r w:rsidR="00422215">
        <w:t xml:space="preserve"> </w:t>
      </w:r>
      <w:r w:rsidRPr="007D2C07">
        <w:t>2009-006).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17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CORE</w:t>
      </w:r>
      <w:r w:rsidR="00422215">
        <w:t xml:space="preserve"> </w:t>
      </w:r>
      <w:r w:rsidRPr="007D2C07">
        <w:t>–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Balance</w:t>
      </w:r>
      <w:r w:rsidR="00422215">
        <w:t xml:space="preserve"> </w:t>
      </w:r>
      <w:r w:rsidRPr="007D2C07">
        <w:t>Scorecard</w:t>
      </w:r>
      <w:r w:rsidR="00422215">
        <w:t xml:space="preserve"> </w:t>
      </w:r>
      <w:r w:rsidRPr="007D2C07">
        <w:t>-</w:t>
      </w:r>
      <w:r w:rsidR="00422215">
        <w:t xml:space="preserve"> </w:t>
      </w:r>
      <w:r w:rsidRPr="007D2C07">
        <w:t>maps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balance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executive</w:t>
      </w:r>
      <w:r w:rsidR="00422215">
        <w:t xml:space="preserve"> </w:t>
      </w:r>
      <w:r w:rsidRPr="007D2C07">
        <w:t>committees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boards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revenue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examines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distribution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staff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line</w:t>
      </w:r>
      <w:r w:rsidR="00422215">
        <w:t xml:space="preserve"> </w:t>
      </w:r>
      <w:r w:rsidRPr="007D2C07">
        <w:t>positions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traces</w:t>
      </w:r>
      <w:r w:rsidR="00422215">
        <w:t xml:space="preserve"> </w:t>
      </w:r>
      <w:r w:rsidRPr="007D2C07">
        <w:t>patterns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time.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200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companies,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22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top</w:t>
      </w:r>
      <w:r w:rsidR="00422215">
        <w:t xml:space="preserve"> </w:t>
      </w:r>
      <w:r w:rsidRPr="007D2C07">
        <w:t>managers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female,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26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achieved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balance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top</w:t>
      </w:r>
      <w:r w:rsidR="00422215">
        <w:t xml:space="preserve"> </w:t>
      </w:r>
      <w:r w:rsidRPr="007D2C07">
        <w:t>management</w:t>
      </w:r>
      <w:r w:rsidR="00422215">
        <w:t xml:space="preserve"> </w:t>
      </w:r>
      <w:r w:rsidRPr="007D2C07">
        <w:t>group.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small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positive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2014,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top</w:t>
      </w:r>
      <w:r w:rsidR="00422215">
        <w:t xml:space="preserve"> </w:t>
      </w:r>
      <w:r w:rsidRPr="007D2C07">
        <w:t>managers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18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22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2018.</w:t>
      </w:r>
      <w:r w:rsidR="00422215">
        <w:t xml:space="preserve"> </w:t>
      </w:r>
      <w:r w:rsidRPr="007D2C07">
        <w:t>Just</w:t>
      </w:r>
      <w:r w:rsidR="00422215">
        <w:t xml:space="preserve"> </w:t>
      </w:r>
      <w:r w:rsidRPr="007D2C07">
        <w:t>10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chief</w:t>
      </w:r>
      <w:r w:rsidR="00422215">
        <w:t xml:space="preserve"> </w:t>
      </w:r>
      <w:r w:rsidRPr="007D2C07">
        <w:t>executives</w:t>
      </w:r>
      <w:r w:rsidR="00422215">
        <w:t xml:space="preserve"> </w:t>
      </w:r>
      <w:r w:rsidRPr="007D2C07">
        <w:t>(CEO)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women,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7.5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2016.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collaboration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community,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created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best</w:t>
      </w:r>
      <w:r w:rsidR="00422215">
        <w:t xml:space="preserve"> </w:t>
      </w:r>
      <w:r w:rsidRPr="00352F63">
        <w:t>practice</w:t>
      </w:r>
      <w:r w:rsidR="00422215" w:rsidRPr="00352F63">
        <w:t xml:space="preserve"> </w:t>
      </w:r>
      <w:r w:rsidRPr="00352F63">
        <w:t>list</w:t>
      </w:r>
      <w:r w:rsidR="00422215" w:rsidRPr="00352F63">
        <w:t xml:space="preserve"> </w:t>
      </w:r>
      <w:hyperlink r:id="rId10">
        <w:r w:rsidRPr="00352F63">
          <w:rPr>
            <w:rStyle w:val="Hyperlink"/>
            <w:iCs/>
          </w:rPr>
          <w:t>How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to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achieve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gender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balance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at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the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top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in</w:t>
        </w:r>
        <w:r w:rsidR="00422215" w:rsidRPr="00352F63">
          <w:rPr>
            <w:rStyle w:val="Hyperlink"/>
            <w:iCs/>
          </w:rPr>
          <w:t xml:space="preserve"> </w:t>
        </w:r>
        <w:r w:rsidRPr="00352F63">
          <w:rPr>
            <w:rStyle w:val="Hyperlink"/>
            <w:iCs/>
          </w:rPr>
          <w:t>business</w:t>
        </w:r>
      </w:hyperlink>
      <w:r w:rsidRPr="00352F63">
        <w:t>,</w:t>
      </w:r>
      <w:r w:rsidR="00422215" w:rsidRPr="00352F63">
        <w:t xml:space="preserve"> </w:t>
      </w:r>
      <w:r w:rsidRPr="00352F63">
        <w:t>containing</w:t>
      </w:r>
      <w:r w:rsidR="00422215" w:rsidRPr="00352F63">
        <w:t xml:space="preserve"> </w:t>
      </w:r>
      <w:r w:rsidRPr="00352F63">
        <w:t>advice</w:t>
      </w:r>
      <w:r w:rsidR="00422215" w:rsidRPr="00352F63">
        <w:t xml:space="preserve"> </w:t>
      </w:r>
      <w:r w:rsidRPr="00352F63">
        <w:t>and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achieving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balance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top.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list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distributed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500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companies.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allocated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2</w:t>
      </w:r>
      <w:r w:rsidR="00422215">
        <w:t xml:space="preserve"> </w:t>
      </w:r>
      <w:r w:rsidRPr="007D2C07">
        <w:t>million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share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top</w:t>
      </w:r>
      <w:r w:rsidR="00422215">
        <w:t xml:space="preserve"> </w:t>
      </w:r>
      <w:r w:rsidRPr="007D2C07">
        <w:t>positions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year's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budget.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fund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immigrant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Children,</w:t>
      </w:r>
      <w:r w:rsidR="00422215">
        <w:t xml:space="preserve"> </w:t>
      </w:r>
      <w:r w:rsidRPr="007D2C07">
        <w:t>Youth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Affairs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funding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research</w:t>
      </w:r>
      <w:r w:rsidR="00422215">
        <w:t xml:space="preserve"> </w:t>
      </w:r>
      <w:r w:rsidRPr="007D2C07">
        <w:t>project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diversity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workplace,</w:t>
      </w:r>
      <w:r w:rsidR="00422215">
        <w:t xml:space="preserve"> </w:t>
      </w:r>
      <w:r w:rsidRPr="007D2C07">
        <w:t>specifically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kindergartens,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No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representation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minority</w:t>
      </w:r>
      <w:r w:rsidR="00422215">
        <w:t xml:space="preserve"> </w:t>
      </w:r>
      <w:r w:rsidRPr="007D2C07">
        <w:t>backgrounds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administration,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targeting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genders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implemented.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Different</w:t>
      </w:r>
      <w:r w:rsidR="00422215">
        <w:t xml:space="preserve"> </w:t>
      </w:r>
      <w:r w:rsidRPr="007D2C07">
        <w:t>measures:</w:t>
      </w:r>
      <w:r w:rsidR="00422215">
        <w:t xml:space="preserve"> </w:t>
      </w:r>
    </w:p>
    <w:p w:rsidR="007D2C07" w:rsidRPr="007754FF" w:rsidRDefault="007D2C07" w:rsidP="007754FF">
      <w:pPr>
        <w:pStyle w:val="Bullet1G"/>
      </w:pPr>
      <w:r w:rsidRPr="007754FF">
        <w:t>Guidebook:</w:t>
      </w:r>
      <w:r w:rsidR="00422215" w:rsidRPr="007754FF">
        <w:t xml:space="preserve"> </w:t>
      </w:r>
      <w:r w:rsidRPr="007754FF">
        <w:t>Guidebook</w:t>
      </w:r>
      <w:r w:rsidR="00422215" w:rsidRPr="007754FF">
        <w:t xml:space="preserve"> </w:t>
      </w:r>
      <w:r w:rsidRPr="007754FF">
        <w:t>for</w:t>
      </w:r>
      <w:r w:rsidR="00422215" w:rsidRPr="007754FF">
        <w:t xml:space="preserve"> </w:t>
      </w:r>
      <w:r w:rsidRPr="007754FF">
        <w:t>diversity</w:t>
      </w:r>
      <w:r w:rsidR="00422215" w:rsidRPr="007754FF">
        <w:t xml:space="preserve"> </w:t>
      </w:r>
      <w:r w:rsidRPr="007754FF">
        <w:t>recruitment</w:t>
      </w:r>
      <w:r w:rsidR="00422215" w:rsidRPr="007754FF">
        <w:t xml:space="preserve"> </w:t>
      </w:r>
      <w:r w:rsidRPr="007754FF">
        <w:t>to</w:t>
      </w:r>
      <w:r w:rsidR="00422215" w:rsidRPr="007754FF">
        <w:t xml:space="preserve"> </w:t>
      </w:r>
      <w:r w:rsidRPr="007754FF">
        <w:t>employment</w:t>
      </w:r>
      <w:r w:rsidR="007754FF" w:rsidRPr="007754FF">
        <w:t xml:space="preserve"> </w:t>
      </w:r>
      <w:r w:rsidRPr="007754FF">
        <w:t>in</w:t>
      </w:r>
      <w:r w:rsidR="00422215" w:rsidRPr="007754FF">
        <w:t xml:space="preserve"> </w:t>
      </w:r>
      <w:r w:rsidRPr="007754FF">
        <w:t>the</w:t>
      </w:r>
      <w:r w:rsidR="00422215" w:rsidRPr="007754FF">
        <w:t xml:space="preserve"> </w:t>
      </w:r>
      <w:r w:rsidRPr="007754FF">
        <w:t>central</w:t>
      </w:r>
      <w:r w:rsidR="00422215" w:rsidRPr="007754FF">
        <w:t xml:space="preserve"> </w:t>
      </w:r>
      <w:r w:rsidR="007754FF">
        <w:t>authorities;</w:t>
      </w:r>
    </w:p>
    <w:p w:rsidR="007D2C07" w:rsidRPr="007754FF" w:rsidRDefault="007D2C07" w:rsidP="007754FF">
      <w:pPr>
        <w:pStyle w:val="Bullet1G"/>
      </w:pPr>
      <w:r w:rsidRPr="007754FF">
        <w:t>Guidelines:</w:t>
      </w:r>
      <w:r w:rsidR="00422215" w:rsidRPr="007754FF">
        <w:t xml:space="preserve"> </w:t>
      </w:r>
      <w:r w:rsidRPr="007754FF">
        <w:t>Guidelines</w:t>
      </w:r>
      <w:r w:rsidR="00422215" w:rsidRPr="007754FF">
        <w:t xml:space="preserve"> </w:t>
      </w:r>
      <w:r w:rsidRPr="007754FF">
        <w:t>have</w:t>
      </w:r>
      <w:r w:rsidR="00422215" w:rsidRPr="007754FF">
        <w:t xml:space="preserve"> </w:t>
      </w:r>
      <w:r w:rsidRPr="007754FF">
        <w:t>been</w:t>
      </w:r>
      <w:r w:rsidR="00422215" w:rsidRPr="007754FF">
        <w:t xml:space="preserve"> </w:t>
      </w:r>
      <w:r w:rsidRPr="007754FF">
        <w:t>drawn</w:t>
      </w:r>
      <w:r w:rsidR="00422215" w:rsidRPr="007754FF">
        <w:t xml:space="preserve"> </w:t>
      </w:r>
      <w:r w:rsidRPr="007754FF">
        <w:t>up</w:t>
      </w:r>
      <w:r w:rsidR="00422215" w:rsidRPr="007754FF">
        <w:t xml:space="preserve"> </w:t>
      </w:r>
      <w:r w:rsidRPr="007754FF">
        <w:t>for</w:t>
      </w:r>
      <w:r w:rsidR="00422215" w:rsidRPr="007754FF">
        <w:t xml:space="preserve"> </w:t>
      </w:r>
      <w:r w:rsidRPr="007754FF">
        <w:t>employer</w:t>
      </w:r>
      <w:r w:rsidR="00422215" w:rsidRPr="007754FF">
        <w:t xml:space="preserve"> </w:t>
      </w:r>
      <w:r w:rsidRPr="007754FF">
        <w:t>policy</w:t>
      </w:r>
      <w:r w:rsidR="00422215" w:rsidRPr="007754FF">
        <w:t xml:space="preserve"> </w:t>
      </w:r>
      <w:r w:rsidRPr="007754FF">
        <w:t>in</w:t>
      </w:r>
      <w:r w:rsidR="00422215" w:rsidRPr="007754FF">
        <w:t xml:space="preserve"> </w:t>
      </w:r>
      <w:r w:rsidRPr="007754FF">
        <w:t>the</w:t>
      </w:r>
      <w:r w:rsidR="00422215" w:rsidRPr="007754FF">
        <w:t xml:space="preserve"> </w:t>
      </w:r>
      <w:r w:rsidRPr="007754FF">
        <w:t>central</w:t>
      </w:r>
      <w:r w:rsidR="00422215" w:rsidRPr="007754FF">
        <w:t xml:space="preserve"> </w:t>
      </w:r>
      <w:r w:rsidRPr="007754FF">
        <w:t>government</w:t>
      </w:r>
      <w:r w:rsidR="00422215" w:rsidRPr="007754FF">
        <w:t xml:space="preserve"> </w:t>
      </w:r>
      <w:r w:rsidRPr="007754FF">
        <w:t>sector</w:t>
      </w:r>
      <w:r w:rsidR="00422215" w:rsidRPr="007754FF">
        <w:t xml:space="preserve"> </w:t>
      </w:r>
      <w:r w:rsidRPr="007754FF">
        <w:t>to</w:t>
      </w:r>
      <w:r w:rsidR="00422215" w:rsidRPr="007754FF">
        <w:t xml:space="preserve"> </w:t>
      </w:r>
      <w:r w:rsidRPr="007754FF">
        <w:t>encourage</w:t>
      </w:r>
      <w:r w:rsidR="00422215" w:rsidRPr="007754FF">
        <w:t xml:space="preserve"> </w:t>
      </w:r>
      <w:r w:rsidRPr="007754FF">
        <w:t>diversity,</w:t>
      </w:r>
      <w:r w:rsidR="007754FF">
        <w:t xml:space="preserve"> </w:t>
      </w:r>
      <w:r w:rsidRPr="007754FF">
        <w:t>including</w:t>
      </w:r>
      <w:r w:rsidR="00422215" w:rsidRPr="007754FF">
        <w:t xml:space="preserve"> </w:t>
      </w:r>
      <w:r w:rsidRPr="007754FF">
        <w:t>increased</w:t>
      </w:r>
      <w:r w:rsidR="00422215" w:rsidRPr="007754FF">
        <w:t xml:space="preserve"> </w:t>
      </w:r>
      <w:r w:rsidRPr="007754FF">
        <w:t>recruitment</w:t>
      </w:r>
      <w:r w:rsidR="00422215" w:rsidRPr="007754FF">
        <w:t xml:space="preserve"> </w:t>
      </w:r>
      <w:r w:rsidRPr="007754FF">
        <w:t>of</w:t>
      </w:r>
      <w:r w:rsidR="00422215" w:rsidRPr="007754FF">
        <w:t xml:space="preserve"> </w:t>
      </w:r>
      <w:r w:rsidRPr="007754FF">
        <w:t>persons</w:t>
      </w:r>
      <w:r w:rsidR="00422215" w:rsidRPr="007754FF">
        <w:t xml:space="preserve"> </w:t>
      </w:r>
      <w:r w:rsidRPr="007754FF">
        <w:t>with</w:t>
      </w:r>
      <w:r w:rsidR="00422215" w:rsidRPr="007754FF">
        <w:t xml:space="preserve"> </w:t>
      </w:r>
      <w:r w:rsidRPr="007754FF">
        <w:t>an</w:t>
      </w:r>
      <w:r w:rsidR="00422215" w:rsidRPr="007754FF">
        <w:t xml:space="preserve"> </w:t>
      </w:r>
      <w:r w:rsidRPr="007754FF">
        <w:t>immigrant</w:t>
      </w:r>
      <w:r w:rsidR="00422215" w:rsidRPr="007754FF">
        <w:t xml:space="preserve"> </w:t>
      </w:r>
      <w:r w:rsidR="007754FF">
        <w:t>background;</w:t>
      </w:r>
    </w:p>
    <w:p w:rsidR="007D2C07" w:rsidRPr="007754FF" w:rsidRDefault="007D2C07" w:rsidP="007754FF">
      <w:pPr>
        <w:pStyle w:val="Bullet1G"/>
      </w:pPr>
      <w:r w:rsidRPr="007754FF">
        <w:t>A</w:t>
      </w:r>
      <w:r w:rsidR="00422215" w:rsidRPr="007754FF">
        <w:t xml:space="preserve"> </w:t>
      </w:r>
      <w:r w:rsidRPr="007754FF">
        <w:t>new</w:t>
      </w:r>
      <w:r w:rsidR="00422215" w:rsidRPr="007754FF">
        <w:t xml:space="preserve"> </w:t>
      </w:r>
      <w:r w:rsidRPr="007754FF">
        <w:t>e-learning</w:t>
      </w:r>
      <w:r w:rsidR="00422215" w:rsidRPr="007754FF">
        <w:t xml:space="preserve"> </w:t>
      </w:r>
      <w:r w:rsidRPr="007754FF">
        <w:t>tool:</w:t>
      </w:r>
      <w:r w:rsidR="00422215" w:rsidRPr="007754FF">
        <w:t xml:space="preserve"> </w:t>
      </w:r>
      <w:r w:rsidRPr="007754FF">
        <w:t>An</w:t>
      </w:r>
      <w:r w:rsidR="00422215" w:rsidRPr="007754FF">
        <w:t xml:space="preserve"> </w:t>
      </w:r>
      <w:r w:rsidRPr="007754FF">
        <w:t>e-learning</w:t>
      </w:r>
      <w:r w:rsidR="00422215" w:rsidRPr="007754FF">
        <w:t xml:space="preserve"> </w:t>
      </w:r>
      <w:r w:rsidRPr="007754FF">
        <w:t>tool</w:t>
      </w:r>
      <w:r w:rsidR="00422215" w:rsidRPr="007754FF">
        <w:t xml:space="preserve"> </w:t>
      </w:r>
      <w:r w:rsidRPr="007754FF">
        <w:t>on</w:t>
      </w:r>
      <w:r w:rsidR="00422215" w:rsidRPr="007754FF">
        <w:t xml:space="preserve"> </w:t>
      </w:r>
      <w:r w:rsidRPr="007754FF">
        <w:t>diversity</w:t>
      </w:r>
      <w:r w:rsidR="00422215" w:rsidRPr="007754FF">
        <w:t xml:space="preserve"> </w:t>
      </w:r>
      <w:r w:rsidRPr="007754FF">
        <w:t>recruitment</w:t>
      </w:r>
      <w:r w:rsidR="00422215" w:rsidRPr="007754FF">
        <w:t xml:space="preserve"> </w:t>
      </w:r>
      <w:r w:rsidRPr="007754FF">
        <w:t>to</w:t>
      </w:r>
      <w:r w:rsidR="00422215" w:rsidRPr="007754FF">
        <w:t xml:space="preserve"> </w:t>
      </w:r>
      <w:r w:rsidRPr="007754FF">
        <w:t>employment</w:t>
      </w:r>
      <w:r w:rsidR="00422215" w:rsidRPr="007754FF">
        <w:t xml:space="preserve"> </w:t>
      </w:r>
      <w:r w:rsidRPr="007754FF">
        <w:t>will</w:t>
      </w:r>
      <w:r w:rsidR="00422215" w:rsidRPr="007754FF">
        <w:t xml:space="preserve"> </w:t>
      </w:r>
      <w:r w:rsidRPr="007754FF">
        <w:t>be</w:t>
      </w:r>
      <w:r w:rsidR="00422215" w:rsidRPr="007754FF">
        <w:t xml:space="preserve"> </w:t>
      </w:r>
      <w:r w:rsidRPr="007754FF">
        <w:t>available</w:t>
      </w:r>
      <w:r w:rsidR="00422215" w:rsidRPr="007754FF">
        <w:t xml:space="preserve"> </w:t>
      </w:r>
      <w:r w:rsidRPr="007754FF">
        <w:t>for</w:t>
      </w:r>
      <w:r w:rsidR="00422215" w:rsidRPr="007754FF">
        <w:t xml:space="preserve"> </w:t>
      </w:r>
      <w:r w:rsidRPr="007754FF">
        <w:t>all</w:t>
      </w:r>
      <w:r w:rsidR="00422215" w:rsidRPr="007754FF">
        <w:t xml:space="preserve"> </w:t>
      </w:r>
      <w:r w:rsidRPr="007754FF">
        <w:t>state</w:t>
      </w:r>
      <w:r w:rsidR="00422215" w:rsidRPr="007754FF">
        <w:t xml:space="preserve"> </w:t>
      </w:r>
      <w:r w:rsidR="007754FF">
        <w:t>enterprises;</w:t>
      </w:r>
    </w:p>
    <w:p w:rsidR="007D2C07" w:rsidRPr="007754FF" w:rsidRDefault="007D2C07" w:rsidP="007754FF">
      <w:pPr>
        <w:pStyle w:val="Bullet1G"/>
      </w:pPr>
      <w:r w:rsidRPr="007754FF">
        <w:t>Governmental</w:t>
      </w:r>
      <w:r w:rsidR="00422215" w:rsidRPr="007754FF">
        <w:t xml:space="preserve"> </w:t>
      </w:r>
      <w:r w:rsidRPr="007754FF">
        <w:t>agencies</w:t>
      </w:r>
      <w:r w:rsidR="00422215" w:rsidRPr="007754FF">
        <w:t xml:space="preserve"> </w:t>
      </w:r>
      <w:r w:rsidRPr="007754FF">
        <w:t>are</w:t>
      </w:r>
      <w:r w:rsidR="00422215" w:rsidRPr="007754FF">
        <w:t xml:space="preserve"> </w:t>
      </w:r>
      <w:r w:rsidRPr="007754FF">
        <w:t>obliged</w:t>
      </w:r>
      <w:r w:rsidR="00422215" w:rsidRPr="007754FF">
        <w:t xml:space="preserve"> </w:t>
      </w:r>
      <w:r w:rsidRPr="007754FF">
        <w:t>to</w:t>
      </w:r>
      <w:r w:rsidR="00422215" w:rsidRPr="007754FF">
        <w:t xml:space="preserve"> </w:t>
      </w:r>
      <w:r w:rsidRPr="007754FF">
        <w:t>invite</w:t>
      </w:r>
      <w:r w:rsidR="00422215" w:rsidRPr="007754FF">
        <w:t xml:space="preserve"> </w:t>
      </w:r>
      <w:r w:rsidRPr="007754FF">
        <w:t>at</w:t>
      </w:r>
      <w:r w:rsidR="00422215" w:rsidRPr="007754FF">
        <w:t xml:space="preserve"> </w:t>
      </w:r>
      <w:r w:rsidRPr="007754FF">
        <w:t>least</w:t>
      </w:r>
      <w:r w:rsidR="00422215" w:rsidRPr="007754FF">
        <w:t xml:space="preserve"> </w:t>
      </w:r>
      <w:r w:rsidRPr="007754FF">
        <w:t>one</w:t>
      </w:r>
      <w:r w:rsidR="00422215" w:rsidRPr="007754FF">
        <w:t xml:space="preserve"> </w:t>
      </w:r>
      <w:r w:rsidRPr="007754FF">
        <w:t>applicant</w:t>
      </w:r>
      <w:r w:rsidR="00422215" w:rsidRPr="007754FF">
        <w:t xml:space="preserve"> </w:t>
      </w:r>
      <w:r w:rsidRPr="007754FF">
        <w:t>with</w:t>
      </w:r>
      <w:r w:rsidR="00422215" w:rsidRPr="007754FF">
        <w:t xml:space="preserve"> </w:t>
      </w:r>
      <w:r w:rsidRPr="007754FF">
        <w:t>immigrant</w:t>
      </w:r>
      <w:r w:rsidR="00422215" w:rsidRPr="007754FF">
        <w:t xml:space="preserve"> </w:t>
      </w:r>
      <w:r w:rsidRPr="007754FF">
        <w:t>background</w:t>
      </w:r>
      <w:r w:rsidR="00422215" w:rsidRPr="007754FF">
        <w:t xml:space="preserve"> </w:t>
      </w:r>
      <w:r w:rsidRPr="007754FF">
        <w:t>for</w:t>
      </w:r>
      <w:r w:rsidR="00422215" w:rsidRPr="007754FF">
        <w:t xml:space="preserve"> </w:t>
      </w:r>
      <w:r w:rsidRPr="007754FF">
        <w:t>an</w:t>
      </w:r>
      <w:r w:rsidR="00422215" w:rsidRPr="007754FF">
        <w:t xml:space="preserve"> </w:t>
      </w:r>
      <w:r w:rsidRPr="007754FF">
        <w:t>interview,</w:t>
      </w:r>
      <w:r w:rsidR="00422215" w:rsidRPr="007754FF">
        <w:t xml:space="preserve"> </w:t>
      </w:r>
      <w:r w:rsidRPr="007754FF">
        <w:t>providing</w:t>
      </w:r>
      <w:r w:rsidR="00422215" w:rsidRPr="007754FF">
        <w:t xml:space="preserve"> </w:t>
      </w:r>
      <w:r w:rsidRPr="007754FF">
        <w:t>the</w:t>
      </w:r>
      <w:r w:rsidR="00422215" w:rsidRPr="007754FF">
        <w:t xml:space="preserve"> </w:t>
      </w:r>
      <w:r w:rsidRPr="007754FF">
        <w:t>person</w:t>
      </w:r>
      <w:r w:rsidR="00422215" w:rsidRPr="007754FF">
        <w:t xml:space="preserve"> </w:t>
      </w:r>
      <w:r w:rsidRPr="007754FF">
        <w:t>is</w:t>
      </w:r>
      <w:r w:rsidR="00422215" w:rsidRPr="007754FF">
        <w:t xml:space="preserve"> </w:t>
      </w:r>
      <w:r w:rsidRPr="007754FF">
        <w:t>qualified</w:t>
      </w:r>
      <w:r w:rsidR="00422215" w:rsidRPr="007754FF">
        <w:t xml:space="preserve"> </w:t>
      </w:r>
      <w:r w:rsidRPr="007754FF">
        <w:t>for</w:t>
      </w:r>
      <w:r w:rsidR="00422215" w:rsidRPr="007754FF">
        <w:t xml:space="preserve"> </w:t>
      </w:r>
      <w:r w:rsidRPr="007754FF">
        <w:t>the</w:t>
      </w:r>
      <w:r w:rsidR="00422215" w:rsidRPr="007754FF">
        <w:t xml:space="preserve"> </w:t>
      </w:r>
      <w:r w:rsidRPr="007754FF">
        <w:t>position</w:t>
      </w:r>
      <w:r w:rsidR="00422215" w:rsidRPr="007754FF">
        <w:t xml:space="preserve"> </w:t>
      </w:r>
      <w:r w:rsidRPr="007754FF">
        <w:t>in</w:t>
      </w:r>
      <w:r w:rsidR="00422215" w:rsidRPr="007754FF">
        <w:t xml:space="preserve"> </w:t>
      </w:r>
      <w:r w:rsidRPr="007754FF">
        <w:t>question.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launch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pilot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anonymous</w:t>
      </w:r>
      <w:r w:rsidR="00422215">
        <w:t xml:space="preserve"> </w:t>
      </w:r>
      <w:r w:rsidRPr="007D2C07">
        <w:t>job</w:t>
      </w:r>
      <w:r w:rsidR="00422215">
        <w:t xml:space="preserve"> </w:t>
      </w:r>
      <w:r w:rsidRPr="007D2C07">
        <w:t>applications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civil</w:t>
      </w:r>
      <w:r w:rsidR="00422215">
        <w:t xml:space="preserve"> </w:t>
      </w:r>
      <w:r w:rsidRPr="007D2C07">
        <w:t>service.</w:t>
      </w:r>
      <w:r w:rsidR="00422215">
        <w:t xml:space="preserve"> </w:t>
      </w:r>
      <w:r w:rsidRPr="007D2C07">
        <w:t>Our</w:t>
      </w:r>
      <w:r w:rsidR="00422215">
        <w:t xml:space="preserve"> </w:t>
      </w:r>
      <w:r w:rsidRPr="007D2C07">
        <w:t>ambition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identify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anonymous</w:t>
      </w:r>
      <w:r w:rsidR="00422215">
        <w:t xml:space="preserve"> </w:t>
      </w:r>
      <w:r w:rsidRPr="007D2C07">
        <w:t>job</w:t>
      </w:r>
      <w:r w:rsidR="00422215">
        <w:t xml:space="preserve"> </w:t>
      </w:r>
      <w:r w:rsidRPr="007D2C07">
        <w:t>applications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tool/measure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integrate</w:t>
      </w:r>
      <w:r w:rsidR="00422215">
        <w:t xml:space="preserve"> </w:t>
      </w:r>
      <w:r w:rsidRPr="007D2C07">
        <w:t>immigrants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goal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mirror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aware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times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our</w:t>
      </w:r>
      <w:r w:rsidR="00422215">
        <w:t xml:space="preserve"> </w:t>
      </w:r>
      <w:r w:rsidRPr="007D2C07">
        <w:t>own</w:t>
      </w:r>
      <w:r w:rsidR="00422215">
        <w:t xml:space="preserve"> </w:t>
      </w:r>
      <w:r w:rsidRPr="007D2C07">
        <w:t>prejudices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recruitment</w:t>
      </w:r>
      <w:r w:rsidR="00422215">
        <w:t xml:space="preserve"> </w:t>
      </w:r>
      <w:r w:rsidRPr="007D2C07">
        <w:t>process.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employer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characterised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us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employer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sees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value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each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administration’s</w:t>
      </w:r>
      <w:r w:rsidR="00422215">
        <w:t xml:space="preserve"> </w:t>
      </w:r>
      <w:r w:rsidRPr="007D2C07">
        <w:t>work.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female</w:t>
      </w:r>
      <w:r w:rsidR="00422215">
        <w:t xml:space="preserve"> </w:t>
      </w:r>
      <w:r w:rsidRPr="007D2C07">
        <w:t>immigrants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Norwegian-born</w:t>
      </w:r>
      <w:r w:rsidR="00422215">
        <w:t xml:space="preserve"> </w:t>
      </w:r>
      <w:r w:rsidRPr="007D2C07">
        <w:t>females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immigrant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administration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12.1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cent.</w:t>
      </w:r>
      <w:r w:rsidR="00422215">
        <w:t xml:space="preserve"> </w:t>
      </w:r>
      <w:r w:rsidRPr="007D2C07">
        <w:t>(SSB</w:t>
      </w:r>
      <w:r w:rsidR="00422215">
        <w:t xml:space="preserve"> </w:t>
      </w:r>
      <w:r w:rsidRPr="007D2C07">
        <w:t>2018).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6.2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females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non-Western</w:t>
      </w:r>
      <w:r w:rsidR="00422215">
        <w:t xml:space="preserve"> </w:t>
      </w:r>
      <w:r w:rsidRPr="007D2C07">
        <w:t>backgrounds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administration.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states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shall</w:t>
      </w:r>
      <w:r w:rsidR="00422215">
        <w:t xml:space="preserve"> </w:t>
      </w:r>
      <w:r w:rsidRPr="007D2C07">
        <w:t>make</w:t>
      </w:r>
      <w:r w:rsidR="00422215">
        <w:t xml:space="preserve"> </w:t>
      </w:r>
      <w:r w:rsidRPr="007D2C07">
        <w:t>active,</w:t>
      </w:r>
      <w:r w:rsidR="00422215">
        <w:t xml:space="preserve"> </w:t>
      </w:r>
      <w:r w:rsidRPr="007D2C07">
        <w:t>targeted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systematic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of,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example</w:t>
      </w:r>
      <w:r w:rsidR="00422215">
        <w:t xml:space="preserve"> </w:t>
      </w:r>
      <w:r w:rsidRPr="007D2C07">
        <w:t>gender.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undertakings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employ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50</w:t>
      </w:r>
      <w:r w:rsidR="00422215">
        <w:t xml:space="preserve"> </w:t>
      </w:r>
      <w:r w:rsidRPr="007D2C07">
        <w:t>persons,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follow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four-step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method:</w:t>
      </w:r>
      <w:r w:rsidR="00422215">
        <w:t xml:space="preserve"> </w:t>
      </w:r>
      <w:r w:rsidRPr="007D2C07">
        <w:t>examine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grounds</w:t>
      </w:r>
      <w:r w:rsidR="00422215">
        <w:t xml:space="preserve"> </w:t>
      </w:r>
      <w:r w:rsidRPr="007D2C07">
        <w:t>of,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things,</w:t>
      </w:r>
      <w:r w:rsidR="00422215">
        <w:t xml:space="preserve"> </w:t>
      </w:r>
      <w:r w:rsidRPr="007D2C07">
        <w:t>gender,</w:t>
      </w:r>
      <w:r w:rsidR="00422215">
        <w:t xml:space="preserve"> </w:t>
      </w:r>
      <w:r w:rsidRPr="007D2C07">
        <w:t>analyse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causes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risks,</w:t>
      </w:r>
      <w:r w:rsidR="00422215">
        <w:t xml:space="preserve"> </w:t>
      </w:r>
      <w:r w:rsidRPr="007D2C07">
        <w:t>implement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tackle</w:t>
      </w:r>
      <w:r w:rsidR="00422215">
        <w:t xml:space="preserve"> </w:t>
      </w:r>
      <w:r w:rsidRPr="007D2C07">
        <w:t>them,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evaluate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results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work.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applies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undertakings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statutory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prepare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report,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undertakings.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2019,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submitted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bill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efforts.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bill</w:t>
      </w:r>
      <w:r w:rsidR="00422215">
        <w:t xml:space="preserve"> </w:t>
      </w:r>
      <w:r w:rsidRPr="007D2C07">
        <w:t>aims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promotion</w:t>
      </w:r>
      <w:r w:rsidR="00422215">
        <w:t xml:space="preserve"> </w:t>
      </w:r>
      <w:r w:rsidRPr="007D2C07">
        <w:t>duties.</w:t>
      </w:r>
      <w:r w:rsidR="00422215">
        <w:t xml:space="preserve"> </w:t>
      </w:r>
    </w:p>
    <w:p w:rsidR="007754FF" w:rsidRDefault="007754FF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18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High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unemployment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key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priorities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Government.</w:t>
      </w:r>
      <w:r w:rsidR="00422215">
        <w:t xml:space="preserve"> </w:t>
      </w:r>
      <w:r w:rsidRPr="007D2C07">
        <w:t>Faced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oil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gas</w:t>
      </w:r>
      <w:r w:rsidR="00422215">
        <w:t xml:space="preserve"> </w:t>
      </w:r>
      <w:r w:rsidRPr="007D2C07">
        <w:t>price</w:t>
      </w:r>
      <w:r w:rsidR="00422215">
        <w:t xml:space="preserve"> </w:t>
      </w:r>
      <w:r w:rsidRPr="007D2C07">
        <w:t>slump</w:t>
      </w:r>
      <w:r w:rsidR="00422215">
        <w:t xml:space="preserve"> </w:t>
      </w:r>
      <w:r w:rsidRPr="007D2C07">
        <w:t>four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t>ago,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actively</w:t>
      </w:r>
      <w:r w:rsidR="00422215">
        <w:t xml:space="preserve"> </w:t>
      </w:r>
      <w:r w:rsidRPr="007D2C07">
        <w:t>used</w:t>
      </w:r>
      <w:r w:rsidR="00422215">
        <w:t xml:space="preserve"> </w:t>
      </w:r>
      <w:r w:rsidRPr="007D2C07">
        <w:t>fiscal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few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counter</w:t>
      </w:r>
      <w:r w:rsidR="00422215">
        <w:t xml:space="preserve"> </w:t>
      </w:r>
      <w:r w:rsidRPr="007D2C07">
        <w:t>unemployment.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characterised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GDP</w:t>
      </w:r>
      <w:r w:rsidR="00422215">
        <w:t xml:space="preserve"> </w:t>
      </w:r>
      <w:r w:rsidRPr="007D2C07">
        <w:t>growth,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unemployment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rates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economy,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economic</w:t>
      </w:r>
      <w:r w:rsidR="00422215">
        <w:t xml:space="preserve"> </w:t>
      </w:r>
      <w:r w:rsidRPr="007D2C07">
        <w:t>indicators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improving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beginning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2017.</w:t>
      </w:r>
      <w:r w:rsidR="00422215">
        <w:t xml:space="preserve"> </w:t>
      </w:r>
      <w:r w:rsidRPr="007D2C07">
        <w:t>Economic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picking</w:t>
      </w:r>
      <w:r w:rsidR="00422215">
        <w:t xml:space="preserve"> </w:t>
      </w:r>
      <w:r w:rsidRPr="007D2C07">
        <w:t>up,</w:t>
      </w:r>
      <w:r w:rsidR="00422215">
        <w:t xml:space="preserve"> </w:t>
      </w:r>
      <w:r w:rsidRPr="007D2C07">
        <w:t>unemployment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decline,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increasing.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unemployment</w:t>
      </w:r>
      <w:r w:rsidR="00422215">
        <w:t xml:space="preserve"> </w:t>
      </w:r>
      <w:r w:rsidRPr="007D2C07">
        <w:t>rate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3.8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whole</w:t>
      </w:r>
      <w:r w:rsidR="00422215">
        <w:t xml:space="preserve"> </w:t>
      </w:r>
      <w:r w:rsidRPr="007D2C07">
        <w:t>(15-74</w:t>
      </w:r>
      <w:r w:rsidR="00422215">
        <w:t xml:space="preserve"> </w:t>
      </w:r>
      <w:r w:rsidRPr="007D2C07">
        <w:t>years),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8.5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immigrants,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survey</w:t>
      </w:r>
      <w:r w:rsidR="00422215">
        <w:t xml:space="preserve"> </w:t>
      </w:r>
      <w:r w:rsidRPr="007D2C07">
        <w:t>(LFS).</w:t>
      </w:r>
      <w:r w:rsidR="00422215">
        <w:t xml:space="preserve"> </w:t>
      </w:r>
      <w:r w:rsidRPr="007D2C07">
        <w:t>Long-term</w:t>
      </w:r>
      <w:r w:rsidR="00422215">
        <w:t xml:space="preserve"> </w:t>
      </w:r>
      <w:r w:rsidRPr="007D2C07">
        <w:t>unemployment</w:t>
      </w:r>
      <w:r w:rsidR="00422215">
        <w:t xml:space="preserve"> </w:t>
      </w:r>
      <w:r w:rsidRPr="007D2C07">
        <w:t>(unemployed</w:t>
      </w:r>
      <w:r w:rsidR="00422215">
        <w:t xml:space="preserve"> </w:t>
      </w:r>
      <w:r w:rsidRPr="007D2C07">
        <w:t>above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year)</w:t>
      </w:r>
      <w:r w:rsidR="00422215">
        <w:t xml:space="preserve"> </w:t>
      </w:r>
      <w:r w:rsidRPr="007D2C07">
        <w:t>remains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1.1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2019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budget</w:t>
      </w:r>
      <w:r w:rsidR="00422215">
        <w:t xml:space="preserve"> </w:t>
      </w:r>
      <w:r w:rsidRPr="007D2C07">
        <w:t>continues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give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promoting</w:t>
      </w:r>
      <w:r w:rsidR="00422215">
        <w:t xml:space="preserve"> </w:t>
      </w:r>
      <w:r w:rsidRPr="007D2C07">
        <w:t>job</w:t>
      </w:r>
      <w:r w:rsidR="00422215">
        <w:t xml:space="preserve"> </w:t>
      </w:r>
      <w:r w:rsidRPr="007D2C07">
        <w:t>creation,</w:t>
      </w:r>
      <w:r w:rsidR="00422215">
        <w:t xml:space="preserve"> </w:t>
      </w:r>
      <w:r w:rsidRPr="007D2C07">
        <w:t>improved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security.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(ALMP)</w:t>
      </w:r>
      <w:r w:rsidR="00422215">
        <w:t xml:space="preserve"> </w:t>
      </w:r>
      <w:r w:rsidRPr="007D2C07">
        <w:t>remain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help</w:t>
      </w:r>
      <w:r w:rsidR="00422215">
        <w:t xml:space="preserve"> </w:t>
      </w:r>
      <w:r w:rsidRPr="007D2C07">
        <w:t>unemployed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return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protect</w:t>
      </w:r>
      <w:r w:rsidR="00422215">
        <w:t xml:space="preserve"> </w:t>
      </w:r>
      <w:r w:rsidRPr="007D2C07">
        <w:t>vulnerable</w:t>
      </w:r>
      <w:r w:rsidR="00422215">
        <w:t xml:space="preserve"> </w:t>
      </w:r>
      <w:r w:rsidRPr="007D2C07">
        <w:t>groups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fringe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market.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people,</w:t>
      </w:r>
      <w:r w:rsidR="00422215">
        <w:t xml:space="preserve"> </w:t>
      </w:r>
      <w:r w:rsidRPr="007D2C07">
        <w:t>immigrants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non-EU/EEA</w:t>
      </w:r>
      <w:r w:rsidR="00422215">
        <w:t xml:space="preserve"> </w:t>
      </w:r>
      <w:r w:rsidRPr="007D2C07">
        <w:t>countries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long-term</w:t>
      </w:r>
      <w:r w:rsidR="00422215">
        <w:t xml:space="preserve"> </w:t>
      </w:r>
      <w:r w:rsidRPr="007D2C07">
        <w:t>unemployed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measures.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recently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introduced:</w:t>
      </w:r>
    </w:p>
    <w:p w:rsidR="003845BD" w:rsidRDefault="003845BD" w:rsidP="003845BD">
      <w:pPr>
        <w:pStyle w:val="SingleTxtG"/>
        <w:ind w:firstLine="567"/>
      </w:pPr>
      <w:r>
        <w:t>(a)</w:t>
      </w:r>
      <w:r>
        <w:tab/>
      </w:r>
      <w:r w:rsidR="007D2C07" w:rsidRPr="007D2C07">
        <w:t>A</w:t>
      </w:r>
      <w:r w:rsidR="00422215">
        <w:t xml:space="preserve"> </w:t>
      </w:r>
      <w:r w:rsidR="007D2C07" w:rsidRPr="007D2C07">
        <w:t>nationwide</w:t>
      </w:r>
      <w:r w:rsidR="00422215">
        <w:t xml:space="preserve"> </w:t>
      </w:r>
      <w:r w:rsidR="007D2C07" w:rsidRPr="007D2C07">
        <w:t>effort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promote</w:t>
      </w:r>
      <w:r w:rsidR="00422215">
        <w:t xml:space="preserve"> </w:t>
      </w:r>
      <w:r w:rsidR="007D2C07" w:rsidRPr="007D2C07">
        <w:t>inclusion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get</w:t>
      </w:r>
      <w:r w:rsidR="00422215">
        <w:t xml:space="preserve"> </w:t>
      </w:r>
      <w:r w:rsidR="007D2C07" w:rsidRPr="007D2C07">
        <w:t>more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into</w:t>
      </w:r>
      <w:r w:rsidR="00422215">
        <w:t xml:space="preserve"> </w:t>
      </w:r>
      <w:r w:rsidR="007D2C07" w:rsidRPr="007D2C07">
        <w:t>work.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"joint</w:t>
      </w:r>
      <w:r w:rsidR="00422215">
        <w:t xml:space="preserve"> </w:t>
      </w:r>
      <w:r w:rsidR="007D2C07" w:rsidRPr="007D2C07">
        <w:t>volunteering</w:t>
      </w:r>
      <w:r w:rsidR="00422215">
        <w:t xml:space="preserve"> </w:t>
      </w:r>
      <w:r w:rsidR="007D2C07" w:rsidRPr="007D2C07">
        <w:t>effort</w:t>
      </w:r>
      <w:r w:rsidR="00422215">
        <w:t xml:space="preserve"> </w:t>
      </w:r>
      <w:r w:rsidR="007D2C07" w:rsidRPr="007D2C07">
        <w:t>for</w:t>
      </w:r>
      <w:r w:rsidR="00422215">
        <w:t xml:space="preserve"> </w:t>
      </w:r>
      <w:r w:rsidR="007D2C07" w:rsidRPr="007D2C07">
        <w:t>inclusion"</w:t>
      </w:r>
      <w:r w:rsidR="00422215">
        <w:t xml:space="preserve"> </w:t>
      </w:r>
      <w:r w:rsidR="007D2C07" w:rsidRPr="007D2C07">
        <w:t>(</w:t>
      </w:r>
      <w:proofErr w:type="spellStart"/>
      <w:r w:rsidR="007D2C07" w:rsidRPr="007D2C07">
        <w:t>Inkluderingsdugnaden</w:t>
      </w:r>
      <w:proofErr w:type="spellEnd"/>
      <w:r w:rsidR="007D2C07" w:rsidRPr="007D2C07">
        <w:t>)</w:t>
      </w:r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a</w:t>
      </w:r>
      <w:r w:rsidR="00422215">
        <w:t xml:space="preserve"> </w:t>
      </w:r>
      <w:r w:rsidR="007D2C07" w:rsidRPr="007D2C07">
        <w:t>cooperation</w:t>
      </w:r>
      <w:r w:rsidR="00422215">
        <w:t xml:space="preserve"> </w:t>
      </w:r>
      <w:r w:rsidR="007D2C07" w:rsidRPr="007D2C07">
        <w:t>between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public</w:t>
      </w:r>
      <w:r w:rsidR="00422215">
        <w:t xml:space="preserve"> </w:t>
      </w:r>
      <w:r w:rsidR="007D2C07" w:rsidRPr="007D2C07">
        <w:t>sector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different</w:t>
      </w:r>
      <w:r w:rsidR="00422215">
        <w:t xml:space="preserve"> </w:t>
      </w:r>
      <w:r w:rsidR="007D2C07" w:rsidRPr="007D2C07">
        <w:t>actors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private</w:t>
      </w:r>
      <w:r w:rsidR="00422215">
        <w:t xml:space="preserve"> </w:t>
      </w:r>
      <w:r w:rsidR="007D2C07" w:rsidRPr="007D2C07">
        <w:t>sector.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goal</w:t>
      </w:r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get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outside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labour</w:t>
      </w:r>
      <w:r w:rsidR="00422215">
        <w:t xml:space="preserve"> </w:t>
      </w:r>
      <w:r w:rsidR="007D2C07" w:rsidRPr="007D2C07">
        <w:t>force</w:t>
      </w:r>
      <w:r w:rsidR="00422215">
        <w:t xml:space="preserve"> </w:t>
      </w:r>
      <w:r w:rsidR="007D2C07" w:rsidRPr="007D2C07">
        <w:t>into</w:t>
      </w:r>
      <w:r w:rsidR="00422215">
        <w:t xml:space="preserve"> </w:t>
      </w:r>
      <w:r w:rsidR="007D2C07" w:rsidRPr="007D2C07">
        <w:t>ordinary</w:t>
      </w:r>
      <w:r w:rsidR="00422215">
        <w:t xml:space="preserve"> </w:t>
      </w:r>
      <w:r w:rsidR="007D2C07" w:rsidRPr="007D2C07">
        <w:t>work.</w:t>
      </w:r>
      <w:r w:rsidR="00422215">
        <w:t xml:space="preserve"> </w:t>
      </w:r>
      <w:r w:rsidR="007D2C07" w:rsidRPr="007D2C07">
        <w:t>NAV</w:t>
      </w:r>
      <w:r w:rsidR="00422215">
        <w:t xml:space="preserve"> </w:t>
      </w:r>
      <w:r w:rsidR="007D2C07" w:rsidRPr="007D2C07">
        <w:t>plays</w:t>
      </w:r>
      <w:r w:rsidR="00422215">
        <w:t xml:space="preserve"> </w:t>
      </w:r>
      <w:r w:rsidR="007D2C07" w:rsidRPr="007D2C07">
        <w:t>a</w:t>
      </w:r>
      <w:r w:rsidR="00422215">
        <w:t xml:space="preserve"> </w:t>
      </w:r>
      <w:r w:rsidR="007D2C07" w:rsidRPr="007D2C07">
        <w:t>key</w:t>
      </w:r>
      <w:r w:rsidR="00422215">
        <w:t xml:space="preserve"> </w:t>
      </w:r>
      <w:r w:rsidR="007D2C07" w:rsidRPr="007D2C07">
        <w:t>role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implementation</w:t>
      </w:r>
      <w:r w:rsidR="00422215">
        <w:t xml:space="preserve"> </w:t>
      </w:r>
      <w:r w:rsidR="007D2C07" w:rsidRPr="007D2C07">
        <w:t>process,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supports</w:t>
      </w:r>
      <w:r w:rsidR="00422215">
        <w:t xml:space="preserve"> </w:t>
      </w:r>
      <w:r w:rsidR="007D2C07" w:rsidRPr="007D2C07">
        <w:t>cooperation</w:t>
      </w:r>
      <w:r w:rsidR="00422215">
        <w:t xml:space="preserve"> </w:t>
      </w:r>
      <w:r w:rsidR="007D2C07" w:rsidRPr="007D2C07">
        <w:t>between</w:t>
      </w:r>
      <w:r w:rsidR="00422215">
        <w:t xml:space="preserve"> </w:t>
      </w:r>
      <w:r w:rsidR="007D2C07" w:rsidRPr="007D2C07">
        <w:t>participants,</w:t>
      </w:r>
      <w:r w:rsidR="00422215">
        <w:t xml:space="preserve"> </w:t>
      </w:r>
      <w:r w:rsidR="007D2C07" w:rsidRPr="007D2C07">
        <w:t>employers,</w:t>
      </w:r>
      <w:r w:rsidR="00422215">
        <w:t xml:space="preserve"> </w:t>
      </w:r>
      <w:r w:rsidR="007D2C07" w:rsidRPr="007D2C07">
        <w:t>programme</w:t>
      </w:r>
      <w:r w:rsidR="00422215">
        <w:t xml:space="preserve"> </w:t>
      </w:r>
      <w:r w:rsidR="007D2C07" w:rsidRPr="007D2C07">
        <w:t>providers,</w:t>
      </w:r>
      <w:r w:rsidR="00422215">
        <w:t xml:space="preserve"> </w:t>
      </w:r>
      <w:r w:rsidR="007D2C07" w:rsidRPr="007D2C07">
        <w:t>educational</w:t>
      </w:r>
      <w:r w:rsidR="00422215">
        <w:t xml:space="preserve"> </w:t>
      </w:r>
      <w:r w:rsidR="007D2C07" w:rsidRPr="007D2C07">
        <w:t>institutions,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health</w:t>
      </w:r>
      <w:r w:rsidR="00422215">
        <w:t xml:space="preserve"> </w:t>
      </w:r>
      <w:r w:rsidR="007D2C07" w:rsidRPr="007D2C07">
        <w:t>sector</w:t>
      </w:r>
      <w:r w:rsidR="00422215">
        <w:t xml:space="preserve"> </w:t>
      </w:r>
      <w:r w:rsidR="007D2C07" w:rsidRPr="007D2C07">
        <w:t>etc.</w:t>
      </w:r>
      <w:r w:rsidR="00422215">
        <w:t xml:space="preserve"> </w:t>
      </w:r>
      <w:r w:rsidR="007D2C07" w:rsidRPr="007D2C07">
        <w:t>at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national,</w:t>
      </w:r>
      <w:r w:rsidR="00422215">
        <w:t xml:space="preserve"> </w:t>
      </w:r>
      <w:r w:rsidR="007D2C07" w:rsidRPr="007D2C07">
        <w:t>as</w:t>
      </w:r>
      <w:r w:rsidR="00422215">
        <w:t xml:space="preserve"> </w:t>
      </w:r>
      <w:r w:rsidR="007D2C07" w:rsidRPr="007D2C07">
        <w:t>well</w:t>
      </w:r>
      <w:r w:rsidR="00422215">
        <w:t xml:space="preserve"> </w:t>
      </w:r>
      <w:r w:rsidR="007D2C07" w:rsidRPr="007D2C07">
        <w:t>as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local</w:t>
      </w:r>
      <w:r w:rsidR="00422215">
        <w:t xml:space="preserve"> </w:t>
      </w:r>
      <w:r w:rsidR="00147775">
        <w:t>level;</w:t>
      </w:r>
    </w:p>
    <w:p w:rsidR="007D2C07" w:rsidRPr="007D2C07" w:rsidRDefault="003845BD" w:rsidP="00A04DF9">
      <w:pPr>
        <w:pStyle w:val="SingleTxtG"/>
        <w:ind w:firstLine="567"/>
      </w:pPr>
      <w:r>
        <w:t>(b)</w:t>
      </w:r>
      <w:r>
        <w:tab/>
      </w:r>
      <w:r w:rsidR="007D2C07" w:rsidRPr="007D2C07">
        <w:t>An</w:t>
      </w:r>
      <w:r w:rsidR="00422215">
        <w:t xml:space="preserve"> </w:t>
      </w:r>
      <w:r w:rsidR="007D2C07" w:rsidRPr="007D2C07">
        <w:t>intensified</w:t>
      </w:r>
      <w:r w:rsidR="00422215">
        <w:t xml:space="preserve"> </w:t>
      </w:r>
      <w:r w:rsidR="007D2C07" w:rsidRPr="007D2C07">
        <w:t>effort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target</w:t>
      </w:r>
      <w:r w:rsidR="00422215">
        <w:t xml:space="preserve"> </w:t>
      </w:r>
      <w:r w:rsidR="007D2C07" w:rsidRPr="007D2C07">
        <w:t>vulnerable</w:t>
      </w:r>
      <w:r w:rsidR="00422215">
        <w:t xml:space="preserve"> </w:t>
      </w:r>
      <w:r w:rsidR="007D2C07" w:rsidRPr="007D2C07">
        <w:t>unemployed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with</w:t>
      </w:r>
      <w:r w:rsidR="00422215">
        <w:t xml:space="preserve"> </w:t>
      </w:r>
      <w:r w:rsidR="007D2C07" w:rsidRPr="007D2C07">
        <w:t>reduced</w:t>
      </w:r>
      <w:r w:rsidR="00422215">
        <w:t xml:space="preserve"> </w:t>
      </w:r>
      <w:r w:rsidR="007D2C07" w:rsidRPr="007D2C07">
        <w:t>work</w:t>
      </w:r>
      <w:r w:rsidR="00422215">
        <w:t xml:space="preserve"> </w:t>
      </w:r>
      <w:r w:rsidR="007D2C07" w:rsidRPr="007D2C07">
        <w:t>capacity</w:t>
      </w:r>
      <w:r w:rsidR="00422215">
        <w:t xml:space="preserve"> </w:t>
      </w:r>
      <w:r w:rsidR="007D2C07" w:rsidRPr="007D2C07">
        <w:t>under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age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30.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strategy</w:t>
      </w:r>
      <w:r w:rsidR="00422215">
        <w:t xml:space="preserve"> </w:t>
      </w:r>
      <w:r w:rsidR="007D2C07" w:rsidRPr="007D2C07">
        <w:t>represents</w:t>
      </w:r>
      <w:r w:rsidR="00422215">
        <w:t xml:space="preserve"> </w:t>
      </w:r>
      <w:r w:rsidR="007D2C07" w:rsidRPr="007D2C07">
        <w:t>a</w:t>
      </w:r>
      <w:r w:rsidR="00422215">
        <w:t xml:space="preserve"> </w:t>
      </w:r>
      <w:r w:rsidR="007D2C07" w:rsidRPr="007D2C07">
        <w:t>systematic</w:t>
      </w:r>
      <w:r w:rsidR="00422215">
        <w:t xml:space="preserve"> </w:t>
      </w:r>
      <w:r w:rsidR="007D2C07" w:rsidRPr="007D2C07">
        <w:t>strengthening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NAV's</w:t>
      </w:r>
      <w:r w:rsidR="00422215">
        <w:t xml:space="preserve"> </w:t>
      </w:r>
      <w:r w:rsidR="007D2C07" w:rsidRPr="007D2C07">
        <w:t>follow-up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young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outside</w:t>
      </w:r>
      <w:r w:rsidR="00422215">
        <w:t xml:space="preserve"> </w:t>
      </w:r>
      <w:r w:rsidR="007D2C07" w:rsidRPr="007D2C07">
        <w:t>work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education,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places</w:t>
      </w:r>
      <w:r w:rsidR="00422215">
        <w:t xml:space="preserve"> </w:t>
      </w:r>
      <w:r w:rsidR="007D2C07" w:rsidRPr="007D2C07">
        <w:t>greater</w:t>
      </w:r>
      <w:r w:rsidR="00422215">
        <w:t xml:space="preserve"> </w:t>
      </w:r>
      <w:r w:rsidR="007D2C07" w:rsidRPr="007D2C07">
        <w:t>emphasis</w:t>
      </w:r>
      <w:r w:rsidR="00422215">
        <w:t xml:space="preserve"> </w:t>
      </w:r>
      <w:r w:rsidR="007D2C07" w:rsidRPr="007D2C07">
        <w:t>on</w:t>
      </w:r>
      <w:r w:rsidR="00422215">
        <w:t xml:space="preserve"> </w:t>
      </w:r>
      <w:r w:rsidR="007D2C07" w:rsidRPr="007D2C07">
        <w:t>early</w:t>
      </w:r>
      <w:r w:rsidR="00422215">
        <w:t xml:space="preserve"> </w:t>
      </w:r>
      <w:r w:rsidR="00A04DF9">
        <w:t xml:space="preserve">intervention. </w:t>
      </w:r>
      <w:r w:rsidR="007D2C07" w:rsidRPr="007D2C07">
        <w:t>The</w:t>
      </w:r>
      <w:r w:rsidR="00422215">
        <w:t xml:space="preserve"> </w:t>
      </w:r>
      <w:r w:rsidR="007D2C07" w:rsidRPr="007D2C07">
        <w:t>Government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social</w:t>
      </w:r>
      <w:r w:rsidR="00422215">
        <w:t xml:space="preserve"> </w:t>
      </w:r>
      <w:r w:rsidR="007D2C07" w:rsidRPr="007D2C07">
        <w:t>partners</w:t>
      </w:r>
      <w:r w:rsidR="00422215">
        <w:t xml:space="preserve"> </w:t>
      </w:r>
      <w:r w:rsidR="007D2C07" w:rsidRPr="007D2C07">
        <w:t>have</w:t>
      </w:r>
      <w:r w:rsidR="00422215">
        <w:t xml:space="preserve"> </w:t>
      </w:r>
      <w:r w:rsidR="007D2C07" w:rsidRPr="007D2C07">
        <w:t>agreed</w:t>
      </w:r>
      <w:r w:rsidR="00422215">
        <w:t xml:space="preserve"> </w:t>
      </w:r>
      <w:r w:rsidR="007D2C07" w:rsidRPr="007D2C07">
        <w:t>on</w:t>
      </w:r>
      <w:r w:rsidR="00422215">
        <w:t xml:space="preserve"> </w:t>
      </w:r>
      <w:r w:rsidR="007D2C07" w:rsidRPr="007D2C07">
        <w:t>an</w:t>
      </w:r>
      <w:r w:rsidR="00422215">
        <w:t xml:space="preserve"> </w:t>
      </w:r>
      <w:r w:rsidR="007D2C07" w:rsidRPr="007D2C07">
        <w:t>action</w:t>
      </w:r>
      <w:r w:rsidR="00422215">
        <w:t xml:space="preserve"> </w:t>
      </w:r>
      <w:r w:rsidR="007D2C07" w:rsidRPr="007D2C07">
        <w:t>plan</w:t>
      </w:r>
      <w:r w:rsidR="00422215">
        <w:t xml:space="preserve"> </w:t>
      </w:r>
      <w:r w:rsidR="007D2C07" w:rsidRPr="007D2C07">
        <w:t>on</w:t>
      </w:r>
      <w:r w:rsidR="00422215">
        <w:t xml:space="preserve"> </w:t>
      </w:r>
      <w:r w:rsidR="007D2C07" w:rsidRPr="007D2C07">
        <w:t>reinforced</w:t>
      </w:r>
      <w:r w:rsidR="00422215">
        <w:t xml:space="preserve"> </w:t>
      </w:r>
      <w:r w:rsidR="007D2C07" w:rsidRPr="007D2C07">
        <w:t>efforts</w:t>
      </w:r>
      <w:r w:rsidR="00422215">
        <w:t xml:space="preserve"> </w:t>
      </w:r>
      <w:r w:rsidR="007D2C07" w:rsidRPr="007D2C07">
        <w:t>targeting</w:t>
      </w:r>
      <w:r w:rsidR="00422215">
        <w:t xml:space="preserve"> </w:t>
      </w:r>
      <w:r w:rsidR="007D2C07" w:rsidRPr="007D2C07">
        <w:t>recipients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work</w:t>
      </w:r>
      <w:r w:rsidR="00422215">
        <w:t xml:space="preserve"> </w:t>
      </w:r>
      <w:r w:rsidR="007D2C07" w:rsidRPr="007D2C07">
        <w:t>assessment</w:t>
      </w:r>
      <w:r w:rsidR="00422215">
        <w:t xml:space="preserve"> </w:t>
      </w:r>
      <w:r w:rsidR="007D2C07" w:rsidRPr="007D2C07">
        <w:t>allowance</w:t>
      </w:r>
      <w:r w:rsidR="00422215">
        <w:t xml:space="preserve"> </w:t>
      </w:r>
      <w:r w:rsidR="007D2C07" w:rsidRPr="007D2C07">
        <w:t>under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age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30.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aim</w:t>
      </w:r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increase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participation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young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with</w:t>
      </w:r>
      <w:r w:rsidR="00422215">
        <w:t xml:space="preserve"> </w:t>
      </w:r>
      <w:r w:rsidR="007D2C07" w:rsidRPr="007D2C07">
        <w:t>disabilities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work,</w:t>
      </w:r>
      <w:r w:rsidR="00422215">
        <w:t xml:space="preserve"> </w:t>
      </w:r>
      <w:r w:rsidR="007D2C07" w:rsidRPr="007D2C07">
        <w:t>education,</w:t>
      </w:r>
      <w:r w:rsidR="00422215">
        <w:t xml:space="preserve"> </w:t>
      </w:r>
      <w:r w:rsidR="007D2C07" w:rsidRPr="007D2C07">
        <w:t>wage-subsidies</w:t>
      </w:r>
      <w:r w:rsidR="00422215">
        <w:t xml:space="preserve"> </w:t>
      </w:r>
      <w:r w:rsidR="007D2C07" w:rsidRPr="007D2C07">
        <w:t>or</w:t>
      </w:r>
      <w:r w:rsidR="00422215">
        <w:t xml:space="preserve"> </w:t>
      </w:r>
      <w:r w:rsidR="007D2C07" w:rsidRPr="007D2C07">
        <w:t>work-oriented</w:t>
      </w:r>
      <w:r w:rsidR="00422215">
        <w:t xml:space="preserve"> </w:t>
      </w:r>
      <w:r w:rsidR="007D2C07" w:rsidRPr="007D2C07">
        <w:t>activity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ordinary</w:t>
      </w:r>
      <w:r w:rsidR="00422215">
        <w:t xml:space="preserve"> </w:t>
      </w:r>
      <w:r w:rsidR="007D2C07" w:rsidRPr="007D2C07">
        <w:t>working</w:t>
      </w:r>
      <w:r w:rsidR="00422215">
        <w:t xml:space="preserve"> </w:t>
      </w:r>
      <w:r w:rsidR="007D2C07" w:rsidRPr="007D2C07">
        <w:t>life.</w:t>
      </w:r>
      <w:r w:rsidR="00A04DF9">
        <w:t xml:space="preserve"> </w:t>
      </w:r>
      <w:r w:rsidR="007D2C07" w:rsidRPr="007D2C07">
        <w:t>"The</w:t>
      </w:r>
      <w:r w:rsidR="00422215">
        <w:t xml:space="preserve"> </w:t>
      </w:r>
      <w:r w:rsidR="007D2C07" w:rsidRPr="007D2C07">
        <w:t>0-24</w:t>
      </w:r>
      <w:r w:rsidR="00422215">
        <w:t xml:space="preserve"> </w:t>
      </w:r>
      <w:r w:rsidR="007D2C07" w:rsidRPr="007D2C07">
        <w:t>collaboration"</w:t>
      </w:r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a</w:t>
      </w:r>
      <w:r w:rsidR="00422215">
        <w:t xml:space="preserve"> </w:t>
      </w:r>
      <w:r w:rsidR="007D2C07" w:rsidRPr="007D2C07">
        <w:t>five-year</w:t>
      </w:r>
      <w:r w:rsidR="00422215">
        <w:t xml:space="preserve"> </w:t>
      </w:r>
      <w:r w:rsidR="007D2C07" w:rsidRPr="007D2C07">
        <w:t>cooperation</w:t>
      </w:r>
      <w:r w:rsidR="00422215">
        <w:t xml:space="preserve"> </w:t>
      </w:r>
      <w:r w:rsidR="007D2C07" w:rsidRPr="007D2C07">
        <w:t>(2015-2020)</w:t>
      </w:r>
      <w:r w:rsidR="00422215">
        <w:t xml:space="preserve"> </w:t>
      </w:r>
      <w:r w:rsidR="007D2C07" w:rsidRPr="007D2C07">
        <w:t>between</w:t>
      </w:r>
      <w:r w:rsidR="00422215">
        <w:t xml:space="preserve"> </w:t>
      </w:r>
      <w:r w:rsidR="007D2C07" w:rsidRPr="007D2C07">
        <w:t>five</w:t>
      </w:r>
      <w:r w:rsidR="00422215">
        <w:t xml:space="preserve"> </w:t>
      </w:r>
      <w:r w:rsidR="007D2C07" w:rsidRPr="007D2C07">
        <w:t>ministries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associated</w:t>
      </w:r>
      <w:r w:rsidR="00422215">
        <w:t xml:space="preserve"> </w:t>
      </w:r>
      <w:r w:rsidR="007D2C07" w:rsidRPr="007D2C07">
        <w:t>agencies.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aim</w:t>
      </w:r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facilitate</w:t>
      </w:r>
      <w:r w:rsidR="00422215">
        <w:t xml:space="preserve"> </w:t>
      </w:r>
      <w:r w:rsidR="007D2C07" w:rsidRPr="007D2C07">
        <w:t>proactive,</w:t>
      </w:r>
      <w:r w:rsidR="00422215">
        <w:t xml:space="preserve"> </w:t>
      </w:r>
      <w:r w:rsidR="007D2C07" w:rsidRPr="007D2C07">
        <w:t>comprehensive,</w:t>
      </w:r>
      <w:r w:rsidR="00422215">
        <w:t xml:space="preserve"> </w:t>
      </w:r>
      <w:r w:rsidR="007D2C07" w:rsidRPr="007D2C07">
        <w:t>efficient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competent</w:t>
      </w:r>
      <w:r w:rsidR="00422215">
        <w:t xml:space="preserve"> </w:t>
      </w:r>
      <w:r w:rsidR="007D2C07" w:rsidRPr="007D2C07">
        <w:t>services</w:t>
      </w:r>
      <w:r w:rsidR="00422215">
        <w:t xml:space="preserve"> </w:t>
      </w:r>
      <w:r w:rsidR="007D2C07" w:rsidRPr="007D2C07">
        <w:t>for</w:t>
      </w:r>
      <w:r w:rsidR="00422215">
        <w:t xml:space="preserve"> </w:t>
      </w:r>
      <w:r w:rsidR="007D2C07" w:rsidRPr="007D2C07">
        <w:t>vulnerable</w:t>
      </w:r>
      <w:r w:rsidR="00422215">
        <w:t xml:space="preserve"> </w:t>
      </w:r>
      <w:r w:rsidR="007D2C07" w:rsidRPr="007D2C07">
        <w:t>children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young</w:t>
      </w:r>
      <w:r w:rsidR="00422215">
        <w:t xml:space="preserve"> </w:t>
      </w:r>
      <w:r w:rsidR="007D2C07" w:rsidRPr="007D2C07">
        <w:t>adults</w:t>
      </w:r>
      <w:r w:rsidR="00422215">
        <w:t xml:space="preserve"> </w:t>
      </w:r>
      <w:r w:rsidR="007D2C07" w:rsidRPr="007D2C07">
        <w:t>under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age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24</w:t>
      </w:r>
      <w:r w:rsidR="00422215">
        <w:t xml:space="preserve"> </w:t>
      </w:r>
      <w:r w:rsidR="007D2C07" w:rsidRPr="007D2C07">
        <w:t>facing</w:t>
      </w:r>
      <w:r w:rsidR="00422215">
        <w:t xml:space="preserve"> </w:t>
      </w:r>
      <w:r w:rsidR="007D2C07" w:rsidRPr="007D2C07">
        <w:t>complex</w:t>
      </w:r>
      <w:r w:rsidR="00422215">
        <w:t xml:space="preserve"> </w:t>
      </w:r>
      <w:r w:rsidR="007D2C07" w:rsidRPr="007D2C07">
        <w:t>challenges,</w:t>
      </w:r>
      <w:r w:rsidR="00422215">
        <w:t xml:space="preserve"> </w:t>
      </w:r>
      <w:r w:rsidR="007D2C07" w:rsidRPr="007D2C07">
        <w:t>reduce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dropout</w:t>
      </w:r>
      <w:r w:rsidR="00422215">
        <w:t xml:space="preserve"> </w:t>
      </w:r>
      <w:r w:rsidR="007D2C07" w:rsidRPr="007D2C07">
        <w:t>rate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secondary</w:t>
      </w:r>
      <w:r w:rsidR="00422215">
        <w:t xml:space="preserve"> </w:t>
      </w:r>
      <w:r w:rsidR="007D2C07" w:rsidRPr="007D2C07">
        <w:t>school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increase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employment</w:t>
      </w:r>
      <w:r w:rsidR="00422215">
        <w:t xml:space="preserve"> </w:t>
      </w:r>
      <w:r w:rsidR="007D2C07" w:rsidRPr="007D2C07">
        <w:t>rate</w:t>
      </w:r>
      <w:r w:rsidR="00422215">
        <w:t xml:space="preserve"> </w:t>
      </w:r>
      <w:r w:rsidR="007D2C07" w:rsidRPr="007D2C07">
        <w:t>among</w:t>
      </w:r>
      <w:r w:rsidR="00422215">
        <w:t xml:space="preserve"> </w:t>
      </w:r>
      <w:r w:rsidR="007D2C07" w:rsidRPr="007D2C07">
        <w:t>youths</w:t>
      </w:r>
      <w:r w:rsidR="00422215">
        <w:t xml:space="preserve"> </w:t>
      </w:r>
      <w:r w:rsidR="007D2C07" w:rsidRPr="007D2C07">
        <w:t>through</w:t>
      </w:r>
      <w:r w:rsidR="00422215">
        <w:t xml:space="preserve"> </w:t>
      </w:r>
      <w:r w:rsidR="007D2C07" w:rsidRPr="007D2C07">
        <w:t>increased</w:t>
      </w:r>
      <w:r w:rsidR="00422215">
        <w:t xml:space="preserve"> </w:t>
      </w:r>
      <w:r w:rsidR="007D2C07" w:rsidRPr="007D2C07">
        <w:t>cooperation</w:t>
      </w:r>
      <w:r w:rsidR="00422215">
        <w:t xml:space="preserve"> </w:t>
      </w:r>
      <w:r w:rsidR="007D2C07" w:rsidRPr="007D2C07">
        <w:t>between</w:t>
      </w:r>
      <w:r w:rsidR="00422215">
        <w:t xml:space="preserve"> </w:t>
      </w:r>
      <w:r w:rsidR="00147775">
        <w:t>sectors;</w:t>
      </w:r>
    </w:p>
    <w:p w:rsidR="007D2C07" w:rsidRPr="007D2C07" w:rsidRDefault="003845BD" w:rsidP="003845BD">
      <w:pPr>
        <w:pStyle w:val="SingleTxtG"/>
        <w:ind w:firstLine="567"/>
      </w:pPr>
      <w:r>
        <w:t>(c)</w:t>
      </w:r>
      <w:r>
        <w:tab/>
      </w:r>
      <w:r w:rsidR="007D2C07" w:rsidRPr="007D2C07">
        <w:t>To</w:t>
      </w:r>
      <w:r w:rsidR="00422215">
        <w:t xml:space="preserve"> </w:t>
      </w:r>
      <w:r w:rsidR="007D2C07" w:rsidRPr="007D2C07">
        <w:t>enhance</w:t>
      </w:r>
      <w:r w:rsidR="00422215">
        <w:t xml:space="preserve"> </w:t>
      </w:r>
      <w:r w:rsidR="007D2C07" w:rsidRPr="007D2C07">
        <w:t>employment,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Government</w:t>
      </w:r>
      <w:r w:rsidR="00422215">
        <w:t xml:space="preserve"> </w:t>
      </w:r>
      <w:r w:rsidR="007D2C07" w:rsidRPr="007D2C07">
        <w:t>has</w:t>
      </w:r>
      <w:r w:rsidR="00422215">
        <w:t xml:space="preserve"> </w:t>
      </w:r>
      <w:r w:rsidR="007D2C07" w:rsidRPr="007D2C07">
        <w:t>intensified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follow-up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long-term</w:t>
      </w:r>
      <w:r w:rsidR="00422215">
        <w:t xml:space="preserve"> </w:t>
      </w:r>
      <w:r w:rsidR="007D2C07" w:rsidRPr="007D2C07">
        <w:t>unemployed.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target</w:t>
      </w:r>
      <w:r w:rsidR="00422215">
        <w:t xml:space="preserve"> </w:t>
      </w:r>
      <w:r w:rsidR="007D2C07" w:rsidRPr="007D2C07">
        <w:t>group</w:t>
      </w:r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recipients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unemployment</w:t>
      </w:r>
      <w:r w:rsidR="00422215">
        <w:t xml:space="preserve"> </w:t>
      </w:r>
      <w:r w:rsidR="007D2C07" w:rsidRPr="007D2C07">
        <w:t>benefits</w:t>
      </w:r>
      <w:r w:rsidR="00422215">
        <w:t xml:space="preserve"> </w:t>
      </w:r>
      <w:r w:rsidR="007D2C07" w:rsidRPr="007D2C07">
        <w:t>who</w:t>
      </w:r>
      <w:r w:rsidR="00422215">
        <w:t xml:space="preserve"> </w:t>
      </w:r>
      <w:r w:rsidR="007D2C07" w:rsidRPr="007D2C07">
        <w:t>are</w:t>
      </w:r>
      <w:r w:rsidR="00422215">
        <w:t xml:space="preserve"> </w:t>
      </w:r>
      <w:r w:rsidR="007D2C07" w:rsidRPr="007D2C07">
        <w:t>approaching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end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maximum</w:t>
      </w:r>
      <w:r w:rsidR="00422215">
        <w:t xml:space="preserve"> </w:t>
      </w:r>
      <w:r w:rsidR="007D2C07" w:rsidRPr="007D2C07">
        <w:t>period</w:t>
      </w:r>
      <w:r w:rsidR="00422215">
        <w:t xml:space="preserve"> </w:t>
      </w:r>
      <w:r w:rsidR="007D2C07" w:rsidRPr="007D2C07">
        <w:t>(two</w:t>
      </w:r>
      <w:r w:rsidR="00422215">
        <w:t xml:space="preserve"> </w:t>
      </w:r>
      <w:r w:rsidR="007D2C07" w:rsidRPr="007D2C07">
        <w:t>years).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effort</w:t>
      </w:r>
      <w:r w:rsidR="00422215">
        <w:t xml:space="preserve"> </w:t>
      </w:r>
      <w:proofErr w:type="gramStart"/>
      <w:r w:rsidR="007D2C07" w:rsidRPr="007D2C07">
        <w:t>was</w:t>
      </w:r>
      <w:r w:rsidR="00422215">
        <w:t xml:space="preserve"> </w:t>
      </w:r>
      <w:r w:rsidR="007D2C07" w:rsidRPr="007D2C07">
        <w:t>initiated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2017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further</w:t>
      </w:r>
      <w:r w:rsidR="00422215">
        <w:t xml:space="preserve"> </w:t>
      </w:r>
      <w:r w:rsidR="007D2C07" w:rsidRPr="007D2C07">
        <w:t>strengthened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147775">
        <w:t>2018;</w:t>
      </w:r>
      <w:proofErr w:type="gramEnd"/>
    </w:p>
    <w:p w:rsidR="007D2C07" w:rsidRPr="007D2C07" w:rsidRDefault="003845BD" w:rsidP="003845BD">
      <w:pPr>
        <w:pStyle w:val="SingleTxtG"/>
        <w:ind w:firstLine="567"/>
      </w:pPr>
      <w:r>
        <w:t>(d)</w:t>
      </w:r>
      <w:r>
        <w:tab/>
      </w:r>
      <w:r w:rsidR="007D2C07" w:rsidRPr="007D2C07">
        <w:t>In</w:t>
      </w:r>
      <w:r w:rsidR="00422215">
        <w:t xml:space="preserve"> </w:t>
      </w:r>
      <w:r w:rsidR="007D2C07" w:rsidRPr="007D2C07">
        <w:t>2014,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Ministry</w:t>
      </w:r>
      <w:r w:rsidR="00422215">
        <w:t xml:space="preserve"> </w:t>
      </w:r>
      <w:r w:rsidR="007D2C07" w:rsidRPr="007D2C07">
        <w:t>of</w:t>
      </w:r>
      <w:r w:rsidR="00422215">
        <w:t xml:space="preserve"> </w:t>
      </w:r>
      <w:r w:rsidR="007D2C07" w:rsidRPr="007D2C07">
        <w:t>Labour</w:t>
      </w:r>
      <w:r w:rsidR="00422215">
        <w:t xml:space="preserve"> </w:t>
      </w:r>
      <w:r w:rsidR="007D2C07" w:rsidRPr="007D2C07">
        <w:t>and</w:t>
      </w:r>
      <w:r w:rsidR="00422215">
        <w:t xml:space="preserve"> </w:t>
      </w:r>
      <w:r w:rsidR="007D2C07" w:rsidRPr="007D2C07">
        <w:t>Social</w:t>
      </w:r>
      <w:r w:rsidR="00422215">
        <w:t xml:space="preserve"> </w:t>
      </w:r>
      <w:r w:rsidR="007D2C07" w:rsidRPr="007D2C07">
        <w:t>Affairs</w:t>
      </w:r>
      <w:r w:rsidR="00422215">
        <w:t xml:space="preserve"> </w:t>
      </w:r>
      <w:r w:rsidR="007D2C07" w:rsidRPr="007D2C07">
        <w:t>launched</w:t>
      </w:r>
      <w:r w:rsidR="00422215">
        <w:t xml:space="preserve"> </w:t>
      </w:r>
      <w:r w:rsidR="007D2C07" w:rsidRPr="007D2C07">
        <w:t>a</w:t>
      </w:r>
      <w:r w:rsidR="00422215">
        <w:t xml:space="preserve"> </w:t>
      </w:r>
      <w:r w:rsidR="007D2C07" w:rsidRPr="007D2C07">
        <w:t>pilot</w:t>
      </w:r>
      <w:r w:rsidR="00422215">
        <w:t xml:space="preserve"> </w:t>
      </w:r>
      <w:r w:rsidR="007D2C07" w:rsidRPr="007D2C07">
        <w:t>study</w:t>
      </w:r>
      <w:r w:rsidR="00422215">
        <w:t xml:space="preserve"> </w:t>
      </w:r>
      <w:r w:rsidR="007D2C07" w:rsidRPr="007D2C07">
        <w:t>using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method</w:t>
      </w:r>
      <w:r w:rsidR="00422215">
        <w:t xml:space="preserve"> </w:t>
      </w:r>
      <w:r w:rsidR="007D2C07" w:rsidRPr="007D2C07">
        <w:t>"Supported</w:t>
      </w:r>
      <w:r w:rsidR="00422215">
        <w:t xml:space="preserve"> </w:t>
      </w:r>
      <w:r w:rsidR="007D2C07" w:rsidRPr="007D2C07">
        <w:t>employment".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purpose</w:t>
      </w:r>
      <w:r w:rsidR="00422215">
        <w:t xml:space="preserve"> </w:t>
      </w:r>
      <w:r w:rsidR="007D2C07" w:rsidRPr="007D2C07">
        <w:t>was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assess</w:t>
      </w:r>
      <w:r w:rsidR="00422215">
        <w:t xml:space="preserve"> </w:t>
      </w:r>
      <w:r w:rsidR="007D2C07" w:rsidRPr="007D2C07">
        <w:t>whether</w:t>
      </w:r>
      <w:r w:rsidR="00422215">
        <w:t xml:space="preserve"> </w:t>
      </w:r>
      <w:r w:rsidR="007D2C07" w:rsidRPr="007D2C07">
        <w:t>this</w:t>
      </w:r>
      <w:r w:rsidR="00422215">
        <w:t xml:space="preserve"> </w:t>
      </w:r>
      <w:r w:rsidR="007D2C07" w:rsidRPr="007D2C07">
        <w:t>method</w:t>
      </w:r>
      <w:r w:rsidR="00422215">
        <w:t xml:space="preserve"> </w:t>
      </w:r>
      <w:r w:rsidR="007D2C07" w:rsidRPr="007D2C07">
        <w:t>could</w:t>
      </w:r>
      <w:r w:rsidR="00422215">
        <w:t xml:space="preserve"> </w:t>
      </w:r>
      <w:r w:rsidR="007D2C07" w:rsidRPr="007D2C07">
        <w:t>be</w:t>
      </w:r>
      <w:r w:rsidR="00422215">
        <w:t xml:space="preserve"> </w:t>
      </w:r>
      <w:r w:rsidR="007D2C07" w:rsidRPr="007D2C07">
        <w:t>a</w:t>
      </w:r>
      <w:r w:rsidR="00422215">
        <w:t xml:space="preserve"> </w:t>
      </w:r>
      <w:r w:rsidR="007D2C07" w:rsidRPr="007D2C07">
        <w:t>good</w:t>
      </w:r>
      <w:r w:rsidR="00422215">
        <w:t xml:space="preserve"> </w:t>
      </w:r>
      <w:r w:rsidR="007D2C07" w:rsidRPr="007D2C07">
        <w:t>approach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getting</w:t>
      </w:r>
      <w:r w:rsidR="00422215">
        <w:t xml:space="preserve"> </w:t>
      </w:r>
      <w:r w:rsidR="007D2C07" w:rsidRPr="007D2C07">
        <w:t>more</w:t>
      </w:r>
      <w:r w:rsidR="00422215">
        <w:t xml:space="preserve"> </w:t>
      </w:r>
      <w:r w:rsidR="007D2C07" w:rsidRPr="007D2C07">
        <w:t>people</w:t>
      </w:r>
      <w:r w:rsidR="00422215">
        <w:t xml:space="preserve"> </w:t>
      </w:r>
      <w:r w:rsidR="007D2C07" w:rsidRPr="007D2C07">
        <w:t>with</w:t>
      </w:r>
      <w:r w:rsidR="00422215">
        <w:t xml:space="preserve"> </w:t>
      </w:r>
      <w:r w:rsidR="007D2C07" w:rsidRPr="007D2C07">
        <w:t>reduced</w:t>
      </w:r>
      <w:r w:rsidR="00422215">
        <w:t xml:space="preserve"> </w:t>
      </w:r>
      <w:r w:rsidR="007D2C07" w:rsidRPr="007D2C07">
        <w:t>work</w:t>
      </w:r>
      <w:r w:rsidR="00422215">
        <w:t xml:space="preserve"> </w:t>
      </w:r>
      <w:r w:rsidR="007D2C07" w:rsidRPr="007D2C07">
        <w:t>ability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work</w:t>
      </w:r>
      <w:r w:rsidR="00422215">
        <w:t xml:space="preserve"> </w:t>
      </w:r>
      <w:r w:rsidR="007D2C07" w:rsidRPr="007D2C07">
        <w:t>again.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experiment</w:t>
      </w:r>
      <w:r w:rsidR="00422215">
        <w:t xml:space="preserve"> </w:t>
      </w:r>
      <w:r w:rsidR="007D2C07" w:rsidRPr="007D2C07">
        <w:t>has</w:t>
      </w:r>
      <w:r w:rsidR="00422215">
        <w:t xml:space="preserve"> </w:t>
      </w:r>
      <w:r w:rsidR="007D2C07" w:rsidRPr="007D2C07">
        <w:t>been</w:t>
      </w:r>
      <w:r w:rsidR="00422215">
        <w:t xml:space="preserve"> </w:t>
      </w:r>
      <w:r w:rsidR="007D2C07" w:rsidRPr="007D2C07">
        <w:t>conducted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seven</w:t>
      </w:r>
      <w:r w:rsidR="00422215">
        <w:t xml:space="preserve"> </w:t>
      </w:r>
      <w:r w:rsidR="007D2C07" w:rsidRPr="007D2C07">
        <w:t>counties</w:t>
      </w:r>
      <w:r w:rsidR="00422215">
        <w:t xml:space="preserve"> </w:t>
      </w:r>
      <w:r w:rsidR="007D2C07" w:rsidRPr="007D2C07">
        <w:t>over</w:t>
      </w:r>
      <w:r w:rsidR="00422215">
        <w:t xml:space="preserve"> </w:t>
      </w:r>
      <w:r w:rsidR="007D2C07" w:rsidRPr="007D2C07">
        <w:t>four</w:t>
      </w:r>
      <w:r w:rsidR="00422215">
        <w:t xml:space="preserve"> </w:t>
      </w:r>
      <w:r w:rsidR="007D2C07" w:rsidRPr="007D2C07">
        <w:t>years.</w:t>
      </w:r>
      <w:r w:rsidR="00422215">
        <w:t xml:space="preserve"> </w:t>
      </w:r>
      <w:r w:rsidR="007D2C07" w:rsidRPr="007D2C07">
        <w:t>The</w:t>
      </w:r>
      <w:r w:rsidR="00422215">
        <w:t xml:space="preserve"> </w:t>
      </w:r>
      <w:r w:rsidR="007D2C07" w:rsidRPr="007D2C07">
        <w:t>evaluation</w:t>
      </w:r>
      <w:r w:rsidR="00422215">
        <w:t xml:space="preserve"> </w:t>
      </w:r>
      <w:r w:rsidR="007D2C07" w:rsidRPr="007D2C07">
        <w:t>conducted</w:t>
      </w:r>
      <w:r w:rsidR="00422215">
        <w:t xml:space="preserve"> </w:t>
      </w:r>
      <w:r w:rsidR="007D2C07" w:rsidRPr="007D2C07">
        <w:t>by</w:t>
      </w:r>
      <w:r w:rsidR="00422215">
        <w:t xml:space="preserve"> </w:t>
      </w:r>
      <w:proofErr w:type="spellStart"/>
      <w:r w:rsidR="007D2C07" w:rsidRPr="007D2C07">
        <w:t>Frischsenteret</w:t>
      </w:r>
      <w:proofErr w:type="spellEnd"/>
      <w:r w:rsidR="00422215">
        <w:t xml:space="preserve"> </w:t>
      </w:r>
      <w:r w:rsidR="007D2C07" w:rsidRPr="007D2C07">
        <w:t>is</w:t>
      </w:r>
      <w:r w:rsidR="00422215">
        <w:t xml:space="preserve"> </w:t>
      </w:r>
      <w:r w:rsidR="007D2C07" w:rsidRPr="007D2C07">
        <w:t>expected</w:t>
      </w:r>
      <w:r w:rsidR="00422215">
        <w:t xml:space="preserve"> </w:t>
      </w:r>
      <w:r w:rsidR="007D2C07" w:rsidRPr="007D2C07">
        <w:t>to</w:t>
      </w:r>
      <w:r w:rsidR="00422215">
        <w:t xml:space="preserve"> </w:t>
      </w:r>
      <w:r w:rsidR="007D2C07" w:rsidRPr="007D2C07">
        <w:t>be</w:t>
      </w:r>
      <w:r w:rsidR="00422215">
        <w:t xml:space="preserve"> </w:t>
      </w:r>
      <w:r w:rsidR="007D2C07" w:rsidRPr="007D2C07">
        <w:t>completed</w:t>
      </w:r>
      <w:r w:rsidR="00422215">
        <w:t xml:space="preserve"> </w:t>
      </w:r>
      <w:r w:rsidR="007D2C07" w:rsidRPr="007D2C07">
        <w:t>in</w:t>
      </w:r>
      <w:r w:rsidR="00422215">
        <w:t xml:space="preserve"> </w:t>
      </w:r>
      <w:r w:rsidR="007D2C07" w:rsidRPr="007D2C07">
        <w:t>2020.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political</w:t>
      </w:r>
      <w:r w:rsidR="00422215">
        <w:t xml:space="preserve"> </w:t>
      </w:r>
      <w:r w:rsidRPr="007D2C07">
        <w:t>platform</w:t>
      </w:r>
      <w:r w:rsidR="00422215">
        <w:t xml:space="preserve"> </w:t>
      </w:r>
      <w:r w:rsidRPr="007D2C07">
        <w:t>presented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underlined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integration</w:t>
      </w:r>
      <w:r w:rsidR="00422215">
        <w:t xml:space="preserve"> </w:t>
      </w:r>
      <w:r w:rsidRPr="007D2C07">
        <w:t>efforts.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introduction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reformed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clear</w:t>
      </w:r>
      <w:r w:rsidR="00422215">
        <w:t xml:space="preserve"> </w:t>
      </w:r>
      <w:r w:rsidRPr="007D2C07">
        <w:t>expectations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results.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models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introduction</w:t>
      </w:r>
      <w:r w:rsidR="00422215">
        <w:t xml:space="preserve"> </w:t>
      </w:r>
      <w:r w:rsidRPr="007D2C07">
        <w:t>benefit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courses</w:t>
      </w:r>
      <w:r w:rsidR="00422215">
        <w:t xml:space="preserve"> </w:t>
      </w:r>
      <w:r w:rsidRPr="007D2C07">
        <w:t>(Norwegian)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renewed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improved.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presented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integration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Integration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knowledge.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purpose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immigrants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life.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meet</w:t>
      </w:r>
      <w:r w:rsidR="00422215">
        <w:t xml:space="preserve"> </w:t>
      </w:r>
      <w:r w:rsidRPr="007D2C07">
        <w:t>current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future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market,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formal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immigrants.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introduces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meet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challenges.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Letter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Intent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(the</w:t>
      </w:r>
      <w:r w:rsidR="00422215">
        <w:t xml:space="preserve"> </w:t>
      </w:r>
      <w:r w:rsidRPr="007D2C07">
        <w:t>IA</w:t>
      </w:r>
      <w:r w:rsidR="00422215">
        <w:t xml:space="preserve"> </w:t>
      </w:r>
      <w:r w:rsidRPr="007D2C07">
        <w:t>Agreement)</w:t>
      </w:r>
      <w:r w:rsidR="00422215">
        <w:t xml:space="preserve"> </w:t>
      </w:r>
      <w:r w:rsidRPr="007D2C07">
        <w:t>builds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tradition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trust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authorities,</w:t>
      </w:r>
      <w:r w:rsidR="00422215">
        <w:t xml:space="preserve"> </w:t>
      </w:r>
      <w:r w:rsidRPr="007D2C07">
        <w:t>employees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shared</w:t>
      </w:r>
      <w:r w:rsidR="00422215">
        <w:t xml:space="preserve"> </w:t>
      </w:r>
      <w:r w:rsidRPr="007D2C07">
        <w:t>acknowledgement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promotes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implementation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could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withdrawal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work.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previous</w:t>
      </w:r>
      <w:r w:rsidR="00422215">
        <w:t xml:space="preserve"> </w:t>
      </w:r>
      <w:r w:rsidRPr="007D2C07">
        <w:t>Letter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Intent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applied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2014-2018.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paramount</w:t>
      </w:r>
      <w:r w:rsidR="00422215">
        <w:t xml:space="preserve"> </w:t>
      </w:r>
      <w:r w:rsidRPr="007D2C07">
        <w:t>objectives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environment,</w:t>
      </w:r>
      <w:r w:rsidR="00422215">
        <w:t xml:space="preserve"> </w:t>
      </w:r>
      <w:r w:rsidRPr="007D2C07">
        <w:t>help</w:t>
      </w:r>
      <w:r w:rsidR="00422215">
        <w:t xml:space="preserve"> </w:t>
      </w:r>
      <w:r w:rsidRPr="007D2C07">
        <w:t>bring</w:t>
      </w:r>
      <w:r w:rsidR="00422215">
        <w:t xml:space="preserve"> </w:t>
      </w:r>
      <w:r w:rsidRPr="007D2C07">
        <w:t>employees</w:t>
      </w:r>
      <w:r w:rsidR="00422215">
        <w:t xml:space="preserve"> </w:t>
      </w:r>
      <w:r w:rsidRPr="007D2C07">
        <w:t>back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work,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absence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illness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expulsion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withdrawal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three</w:t>
      </w:r>
      <w:r w:rsidR="00422215">
        <w:t xml:space="preserve"> </w:t>
      </w:r>
      <w:r w:rsidRPr="007D2C07">
        <w:t>operative</w:t>
      </w:r>
      <w:r w:rsidR="00422215">
        <w:t xml:space="preserve"> </w:t>
      </w:r>
      <w:r w:rsidRPr="007D2C07">
        <w:t>goals:</w:t>
      </w:r>
      <w:r w:rsidR="00422215">
        <w:t xml:space="preserve"> </w:t>
      </w:r>
      <w:r w:rsidRPr="007D2C07">
        <w:t>(1)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20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reduction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sick</w:t>
      </w:r>
      <w:r w:rsidR="00422215">
        <w:t xml:space="preserve"> </w:t>
      </w:r>
      <w:r w:rsidRPr="007D2C07">
        <w:t>leave</w:t>
      </w:r>
      <w:r w:rsidR="00422215">
        <w:t xml:space="preserve"> </w:t>
      </w:r>
      <w:r w:rsidRPr="007D2C07">
        <w:t>compared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second</w:t>
      </w:r>
      <w:r w:rsidR="00422215">
        <w:t xml:space="preserve"> </w:t>
      </w:r>
      <w:r w:rsidRPr="007D2C07">
        <w:t>quarter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2001;</w:t>
      </w:r>
      <w:r w:rsidR="00422215">
        <w:t xml:space="preserve"> </w:t>
      </w:r>
      <w:r w:rsidRPr="007D2C07">
        <w:t>(2)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withdrawal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functional</w:t>
      </w:r>
      <w:r w:rsidR="00422215">
        <w:t xml:space="preserve"> </w:t>
      </w:r>
      <w:r w:rsidRPr="007D2C07">
        <w:t>ability;</w:t>
      </w:r>
      <w:r w:rsidR="00422215">
        <w:t xml:space="preserve"> </w:t>
      </w:r>
      <w:r w:rsidRPr="007D2C07">
        <w:t>(3)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50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extended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twelve</w:t>
      </w:r>
      <w:r w:rsidR="00422215">
        <w:t xml:space="preserve"> </w:t>
      </w:r>
      <w:r w:rsidRPr="007D2C07">
        <w:t>months.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absence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illness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first</w:t>
      </w:r>
      <w:r w:rsidR="00422215">
        <w:t xml:space="preserve"> </w:t>
      </w:r>
      <w:r w:rsidRPr="007D2C07">
        <w:t>IA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signed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2001,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remained</w:t>
      </w:r>
      <w:r w:rsidR="00422215">
        <w:t xml:space="preserve"> </w:t>
      </w:r>
      <w:r w:rsidRPr="007D2C07">
        <w:t>broadly</w:t>
      </w:r>
      <w:r w:rsidR="00422215">
        <w:t xml:space="preserve"> </w:t>
      </w:r>
      <w:r w:rsidRPr="007D2C07">
        <w:t>unchanged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2012.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awareness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disabilities.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rate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functional</w:t>
      </w:r>
      <w:r w:rsidR="00422215">
        <w:t xml:space="preserve"> </w:t>
      </w:r>
      <w:r w:rsidRPr="007D2C07">
        <w:t>ability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stable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2006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around</w:t>
      </w:r>
      <w:r w:rsidR="00422215">
        <w:t xml:space="preserve"> </w:t>
      </w:r>
      <w:r w:rsidRPr="007D2C07">
        <w:t>43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employed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retiring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increased,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third</w:t>
      </w:r>
      <w:r w:rsidR="00422215">
        <w:t xml:space="preserve"> </w:t>
      </w:r>
      <w:r w:rsidRPr="007D2C07">
        <w:t>operative</w:t>
      </w:r>
      <w:r w:rsidR="00422215">
        <w:t xml:space="preserve"> </w:t>
      </w:r>
      <w:r w:rsidRPr="007D2C07">
        <w:t>goal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achieved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term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partners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committed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Letter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Intent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rPr>
          <w:bCs/>
        </w:rPr>
        <w:t>2019-2022.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agreement</w:t>
      </w:r>
      <w:r w:rsidR="00422215">
        <w:rPr>
          <w:bCs/>
        </w:rPr>
        <w:t xml:space="preserve"> </w:t>
      </w:r>
      <w:r w:rsidRPr="007D2C07">
        <w:rPr>
          <w:bCs/>
        </w:rPr>
        <w:t>aims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high</w:t>
      </w:r>
      <w:r w:rsidR="00422215">
        <w:rPr>
          <w:bCs/>
        </w:rPr>
        <w:t xml:space="preserve"> </w:t>
      </w:r>
      <w:r w:rsidRPr="007D2C07">
        <w:rPr>
          <w:bCs/>
        </w:rPr>
        <w:t>employment</w:t>
      </w:r>
      <w:r w:rsidR="00422215">
        <w:rPr>
          <w:bCs/>
        </w:rPr>
        <w:t xml:space="preserve"> </w:t>
      </w:r>
      <w:r w:rsidRPr="007D2C07">
        <w:rPr>
          <w:bCs/>
        </w:rPr>
        <w:t>rates</w:t>
      </w:r>
      <w:r w:rsidR="00422215">
        <w:rPr>
          <w:bCs/>
        </w:rPr>
        <w:t xml:space="preserve"> </w:t>
      </w:r>
      <w:r w:rsidRPr="007D2C07">
        <w:rPr>
          <w:bCs/>
        </w:rPr>
        <w:t>by</w:t>
      </w:r>
      <w:r w:rsidR="00422215">
        <w:rPr>
          <w:bCs/>
        </w:rPr>
        <w:t xml:space="preserve"> </w:t>
      </w:r>
      <w:r w:rsidRPr="007D2C07">
        <w:rPr>
          <w:bCs/>
        </w:rPr>
        <w:t>preventing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reducing</w:t>
      </w:r>
      <w:r w:rsidR="00422215">
        <w:rPr>
          <w:bCs/>
        </w:rPr>
        <w:t xml:space="preserve"> </w:t>
      </w:r>
      <w:r w:rsidRPr="007D2C07">
        <w:rPr>
          <w:bCs/>
        </w:rPr>
        <w:t>sickness</w:t>
      </w:r>
      <w:r w:rsidR="00422215">
        <w:rPr>
          <w:bCs/>
        </w:rPr>
        <w:t xml:space="preserve"> </w:t>
      </w:r>
      <w:r w:rsidRPr="007D2C07">
        <w:rPr>
          <w:bCs/>
        </w:rPr>
        <w:t>absence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withdrawal</w:t>
      </w:r>
      <w:r w:rsidR="00422215">
        <w:rPr>
          <w:bCs/>
        </w:rPr>
        <w:t xml:space="preserve"> </w:t>
      </w:r>
      <w:r w:rsidRPr="007D2C07">
        <w:rPr>
          <w:bCs/>
        </w:rPr>
        <w:t>from</w:t>
      </w:r>
      <w:r w:rsidR="00422215">
        <w:rPr>
          <w:bCs/>
        </w:rPr>
        <w:t xml:space="preserve"> </w:t>
      </w:r>
      <w:r w:rsidRPr="007D2C07">
        <w:rPr>
          <w:bCs/>
        </w:rPr>
        <w:t>employment.</w:t>
      </w:r>
      <w:r w:rsidR="00422215">
        <w:rPr>
          <w:bCs/>
        </w:rPr>
        <w:t xml:space="preserve"> </w:t>
      </w:r>
    </w:p>
    <w:p w:rsidR="00DB5028" w:rsidRPr="00341318" w:rsidRDefault="00DB5028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19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Neither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nor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rendered</w:t>
      </w:r>
      <w:r w:rsidR="00422215">
        <w:t xml:space="preserve"> </w:t>
      </w:r>
      <w:r w:rsidRPr="007D2C07">
        <w:t>decisions</w:t>
      </w:r>
      <w:r w:rsidR="00422215">
        <w:t xml:space="preserve"> </w:t>
      </w:r>
      <w:r w:rsidRPr="007D2C07">
        <w:t>involving</w:t>
      </w:r>
      <w:r w:rsidR="00422215">
        <w:t xml:space="preserve"> </w:t>
      </w:r>
      <w:r w:rsidRPr="007D2C07">
        <w:t>questions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23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Act.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24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concerns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authorities'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equality,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impose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employers.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26</w:t>
      </w:r>
      <w:r w:rsidR="00422215">
        <w:t xml:space="preserve"> </w:t>
      </w:r>
      <w:r w:rsidRPr="007D2C07">
        <w:t>concerns</w:t>
      </w:r>
      <w:r w:rsidR="00422215">
        <w:t xml:space="preserve"> </w:t>
      </w:r>
      <w:r w:rsidRPr="007D2C07">
        <w:t>employers'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make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equality,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26a</w:t>
      </w:r>
      <w:r w:rsidR="00422215">
        <w:t xml:space="preserve"> </w:t>
      </w:r>
      <w:r w:rsidRPr="007D2C07">
        <w:t>states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undertakings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prepare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shall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affairs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regards</w:t>
      </w:r>
      <w:r w:rsidR="00422215">
        <w:t xml:space="preserve"> </w:t>
      </w:r>
      <w:r w:rsidRPr="007D2C07">
        <w:t>equality,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planned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measures.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  <w:rPr>
          <w:bCs/>
          <w:iCs/>
        </w:rPr>
      </w:pPr>
      <w:r w:rsidRPr="00422215"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new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Equality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and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Anti-Discrimination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Act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specifies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in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separate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section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strong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protection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against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discrimination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pregnant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women,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and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parents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who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make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use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their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rights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parental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leave.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Care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responsibilities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has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also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been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included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separate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discrimination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ground.</w:t>
      </w:r>
      <w:r w:rsidR="00422215">
        <w:rPr>
          <w:bCs/>
          <w:iCs/>
        </w:rPr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  <w:rPr>
          <w:bCs/>
          <w:iCs/>
        </w:rPr>
      </w:pPr>
      <w:r w:rsidRPr="00422215">
        <w:t>In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cases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employment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and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termination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employment,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differential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treatment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grounds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pregnancy,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childbirth,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breastfeeding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and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leave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absence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birth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adoption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is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never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permitted.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This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also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applies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extension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temporary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employment.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In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addition,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Act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specifies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rights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workers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who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are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have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been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parental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leave.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shall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entitled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to:</w:t>
      </w:r>
      <w:r w:rsidR="00422215">
        <w:rPr>
          <w:bCs/>
          <w:iCs/>
        </w:rPr>
        <w:t xml:space="preserve"> </w:t>
      </w:r>
    </w:p>
    <w:p w:rsidR="007D2C07" w:rsidRPr="008330AD" w:rsidRDefault="008330AD" w:rsidP="008330AD">
      <w:pPr>
        <w:pStyle w:val="Bullet1G"/>
      </w:pPr>
      <w:r>
        <w:t>R</w:t>
      </w:r>
      <w:r w:rsidR="007D2C07" w:rsidRPr="008330AD">
        <w:t>eturn</w:t>
      </w:r>
      <w:r w:rsidR="00422215" w:rsidRPr="008330AD">
        <w:t xml:space="preserve"> </w:t>
      </w:r>
      <w:r w:rsidR="007D2C07" w:rsidRPr="008330AD">
        <w:t>to</w:t>
      </w:r>
      <w:r w:rsidR="00422215" w:rsidRPr="008330AD">
        <w:t xml:space="preserve"> </w:t>
      </w:r>
      <w:r w:rsidR="007D2C07" w:rsidRPr="008330AD">
        <w:t>the</w:t>
      </w:r>
      <w:r w:rsidR="00422215" w:rsidRPr="008330AD">
        <w:t xml:space="preserve"> </w:t>
      </w:r>
      <w:r w:rsidR="007D2C07" w:rsidRPr="008330AD">
        <w:t>same,</w:t>
      </w:r>
      <w:r w:rsidR="00422215" w:rsidRPr="008330AD">
        <w:t xml:space="preserve"> </w:t>
      </w:r>
      <w:r w:rsidR="007D2C07" w:rsidRPr="008330AD">
        <w:t>or</w:t>
      </w:r>
      <w:r w:rsidR="00422215" w:rsidRPr="008330AD">
        <w:t xml:space="preserve"> </w:t>
      </w:r>
      <w:r w:rsidR="007D2C07" w:rsidRPr="008330AD">
        <w:t>a</w:t>
      </w:r>
      <w:r w:rsidR="00422215" w:rsidRPr="008330AD">
        <w:t xml:space="preserve"> </w:t>
      </w:r>
      <w:r w:rsidR="007D2C07" w:rsidRPr="008330AD">
        <w:t>corresponding,</w:t>
      </w:r>
      <w:r w:rsidR="00422215" w:rsidRPr="008330AD">
        <w:t xml:space="preserve"> </w:t>
      </w:r>
      <w:r w:rsidR="007D2C07" w:rsidRPr="008330AD">
        <w:t>position</w:t>
      </w:r>
      <w:r>
        <w:t>;</w:t>
      </w:r>
    </w:p>
    <w:p w:rsidR="007D2C07" w:rsidRPr="008330AD" w:rsidRDefault="008330AD" w:rsidP="008330AD">
      <w:pPr>
        <w:pStyle w:val="Bullet1G"/>
      </w:pPr>
      <w:r>
        <w:t>B</w:t>
      </w:r>
      <w:r w:rsidR="007D2C07" w:rsidRPr="008330AD">
        <w:t>enefit</w:t>
      </w:r>
      <w:r w:rsidR="00422215" w:rsidRPr="008330AD">
        <w:t xml:space="preserve"> </w:t>
      </w:r>
      <w:r w:rsidR="007D2C07" w:rsidRPr="008330AD">
        <w:t>from</w:t>
      </w:r>
      <w:r w:rsidR="00422215" w:rsidRPr="008330AD">
        <w:t xml:space="preserve"> </w:t>
      </w:r>
      <w:r w:rsidR="007D2C07" w:rsidRPr="008330AD">
        <w:t>improvements</w:t>
      </w:r>
      <w:r w:rsidR="00422215" w:rsidRPr="008330AD">
        <w:t xml:space="preserve"> </w:t>
      </w:r>
      <w:r w:rsidR="007D2C07" w:rsidRPr="008330AD">
        <w:t>in</w:t>
      </w:r>
      <w:r w:rsidR="00422215" w:rsidRPr="008330AD">
        <w:t xml:space="preserve"> </w:t>
      </w:r>
      <w:r w:rsidR="007D2C07" w:rsidRPr="008330AD">
        <w:t>working</w:t>
      </w:r>
      <w:r w:rsidR="00422215" w:rsidRPr="008330AD">
        <w:t xml:space="preserve"> </w:t>
      </w:r>
      <w:r w:rsidR="007D2C07" w:rsidRPr="008330AD">
        <w:t>conditions</w:t>
      </w:r>
      <w:r w:rsidR="00422215" w:rsidRPr="008330AD">
        <w:t xml:space="preserve"> </w:t>
      </w:r>
      <w:r w:rsidR="007D2C07" w:rsidRPr="008330AD">
        <w:t>to</w:t>
      </w:r>
      <w:r w:rsidR="00422215" w:rsidRPr="008330AD">
        <w:t xml:space="preserve"> </w:t>
      </w:r>
      <w:r w:rsidR="007D2C07" w:rsidRPr="008330AD">
        <w:t>which</w:t>
      </w:r>
      <w:r w:rsidR="00422215" w:rsidRPr="008330AD">
        <w:t xml:space="preserve"> </w:t>
      </w:r>
      <w:r w:rsidR="007D2C07" w:rsidRPr="008330AD">
        <w:t>the</w:t>
      </w:r>
      <w:r w:rsidR="00422215" w:rsidRPr="008330AD">
        <w:t xml:space="preserve"> </w:t>
      </w:r>
      <w:r w:rsidR="007D2C07" w:rsidRPr="008330AD">
        <w:t>worker</w:t>
      </w:r>
      <w:r w:rsidR="00422215" w:rsidRPr="008330AD">
        <w:t xml:space="preserve"> </w:t>
      </w:r>
      <w:r w:rsidR="007D2C07" w:rsidRPr="008330AD">
        <w:t>would</w:t>
      </w:r>
      <w:r w:rsidR="00422215" w:rsidRPr="008330AD">
        <w:t xml:space="preserve"> </w:t>
      </w:r>
      <w:r w:rsidR="007D2C07" w:rsidRPr="008330AD">
        <w:t>otherwise</w:t>
      </w:r>
      <w:r w:rsidR="00422215" w:rsidRPr="008330AD">
        <w:t xml:space="preserve"> </w:t>
      </w:r>
      <w:r w:rsidR="007D2C07" w:rsidRPr="008330AD">
        <w:t>have</w:t>
      </w:r>
      <w:r w:rsidR="00422215" w:rsidRPr="008330AD">
        <w:t xml:space="preserve"> </w:t>
      </w:r>
      <w:r w:rsidR="007D2C07" w:rsidRPr="008330AD">
        <w:t>been</w:t>
      </w:r>
      <w:r w:rsidR="00422215" w:rsidRPr="008330AD">
        <w:t xml:space="preserve"> </w:t>
      </w:r>
      <w:r w:rsidR="007D2C07" w:rsidRPr="008330AD">
        <w:t>entitled</w:t>
      </w:r>
      <w:r w:rsidR="00422215" w:rsidRPr="008330AD">
        <w:t xml:space="preserve"> </w:t>
      </w:r>
      <w:r w:rsidR="007D2C07" w:rsidRPr="008330AD">
        <w:t>during</w:t>
      </w:r>
      <w:r w:rsidR="00422215" w:rsidRPr="008330AD">
        <w:t xml:space="preserve"> </w:t>
      </w:r>
      <w:r w:rsidR="007D2C07" w:rsidRPr="008330AD">
        <w:t>the</w:t>
      </w:r>
      <w:r w:rsidR="00422215" w:rsidRPr="008330AD">
        <w:t xml:space="preserve"> </w:t>
      </w:r>
      <w:r>
        <w:t>absence;</w:t>
      </w:r>
      <w:r w:rsidR="00422215" w:rsidRPr="008330AD">
        <w:t xml:space="preserve"> </w:t>
      </w:r>
      <w:r w:rsidR="007D2C07" w:rsidRPr="008330AD">
        <w:t>and</w:t>
      </w:r>
    </w:p>
    <w:p w:rsidR="007C7F59" w:rsidRPr="008330AD" w:rsidRDefault="008330AD" w:rsidP="008330AD">
      <w:pPr>
        <w:pStyle w:val="Bullet1G"/>
      </w:pPr>
      <w:r>
        <w:t>M</w:t>
      </w:r>
      <w:r w:rsidR="007D2C07" w:rsidRPr="008330AD">
        <w:t>ake</w:t>
      </w:r>
      <w:r w:rsidR="00422215" w:rsidRPr="008330AD">
        <w:t xml:space="preserve"> </w:t>
      </w:r>
      <w:r w:rsidR="007D2C07" w:rsidRPr="008330AD">
        <w:t>pay</w:t>
      </w:r>
      <w:r w:rsidR="00422215" w:rsidRPr="008330AD">
        <w:t xml:space="preserve"> </w:t>
      </w:r>
      <w:r w:rsidR="007D2C07" w:rsidRPr="008330AD">
        <w:t>claims</w:t>
      </w:r>
      <w:r w:rsidR="00422215" w:rsidRPr="008330AD">
        <w:t xml:space="preserve"> </w:t>
      </w:r>
      <w:r w:rsidR="007D2C07" w:rsidRPr="008330AD">
        <w:t>and,</w:t>
      </w:r>
      <w:r w:rsidR="00422215" w:rsidRPr="008330AD">
        <w:t xml:space="preserve"> </w:t>
      </w:r>
      <w:r w:rsidR="007D2C07" w:rsidRPr="008330AD">
        <w:t>in</w:t>
      </w:r>
      <w:r w:rsidR="00422215" w:rsidRPr="008330AD">
        <w:t xml:space="preserve"> </w:t>
      </w:r>
      <w:r w:rsidR="007D2C07" w:rsidRPr="008330AD">
        <w:t>pay</w:t>
      </w:r>
      <w:r w:rsidR="00422215" w:rsidRPr="008330AD">
        <w:t xml:space="preserve"> </w:t>
      </w:r>
      <w:r w:rsidR="007D2C07" w:rsidRPr="008330AD">
        <w:t>negotiations,</w:t>
      </w:r>
      <w:r w:rsidR="00422215" w:rsidRPr="008330AD">
        <w:t xml:space="preserve"> </w:t>
      </w:r>
      <w:r w:rsidR="007D2C07" w:rsidRPr="008330AD">
        <w:t>be</w:t>
      </w:r>
      <w:r w:rsidR="00422215" w:rsidRPr="008330AD">
        <w:t xml:space="preserve"> </w:t>
      </w:r>
      <w:r w:rsidR="007D2C07" w:rsidRPr="008330AD">
        <w:t>assessed</w:t>
      </w:r>
      <w:r w:rsidR="00422215" w:rsidRPr="008330AD">
        <w:t xml:space="preserve"> </w:t>
      </w:r>
      <w:r w:rsidR="007D2C07" w:rsidRPr="008330AD">
        <w:t>in</w:t>
      </w:r>
      <w:r w:rsidR="00422215" w:rsidRPr="008330AD">
        <w:t xml:space="preserve"> </w:t>
      </w:r>
      <w:r w:rsidR="007D2C07" w:rsidRPr="008330AD">
        <w:t>the</w:t>
      </w:r>
      <w:r w:rsidR="00422215" w:rsidRPr="008330AD">
        <w:t xml:space="preserve"> </w:t>
      </w:r>
      <w:r w:rsidR="007D2C07" w:rsidRPr="008330AD">
        <w:t>same</w:t>
      </w:r>
      <w:r w:rsidR="00422215" w:rsidRPr="008330AD">
        <w:t xml:space="preserve"> </w:t>
      </w:r>
      <w:r w:rsidR="007D2C07" w:rsidRPr="008330AD">
        <w:t>way</w:t>
      </w:r>
      <w:r w:rsidR="00422215" w:rsidRPr="008330AD">
        <w:t xml:space="preserve"> </w:t>
      </w:r>
      <w:r w:rsidR="007D2C07" w:rsidRPr="008330AD">
        <w:t>as</w:t>
      </w:r>
      <w:r w:rsidR="00422215" w:rsidRPr="008330AD">
        <w:t xml:space="preserve"> </w:t>
      </w:r>
      <w:r w:rsidR="007D2C07" w:rsidRPr="008330AD">
        <w:t>the</w:t>
      </w:r>
      <w:r w:rsidR="00422215" w:rsidRPr="008330AD">
        <w:t xml:space="preserve"> </w:t>
      </w:r>
      <w:r w:rsidR="007D2C07" w:rsidRPr="008330AD">
        <w:t>other</w:t>
      </w:r>
      <w:r w:rsidR="00422215" w:rsidRPr="008330AD">
        <w:t xml:space="preserve"> </w:t>
      </w:r>
      <w:r w:rsidR="007D2C07" w:rsidRPr="008330AD">
        <w:t>workers</w:t>
      </w:r>
      <w:r w:rsidR="00422215" w:rsidRPr="008330AD">
        <w:t xml:space="preserve"> </w:t>
      </w:r>
      <w:r w:rsidR="007D2C07" w:rsidRPr="008330AD">
        <w:t>in</w:t>
      </w:r>
      <w:r w:rsidR="00422215" w:rsidRPr="008330AD">
        <w:t xml:space="preserve"> </w:t>
      </w:r>
      <w:r w:rsidR="007D2C07" w:rsidRPr="008330AD">
        <w:t>the</w:t>
      </w:r>
      <w:r w:rsidR="00422215" w:rsidRPr="008330AD">
        <w:t xml:space="preserve"> </w:t>
      </w:r>
      <w:r w:rsidR="007D2C07" w:rsidRPr="008330AD">
        <w:t>undertaking</w:t>
      </w:r>
      <w:r>
        <w:t>.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  <w:rPr>
          <w:bCs/>
          <w:iCs/>
        </w:rPr>
      </w:pPr>
      <w:r w:rsidRPr="00422215"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Act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also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stipulates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right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individual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accommodation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for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pregnant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workers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and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students.</w:t>
      </w:r>
      <w:r w:rsidR="00422215">
        <w:rPr>
          <w:bCs/>
          <w:iCs/>
        </w:rPr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  <w:rPr>
          <w:bCs/>
          <w:iCs/>
        </w:rPr>
      </w:pPr>
      <w:r w:rsidRPr="00422215">
        <w:t>Mothers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who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breastfeed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have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right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time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off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from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work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breastfeed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their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children.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Before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child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turns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one,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the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mother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has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a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right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paid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leave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for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one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hour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per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day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to</w:t>
      </w:r>
      <w:r w:rsidR="00422215">
        <w:rPr>
          <w:bCs/>
          <w:iCs/>
        </w:rPr>
        <w:t xml:space="preserve"> </w:t>
      </w:r>
      <w:r w:rsidRPr="007D2C07">
        <w:rPr>
          <w:bCs/>
          <w:iCs/>
        </w:rPr>
        <w:t>breastfeed.</w:t>
      </w:r>
    </w:p>
    <w:p w:rsidR="008330AD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mother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father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varied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years.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show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fathers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impact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he</w:t>
      </w:r>
      <w:r w:rsidR="00422215">
        <w:t xml:space="preserve"> </w:t>
      </w:r>
      <w:r w:rsidRPr="007D2C07">
        <w:t>receives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benefits.</w:t>
      </w:r>
      <w:r w:rsidR="00422215">
        <w:t xml:space="preserve"> </w:t>
      </w:r>
      <w:r w:rsidRPr="007D2C07">
        <w:t>Fathers</w:t>
      </w:r>
      <w:r w:rsidR="00422215">
        <w:t xml:space="preserve"> </w:t>
      </w:r>
      <w:r w:rsidRPr="007D2C07">
        <w:t>tend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them,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mothers</w:t>
      </w:r>
      <w:r w:rsidR="00422215">
        <w:t xml:space="preserve"> </w:t>
      </w:r>
      <w:r w:rsidRPr="007D2C07">
        <w:t>tend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period.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From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July</w:t>
      </w:r>
      <w:r w:rsidR="00422215">
        <w:t xml:space="preserve"> </w:t>
      </w:r>
      <w:r w:rsidRPr="007D2C07">
        <w:t>2014,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either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mother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father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14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10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give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flexibility.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show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influenced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allocated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them: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fathers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received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10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them,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mothers</w:t>
      </w:r>
      <w:r w:rsidR="00422215">
        <w:t xml:space="preserve"> </w:t>
      </w:r>
      <w:r w:rsidRPr="007D2C07">
        <w:t>used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period.</w:t>
      </w:r>
      <w:r w:rsidR="00422215">
        <w:t xml:space="preserve"> </w:t>
      </w:r>
    </w:p>
    <w:p w:rsid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2019,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divided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three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parts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child’s</w:t>
      </w:r>
      <w:r w:rsidR="00422215">
        <w:t xml:space="preserve"> </w:t>
      </w:r>
      <w:r w:rsidRPr="007D2C07">
        <w:t>birth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shared</w:t>
      </w:r>
      <w:r w:rsidR="00422215">
        <w:t xml:space="preserve"> </w:t>
      </w:r>
      <w:r w:rsidRPr="007D2C07">
        <w:t>parenting.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entails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mother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father,</w:t>
      </w:r>
      <w:r w:rsidR="00422215">
        <w:t xml:space="preserve"> </w:t>
      </w:r>
      <w:r w:rsidRPr="007D2C07">
        <w:t>respectively.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choose</w:t>
      </w:r>
      <w:r w:rsidR="00422215">
        <w:t xml:space="preserve"> </w:t>
      </w:r>
      <w:r w:rsidRPr="007D2C07">
        <w:t>46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benefits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full</w:t>
      </w:r>
      <w:r w:rsidR="00422215">
        <w:t xml:space="preserve"> </w:t>
      </w:r>
      <w:r w:rsidRPr="007D2C07">
        <w:t>rate,</w:t>
      </w:r>
      <w:r w:rsidR="00422215">
        <w:t xml:space="preserve"> </w:t>
      </w:r>
      <w:r w:rsidRPr="007D2C07">
        <w:t>15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each</w:t>
      </w:r>
      <w:r w:rsidR="00422215">
        <w:t xml:space="preserve"> </w:t>
      </w:r>
      <w:r w:rsidRPr="007D2C07">
        <w:t>parent.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choose</w:t>
      </w:r>
      <w:r w:rsidR="00422215">
        <w:t xml:space="preserve"> </w:t>
      </w:r>
      <w:r w:rsidRPr="007D2C07">
        <w:t>56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rate,</w:t>
      </w:r>
      <w:r w:rsidR="00422215">
        <w:t xml:space="preserve"> </w:t>
      </w:r>
      <w:r w:rsidRPr="007D2C07">
        <w:t>22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each</w:t>
      </w:r>
      <w:r w:rsidR="00422215">
        <w:t xml:space="preserve"> </w:t>
      </w:r>
      <w:r w:rsidRPr="007D2C07">
        <w:t>parent.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addition,</w:t>
      </w:r>
      <w:r w:rsidR="00422215">
        <w:t xml:space="preserve"> </w:t>
      </w:r>
      <w:r w:rsidRPr="007D2C07">
        <w:t>three</w:t>
      </w:r>
      <w:r w:rsidR="00422215">
        <w:t xml:space="preserve"> </w:t>
      </w:r>
      <w:r w:rsidRPr="007D2C07">
        <w:t>weeks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reserved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mother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birth.</w:t>
      </w:r>
    </w:p>
    <w:p w:rsidR="00DB5028" w:rsidRPr="007D2C07" w:rsidRDefault="00DB5028" w:rsidP="00A13A0A">
      <w:pPr>
        <w:pStyle w:val="H1G"/>
      </w:pPr>
      <w:r>
        <w:tab/>
      </w:r>
      <w:r>
        <w:tab/>
      </w:r>
      <w:r w:rsidR="00341318" w:rsidRPr="00DB5028">
        <w:t>Reply</w:t>
      </w:r>
      <w:r w:rsidR="00422215">
        <w:t xml:space="preserve"> </w:t>
      </w:r>
      <w:r w:rsidR="00341318" w:rsidRPr="00DB5028">
        <w:t>to</w:t>
      </w:r>
      <w:r w:rsidR="00422215">
        <w:t xml:space="preserve"> </w:t>
      </w:r>
      <w:r w:rsidR="00341318" w:rsidRPr="00DB5028">
        <w:t>paragraph</w:t>
      </w:r>
      <w:r w:rsidR="00422215">
        <w:t xml:space="preserve"> </w:t>
      </w:r>
      <w:r>
        <w:t>20</w:t>
      </w:r>
      <w:r w:rsidR="00422215">
        <w:t xml:space="preserve"> </w:t>
      </w:r>
      <w:r w:rsidR="00341318" w:rsidRPr="00DB5028">
        <w:t>of</w:t>
      </w:r>
      <w:r w:rsidR="00422215">
        <w:t xml:space="preserve"> </w:t>
      </w:r>
      <w:r w:rsidR="00341318" w:rsidRPr="00DB5028">
        <w:t>the</w:t>
      </w:r>
      <w:r w:rsidR="00422215">
        <w:t xml:space="preserve"> </w:t>
      </w:r>
      <w:r w:rsidR="00341318" w:rsidRPr="00DB5028">
        <w:t>list</w:t>
      </w:r>
      <w:r w:rsidR="00422215">
        <w:t xml:space="preserve"> </w:t>
      </w:r>
      <w:r w:rsidR="00341318" w:rsidRPr="00DB5028">
        <w:t>of</w:t>
      </w:r>
      <w:r w:rsidR="00422215">
        <w:t xml:space="preserve"> </w:t>
      </w:r>
      <w:r w:rsidR="00341318" w:rsidRPr="00DB502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statutory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occasions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poorer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usual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introduce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wages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(the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Act).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everyone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works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regardless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party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2019,</w:t>
      </w:r>
      <w:r w:rsidR="00422215">
        <w:t xml:space="preserve"> </w:t>
      </w:r>
      <w:r w:rsidRPr="007D2C07">
        <w:t>generally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sectors:</w:t>
      </w:r>
      <w:r w:rsidR="00422215">
        <w:t xml:space="preserve"> </w:t>
      </w:r>
      <w:r w:rsidRPr="007D2C07">
        <w:t>construction,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maritime</w:t>
      </w:r>
      <w:r w:rsidR="00422215">
        <w:t xml:space="preserve"> </w:t>
      </w:r>
      <w:r w:rsidRPr="007D2C07">
        <w:t>construction</w:t>
      </w:r>
      <w:r w:rsidR="00422215">
        <w:t xml:space="preserve"> </w:t>
      </w:r>
      <w:r w:rsidRPr="007D2C07">
        <w:t>industry,</w:t>
      </w:r>
      <w:r w:rsidR="00422215">
        <w:t xml:space="preserve"> </w:t>
      </w:r>
      <w:r w:rsidRPr="007D2C07">
        <w:t>agriculture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horticulture,</w:t>
      </w:r>
      <w:r w:rsidR="00422215">
        <w:t xml:space="preserve"> </w:t>
      </w:r>
      <w:r w:rsidRPr="007D2C07">
        <w:t>cleaning</w:t>
      </w:r>
      <w:r w:rsidR="00422215">
        <w:t xml:space="preserve"> </w:t>
      </w:r>
      <w:r w:rsidRPr="007D2C07">
        <w:t>workers,</w:t>
      </w:r>
      <w:r w:rsidR="00422215">
        <w:t xml:space="preserve"> </w:t>
      </w:r>
      <w:r w:rsidRPr="007D2C07">
        <w:t>fish</w:t>
      </w:r>
      <w:r w:rsidR="00422215">
        <w:t xml:space="preserve"> </w:t>
      </w:r>
      <w:r w:rsidRPr="007D2C07">
        <w:t>processing</w:t>
      </w:r>
      <w:r w:rsidR="00422215">
        <w:t xml:space="preserve"> </w:t>
      </w:r>
      <w:r w:rsidRPr="007D2C07">
        <w:t>enterprises,</w:t>
      </w:r>
      <w:r w:rsidR="00422215">
        <w:t xml:space="preserve"> </w:t>
      </w:r>
      <w:r w:rsidRPr="007D2C07">
        <w:t>electricians,</w:t>
      </w:r>
      <w:r w:rsidR="00422215">
        <w:t xml:space="preserve"> </w:t>
      </w:r>
      <w:proofErr w:type="gramStart"/>
      <w:r w:rsidRPr="007D2C07">
        <w:t>freight</w:t>
      </w:r>
      <w:proofErr w:type="gramEnd"/>
      <w:r w:rsidR="00422215">
        <w:t xml:space="preserve"> </w:t>
      </w:r>
      <w:r w:rsidRPr="007D2C07">
        <w:t>transport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road,</w:t>
      </w:r>
      <w:r w:rsidR="00422215">
        <w:t xml:space="preserve"> </w:t>
      </w:r>
      <w:r w:rsidRPr="007D2C07">
        <w:t>passenger</w:t>
      </w:r>
      <w:r w:rsidR="00422215">
        <w:t xml:space="preserve"> </w:t>
      </w:r>
      <w:r w:rsidRPr="007D2C07">
        <w:t>transport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tour</w:t>
      </w:r>
      <w:r w:rsidR="00422215">
        <w:t xml:space="preserve"> </w:t>
      </w:r>
      <w:r w:rsidRPr="007D2C07">
        <w:t>bus,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hotel,</w:t>
      </w:r>
      <w:r w:rsidR="00422215">
        <w:t xml:space="preserve"> </w:t>
      </w:r>
      <w:r w:rsidRPr="007D2C07">
        <w:t>restaurant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catering.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Women</w:t>
      </w:r>
      <w:r w:rsidR="00422215">
        <w:t xml:space="preserve"> </w:t>
      </w:r>
      <w:r w:rsidRPr="007D2C07">
        <w:t>earn</w:t>
      </w:r>
      <w:r w:rsidR="00422215">
        <w:t xml:space="preserve"> </w:t>
      </w:r>
      <w:r w:rsidRPr="007D2C07">
        <w:t>roughly</w:t>
      </w:r>
      <w:r w:rsidR="00422215">
        <w:t xml:space="preserve"> </w:t>
      </w:r>
      <w:r w:rsidRPr="007D2C07">
        <w:t>11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less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terms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raw,</w:t>
      </w:r>
      <w:r w:rsidR="00422215">
        <w:t xml:space="preserve"> </w:t>
      </w:r>
      <w:r w:rsidRPr="007D2C07">
        <w:t>"full-time</w:t>
      </w:r>
      <w:r w:rsidR="00422215">
        <w:t xml:space="preserve"> </w:t>
      </w:r>
      <w:r w:rsidRPr="007D2C07">
        <w:t>equivalent"</w:t>
      </w:r>
      <w:r w:rsidR="00422215">
        <w:t xml:space="preserve"> </w:t>
      </w:r>
      <w:r w:rsidRPr="007D2C07">
        <w:t>(i.e.</w:t>
      </w:r>
      <w:r w:rsidR="00422215">
        <w:t xml:space="preserve"> </w:t>
      </w:r>
      <w:r w:rsidRPr="007D2C07">
        <w:t>corrected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part-time</w:t>
      </w:r>
      <w:r w:rsidR="00422215">
        <w:t xml:space="preserve"> </w:t>
      </w:r>
      <w:r w:rsidRPr="007D2C07">
        <w:t>work)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13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less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actually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full-time</w:t>
      </w:r>
      <w:r w:rsidR="00422215">
        <w:t xml:space="preserve"> </w:t>
      </w:r>
      <w:r w:rsidRPr="007D2C07">
        <w:t>employment.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difference</w:t>
      </w:r>
      <w:r w:rsidR="00422215">
        <w:t xml:space="preserve"> </w:t>
      </w:r>
      <w:r w:rsidRPr="007D2C07">
        <w:t>narrows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half</w:t>
      </w:r>
      <w:r w:rsidR="00422215">
        <w:t xml:space="preserve"> </w:t>
      </w:r>
      <w:r w:rsidRPr="007D2C07">
        <w:t>(i.e.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7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(figures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2014))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controlled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characteristics</w:t>
      </w:r>
      <w:r w:rsidR="00422215">
        <w:t xml:space="preserve"> </w:t>
      </w:r>
      <w:r w:rsidRPr="007D2C07">
        <w:t>(education,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experience</w:t>
      </w:r>
      <w:r w:rsidR="00422215">
        <w:t xml:space="preserve"> </w:t>
      </w:r>
      <w:r w:rsidRPr="007D2C07">
        <w:t>etc.).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2015,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gap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age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levels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industries.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difference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women's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men's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wages</w:t>
      </w:r>
      <w:r w:rsidR="00422215">
        <w:t xml:space="preserve"> </w:t>
      </w:r>
      <w:r w:rsidRPr="007D2C07">
        <w:t>continues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decrease.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earned</w:t>
      </w:r>
      <w:r w:rsidR="00422215">
        <w:t xml:space="preserve"> </w:t>
      </w:r>
      <w:r w:rsidRPr="007D2C07">
        <w:t>equivalent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87.1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men's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full-time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part-time</w:t>
      </w:r>
      <w:r w:rsidR="00422215">
        <w:t xml:space="preserve"> </w:t>
      </w:r>
      <w:r w:rsidRPr="007D2C07">
        <w:t>employees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2017,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86.7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enterprises,</w:t>
      </w:r>
      <w:r w:rsidR="00422215">
        <w:t xml:space="preserve"> </w:t>
      </w:r>
      <w:r w:rsidRPr="007D2C07">
        <w:t>women's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85.6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men's</w:t>
      </w:r>
      <w:r w:rsidR="00422215">
        <w:t xml:space="preserve"> </w:t>
      </w:r>
      <w:r w:rsidRPr="007D2C07">
        <w:t>pay,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(central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government),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gap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narrower.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central</w:t>
      </w:r>
      <w:r w:rsidR="00422215">
        <w:t xml:space="preserve"> </w:t>
      </w:r>
      <w:r w:rsidRPr="007D2C07">
        <w:t>government,</w:t>
      </w:r>
      <w:r w:rsidR="00422215">
        <w:t xml:space="preserve"> </w:t>
      </w:r>
      <w:r w:rsidRPr="007D2C07">
        <w:t>women's</w:t>
      </w:r>
      <w:r w:rsidR="00422215">
        <w:t xml:space="preserve"> </w:t>
      </w:r>
      <w:r w:rsidRPr="007D2C07">
        <w:t>earnings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88.4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men's,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average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level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lowest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government,</w:t>
      </w:r>
      <w:r w:rsidR="00422215">
        <w:t xml:space="preserve"> </w:t>
      </w:r>
      <w:r w:rsidRPr="007D2C07">
        <w:t>women’s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94.1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men’s</w:t>
      </w:r>
      <w:r w:rsidR="00422215">
        <w:t xml:space="preserve"> </w:t>
      </w:r>
      <w:r w:rsidRPr="007D2C07">
        <w:t>pay.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As</w:t>
      </w:r>
      <w:r w:rsidR="00422215">
        <w:t xml:space="preserve"> </w:t>
      </w:r>
      <w:r w:rsidRPr="007D2C07">
        <w:t>regards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implementation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parliamentary</w:t>
      </w:r>
      <w:r w:rsidR="00422215">
        <w:t xml:space="preserve"> </w:t>
      </w:r>
      <w:r w:rsidRPr="007D2C07">
        <w:t>decision</w:t>
      </w:r>
      <w:r w:rsidR="00422215">
        <w:t xml:space="preserve"> </w:t>
      </w:r>
      <w:r w:rsidRPr="007D2C07">
        <w:t>612</w:t>
      </w:r>
      <w:r w:rsidR="00422215">
        <w:t xml:space="preserve"> </w:t>
      </w:r>
      <w:r w:rsidRPr="007D2C07">
        <w:t>(2015-2016),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partners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conducting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negotiations.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legislator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facilitator.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increases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negotiations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employee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employer</w:t>
      </w:r>
      <w:r w:rsidR="00422215">
        <w:t xml:space="preserve"> </w:t>
      </w:r>
      <w:r w:rsidRPr="007D2C07">
        <w:t>organisations,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negotiations.</w:t>
      </w:r>
      <w:r w:rsidR="00422215">
        <w:t xml:space="preserve"> </w:t>
      </w:r>
    </w:p>
    <w:p w:rsidR="007C7F59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discussed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framework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tripartite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(both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Council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Pension</w:t>
      </w:r>
      <w:r w:rsidR="00422215">
        <w:t xml:space="preserve"> </w:t>
      </w:r>
      <w:r w:rsidRPr="007D2C07">
        <w:t>Policy,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Council).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partners'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implementation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settlements</w:t>
      </w:r>
      <w:r w:rsidR="00422215">
        <w:t xml:space="preserve"> </w:t>
      </w:r>
      <w:r w:rsidRPr="007D2C07">
        <w:t>remains</w:t>
      </w:r>
      <w:r w:rsidR="00422215">
        <w:t xml:space="preserve"> </w:t>
      </w:r>
      <w:r w:rsidRPr="007D2C07">
        <w:t>firm,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partners</w:t>
      </w:r>
      <w:r w:rsidR="00422215">
        <w:t xml:space="preserve"> </w:t>
      </w:r>
      <w:r w:rsidRPr="007D2C07">
        <w:t>help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unjustified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differences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men.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enacted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amendment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duties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authorities.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2020,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companies</w:t>
      </w:r>
      <w:r w:rsidR="00422215">
        <w:t xml:space="preserve"> </w:t>
      </w:r>
      <w:r w:rsidRPr="007D2C07">
        <w:t>will,</w:t>
      </w:r>
      <w:r w:rsidR="00422215">
        <w:t xml:space="preserve"> </w:t>
      </w:r>
      <w:r w:rsidRPr="007D2C07">
        <w:t>inter</w:t>
      </w:r>
      <w:r w:rsidR="00422215">
        <w:t xml:space="preserve"> </w:t>
      </w:r>
      <w:r w:rsidRPr="007D2C07">
        <w:t>alia,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prepare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gender-based</w:t>
      </w:r>
      <w:r w:rsidR="00422215">
        <w:t xml:space="preserve"> </w:t>
      </w:r>
      <w:r w:rsidRPr="007D2C07">
        <w:t>overview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salaries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pertaining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obligations.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material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templates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prepared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effective</w:t>
      </w:r>
      <w:r w:rsidR="00422215">
        <w:t xml:space="preserve"> </w:t>
      </w:r>
      <w:r w:rsidRPr="007D2C07">
        <w:t>implementation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strengthened</w:t>
      </w:r>
      <w:r w:rsidR="00422215">
        <w:t xml:space="preserve"> </w:t>
      </w:r>
      <w:r w:rsidRPr="007D2C07">
        <w:t>duties.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Culture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conducted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identify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courts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2014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2019.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period,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six</w:t>
      </w:r>
      <w:r w:rsidR="00422215">
        <w:t xml:space="preserve"> </w:t>
      </w:r>
      <w:r w:rsidRPr="007D2C07">
        <w:t>claims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remuneration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value.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found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breach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obligations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period,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handled</w:t>
      </w:r>
      <w:r w:rsidR="00422215">
        <w:t xml:space="preserve"> </w:t>
      </w:r>
      <w:r w:rsidRPr="007D2C07">
        <w:t>claims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falling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scope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previous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Acts</w:t>
      </w:r>
      <w:r w:rsidR="00422215">
        <w:t xml:space="preserve"> </w:t>
      </w:r>
      <w:r w:rsidRPr="007D2C07">
        <w:t>No.</w:t>
      </w:r>
      <w:r w:rsidR="00422215">
        <w:t xml:space="preserve"> </w:t>
      </w:r>
      <w:r w:rsidRPr="007D2C07">
        <w:t>45/1978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59/2013.</w:t>
      </w:r>
      <w:r w:rsidR="00422215">
        <w:t xml:space="preserve"> </w:t>
      </w:r>
      <w:r w:rsidRPr="007D2C07">
        <w:t>Neither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nor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courts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rendered</w:t>
      </w:r>
      <w:r w:rsidR="00422215">
        <w:t xml:space="preserve"> </w:t>
      </w:r>
      <w:r w:rsidRPr="007D2C07">
        <w:t>decisions</w:t>
      </w:r>
      <w:r w:rsidR="00422215">
        <w:t xml:space="preserve"> </w:t>
      </w:r>
      <w:r w:rsidRPr="007D2C07">
        <w:t>involving</w:t>
      </w:r>
      <w:r w:rsidR="00422215">
        <w:t xml:space="preserve"> </w:t>
      </w:r>
      <w:r w:rsidRPr="007D2C07">
        <w:t>matters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34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Act.</w:t>
      </w:r>
    </w:p>
    <w:p w:rsidR="00D07B55" w:rsidRDefault="00D07B55" w:rsidP="00A13A0A">
      <w:pPr>
        <w:pStyle w:val="H1G"/>
      </w:pPr>
      <w:r>
        <w:tab/>
      </w:r>
      <w:r>
        <w:tab/>
      </w:r>
      <w:r w:rsidR="00DB5028" w:rsidRPr="00341318">
        <w:t>Reply</w:t>
      </w:r>
      <w:r w:rsidR="00422215">
        <w:t xml:space="preserve"> </w:t>
      </w:r>
      <w:r w:rsidR="00DB5028" w:rsidRPr="00341318">
        <w:t>to</w:t>
      </w:r>
      <w:r w:rsidR="00422215">
        <w:t xml:space="preserve"> </w:t>
      </w:r>
      <w:r w:rsidR="00DB5028" w:rsidRPr="00341318">
        <w:t>paragraph</w:t>
      </w:r>
      <w:r w:rsidR="00422215">
        <w:t xml:space="preserve"> </w:t>
      </w:r>
      <w:r>
        <w:t>21</w:t>
      </w:r>
      <w:r w:rsidR="00422215">
        <w:t xml:space="preserve"> </w:t>
      </w:r>
      <w:r w:rsidR="00DB5028" w:rsidRPr="00341318">
        <w:t>of</w:t>
      </w:r>
      <w:r w:rsidR="00422215">
        <w:t xml:space="preserve"> </w:t>
      </w:r>
      <w:r w:rsidR="00DB5028" w:rsidRPr="00341318">
        <w:t>the</w:t>
      </w:r>
      <w:r w:rsidR="00422215">
        <w:t xml:space="preserve"> </w:t>
      </w:r>
      <w:r w:rsidR="00DB5028" w:rsidRPr="00341318">
        <w:t>list</w:t>
      </w:r>
      <w:r w:rsidR="00422215">
        <w:t xml:space="preserve"> </w:t>
      </w:r>
      <w:r w:rsidR="00DB5028" w:rsidRPr="00341318">
        <w:t>of</w:t>
      </w:r>
      <w:r w:rsidR="00422215">
        <w:t xml:space="preserve"> </w:t>
      </w:r>
      <w:r w:rsidR="00DB5028"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statistical</w:t>
      </w:r>
      <w:r w:rsidR="00422215">
        <w:t xml:space="preserve"> </w:t>
      </w:r>
      <w:r w:rsidRPr="007D2C07">
        <w:t>data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what</w:t>
      </w:r>
      <w:r w:rsidR="00422215">
        <w:t xml:space="preserve"> </w:t>
      </w:r>
      <w:r w:rsidRPr="007D2C07">
        <w:t>extent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prevented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reduced</w:t>
      </w:r>
      <w:r w:rsidR="00422215">
        <w:t xml:space="preserve"> </w:t>
      </w:r>
      <w:r w:rsidRPr="007D2C07">
        <w:t>exposure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chemicals.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carried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prioritised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focusing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safety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firefighters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chimney</w:t>
      </w:r>
      <w:r w:rsidR="00422215">
        <w:t xml:space="preserve"> </w:t>
      </w:r>
      <w:r w:rsidRPr="007D2C07">
        <w:t>sweepers</w:t>
      </w:r>
      <w:r w:rsidR="00422215">
        <w:t xml:space="preserve"> </w:t>
      </w:r>
      <w:r w:rsidRPr="007D2C07">
        <w:t>(2016-2017).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scope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exposure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dust,</w:t>
      </w:r>
      <w:r w:rsidR="00422215">
        <w:t xml:space="preserve"> </w:t>
      </w:r>
      <w:r w:rsidRPr="007D2C07">
        <w:t>gas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smoke</w:t>
      </w:r>
      <w:r w:rsidR="00422215">
        <w:t xml:space="preserve"> </w:t>
      </w:r>
      <w:r w:rsidRPr="007D2C07">
        <w:t>containing</w:t>
      </w:r>
      <w:r w:rsidR="00422215">
        <w:t xml:space="preserve"> </w:t>
      </w:r>
      <w:r w:rsidRPr="007D2C07">
        <w:t>chemical</w:t>
      </w:r>
      <w:r w:rsidR="00422215">
        <w:t xml:space="preserve"> </w:t>
      </w:r>
      <w:r w:rsidRPr="007D2C07">
        <w:t>substances.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held</w:t>
      </w:r>
      <w:r w:rsidR="00422215">
        <w:t xml:space="preserve"> </w:t>
      </w:r>
      <w:r w:rsidRPr="007D2C07">
        <w:t>317</w:t>
      </w:r>
      <w:r w:rsidR="00422215">
        <w:t xml:space="preserve"> </w:t>
      </w:r>
      <w:r w:rsidRPr="007D2C07">
        <w:t>inspections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found</w:t>
      </w:r>
      <w:r w:rsidR="00422215">
        <w:t xml:space="preserve"> </w:t>
      </w:r>
      <w:r w:rsidRPr="007D2C07">
        <w:t>reason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take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225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common</w:t>
      </w:r>
      <w:r w:rsidR="00422215">
        <w:t xml:space="preserve"> </w:t>
      </w:r>
      <w:r w:rsidRPr="007D2C07">
        <w:t>findings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1)</w:t>
      </w:r>
      <w:r w:rsidR="00422215">
        <w:t xml:space="preserve"> </w:t>
      </w:r>
      <w:r w:rsidRPr="007D2C07">
        <w:t>failure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implement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exposed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dust,</w:t>
      </w:r>
      <w:r w:rsidR="00422215">
        <w:t xml:space="preserve"> </w:t>
      </w:r>
      <w:r w:rsidRPr="007D2C07">
        <w:t>gas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smoke</w:t>
      </w:r>
      <w:r w:rsidR="00422215">
        <w:t xml:space="preserve"> </w:t>
      </w:r>
      <w:r w:rsidRPr="007D2C07">
        <w:t>–</w:t>
      </w:r>
      <w:r w:rsidR="00422215">
        <w:t xml:space="preserve"> </w:t>
      </w:r>
      <w:r w:rsidRPr="007D2C07">
        <w:t>especially</w:t>
      </w:r>
      <w:r w:rsidR="00422215">
        <w:t xml:space="preserve"> </w:t>
      </w:r>
      <w:r w:rsidRPr="007D2C07">
        <w:t>failure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personal</w:t>
      </w:r>
      <w:r w:rsidR="00422215">
        <w:t xml:space="preserve"> </w:t>
      </w:r>
      <w:r w:rsidRPr="007D2C07">
        <w:t>protective</w:t>
      </w:r>
      <w:r w:rsidR="00422215">
        <w:t xml:space="preserve"> </w:t>
      </w:r>
      <w:r w:rsidRPr="007D2C07">
        <w:t>equipment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"non-emergency"</w:t>
      </w:r>
      <w:r w:rsidR="00422215">
        <w:t xml:space="preserve"> </w:t>
      </w:r>
      <w:r w:rsidRPr="007D2C07">
        <w:t>situations,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cleaning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used</w:t>
      </w:r>
      <w:r w:rsidR="00422215">
        <w:t xml:space="preserve"> </w:t>
      </w:r>
      <w:r w:rsidRPr="007D2C07">
        <w:t>equipment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maintenance,</w:t>
      </w:r>
      <w:r w:rsidR="00422215">
        <w:t xml:space="preserve"> </w:t>
      </w:r>
      <w:r w:rsidRPr="007D2C07">
        <w:t>2)</w:t>
      </w:r>
      <w:r w:rsidR="00422215">
        <w:t xml:space="preserve"> </w:t>
      </w:r>
      <w:r w:rsidRPr="007D2C07">
        <w:t>lack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systematic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detect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risks,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3)</w:t>
      </w:r>
      <w:r w:rsidR="00422215">
        <w:t xml:space="preserve"> </w:t>
      </w:r>
      <w:r w:rsidRPr="007D2C07">
        <w:t>inadequate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safety</w:t>
      </w:r>
      <w:r w:rsidR="00422215">
        <w:t xml:space="preserve"> </w:t>
      </w:r>
      <w:r w:rsidRPr="007D2C07">
        <w:t>routines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equipment.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On</w:t>
      </w:r>
      <w:r w:rsidR="00422215">
        <w:t xml:space="preserve"> </w:t>
      </w:r>
      <w:r w:rsidRPr="007D2C07">
        <w:t>conclusion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programme,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held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survey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fire</w:t>
      </w:r>
      <w:r w:rsidR="00422215">
        <w:t xml:space="preserve"> </w:t>
      </w:r>
      <w:r w:rsidRPr="007D2C07">
        <w:t>brigades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monitored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programme.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majority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respondents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impression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inspections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understanding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detect</w:t>
      </w:r>
      <w:r w:rsidR="00422215">
        <w:t xml:space="preserve"> </w:t>
      </w:r>
      <w:r w:rsidRPr="007D2C07">
        <w:t>risks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exposed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dust,</w:t>
      </w:r>
      <w:r w:rsidR="00422215">
        <w:t xml:space="preserve"> </w:t>
      </w:r>
      <w:r w:rsidRPr="007D2C07">
        <w:t>gas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smoke,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risks.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result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findings,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adjustments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planned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make</w:t>
      </w:r>
      <w:r w:rsidR="00422215">
        <w:t xml:space="preserve"> </w:t>
      </w:r>
      <w:r w:rsidRPr="007D2C07">
        <w:t>adjustments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existing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future</w:t>
      </w:r>
      <w:r w:rsidR="00422215">
        <w:t xml:space="preserve"> </w:t>
      </w:r>
      <w:r w:rsidRPr="007D2C07">
        <w:t>workplaces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secure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fire</w:t>
      </w:r>
      <w:r w:rsidR="00422215">
        <w:t xml:space="preserve"> </w:t>
      </w:r>
      <w:r w:rsidRPr="007D2C07">
        <w:t>fighters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chimney</w:t>
      </w:r>
      <w:r w:rsidR="00422215">
        <w:t xml:space="preserve"> </w:t>
      </w:r>
      <w:r w:rsidRPr="007D2C07">
        <w:t>sweepers.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preliminary</w:t>
      </w:r>
      <w:r w:rsidR="00422215">
        <w:t xml:space="preserve"> </w:t>
      </w:r>
      <w:r w:rsidRPr="007D2C07">
        <w:t>study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work-related</w:t>
      </w:r>
      <w:r w:rsidR="00422215">
        <w:t xml:space="preserve"> </w:t>
      </w:r>
      <w:r w:rsidRPr="007D2C07">
        <w:t>accidents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work-related</w:t>
      </w:r>
      <w:r w:rsidR="00422215">
        <w:t xml:space="preserve"> </w:t>
      </w:r>
      <w:r w:rsidRPr="007D2C07">
        <w:t>illness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initiated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end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2015,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organisations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Administration,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Institute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Health,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mapped</w:t>
      </w:r>
      <w:r w:rsidR="00422215">
        <w:t xml:space="preserve"> </w:t>
      </w:r>
      <w:r w:rsidRPr="007D2C07">
        <w:t>duties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assessed</w:t>
      </w:r>
      <w:r w:rsidR="00422215">
        <w:t xml:space="preserve"> </w:t>
      </w:r>
      <w:r w:rsidRPr="007D2C07">
        <w:t>reporting</w:t>
      </w:r>
      <w:r w:rsidR="00422215">
        <w:t xml:space="preserve"> </w:t>
      </w:r>
      <w:r w:rsidRPr="007D2C07">
        <w:t>solutions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suitable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future</w:t>
      </w:r>
      <w:r w:rsidR="00422215">
        <w:t xml:space="preserve"> </w:t>
      </w:r>
      <w:r w:rsidRPr="007D2C07">
        <w:t>projects.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requires</w:t>
      </w:r>
      <w:r w:rsidR="00422215">
        <w:t xml:space="preserve"> </w:t>
      </w:r>
      <w:r w:rsidRPr="007D2C07">
        <w:t>long-term</w:t>
      </w:r>
      <w:r w:rsidR="00422215">
        <w:t xml:space="preserve"> </w:t>
      </w:r>
      <w:r w:rsidRPr="007D2C07">
        <w:t>follow-up,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addressing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aspects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implementing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recommendations.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Different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field.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example</w:t>
      </w:r>
      <w:r w:rsidR="00422215">
        <w:t xml:space="preserve"> </w:t>
      </w:r>
      <w:r w:rsidRPr="007D2C07">
        <w:t>worth</w:t>
      </w:r>
      <w:r w:rsidR="00422215">
        <w:t xml:space="preserve"> </w:t>
      </w:r>
      <w:r w:rsidRPr="007D2C07">
        <w:t>mentioning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amendment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2014,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gave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lay</w:t>
      </w:r>
      <w:r w:rsidR="00422215">
        <w:t xml:space="preserve"> </w:t>
      </w:r>
      <w:r w:rsidRPr="007D2C07">
        <w:t>down</w:t>
      </w:r>
      <w:r w:rsidR="00422215">
        <w:t xml:space="preserve"> </w:t>
      </w:r>
      <w:r w:rsidRPr="007D2C07">
        <w:t>administrative</w:t>
      </w:r>
      <w:r w:rsidR="00422215">
        <w:t xml:space="preserve"> </w:t>
      </w:r>
      <w:r w:rsidRPr="007D2C07">
        <w:t>fines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fulfil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obligations</w:t>
      </w:r>
      <w:r w:rsidR="00422215">
        <w:t xml:space="preserve"> </w:t>
      </w:r>
      <w:r w:rsidRPr="007D2C07">
        <w:t>set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Act.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administrative</w:t>
      </w:r>
      <w:r w:rsidR="00422215">
        <w:t xml:space="preserve"> </w:t>
      </w:r>
      <w:r w:rsidRPr="007D2C07">
        <w:t>fines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used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punitive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severe</w:t>
      </w:r>
      <w:r w:rsidR="00422215">
        <w:t xml:space="preserve"> </w:t>
      </w:r>
      <w:r w:rsidRPr="007D2C07">
        <w:t>infringement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especially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construction</w:t>
      </w:r>
      <w:r w:rsidR="00422215">
        <w:t xml:space="preserve"> </w:t>
      </w:r>
      <w:r w:rsidRPr="007D2C07">
        <w:t>industry,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negligence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safety</w:t>
      </w:r>
      <w:r w:rsidR="00422215">
        <w:t xml:space="preserve"> </w:t>
      </w:r>
      <w:r w:rsidRPr="007D2C07">
        <w:t>regulations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constitute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severe</w:t>
      </w:r>
      <w:r w:rsidR="00422215">
        <w:t xml:space="preserve"> </w:t>
      </w:r>
      <w:r w:rsidRPr="007D2C07">
        <w:t>infringement.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sees</w:t>
      </w:r>
      <w:r w:rsidR="00422215">
        <w:t xml:space="preserve"> </w:t>
      </w:r>
      <w:r w:rsidRPr="007D2C07">
        <w:t>positive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construction</w:t>
      </w:r>
      <w:r w:rsidR="00422215">
        <w:t xml:space="preserve"> </w:t>
      </w:r>
      <w:r w:rsidRPr="007D2C07">
        <w:t>industry.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sharpened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reactions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infringement</w:t>
      </w:r>
      <w:r w:rsidR="00422215">
        <w:t xml:space="preserve"> </w:t>
      </w:r>
      <w:r w:rsidRPr="007D2C07">
        <w:t>fees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shutdown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operations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businesses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did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adequately</w:t>
      </w:r>
      <w:r w:rsidR="00422215">
        <w:t xml:space="preserve"> </w:t>
      </w:r>
      <w:r w:rsidRPr="007D2C07">
        <w:t>secure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employees’</w:t>
      </w:r>
      <w:r w:rsidR="00422215">
        <w:t xml:space="preserve"> </w:t>
      </w:r>
      <w:r w:rsidRPr="007D2C07">
        <w:t>safety.</w:t>
      </w:r>
      <w:r w:rsidR="00422215">
        <w:t xml:space="preserve"> </w:t>
      </w:r>
      <w:r w:rsidRPr="007D2C07">
        <w:t>Experience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infringement</w:t>
      </w:r>
      <w:r w:rsidR="00422215">
        <w:t xml:space="preserve"> </w:t>
      </w:r>
      <w:r w:rsidRPr="007D2C07">
        <w:t>fees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preventive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positive</w:t>
      </w:r>
      <w:r w:rsidR="00422215">
        <w:t xml:space="preserve"> </w:t>
      </w:r>
      <w:r w:rsidRPr="007D2C07">
        <w:t>effect.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reported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see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historically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injury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result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accidents.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figures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land-based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life.</w:t>
      </w:r>
      <w:r w:rsidR="00422215">
        <w:t xml:space="preserve"> </w:t>
      </w:r>
      <w:r w:rsidRPr="007D2C07">
        <w:t>Below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overview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injury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land-based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2011–23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2019.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registered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total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304</w:t>
      </w:r>
      <w:r w:rsidR="00422215">
        <w:t xml:space="preserve"> </w:t>
      </w:r>
      <w:r w:rsidRPr="007D2C07">
        <w:t>work-related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period,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236</w:t>
      </w:r>
      <w:r w:rsidR="00422215">
        <w:t xml:space="preserve"> </w:t>
      </w:r>
      <w:r w:rsidRPr="007D2C07">
        <w:t>employees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68</w:t>
      </w:r>
      <w:r w:rsidR="00422215">
        <w:t xml:space="preserve"> </w:t>
      </w:r>
      <w:r w:rsidRPr="007D2C07">
        <w:t>foreign.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overview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citizenship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industry</w:t>
      </w:r>
      <w:r w:rsidR="00422215">
        <w:t xml:space="preserve"> </w:t>
      </w:r>
      <w:r w:rsidRPr="007D2C07">
        <w:t>affiliation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deceased.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Occupational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land-based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2011–23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2019</w:t>
      </w:r>
      <w:r w:rsidR="008330AD">
        <w:t>.</w:t>
      </w:r>
    </w:p>
    <w:p w:rsidR="007D2C07" w:rsidRPr="007D2C07" w:rsidRDefault="007D2C07" w:rsidP="008330AD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collects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produces</w:t>
      </w:r>
      <w:r w:rsidR="00422215">
        <w:t xml:space="preserve"> </w:t>
      </w:r>
      <w:r w:rsidRPr="007D2C07">
        <w:t>statistical</w:t>
      </w:r>
      <w:r w:rsidR="00422215">
        <w:t xml:space="preserve"> </w:t>
      </w:r>
      <w:r w:rsidRPr="007D2C07">
        <w:t>data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occurred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land-based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occur</w:t>
      </w:r>
      <w:r w:rsidR="00422215">
        <w:t xml:space="preserve"> </w:t>
      </w:r>
      <w:r w:rsidRPr="007D2C07">
        <w:t>offshore,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sea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aviation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not,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included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statistics.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occur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military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included,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exception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combat.</w:t>
      </w:r>
    </w:p>
    <w:p w:rsidR="007D2C07" w:rsidRPr="007D2C07" w:rsidRDefault="007D2C07" w:rsidP="008330AD">
      <w:pPr>
        <w:pStyle w:val="SingleTxtG"/>
        <w:numPr>
          <w:ilvl w:val="0"/>
          <w:numId w:val="35"/>
        </w:numPr>
        <w:ind w:left="1134" w:firstLine="0"/>
      </w:pPr>
      <w:r w:rsidRPr="007D2C07">
        <w:t>During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2011–23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2019,</w:t>
      </w:r>
      <w:r w:rsidRPr="007D2C07">
        <w:rPr>
          <w:vertAlign w:val="superscript"/>
        </w:rPr>
        <w:footnoteReference w:id="9"/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registered</w:t>
      </w:r>
      <w:r w:rsidR="00422215">
        <w:t xml:space="preserve"> </w:t>
      </w:r>
      <w:r w:rsidRPr="007D2C07">
        <w:t>304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land-based</w:t>
      </w:r>
      <w:r w:rsidR="00422215">
        <w:t xml:space="preserve"> </w:t>
      </w:r>
      <w:r w:rsidRPr="007D2C07">
        <w:t>activity.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236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deceased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citizen,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remaining</w:t>
      </w:r>
      <w:r w:rsidR="00422215">
        <w:t xml:space="preserve"> </w:t>
      </w:r>
      <w:r w:rsidRPr="007D2C07">
        <w:t>68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deceased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worker.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table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deaths,</w:t>
      </w:r>
      <w:r w:rsidR="00422215">
        <w:t xml:space="preserve"> </w:t>
      </w:r>
      <w:r w:rsidRPr="007D2C07">
        <w:t>organised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nationality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area.</w:t>
      </w:r>
    </w:p>
    <w:tbl>
      <w:tblPr>
        <w:tblW w:w="7228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5"/>
        <w:gridCol w:w="3683"/>
        <w:gridCol w:w="2126"/>
      </w:tblGrid>
      <w:tr w:rsidR="007D02D1" w:rsidRPr="00D07B55" w:rsidTr="007D02D1">
        <w:trPr>
          <w:tblHeader/>
        </w:trPr>
        <w:tc>
          <w:tcPr>
            <w:tcW w:w="7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02D1" w:rsidRPr="00C47B8B" w:rsidRDefault="007D02D1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Cs/>
                <w:i/>
                <w:sz w:val="16"/>
              </w:rPr>
            </w:pPr>
            <w:r w:rsidRPr="00C47B8B">
              <w:rPr>
                <w:bCs/>
                <w:i/>
                <w:sz w:val="16"/>
              </w:rPr>
              <w:t>Citizenship</w:t>
            </w:r>
          </w:p>
        </w:tc>
        <w:tc>
          <w:tcPr>
            <w:tcW w:w="274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D02D1" w:rsidRPr="00D07B55" w:rsidRDefault="007D02D1" w:rsidP="00C47B8B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bCs/>
                <w:i/>
                <w:sz w:val="16"/>
              </w:rPr>
            </w:pPr>
            <w:r w:rsidRPr="00D07B55">
              <w:rPr>
                <w:bCs/>
                <w:i/>
                <w:sz w:val="16"/>
              </w:rPr>
              <w:t>Main</w:t>
            </w:r>
            <w:r>
              <w:rPr>
                <w:bCs/>
                <w:i/>
                <w:sz w:val="16"/>
              </w:rPr>
              <w:t xml:space="preserve"> </w:t>
            </w:r>
            <w:r w:rsidRPr="00D07B55">
              <w:rPr>
                <w:bCs/>
                <w:i/>
                <w:sz w:val="16"/>
              </w:rPr>
              <w:t>activity</w:t>
            </w:r>
            <w:r>
              <w:rPr>
                <w:bCs/>
                <w:i/>
                <w:sz w:val="16"/>
              </w:rPr>
              <w:t xml:space="preserve"> </w:t>
            </w:r>
            <w:r w:rsidRPr="00D07B55">
              <w:rPr>
                <w:bCs/>
                <w:i/>
                <w:sz w:val="16"/>
              </w:rPr>
              <w:t>area</w:t>
            </w:r>
          </w:p>
        </w:tc>
        <w:tc>
          <w:tcPr>
            <w:tcW w:w="14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bCs/>
                <w:i/>
                <w:sz w:val="16"/>
              </w:rPr>
            </w:pPr>
            <w:r w:rsidRPr="00D07B55">
              <w:rPr>
                <w:bCs/>
                <w:i/>
                <w:sz w:val="16"/>
              </w:rPr>
              <w:t>Number</w:t>
            </w:r>
            <w:r>
              <w:rPr>
                <w:bCs/>
                <w:i/>
                <w:sz w:val="16"/>
              </w:rPr>
              <w:t xml:space="preserve"> </w:t>
            </w:r>
            <w:r w:rsidRPr="00D07B55">
              <w:rPr>
                <w:bCs/>
                <w:i/>
                <w:sz w:val="16"/>
              </w:rPr>
              <w:t>of</w:t>
            </w:r>
            <w:r>
              <w:rPr>
                <w:bCs/>
                <w:i/>
                <w:sz w:val="16"/>
              </w:rPr>
              <w:t xml:space="preserve"> </w:t>
            </w:r>
            <w:r w:rsidRPr="00D07B55">
              <w:rPr>
                <w:bCs/>
                <w:i/>
                <w:sz w:val="16"/>
              </w:rPr>
              <w:t>occupational</w:t>
            </w:r>
            <w:r>
              <w:rPr>
                <w:bCs/>
                <w:i/>
                <w:sz w:val="16"/>
              </w:rPr>
              <w:t xml:space="preserve"> </w:t>
            </w:r>
            <w:r w:rsidRPr="00D07B55">
              <w:rPr>
                <w:bCs/>
                <w:i/>
                <w:sz w:val="16"/>
              </w:rPr>
              <w:t>deaths</w:t>
            </w:r>
          </w:p>
        </w:tc>
      </w:tr>
      <w:tr w:rsidR="007D02D1" w:rsidRPr="00D07B55" w:rsidTr="007D02D1">
        <w:tc>
          <w:tcPr>
            <w:tcW w:w="78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Bulgaria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548" w:type="pct"/>
            <w:tcBorders>
              <w:top w:val="single" w:sz="12" w:space="0" w:color="auto"/>
            </w:tcBorders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bookmarkStart w:id="1" w:name="_Hlk13043539"/>
            <w:r w:rsidRPr="00D07B55">
              <w:rPr>
                <w:sz w:val="18"/>
              </w:rPr>
              <w:t>Wholesale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retail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trade: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repair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motor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vehicles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motorcycles</w:t>
            </w:r>
            <w:bookmarkEnd w:id="1"/>
          </w:p>
        </w:tc>
        <w:tc>
          <w:tcPr>
            <w:tcW w:w="147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bCs/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bCs/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bookmarkStart w:id="2" w:name="_Hlk13043467"/>
            <w:r w:rsidRPr="00D07B55">
              <w:rPr>
                <w:sz w:val="18"/>
              </w:rPr>
              <w:t>Agriculture,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forestry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fishing</w:t>
            </w:r>
            <w:bookmarkEnd w:id="2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bCs/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/>
                <w:bCs/>
                <w:sz w:val="18"/>
              </w:rPr>
            </w:pPr>
            <w:r w:rsidRPr="00D07B55">
              <w:rPr>
                <w:sz w:val="18"/>
              </w:rPr>
              <w:t>Manufacturing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bCs/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Myanmar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Other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bCs/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Denmark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Agriculture,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forestry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fishing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3" w:name="_Hlk13043548"/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  <w:bookmarkEnd w:id="3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Manufacturing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Greece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Manufacturing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bCs/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Croatia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2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4" w:name="_Hlk13043506"/>
            <w:r w:rsidRPr="00D07B55">
              <w:rPr>
                <w:sz w:val="18"/>
              </w:rPr>
              <w:t>Electricity,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gas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steam</w:t>
            </w:r>
            <w:bookmarkEnd w:id="4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Latvia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2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Lithuania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Agriculture,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forestry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fishing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4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5" w:name="_Hlk13043525"/>
            <w:r w:rsidRPr="00D07B55">
              <w:rPr>
                <w:sz w:val="18"/>
              </w:rPr>
              <w:t>Construction</w:t>
            </w:r>
            <w:bookmarkEnd w:id="5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3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Administrative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support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6" w:name="_Hlk13043517"/>
            <w:r w:rsidRPr="00D07B55">
              <w:rPr>
                <w:sz w:val="18"/>
              </w:rPr>
              <w:t>Water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supply,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sewerage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waste</w:t>
            </w:r>
            <w:bookmarkEnd w:id="6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Other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Manufacturing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Norway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45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Agriculture,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forestry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fishing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38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37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7" w:name="_Hlk13043493"/>
            <w:r w:rsidRPr="00D07B55">
              <w:rPr>
                <w:sz w:val="18"/>
              </w:rPr>
              <w:t>Manufacturing</w:t>
            </w:r>
            <w:bookmarkEnd w:id="7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27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8" w:name="_Hlk13043601"/>
            <w:r w:rsidRPr="00D07B55">
              <w:rPr>
                <w:sz w:val="18"/>
              </w:rPr>
              <w:t>Public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administration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defence</w:t>
            </w:r>
            <w:bookmarkEnd w:id="8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18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9" w:name="_Hlk13043482"/>
            <w:r w:rsidRPr="00D07B55">
              <w:rPr>
                <w:sz w:val="18"/>
              </w:rPr>
              <w:t>Mining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quarrying</w:t>
            </w:r>
            <w:bookmarkEnd w:id="9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15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Wholesale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retail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trade: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repair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motor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vehicles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motorcycles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0" w:name="_Hlk13043592"/>
            <w:r w:rsidRPr="00D07B55">
              <w:rPr>
                <w:sz w:val="18"/>
              </w:rPr>
              <w:t>Administrative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support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  <w:bookmarkEnd w:id="10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10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1" w:name="_Hlk13043624"/>
            <w:r w:rsidRPr="00D07B55">
              <w:rPr>
                <w:sz w:val="18"/>
              </w:rPr>
              <w:t>Human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health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social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work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  <w:bookmarkEnd w:id="11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9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Water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supply,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sewerage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waste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6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2" w:name="_Hlk13043583"/>
            <w:r w:rsidRPr="00D07B55">
              <w:rPr>
                <w:sz w:val="18"/>
              </w:rPr>
              <w:t>Professional,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scientific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technical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  <w:bookmarkEnd w:id="12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5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3" w:name="_Hlk13050781"/>
            <w:r w:rsidRPr="00D07B55">
              <w:rPr>
                <w:sz w:val="18"/>
              </w:rPr>
              <w:t>Accommodation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food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  <w:bookmarkEnd w:id="13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5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4" w:name="_Hlk13050790"/>
            <w:r w:rsidRPr="00D07B55">
              <w:rPr>
                <w:sz w:val="18"/>
              </w:rPr>
              <w:t>Information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communication</w:t>
            </w:r>
            <w:bookmarkEnd w:id="14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3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Arts,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entertainment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recreation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2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Other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2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Electricity,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gas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steam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Education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00.000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Unknown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Poland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8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Administrative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support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5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5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Agriculture,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forestry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fishing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3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5" w:name="_Hlk13050806"/>
            <w:r w:rsidRPr="00D07B55">
              <w:rPr>
                <w:sz w:val="18"/>
              </w:rPr>
              <w:t>Real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estate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  <w:bookmarkEnd w:id="15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Portugal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bCs/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bCs/>
                <w:sz w:val="18"/>
              </w:rPr>
              <w:t>Romania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Arts,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entertainment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recreation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Agriculture,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forestry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fishing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bCs/>
                <w:sz w:val="18"/>
              </w:rPr>
            </w:pPr>
            <w:r w:rsidRPr="00C47B8B">
              <w:rPr>
                <w:sz w:val="18"/>
              </w:rPr>
              <w:t>Russia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Mining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quarrying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C47B8B">
              <w:rPr>
                <w:sz w:val="18"/>
              </w:rPr>
              <w:t>Slovakia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bookmarkStart w:id="16" w:name="_Hlk13050728"/>
            <w:r w:rsidRPr="00D07B55">
              <w:rPr>
                <w:sz w:val="18"/>
              </w:rPr>
              <w:t>Arts,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entertainment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recreation</w:t>
            </w:r>
            <w:bookmarkEnd w:id="16"/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Manufacturing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 w:val="restar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C47B8B">
              <w:rPr>
                <w:sz w:val="18"/>
              </w:rPr>
              <w:t>Sweden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Transportation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storage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3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Construction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2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Real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estate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Public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administration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defence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vMerge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Accommodation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food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C47B8B">
              <w:rPr>
                <w:sz w:val="18"/>
              </w:rPr>
              <w:t>Germany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Mining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quarrying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7D02D1">
        <w:tc>
          <w:tcPr>
            <w:tcW w:w="784" w:type="pct"/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C47B8B">
              <w:rPr>
                <w:sz w:val="18"/>
              </w:rPr>
              <w:t>Ukraine</w:t>
            </w:r>
          </w:p>
        </w:tc>
        <w:tc>
          <w:tcPr>
            <w:tcW w:w="197" w:type="pct"/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2548" w:type="pct"/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Mining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quarrying</w:t>
            </w:r>
          </w:p>
        </w:tc>
        <w:tc>
          <w:tcPr>
            <w:tcW w:w="1471" w:type="pct"/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D07B55" w:rsidTr="00147775"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02D1" w:rsidRPr="00C47B8B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C47B8B">
              <w:rPr>
                <w:sz w:val="18"/>
              </w:rPr>
              <w:t>Hungary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7D02D1" w:rsidRPr="00D07B55" w:rsidRDefault="007D02D1" w:rsidP="007D02D1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254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D02D1" w:rsidRPr="00D07B55" w:rsidRDefault="007D02D1" w:rsidP="00C47B8B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</w:rPr>
            </w:pPr>
            <w:r w:rsidRPr="00D07B55">
              <w:rPr>
                <w:sz w:val="18"/>
              </w:rPr>
              <w:t>Administrative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support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service</w:t>
            </w:r>
            <w:r>
              <w:rPr>
                <w:sz w:val="18"/>
              </w:rPr>
              <w:t xml:space="preserve"> </w:t>
            </w:r>
            <w:r w:rsidRPr="00D07B55">
              <w:rPr>
                <w:sz w:val="18"/>
              </w:rPr>
              <w:t>activities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2D1" w:rsidRPr="00D07B55" w:rsidRDefault="007D02D1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</w:rPr>
            </w:pPr>
            <w:r w:rsidRPr="00D07B55">
              <w:rPr>
                <w:sz w:val="18"/>
              </w:rPr>
              <w:t>1</w:t>
            </w:r>
          </w:p>
        </w:tc>
      </w:tr>
      <w:tr w:rsidR="007D02D1" w:rsidRPr="00147775" w:rsidTr="00147775">
        <w:tc>
          <w:tcPr>
            <w:tcW w:w="78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02D1" w:rsidRPr="00147775" w:rsidRDefault="007D02D1" w:rsidP="00147775">
            <w:pPr>
              <w:pStyle w:val="SingleTxtG"/>
              <w:suppressAutoHyphens w:val="0"/>
              <w:spacing w:before="80" w:after="80" w:line="220" w:lineRule="exact"/>
              <w:ind w:left="283" w:right="0"/>
              <w:jc w:val="left"/>
              <w:rPr>
                <w:b/>
                <w:sz w:val="18"/>
              </w:rPr>
            </w:pPr>
            <w:r w:rsidRPr="00147775">
              <w:rPr>
                <w:b/>
                <w:sz w:val="18"/>
              </w:rPr>
              <w:t>Total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D02D1" w:rsidRPr="00147775" w:rsidRDefault="007D02D1" w:rsidP="00147775">
            <w:pPr>
              <w:pStyle w:val="SingleTxtG"/>
              <w:suppressAutoHyphens w:val="0"/>
              <w:spacing w:before="80" w:after="80" w:line="220" w:lineRule="exact"/>
              <w:ind w:left="0" w:right="0"/>
              <w:jc w:val="left"/>
              <w:rPr>
                <w:b/>
                <w:sz w:val="18"/>
              </w:rPr>
            </w:pPr>
          </w:p>
        </w:tc>
        <w:tc>
          <w:tcPr>
            <w:tcW w:w="254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7D02D1" w:rsidRPr="00147775" w:rsidRDefault="007D02D1" w:rsidP="00147775">
            <w:pPr>
              <w:pStyle w:val="SingleTxtG"/>
              <w:suppressAutoHyphens w:val="0"/>
              <w:spacing w:before="80" w:after="80" w:line="220" w:lineRule="exact"/>
              <w:ind w:left="0" w:right="0"/>
              <w:jc w:val="left"/>
              <w:rPr>
                <w:b/>
                <w:sz w:val="18"/>
              </w:rPr>
            </w:pPr>
          </w:p>
        </w:tc>
        <w:tc>
          <w:tcPr>
            <w:tcW w:w="14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D02D1" w:rsidRPr="00147775" w:rsidRDefault="007D02D1" w:rsidP="00147775">
            <w:pPr>
              <w:pStyle w:val="SingleTxtG"/>
              <w:suppressAutoHyphens w:val="0"/>
              <w:spacing w:before="80" w:after="80" w:line="220" w:lineRule="exact"/>
              <w:ind w:left="0" w:right="0"/>
              <w:jc w:val="right"/>
              <w:rPr>
                <w:b/>
                <w:sz w:val="18"/>
              </w:rPr>
            </w:pPr>
            <w:r w:rsidRPr="00147775">
              <w:rPr>
                <w:b/>
                <w:sz w:val="18"/>
              </w:rPr>
              <w:t>304</w:t>
            </w:r>
          </w:p>
        </w:tc>
      </w:tr>
    </w:tbl>
    <w:p w:rsidR="007C7F59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22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Insurance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covers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traditional</w:t>
      </w:r>
      <w:r w:rsidR="00422215">
        <w:t xml:space="preserve"> </w:t>
      </w:r>
      <w:r w:rsidRPr="007D2C07">
        <w:t>branches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security,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set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ILO</w:t>
      </w:r>
      <w:r w:rsidR="00422215">
        <w:t xml:space="preserve"> </w:t>
      </w:r>
      <w:r w:rsidRPr="007D2C07">
        <w:t>Convention</w:t>
      </w:r>
      <w:r w:rsidR="00422215">
        <w:t xml:space="preserve"> </w:t>
      </w:r>
      <w:r w:rsidRPr="007D2C07">
        <w:t>No.</w:t>
      </w:r>
      <w:r w:rsidR="00422215">
        <w:t xml:space="preserve"> </w:t>
      </w:r>
      <w:r w:rsidRPr="007D2C07">
        <w:t>102</w:t>
      </w:r>
      <w:r w:rsidR="00422215">
        <w:t xml:space="preserve"> </w:t>
      </w:r>
      <w:r w:rsidRPr="007D2C07">
        <w:t>(with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exception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benefit,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covered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separate</w:t>
      </w:r>
      <w:r w:rsidR="00422215">
        <w:t xml:space="preserve"> </w:t>
      </w:r>
      <w:r w:rsidRPr="007D2C07">
        <w:t>scheme).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rule,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legally</w:t>
      </w:r>
      <w:r w:rsidR="00422215">
        <w:t xml:space="preserve"> </w:t>
      </w:r>
      <w:r w:rsidRPr="007D2C07">
        <w:t>reside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reside</w:t>
      </w:r>
      <w:r w:rsidR="00422215">
        <w:t xml:space="preserve"> </w:t>
      </w:r>
      <w:r w:rsidRPr="007D2C07">
        <w:t>abroad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mandatorily</w:t>
      </w:r>
      <w:r w:rsidR="00422215">
        <w:t xml:space="preserve"> </w:t>
      </w:r>
      <w:r w:rsidRPr="007D2C07">
        <w:t>insured.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migrant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treated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way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nationals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regards</w:t>
      </w:r>
      <w:r w:rsidR="00422215">
        <w:t xml:space="preserve"> </w:t>
      </w:r>
      <w:r w:rsidRPr="007D2C07">
        <w:t>occupational</w:t>
      </w:r>
      <w:r w:rsidR="00422215">
        <w:t xml:space="preserve"> </w:t>
      </w:r>
      <w:r w:rsidRPr="007D2C07">
        <w:t>accident</w:t>
      </w:r>
      <w:r w:rsidR="00422215">
        <w:t xml:space="preserve"> </w:t>
      </w:r>
      <w:r w:rsidRPr="007D2C07">
        <w:t>compensation.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familiar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specifically</w:t>
      </w:r>
      <w:r w:rsidR="00422215">
        <w:t xml:space="preserve"> </w:t>
      </w:r>
      <w:r w:rsidRPr="007D2C07">
        <w:t>cover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migrant</w:t>
      </w:r>
      <w:r w:rsidR="00422215">
        <w:t xml:space="preserve"> </w:t>
      </w:r>
      <w:r w:rsidRPr="007D2C07">
        <w:t>workers.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However,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enterprise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bound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bound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give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its</w:t>
      </w:r>
      <w:r w:rsidR="00422215">
        <w:t xml:space="preserve"> </w:t>
      </w:r>
      <w:proofErr w:type="spellStart"/>
      <w:r w:rsidRPr="007D2C07">
        <w:t>employees</w:t>
      </w:r>
      <w:proofErr w:type="spellEnd"/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pursuant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scope.</w:t>
      </w:r>
      <w:r w:rsidR="00422215">
        <w:t xml:space="preserve"> </w:t>
      </w:r>
      <w:r w:rsidRPr="007D2C07">
        <w:t>Hence,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terms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exercised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members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non-members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trade</w:t>
      </w:r>
      <w:r w:rsidR="00422215">
        <w:t xml:space="preserve"> </w:t>
      </w:r>
      <w:r w:rsidRPr="007D2C07">
        <w:t>unions.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wages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agreed</w:t>
      </w:r>
      <w:r w:rsidR="00422215">
        <w:t xml:space="preserve"> </w:t>
      </w:r>
      <w:r w:rsidRPr="007D2C07">
        <w:t>upon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wage</w:t>
      </w:r>
      <w:r w:rsidR="00422215">
        <w:t xml:space="preserve"> </w:t>
      </w:r>
      <w:r w:rsidRPr="007D2C07">
        <w:t>agreements.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usually</w:t>
      </w:r>
      <w:r w:rsidR="00422215">
        <w:t xml:space="preserve"> </w:t>
      </w:r>
      <w:r w:rsidRPr="007D2C07">
        <w:t>entered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(trade</w:t>
      </w:r>
      <w:r w:rsidR="00422215">
        <w:t xml:space="preserve"> </w:t>
      </w:r>
      <w:r w:rsidRPr="007D2C07">
        <w:t>agreements).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wages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nonetheless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introduced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sectors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regulations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General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instrument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preventing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poorer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usual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Generally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everyone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works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regardless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party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agreement,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enterprise</w:t>
      </w:r>
      <w:r w:rsidR="00422215">
        <w:t xml:space="preserve"> </w:t>
      </w:r>
      <w:r w:rsidRPr="007D2C07">
        <w:t>bound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sectors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generally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agreements:</w:t>
      </w:r>
      <w:r w:rsidR="00422215">
        <w:t xml:space="preserve"> </w:t>
      </w:r>
      <w:r w:rsidRPr="007D2C07">
        <w:t>construction,</w:t>
      </w:r>
      <w:r w:rsidR="00422215">
        <w:t xml:space="preserve"> </w:t>
      </w:r>
      <w:r w:rsidRPr="007D2C07">
        <w:t>maritime</w:t>
      </w:r>
      <w:r w:rsidR="00422215">
        <w:t xml:space="preserve"> </w:t>
      </w:r>
      <w:r w:rsidRPr="007D2C07">
        <w:t>construction</w:t>
      </w:r>
      <w:r w:rsidR="00422215">
        <w:t xml:space="preserve"> </w:t>
      </w:r>
      <w:r w:rsidRPr="007D2C07">
        <w:t>industry,</w:t>
      </w:r>
      <w:r w:rsidR="00422215">
        <w:t xml:space="preserve"> </w:t>
      </w:r>
      <w:r w:rsidRPr="007D2C07">
        <w:t>agriculture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horticulture,</w:t>
      </w:r>
      <w:r w:rsidR="00422215">
        <w:t xml:space="preserve"> </w:t>
      </w:r>
      <w:r w:rsidRPr="007D2C07">
        <w:t>cleaning,</w:t>
      </w:r>
      <w:r w:rsidR="00422215">
        <w:t xml:space="preserve"> </w:t>
      </w:r>
      <w:r w:rsidRPr="007D2C07">
        <w:t>fish</w:t>
      </w:r>
      <w:r w:rsidR="00422215">
        <w:t xml:space="preserve"> </w:t>
      </w:r>
      <w:r w:rsidRPr="007D2C07">
        <w:t>processing</w:t>
      </w:r>
      <w:r w:rsidR="00422215">
        <w:t xml:space="preserve"> </w:t>
      </w:r>
      <w:r w:rsidRPr="007D2C07">
        <w:t>industry,</w:t>
      </w:r>
      <w:r w:rsidR="00422215">
        <w:t xml:space="preserve"> </w:t>
      </w:r>
      <w:r w:rsidRPr="007D2C07">
        <w:t>electricians,</w:t>
      </w:r>
      <w:r w:rsidR="00422215">
        <w:t xml:space="preserve"> </w:t>
      </w:r>
      <w:r w:rsidRPr="007D2C07">
        <w:t>freight</w:t>
      </w:r>
      <w:r w:rsidR="00422215">
        <w:t xml:space="preserve"> </w:t>
      </w:r>
      <w:r w:rsidRPr="007D2C07">
        <w:t>transport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road,</w:t>
      </w:r>
      <w:r w:rsidR="00422215">
        <w:t xml:space="preserve"> </w:t>
      </w:r>
      <w:r w:rsidRPr="007D2C07">
        <w:t>passenger</w:t>
      </w:r>
      <w:r w:rsidR="00422215">
        <w:t xml:space="preserve"> </w:t>
      </w:r>
      <w:r w:rsidRPr="007D2C07">
        <w:t>transport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tour</w:t>
      </w:r>
      <w:r w:rsidR="00422215">
        <w:t xml:space="preserve"> </w:t>
      </w:r>
      <w:r w:rsidRPr="007D2C07">
        <w:t>busses,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hotel,</w:t>
      </w:r>
      <w:r w:rsidR="00422215">
        <w:t xml:space="preserve"> </w:t>
      </w:r>
      <w:r w:rsidRPr="007D2C07">
        <w:t>restaurant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catering</w:t>
      </w:r>
      <w:r w:rsidR="00422215">
        <w:t xml:space="preserve"> </w:t>
      </w:r>
      <w:r w:rsidRPr="007D2C07">
        <w:t>sector.</w:t>
      </w:r>
    </w:p>
    <w:p w:rsidR="007D2C07" w:rsidRPr="007D2C07" w:rsidRDefault="007D2C07" w:rsidP="00422215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majority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applies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non-citizens.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laws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Holidays.</w:t>
      </w:r>
      <w:r w:rsidR="00422215">
        <w:t xml:space="preserve"> </w:t>
      </w:r>
      <w:r w:rsidRPr="007D2C07">
        <w:t>Additionally,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regulations</w:t>
      </w:r>
      <w:r w:rsidR="00422215">
        <w:t xml:space="preserve"> </w:t>
      </w:r>
      <w:r w:rsidRPr="007D2C07">
        <w:t>issued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Act.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When</w:t>
      </w:r>
      <w:r w:rsidR="00422215">
        <w:t xml:space="preserve"> </w:t>
      </w:r>
      <w:r w:rsidRPr="007D2C07">
        <w:t>non-citizens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employed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enterprises,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applies.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non-citizens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employed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enterprises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limited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framework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services,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parts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legislation,</w:t>
      </w:r>
      <w:r w:rsidR="00422215">
        <w:t xml:space="preserve"> </w:t>
      </w:r>
      <w:r w:rsidRPr="007D2C07">
        <w:t>i.e.</w:t>
      </w:r>
      <w:r w:rsidR="00422215">
        <w:t xml:space="preserve"> </w:t>
      </w:r>
      <w:r w:rsidRPr="007D2C07">
        <w:t>provisions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safety,</w:t>
      </w:r>
      <w:r w:rsidR="00422215">
        <w:t xml:space="preserve"> </w:t>
      </w:r>
      <w:r w:rsidRPr="007D2C07">
        <w:t>non-discrimination,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time,</w:t>
      </w:r>
      <w:r w:rsidR="00422215">
        <w:t xml:space="preserve"> </w:t>
      </w:r>
      <w:r w:rsidRPr="007D2C07">
        <w:t>minimum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temporary</w:t>
      </w:r>
      <w:r w:rsidR="00422215">
        <w:t xml:space="preserve"> </w:t>
      </w:r>
      <w:r w:rsidRPr="007D2C07">
        <w:t>agency</w:t>
      </w:r>
      <w:r w:rsidR="00422215">
        <w:t xml:space="preserve"> </w:t>
      </w:r>
      <w:r w:rsidRPr="007D2C07">
        <w:t>workers,</w:t>
      </w:r>
      <w:r w:rsidR="00422215">
        <w:t xml:space="preserve"> </w:t>
      </w:r>
      <w:r w:rsidRPr="007D2C07">
        <w:t>apply.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regulation</w:t>
      </w:r>
      <w:r w:rsidR="00422215">
        <w:t xml:space="preserve"> </w:t>
      </w:r>
      <w:r w:rsidRPr="007D2C07">
        <w:t>applies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employer’s</w:t>
      </w:r>
      <w:r w:rsidR="00422215">
        <w:t xml:space="preserve"> </w:t>
      </w:r>
      <w:r w:rsidRPr="007D2C07">
        <w:t>home.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regulation</w:t>
      </w:r>
      <w:r w:rsidR="00422215">
        <w:t xml:space="preserve"> </w:t>
      </w:r>
      <w:r w:rsidRPr="007D2C07">
        <w:t>applies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employee</w:t>
      </w:r>
      <w:r w:rsidR="00422215">
        <w:t xml:space="preserve"> </w:t>
      </w:r>
      <w:r w:rsidRPr="007D2C07">
        <w:t>performs</w:t>
      </w:r>
      <w:r w:rsidR="00422215">
        <w:t xml:space="preserve"> </w:t>
      </w:r>
      <w:r w:rsidRPr="007D2C07">
        <w:t>housework,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private</w:t>
      </w:r>
      <w:r w:rsidR="00422215">
        <w:t xml:space="preserve"> </w:t>
      </w:r>
      <w:r w:rsidRPr="007D2C07">
        <w:t>employer's</w:t>
      </w:r>
      <w:r w:rsidR="00422215">
        <w:t xml:space="preserve"> </w:t>
      </w:r>
      <w:r w:rsidRPr="007D2C07">
        <w:t>home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household.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provides</w:t>
      </w:r>
      <w:r w:rsidR="00422215">
        <w:t xml:space="preserve"> </w:t>
      </w:r>
      <w:r w:rsidRPr="007D2C07">
        <w:t>provisions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written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contract,</w:t>
      </w:r>
      <w:r w:rsidR="00422215">
        <w:t xml:space="preserve"> </w:t>
      </w:r>
      <w:r w:rsidRPr="007D2C07">
        <w:t>leave,</w:t>
      </w:r>
      <w:r w:rsidR="00422215">
        <w:t xml:space="preserve"> </w:t>
      </w:r>
      <w:r w:rsidRPr="007D2C07">
        <w:t>employers'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employees'</w:t>
      </w:r>
      <w:r w:rsidR="00422215">
        <w:t xml:space="preserve"> </w:t>
      </w:r>
      <w:r w:rsidRPr="007D2C07">
        <w:t>obligations,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hours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leisure</w:t>
      </w:r>
      <w:r w:rsidR="00422215">
        <w:t xml:space="preserve"> </w:t>
      </w:r>
      <w:r w:rsidRPr="007D2C07">
        <w:t>time,</w:t>
      </w:r>
      <w:r w:rsidR="00422215">
        <w:t xml:space="preserve"> </w:t>
      </w:r>
      <w:r w:rsidRPr="007D2C07">
        <w:t>payment,</w:t>
      </w:r>
      <w:r w:rsidR="00422215">
        <w:t xml:space="preserve"> </w:t>
      </w:r>
      <w:r w:rsidRPr="007D2C07">
        <w:t>holidays,</w:t>
      </w:r>
      <w:r w:rsidR="00422215">
        <w:t xml:space="preserve"> </w:t>
      </w:r>
      <w:r w:rsidRPr="007D2C07">
        <w:t>resignation</w:t>
      </w:r>
      <w:r w:rsidR="00422215">
        <w:t xml:space="preserve"> </w:t>
      </w:r>
      <w:r w:rsidRPr="007D2C07">
        <w:t>etc.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rPr>
          <w:bCs/>
        </w:rPr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conducts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pursuant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Act,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collective</w:t>
      </w:r>
      <w:r w:rsidR="00422215">
        <w:t xml:space="preserve"> </w:t>
      </w:r>
      <w:r w:rsidRPr="007D2C07">
        <w:t>agreements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provisions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Act.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particular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immigrants’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conditions,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safety</w:t>
      </w:r>
      <w:r w:rsidR="00422215">
        <w:t xml:space="preserve"> </w:t>
      </w:r>
      <w:r w:rsidRPr="007D2C07">
        <w:t>standards,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work-related</w:t>
      </w:r>
      <w:r w:rsidR="00422215">
        <w:t xml:space="preserve"> </w:t>
      </w:r>
      <w:r w:rsidRPr="007D2C07">
        <w:t>crime.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five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workers,</w:t>
      </w:r>
      <w:r w:rsidR="00422215">
        <w:t xml:space="preserve"> </w:t>
      </w:r>
      <w:r w:rsidRPr="007D2C07">
        <w:t>mainly</w:t>
      </w:r>
      <w:r w:rsidR="00422215">
        <w:t xml:space="preserve"> </w:t>
      </w:r>
      <w:r w:rsidRPr="007D2C07">
        <w:t>situated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cities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Workers</w:t>
      </w:r>
      <w:r w:rsidR="00422215">
        <w:t xml:space="preserve"> </w:t>
      </w:r>
      <w:r w:rsidRPr="007D2C07">
        <w:t>(SUA)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Tax</w:t>
      </w:r>
      <w:r w:rsidR="00422215">
        <w:t xml:space="preserve"> </w:t>
      </w:r>
      <w:r w:rsidRPr="007D2C07">
        <w:t>Administration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together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efficient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process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foreigners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come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2015,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introduced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work-related</w:t>
      </w:r>
      <w:r w:rsidR="00422215">
        <w:t xml:space="preserve"> </w:t>
      </w:r>
      <w:r w:rsidRPr="007D2C07">
        <w:t>crime.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revised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2017.</w:t>
      </w:r>
      <w:r w:rsidR="00422215">
        <w:t xml:space="preserve"> </w:t>
      </w:r>
      <w:r w:rsidRPr="007D2C07">
        <w:t>Earlier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year,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third</w:t>
      </w:r>
      <w:r w:rsidR="00422215">
        <w:t xml:space="preserve"> </w:t>
      </w:r>
      <w:r w:rsidRPr="007D2C07">
        <w:t>revision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introduced,</w:t>
      </w:r>
      <w:r w:rsidR="00422215">
        <w:t xml:space="preserve"> </w:t>
      </w:r>
      <w:r w:rsidRPr="007D2C07">
        <w:t>focusing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preventing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combating</w:t>
      </w:r>
      <w:r w:rsidR="00422215">
        <w:t xml:space="preserve"> </w:t>
      </w:r>
      <w:r w:rsidRPr="007D2C07">
        <w:t>criminal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wrongdoings</w:t>
      </w:r>
      <w:r w:rsidR="00422215">
        <w:t xml:space="preserve"> </w:t>
      </w:r>
      <w:r w:rsidRPr="007D2C07">
        <w:t>related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uses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applicable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influence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fulfil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obligations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fully</w:t>
      </w:r>
      <w:r w:rsidR="00422215">
        <w:t xml:space="preserve"> </w:t>
      </w:r>
      <w:r w:rsidRPr="007D2C07">
        <w:t>satisfactory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environment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workers.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common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reasoned</w:t>
      </w:r>
      <w:r w:rsidR="00422215">
        <w:t xml:space="preserve"> </w:t>
      </w:r>
      <w:r w:rsidRPr="007D2C07">
        <w:t>decisions</w:t>
      </w:r>
      <w:r w:rsidR="00422215">
        <w:t xml:space="preserve"> </w:t>
      </w:r>
      <w:r w:rsidRPr="007D2C07">
        <w:t>requiring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bring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unsatisfactory</w:t>
      </w:r>
      <w:r w:rsidR="00422215">
        <w:t xml:space="preserve"> </w:t>
      </w:r>
      <w:r w:rsidRPr="007D2C07">
        <w:t>situation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end,</w:t>
      </w:r>
      <w:r w:rsidR="00422215">
        <w:t xml:space="preserve"> </w:t>
      </w:r>
      <w:r w:rsidRPr="007D2C07">
        <w:t>either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remedying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situation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ending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unwanted</w:t>
      </w:r>
      <w:r w:rsidR="00422215">
        <w:t xml:space="preserve"> </w:t>
      </w:r>
      <w:r w:rsidRPr="007D2C07">
        <w:t>activity.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refer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answer</w:t>
      </w:r>
      <w:r w:rsidR="00422215">
        <w:t xml:space="preserve"> </w:t>
      </w:r>
      <w:r w:rsidRPr="007D2C07">
        <w:t>above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impact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measures.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recent</w:t>
      </w:r>
      <w:r w:rsidR="00422215">
        <w:t xml:space="preserve"> </w:t>
      </w:r>
      <w:r w:rsidRPr="007D2C07">
        <w:t>years,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Inspection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issue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hazardous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height.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raise</w:t>
      </w:r>
      <w:r w:rsidR="00422215">
        <w:t xml:space="preserve"> </w:t>
      </w:r>
      <w:r w:rsidRPr="007D2C07">
        <w:t>awareness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importance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preventing</w:t>
      </w:r>
      <w:r w:rsidR="00422215">
        <w:t xml:space="preserve"> </w:t>
      </w:r>
      <w:r w:rsidRPr="007D2C07">
        <w:t>fall</w:t>
      </w:r>
      <w:r w:rsidR="00422215">
        <w:t xml:space="preserve"> </w:t>
      </w:r>
      <w:r w:rsidRPr="007D2C07">
        <w:t>accidents,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initiated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conducted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periods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dangerous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height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supervisory</w:t>
      </w:r>
      <w:r w:rsidR="00422215">
        <w:t xml:space="preserve"> </w:t>
      </w:r>
      <w:r w:rsidRPr="007D2C07">
        <w:t>theme.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On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2016,</w:t>
      </w:r>
      <w:r w:rsidR="00422215">
        <w:t xml:space="preserve"> </w:t>
      </w:r>
      <w:r w:rsidRPr="007D2C07">
        <w:t>major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Regulations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Performance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entered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force.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mainly</w:t>
      </w:r>
      <w:r w:rsidR="00422215">
        <w:t xml:space="preserve"> </w:t>
      </w:r>
      <w:r w:rsidRPr="007D2C07">
        <w:t>concern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requirements</w:t>
      </w:r>
      <w:r w:rsidR="00422215">
        <w:t xml:space="preserve"> </w:t>
      </w:r>
      <w:r w:rsidRPr="007D2C07">
        <w:t>regarding</w:t>
      </w:r>
      <w:r w:rsidR="00422215">
        <w:t xml:space="preserve"> </w:t>
      </w:r>
      <w:r w:rsidRPr="007D2C07">
        <w:t>risk</w:t>
      </w:r>
      <w:r w:rsidR="00422215">
        <w:t xml:space="preserve"> </w:t>
      </w:r>
      <w:r w:rsidRPr="007D2C07">
        <w:t>assessment,</w:t>
      </w:r>
      <w:r w:rsidR="00422215">
        <w:t xml:space="preserve"> </w:t>
      </w:r>
      <w:r w:rsidRPr="007D2C07">
        <w:t>training,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anchoring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securing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scaffolding.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23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A13A0A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vast</w:t>
      </w:r>
      <w:r w:rsidR="00422215">
        <w:t xml:space="preserve"> </w:t>
      </w:r>
      <w:r w:rsidRPr="007D2C07">
        <w:t>majority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offered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voluntary</w:t>
      </w:r>
      <w:r w:rsidR="00422215">
        <w:t xml:space="preserve"> </w:t>
      </w:r>
      <w:r w:rsidRPr="007D2C07">
        <w:t>assistive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home.</w:t>
      </w:r>
      <w:r w:rsidR="00422215">
        <w:t xml:space="preserve"> </w:t>
      </w:r>
      <w:r w:rsidRPr="007D2C07">
        <w:t>Placing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alternative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always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measure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resort.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threshold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issuing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suffer</w:t>
      </w:r>
      <w:r w:rsidR="00422215">
        <w:t xml:space="preserve"> </w:t>
      </w:r>
      <w:r w:rsidRPr="007D2C07">
        <w:t>neglect,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abuse.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Research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socio-economic</w:t>
      </w:r>
      <w:r w:rsidR="00422215">
        <w:t xml:space="preserve"> </w:t>
      </w:r>
      <w:r w:rsidRPr="007D2C07">
        <w:t>status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over-represented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protection</w:t>
      </w:r>
      <w:r w:rsidR="00422215">
        <w:t xml:space="preserve"> </w:t>
      </w:r>
      <w:r w:rsidRPr="007D2C07">
        <w:t>statistics.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indications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prevalence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risk</w:t>
      </w:r>
      <w:r w:rsidR="00422215">
        <w:t xml:space="preserve"> </w:t>
      </w:r>
      <w:r w:rsidRPr="007D2C07">
        <w:t>factors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unemployment,</w:t>
      </w:r>
      <w:r w:rsidR="00422215">
        <w:t xml:space="preserve"> </w:t>
      </w:r>
      <w:r w:rsidRPr="007D2C07">
        <w:t>drug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health-related</w:t>
      </w:r>
      <w:r w:rsidR="00422215">
        <w:t xml:space="preserve"> </w:t>
      </w:r>
      <w:r w:rsidRPr="007D2C07">
        <w:t>issues.</w:t>
      </w:r>
      <w:r w:rsidRPr="007D2C07">
        <w:rPr>
          <w:vertAlign w:val="superscript"/>
        </w:rPr>
        <w:footnoteReference w:id="10"/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little</w:t>
      </w:r>
      <w:r w:rsidR="00422215">
        <w:t xml:space="preserve"> </w:t>
      </w:r>
      <w:r w:rsidRPr="007D2C07">
        <w:t>difference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judicially</w:t>
      </w:r>
      <w:r w:rsidR="00422215">
        <w:t xml:space="preserve"> </w:t>
      </w:r>
      <w:r w:rsidRPr="007D2C07">
        <w:t>mandated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intervention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("</w:t>
      </w:r>
      <w:proofErr w:type="spellStart"/>
      <w:r w:rsidRPr="007D2C07">
        <w:t>omsorgstiltak</w:t>
      </w:r>
      <w:proofErr w:type="spellEnd"/>
      <w:r w:rsidRPr="007D2C07">
        <w:t>")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immigrant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rest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population.</w:t>
      </w:r>
      <w:r w:rsidRPr="007D2C07">
        <w:rPr>
          <w:vertAlign w:val="superscript"/>
        </w:rPr>
        <w:footnoteReference w:id="11"/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Recent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involvement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protection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parents.</w:t>
      </w:r>
      <w:r w:rsidRPr="007D2C07">
        <w:rPr>
          <w:vertAlign w:val="superscript"/>
        </w:rPr>
        <w:footnoteReference w:id="12"/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heard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facilitate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finding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foster</w:t>
      </w:r>
      <w:r w:rsidR="00422215">
        <w:t xml:space="preserve"> </w:t>
      </w:r>
      <w:r w:rsidRPr="007D2C07">
        <w:t>homes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child's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network,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measures.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(2018–2024)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implemented.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purpose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offer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earlier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assistance,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employees'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safeguard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facilitate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parents.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municipal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foster</w:t>
      </w:r>
      <w:r w:rsidR="00422215">
        <w:t xml:space="preserve"> </w:t>
      </w:r>
      <w:r w:rsidRPr="007D2C07">
        <w:t>homes.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enhance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supervision,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came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2014.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County</w:t>
      </w:r>
      <w:r w:rsidR="00422215">
        <w:t xml:space="preserve"> </w:t>
      </w:r>
      <w:r w:rsidRPr="007D2C07">
        <w:t>Governor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institutions.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institutions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carried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either</w:t>
      </w:r>
      <w:r w:rsidR="00422215">
        <w:t xml:space="preserve"> </w:t>
      </w:r>
      <w:r w:rsidRPr="007D2C07">
        <w:t>two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four</w:t>
      </w:r>
      <w:r w:rsidR="00422215">
        <w:t xml:space="preserve"> </w:t>
      </w:r>
      <w:r w:rsidRPr="007D2C07">
        <w:t>times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year,</w:t>
      </w:r>
      <w:r w:rsidR="00422215">
        <w:t xml:space="preserve"> </w:t>
      </w:r>
      <w:r w:rsidRPr="007D2C07">
        <w:t>depending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institution’s</w:t>
      </w:r>
      <w:r w:rsidR="00422215">
        <w:t xml:space="preserve"> </w:t>
      </w:r>
      <w:r w:rsidRPr="007D2C07">
        <w:t>regulations.</w:t>
      </w:r>
      <w:r w:rsidR="00422215">
        <w:t xml:space="preserve"> </w:t>
      </w:r>
      <w:r w:rsidRPr="007D2C07">
        <w:t>Half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inspections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unannounced.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objective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institution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properly</w:t>
      </w:r>
      <w:r w:rsidR="00422215">
        <w:t xml:space="preserve"> </w:t>
      </w:r>
      <w:r w:rsidRPr="007D2C07">
        <w:t>run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residing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proper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treatment.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amicable</w:t>
      </w:r>
      <w:r w:rsidR="00422215">
        <w:t xml:space="preserve"> </w:t>
      </w:r>
      <w:r w:rsidRPr="007D2C07">
        <w:t>solutions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conflicting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child´s</w:t>
      </w:r>
      <w:r w:rsidR="00422215">
        <w:t xml:space="preserve"> </w:t>
      </w:r>
      <w:r w:rsidRPr="007D2C07">
        <w:t>best</w:t>
      </w:r>
      <w:r w:rsidR="00422215">
        <w:t xml:space="preserve"> </w:t>
      </w:r>
      <w:r w:rsidRPr="007D2C07">
        <w:t>interests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parents,</w:t>
      </w:r>
      <w:r w:rsidR="00422215">
        <w:t xml:space="preserve"> </w:t>
      </w:r>
      <w:r w:rsidRPr="007D2C07">
        <w:t>whom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regard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equal.</w:t>
      </w:r>
      <w:r w:rsidR="00422215">
        <w:t xml:space="preserve"> </w:t>
      </w:r>
      <w:r w:rsidRPr="007D2C07">
        <w:t>Mediation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mandatory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move</w:t>
      </w:r>
      <w:r w:rsidR="00422215">
        <w:t xml:space="preserve"> </w:t>
      </w:r>
      <w:r w:rsidRPr="007D2C07">
        <w:t>apart,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heard.</w:t>
      </w:r>
      <w:r w:rsidR="00422215">
        <w:t xml:space="preserve"> </w:t>
      </w:r>
      <w:r w:rsidRPr="007D2C07">
        <w:t>Mediation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mandatory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wish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go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court,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judge</w:t>
      </w:r>
      <w:r w:rsidR="00422215">
        <w:t xml:space="preserve"> </w:t>
      </w:r>
      <w:r w:rsidRPr="007D2C07">
        <w:t>handling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dispute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refer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Counselling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mediation.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24</w:t>
      </w:r>
      <w:r w:rsidR="00A13A0A">
        <w:t xml:space="preserve"> </w:t>
      </w:r>
      <w:r w:rsidR="008330AD">
        <w:t>(a)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definition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assault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Penal</w:t>
      </w:r>
      <w:r w:rsidR="00422215">
        <w:t xml:space="preserve"> </w:t>
      </w:r>
      <w:r w:rsidRPr="007D2C07">
        <w:t>Code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intended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activity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consent.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purpose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autonomy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respected.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definition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wording</w:t>
      </w:r>
      <w:r w:rsidR="00422215">
        <w:t xml:space="preserve"> </w:t>
      </w:r>
      <w:r w:rsidRPr="007D2C07">
        <w:t>‘without</w:t>
      </w:r>
      <w:r w:rsidR="00422215">
        <w:t xml:space="preserve"> </w:t>
      </w:r>
      <w:r w:rsidRPr="007D2C07">
        <w:t>consent’,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describes</w:t>
      </w:r>
      <w:r w:rsidR="00422215">
        <w:t xml:space="preserve"> </w:t>
      </w:r>
      <w:r w:rsidRPr="007D2C07">
        <w:t>circumstances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imply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lack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consent,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threatening</w:t>
      </w:r>
      <w:r w:rsidR="00422215">
        <w:t xml:space="preserve"> </w:t>
      </w:r>
      <w:r w:rsidRPr="007D2C07">
        <w:t>conduct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victim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unconscious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reasons</w:t>
      </w:r>
      <w:r w:rsidR="00422215">
        <w:t xml:space="preserve"> </w:t>
      </w:r>
      <w:r w:rsidRPr="007D2C07">
        <w:t>incapable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resisting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act.</w:t>
      </w:r>
      <w:r w:rsidR="00422215">
        <w:t xml:space="preserve"> 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way,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already</w:t>
      </w:r>
      <w:r w:rsidR="00422215">
        <w:t xml:space="preserve"> </w:t>
      </w:r>
      <w:r w:rsidRPr="007D2C07">
        <w:t>comprises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practical</w:t>
      </w:r>
      <w:r w:rsidR="00422215">
        <w:t xml:space="preserve"> </w:t>
      </w:r>
      <w:r w:rsidRPr="007D2C07">
        <w:t>situations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autonomy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others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violated.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Norway’s</w:t>
      </w:r>
      <w:r w:rsidR="00422215">
        <w:t xml:space="preserve"> </w:t>
      </w:r>
      <w:r w:rsidRPr="007D2C07">
        <w:t>view,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current</w:t>
      </w:r>
      <w:r w:rsidR="00422215">
        <w:t xml:space="preserve"> </w:t>
      </w:r>
      <w:r w:rsidRPr="007D2C07">
        <w:t>regulation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accordance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our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obligations.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issue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consent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considered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times.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2013,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proposal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amend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definition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expressly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lack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consent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sent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consultation.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consultative</w:t>
      </w:r>
      <w:r w:rsidR="00422215">
        <w:t xml:space="preserve"> </w:t>
      </w:r>
      <w:r w:rsidRPr="007D2C07">
        <w:t>bodies,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Director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Prosecutions,</w:t>
      </w:r>
      <w:r w:rsidR="00422215">
        <w:t xml:space="preserve"> </w:t>
      </w:r>
      <w:r w:rsidRPr="007D2C07">
        <w:t>argued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practical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change.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decided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propose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change,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proposal</w:t>
      </w:r>
      <w:r w:rsidR="00422215">
        <w:t xml:space="preserve"> </w:t>
      </w:r>
      <w:r w:rsidRPr="007D2C07">
        <w:t>raised</w:t>
      </w:r>
      <w:r w:rsidR="00422215">
        <w:t xml:space="preserve"> </w:t>
      </w:r>
      <w:r w:rsidRPr="007D2C07">
        <w:t>complicated</w:t>
      </w:r>
      <w:r w:rsidR="00422215">
        <w:t xml:space="preserve"> </w:t>
      </w:r>
      <w:r w:rsidRPr="007D2C07">
        <w:t>questions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wished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revisit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later</w:t>
      </w:r>
      <w:r w:rsidR="00422215">
        <w:t xml:space="preserve"> </w:t>
      </w:r>
      <w:r w:rsidRPr="007D2C07">
        <w:t>date.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March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voted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proposal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MPs</w:t>
      </w:r>
      <w:r w:rsidR="00422215">
        <w:t xml:space="preserve"> </w:t>
      </w:r>
      <w:r w:rsidRPr="007D2C07">
        <w:t>asking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propose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amendment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definition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rape.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proposal</w:t>
      </w:r>
      <w:r w:rsidR="00422215">
        <w:t xml:space="preserve"> </w:t>
      </w:r>
      <w:r w:rsidRPr="007D2C07">
        <w:t>did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pass.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(2019-2022)</w:t>
      </w:r>
      <w:r w:rsidR="00422215">
        <w:t xml:space="preserve"> </w:t>
      </w:r>
      <w:r w:rsidRPr="007D2C07">
        <w:t>states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Justice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consider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chapter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offences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Penal</w:t>
      </w:r>
      <w:r w:rsidR="00422215">
        <w:t xml:space="preserve"> </w:t>
      </w:r>
      <w:r w:rsidRPr="007D2C07">
        <w:t>Code.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connection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overall</w:t>
      </w:r>
      <w:r w:rsidR="00422215">
        <w:t xml:space="preserve"> </w:t>
      </w:r>
      <w:r w:rsidRPr="007D2C07">
        <w:t>review,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would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consider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wording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penal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rape.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issue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vital</w:t>
      </w:r>
      <w:r w:rsidR="00422215">
        <w:t xml:space="preserve"> </w:t>
      </w:r>
      <w:r w:rsidRPr="007D2C07">
        <w:t>importance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definition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sufficiently</w:t>
      </w:r>
      <w:r w:rsidR="00422215">
        <w:t xml:space="preserve"> </w:t>
      </w:r>
      <w:r w:rsidRPr="007D2C07">
        <w:t>clear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unambiguous.</w:t>
      </w:r>
      <w:r w:rsidR="00422215">
        <w:t xml:space="preserve"> </w:t>
      </w:r>
      <w:r w:rsidRPr="007D2C07">
        <w:t>Thus,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introduction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unnecessarily</w:t>
      </w:r>
      <w:r w:rsidR="00422215">
        <w:t xml:space="preserve"> </w:t>
      </w:r>
      <w:r w:rsidRPr="007D2C07">
        <w:t>vague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complex</w:t>
      </w:r>
      <w:r w:rsidR="00422215">
        <w:t xml:space="preserve"> </w:t>
      </w:r>
      <w:r w:rsidRPr="007D2C07">
        <w:t>concepts,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avoided.</w:t>
      </w:r>
    </w:p>
    <w:p w:rsidR="008330AD" w:rsidRPr="008330AD" w:rsidRDefault="008330AD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24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(2019-2022)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launched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March</w:t>
      </w:r>
      <w:r w:rsidR="00422215">
        <w:t xml:space="preserve"> </w:t>
      </w:r>
      <w:r w:rsidRPr="007D2C07">
        <w:t>2019.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contains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victim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victims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separate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dedicated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ensuring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investigation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prosecution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rape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reported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police.</w:t>
      </w:r>
      <w:r w:rsidR="00422215">
        <w:t xml:space="preserve"> </w:t>
      </w:r>
    </w:p>
    <w:p w:rsidR="008330AD" w:rsidRPr="008330AD" w:rsidRDefault="008330AD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24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/>
        </w:rPr>
      </w:pPr>
      <w:r w:rsidRPr="007D2C07">
        <w:t>After</w:t>
      </w:r>
      <w:r w:rsidR="00422215">
        <w:t xml:space="preserve"> </w:t>
      </w:r>
      <w:r w:rsidRPr="007D2C07">
        <w:t>revealing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identifying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violations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in</w:t>
      </w:r>
      <w:r w:rsidR="00422215">
        <w:t xml:space="preserve"> </w:t>
      </w:r>
      <w:proofErr w:type="spellStart"/>
      <w:r w:rsidRPr="007D2C07">
        <w:t>Tysfjord</w:t>
      </w:r>
      <w:proofErr w:type="spellEnd"/>
      <w:r w:rsidRPr="007D2C07">
        <w:t>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heavy</w:t>
      </w:r>
      <w:r w:rsidR="00422215">
        <w:t xml:space="preserve"> </w:t>
      </w:r>
      <w:r w:rsidRPr="007D2C07">
        <w:t>involvement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extensive</w:t>
      </w:r>
      <w:r w:rsidR="00422215">
        <w:t xml:space="preserve"> </w:t>
      </w:r>
      <w:r w:rsidRPr="007D2C07">
        <w:t>preventive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called</w:t>
      </w:r>
      <w:r w:rsidR="00422215">
        <w:t xml:space="preserve"> </w:t>
      </w:r>
      <w:r w:rsidRPr="007D2C07">
        <w:t>"Project</w:t>
      </w:r>
      <w:r w:rsidR="00422215">
        <w:t xml:space="preserve"> </w:t>
      </w:r>
      <w:proofErr w:type="spellStart"/>
      <w:r w:rsidRPr="007D2C07">
        <w:t>Jasska</w:t>
      </w:r>
      <w:proofErr w:type="spellEnd"/>
      <w:r w:rsidRPr="007D2C07">
        <w:t>".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project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interdisciplinary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adults,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well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municipality.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contributed</w:t>
      </w:r>
      <w:r w:rsidR="00422215">
        <w:t xml:space="preserve"> </w:t>
      </w:r>
      <w:r w:rsidRPr="007D2C07">
        <w:t>personnel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meetings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seminars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purpose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police’s</w:t>
      </w:r>
      <w:r w:rsidR="00422215">
        <w:t xml:space="preserve"> </w:t>
      </w:r>
      <w:r w:rsidRPr="007D2C07">
        <w:t>preventive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reaches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potential</w:t>
      </w:r>
      <w:r w:rsidR="00422215">
        <w:t xml:space="preserve"> </w:t>
      </w:r>
      <w:r w:rsidRPr="007D2C07">
        <w:t>victims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could</w:t>
      </w:r>
      <w:r w:rsidR="00422215">
        <w:t xml:space="preserve"> </w:t>
      </w:r>
      <w:r w:rsidRPr="007D2C07">
        <w:t>encounter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work.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decided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develop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relationships.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present</w:t>
      </w:r>
      <w:r w:rsidR="00422215">
        <w:t xml:space="preserve"> </w:t>
      </w:r>
      <w:r w:rsidRPr="007D2C07">
        <w:t>concrete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fields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prevention,</w:t>
      </w:r>
      <w:r w:rsidR="00422215">
        <w:t xml:space="preserve"> </w:t>
      </w:r>
      <w:r w:rsidRPr="007D2C07">
        <w:t>protection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prosecution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preventing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combating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communities.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addition,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community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organisation</w:t>
      </w:r>
      <w:r w:rsidR="00422215">
        <w:t xml:space="preserve"> </w:t>
      </w:r>
      <w:r w:rsidRPr="007D2C07">
        <w:t>"Arran".</w:t>
      </w:r>
      <w:r w:rsidR="00422215">
        <w:t xml:space="preserve"> </w:t>
      </w:r>
      <w:r w:rsidRPr="007D2C07">
        <w:t>Here,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contributes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counsellor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discussion</w:t>
      </w:r>
      <w:r w:rsidR="00422215">
        <w:t xml:space="preserve"> </w:t>
      </w:r>
      <w:r w:rsidRPr="007D2C07">
        <w:t>partner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matters</w:t>
      </w:r>
      <w:r w:rsidR="00422215">
        <w:t xml:space="preserve"> </w:t>
      </w:r>
      <w:r w:rsidRPr="007D2C07">
        <w:t>related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community.</w:t>
      </w:r>
      <w:r w:rsidR="00422215">
        <w:t xml:space="preserve"> </w:t>
      </w:r>
      <w:r w:rsidRPr="007D2C07">
        <w:t>Furthermore,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sought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establish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similar</w:t>
      </w:r>
      <w:r w:rsidR="00422215">
        <w:t xml:space="preserve"> </w:t>
      </w:r>
      <w:r w:rsidRPr="007D2C07">
        <w:t>form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Laestadian</w:t>
      </w:r>
      <w:proofErr w:type="spellEnd"/>
      <w:r w:rsidR="00422215">
        <w:t xml:space="preserve"> </w:t>
      </w:r>
      <w:r w:rsidRPr="007D2C07">
        <w:t>religious</w:t>
      </w:r>
      <w:r w:rsidR="00422215">
        <w:t xml:space="preserve"> </w:t>
      </w:r>
      <w:r w:rsidRPr="007D2C07">
        <w:t>congregation,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identified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investigation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having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central</w:t>
      </w:r>
      <w:r w:rsidR="00422215">
        <w:t xml:space="preserve"> </w:t>
      </w:r>
      <w:r w:rsidRPr="007D2C07">
        <w:t>role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community.</w:t>
      </w:r>
      <w:r w:rsidR="00422215">
        <w:t xml:space="preserve"> </w:t>
      </w:r>
      <w:r w:rsidRPr="007D2C07">
        <w:t>Establishing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proved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demanding</w:t>
      </w:r>
      <w:r w:rsidR="00422215">
        <w:t xml:space="preserve"> </w:t>
      </w:r>
      <w:r w:rsidRPr="007D2C07">
        <w:t>due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fact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religious</w:t>
      </w:r>
      <w:r w:rsidR="00422215">
        <w:t xml:space="preserve"> </w:t>
      </w:r>
      <w:r w:rsidRPr="007D2C07">
        <w:t>community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begin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particularly</w:t>
      </w:r>
      <w:r w:rsidR="00422215">
        <w:t xml:space="preserve"> </w:t>
      </w:r>
      <w:r w:rsidRPr="007D2C07">
        <w:t>interested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formal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past</w:t>
      </w:r>
      <w:r w:rsidR="00422215">
        <w:t xml:space="preserve"> </w:t>
      </w:r>
      <w:r w:rsidRPr="007D2C07">
        <w:t>six</w:t>
      </w:r>
      <w:r w:rsidR="00422215">
        <w:t xml:space="preserve"> </w:t>
      </w:r>
      <w:r w:rsidRPr="007D2C07">
        <w:t>months,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congregation.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possibility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reaching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groups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municipality,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play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key</w:t>
      </w:r>
      <w:r w:rsidR="00422215">
        <w:t xml:space="preserve"> </w:t>
      </w:r>
      <w:r w:rsidRPr="007D2C07">
        <w:t>role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police’s</w:t>
      </w:r>
      <w:r w:rsidR="00422215">
        <w:t xml:space="preserve"> </w:t>
      </w:r>
      <w:r w:rsidRPr="007D2C07">
        <w:t>preventive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bringing</w:t>
      </w:r>
      <w:r w:rsidR="00422215">
        <w:t xml:space="preserve"> </w:t>
      </w:r>
      <w:r w:rsidRPr="007D2C07">
        <w:t>security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of</w:t>
      </w:r>
      <w:r w:rsidR="00422215">
        <w:t xml:space="preserve"> </w:t>
      </w:r>
      <w:proofErr w:type="spellStart"/>
      <w:r w:rsidRPr="007D2C07">
        <w:t>Tysfjord</w:t>
      </w:r>
      <w:proofErr w:type="spellEnd"/>
      <w:r w:rsidRPr="007D2C07">
        <w:t>.</w:t>
      </w:r>
    </w:p>
    <w:p w:rsidR="008330AD" w:rsidRPr="008330AD" w:rsidRDefault="008330AD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24</w:t>
      </w:r>
      <w:r w:rsidR="00A13A0A">
        <w:t xml:space="preserve"> </w:t>
      </w:r>
      <w:r>
        <w:t xml:space="preserve">(d)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8330AD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Persons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granted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spouse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cohabitant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resident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rule</w:t>
      </w:r>
      <w:r w:rsidR="00422215">
        <w:t xml:space="preserve"> </w:t>
      </w:r>
      <w:r w:rsidRPr="007D2C07">
        <w:t>return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cohabitation</w:t>
      </w:r>
      <w:r w:rsidR="00422215">
        <w:t xml:space="preserve"> </w:t>
      </w:r>
      <w:r w:rsidRPr="007D2C07">
        <w:t>expires</w:t>
      </w:r>
      <w:r w:rsidR="00422215">
        <w:t xml:space="preserve"> </w:t>
      </w:r>
      <w:r w:rsidRPr="007D2C07">
        <w:t>before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foreign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obtained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permanent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migrants</w:t>
      </w:r>
      <w:r w:rsidR="00422215">
        <w:t xml:space="preserve"> </w:t>
      </w:r>
      <w:r w:rsidRPr="007D2C07">
        <w:t>(male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female)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experienced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relationship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proofErr w:type="gramStart"/>
      <w:r w:rsidRPr="007D2C07">
        <w:t>continued</w:t>
      </w:r>
      <w:proofErr w:type="gramEnd"/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after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marriage</w:t>
      </w:r>
      <w:r w:rsidR="00422215">
        <w:t xml:space="preserve"> </w:t>
      </w:r>
      <w:r w:rsidRPr="007D2C07">
        <w:t>ends.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extended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applicant’s</w:t>
      </w:r>
      <w:r w:rsidR="00422215">
        <w:t xml:space="preserve"> </w:t>
      </w:r>
      <w:r w:rsidRPr="007D2C07">
        <w:t>partner,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law.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ensures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holders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dependent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forced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choose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leaving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staying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violent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relationship.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physical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psychological</w:t>
      </w:r>
      <w:r w:rsidR="00422215">
        <w:t xml:space="preserve"> </w:t>
      </w:r>
      <w:r w:rsidRPr="007D2C07">
        <w:t>nature</w:t>
      </w:r>
      <w:r w:rsidR="00422215">
        <w:t xml:space="preserve"> </w:t>
      </w:r>
      <w:r w:rsidRPr="007D2C07">
        <w:t>(e.g.</w:t>
      </w:r>
      <w:r w:rsidR="00422215">
        <w:t xml:space="preserve"> </w:t>
      </w:r>
      <w:r w:rsidRPr="007D2C07">
        <w:t>threats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violence),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overall</w:t>
      </w:r>
      <w:r w:rsidR="00422215">
        <w:t xml:space="preserve"> </w:t>
      </w:r>
      <w:r w:rsidRPr="007D2C07">
        <w:t>assessment.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evidence</w:t>
      </w:r>
      <w:r w:rsidR="00422215">
        <w:t xml:space="preserve"> </w:t>
      </w:r>
      <w:r w:rsidRPr="007D2C07">
        <w:t>requirement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maltreatment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low.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applicant’s</w:t>
      </w:r>
      <w:r w:rsidR="00422215">
        <w:t xml:space="preserve"> </w:t>
      </w:r>
      <w:r w:rsidRPr="007D2C07">
        <w:t>explanation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key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authorities’</w:t>
      </w:r>
      <w:r w:rsidR="00422215">
        <w:t xml:space="preserve"> </w:t>
      </w:r>
      <w:r w:rsidRPr="007D2C07">
        <w:t>decision.</w:t>
      </w:r>
      <w:r w:rsidR="00422215">
        <w:t xml:space="preserve"> </w:t>
      </w:r>
      <w:r w:rsidRPr="007D2C07">
        <w:t>Therefore,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police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required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qualified</w:t>
      </w:r>
      <w:r w:rsidR="00422215">
        <w:t xml:space="preserve"> </w:t>
      </w:r>
      <w:r w:rsidRPr="007D2C07">
        <w:t>interpreter</w:t>
      </w:r>
      <w:r w:rsidR="00422215">
        <w:t xml:space="preserve"> </w:t>
      </w:r>
      <w:r w:rsidRPr="007D2C07">
        <w:t>assists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applicant’s</w:t>
      </w:r>
      <w:r w:rsidR="00422215">
        <w:t xml:space="preserve"> </w:t>
      </w:r>
      <w:r w:rsidRPr="007D2C07">
        <w:t>interview.</w:t>
      </w:r>
    </w:p>
    <w:p w:rsidR="007D2C07" w:rsidRPr="008330AD" w:rsidRDefault="008330AD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24</w:t>
      </w:r>
      <w:r w:rsidR="00A13A0A">
        <w:t xml:space="preserve"> </w:t>
      </w:r>
      <w:r>
        <w:t xml:space="preserve">(e)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prevention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negative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control,</w:t>
      </w:r>
      <w:r w:rsidR="00422215">
        <w:t xml:space="preserve"> </w:t>
      </w:r>
      <w:r w:rsidRPr="007D2C07">
        <w:t>forced</w:t>
      </w:r>
      <w:r w:rsidR="00422215">
        <w:t xml:space="preserve"> </w:t>
      </w:r>
      <w:r w:rsidRPr="007D2C07">
        <w:t>marriage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female</w:t>
      </w:r>
      <w:r w:rsidR="00422215">
        <w:t xml:space="preserve"> </w:t>
      </w:r>
      <w:r w:rsidRPr="007D2C07">
        <w:t>genital</w:t>
      </w:r>
      <w:r w:rsidR="00422215">
        <w:t xml:space="preserve"> </w:t>
      </w:r>
      <w:r w:rsidRPr="007D2C07">
        <w:t>mutilation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political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Successive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20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resulted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prevent,</w:t>
      </w:r>
      <w:r w:rsidR="00422215">
        <w:t xml:space="preserve"> </w:t>
      </w:r>
      <w:r w:rsidRPr="007D2C07">
        <w:t>protect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victims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practices.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current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(2017-2020)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five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areas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action: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protection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vulnerable</w:t>
      </w:r>
      <w:r w:rsidR="00422215">
        <w:t xml:space="preserve"> </w:t>
      </w:r>
      <w:r w:rsidRPr="007D2C07">
        <w:t>persons,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break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network,</w:t>
      </w:r>
      <w:r w:rsidR="00422215">
        <w:t xml:space="preserve"> </w:t>
      </w:r>
      <w:r w:rsidRPr="007D2C07">
        <w:t>changing</w:t>
      </w:r>
      <w:r w:rsidR="00422215">
        <w:t xml:space="preserve"> </w:t>
      </w:r>
      <w:r w:rsidRPr="007D2C07">
        <w:t>attitudes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practices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communities,</w:t>
      </w:r>
      <w:r w:rsidR="00422215">
        <w:t xml:space="preserve"> </w:t>
      </w:r>
      <w:r w:rsidRPr="007D2C07">
        <w:t>enhancing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services,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research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sharing.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prevention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negative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control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integration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(2019-2022).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25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implementation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Government's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(2015-2017)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great</w:t>
      </w:r>
      <w:r w:rsidR="00422215">
        <w:t xml:space="preserve"> </w:t>
      </w:r>
      <w:r w:rsidRPr="007D2C07">
        <w:t>extent</w:t>
      </w:r>
      <w:r w:rsidR="00422215">
        <w:t xml:space="preserve"> </w:t>
      </w:r>
      <w:r w:rsidRPr="007D2C07">
        <w:t>addressed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Committee's</w:t>
      </w:r>
      <w:r w:rsidR="00422215">
        <w:t xml:space="preserve"> </w:t>
      </w:r>
      <w:r w:rsidRPr="007D2C07">
        <w:t>previous</w:t>
      </w:r>
      <w:r w:rsidR="00422215">
        <w:t xml:space="preserve"> </w:t>
      </w:r>
      <w:r w:rsidRPr="007D2C07">
        <w:t>recommendations.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64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6</w:t>
      </w:r>
      <w:r w:rsidR="00422215">
        <w:t xml:space="preserve"> </w:t>
      </w:r>
      <w:r w:rsidRPr="007D2C07">
        <w:t>key</w:t>
      </w:r>
      <w:r w:rsidR="00422215">
        <w:t xml:space="preserve"> </w:t>
      </w:r>
      <w:r w:rsidRPr="007D2C07">
        <w:t>areas:</w:t>
      </w:r>
      <w:r w:rsidR="00422215">
        <w:t xml:space="preserve"> </w:t>
      </w:r>
      <w:r w:rsidRPr="007D2C07">
        <w:t>family,</w:t>
      </w:r>
      <w:r w:rsidR="00422215">
        <w:t xml:space="preserve"> </w:t>
      </w:r>
      <w:r w:rsidRPr="007D2C07">
        <w:t>health,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leisure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participation,</w:t>
      </w:r>
      <w:r w:rsidR="00422215">
        <w:t xml:space="preserve"> </w:t>
      </w:r>
      <w:r w:rsidRPr="007D2C07">
        <w:t>employment,</w:t>
      </w:r>
      <w:r w:rsidR="00422215">
        <w:t xml:space="preserve"> </w:t>
      </w:r>
      <w:r w:rsidRPr="007D2C07">
        <w:t>research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data.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come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addition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already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universal</w:t>
      </w:r>
      <w:r w:rsidR="00422215">
        <w:t xml:space="preserve"> </w:t>
      </w:r>
      <w:r w:rsidRPr="007D2C07">
        <w:t>welfare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universal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care,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parental</w:t>
      </w:r>
      <w:r w:rsidR="00422215">
        <w:t xml:space="preserve"> </w:t>
      </w:r>
      <w:r w:rsidRPr="007D2C07">
        <w:t>benefit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subsidised</w:t>
      </w:r>
      <w:r w:rsidR="00422215">
        <w:t xml:space="preserve"> </w:t>
      </w:r>
      <w:r w:rsidRPr="007D2C07">
        <w:t>childcare</w:t>
      </w:r>
      <w:r w:rsidR="00422215">
        <w:t xml:space="preserve"> </w:t>
      </w:r>
      <w:r w:rsidRPr="007D2C07">
        <w:t>services.</w:t>
      </w:r>
      <w:r w:rsidR="00422215">
        <w:t xml:space="preserve"> </w:t>
      </w:r>
      <w:r w:rsidRPr="007D2C07">
        <w:t>Considerable</w:t>
      </w:r>
      <w:r w:rsidR="00422215">
        <w:t xml:space="preserve"> </w:t>
      </w:r>
      <w:r w:rsidRPr="007D2C07">
        <w:t>effort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directed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gradient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physical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low-income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families.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improving</w:t>
      </w:r>
      <w:r w:rsidR="00422215">
        <w:t xml:space="preserve"> </w:t>
      </w:r>
      <w:r w:rsidRPr="007D2C07">
        <w:t>price</w:t>
      </w:r>
      <w:r w:rsidR="00422215">
        <w:t xml:space="preserve"> </w:t>
      </w:r>
      <w:r w:rsidRPr="007D2C07">
        <w:t>reduction</w:t>
      </w:r>
      <w:r w:rsidR="00422215">
        <w:t xml:space="preserve"> </w:t>
      </w:r>
      <w:r w:rsidRPr="007D2C07">
        <w:t>schemes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core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low-income</w:t>
      </w:r>
      <w:r w:rsidR="00422215">
        <w:t xml:space="preserve"> </w:t>
      </w:r>
      <w:r w:rsidRPr="007D2C07">
        <w:t>families,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affordable.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way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families,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apparatus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strengthened.</w:t>
      </w:r>
      <w:r w:rsidR="00422215">
        <w:t xml:space="preserve"> </w:t>
      </w:r>
      <w:r w:rsidRPr="007D2C07">
        <w:t>Moreover,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help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various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get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ordinary</w:t>
      </w:r>
      <w:r w:rsidR="00422215">
        <w:t xml:space="preserve"> </w:t>
      </w:r>
      <w:r w:rsidRPr="007D2C07">
        <w:t>employment.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Grant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substantially</w:t>
      </w:r>
      <w:r w:rsidR="00422215">
        <w:t xml:space="preserve"> </w:t>
      </w:r>
      <w:r w:rsidRPr="007D2C07">
        <w:t>reinforced.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grant</w:t>
      </w:r>
      <w:r w:rsidR="00422215">
        <w:t xml:space="preserve"> </w:t>
      </w:r>
      <w:r w:rsidRPr="007D2C07">
        <w:t>funds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projects</w:t>
      </w:r>
      <w:r w:rsidR="00422215">
        <w:t xml:space="preserve"> </w:t>
      </w:r>
      <w:r w:rsidRPr="007D2C07">
        <w:t>run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voluntary</w:t>
      </w:r>
      <w:r w:rsidR="00422215">
        <w:t xml:space="preserve"> </w:t>
      </w:r>
      <w:r w:rsidRPr="007D2C07">
        <w:t>sector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communities.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developed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ministries.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input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basis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own</w:t>
      </w:r>
      <w:r w:rsidR="00422215">
        <w:t xml:space="preserve"> </w:t>
      </w:r>
      <w:r w:rsidRPr="007D2C07">
        <w:t>experiences,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effective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voluntary</w:t>
      </w:r>
      <w:r w:rsidR="00422215">
        <w:t xml:space="preserve"> </w:t>
      </w:r>
      <w:r w:rsidRPr="007D2C07">
        <w:t>sectors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key</w:t>
      </w:r>
      <w:r w:rsidR="00422215">
        <w:t xml:space="preserve"> </w:t>
      </w:r>
      <w:r w:rsidRPr="007D2C07">
        <w:t>instrument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implementing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strategy.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Grant</w:t>
      </w:r>
      <w:r w:rsidR="00422215">
        <w:t xml:space="preserve"> </w:t>
      </w:r>
      <w:r w:rsidRPr="007D2C07">
        <w:t>Scheme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reviewed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showed</w:t>
      </w:r>
      <w:r w:rsidR="00422215">
        <w:t xml:space="preserve"> </w:t>
      </w:r>
      <w:r w:rsidRPr="007D2C07">
        <w:t>effectiveness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ensuring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inclusion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key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areas.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Children,</w:t>
      </w:r>
      <w:r w:rsidR="00422215">
        <w:t xml:space="preserve"> </w:t>
      </w:r>
      <w:r w:rsidRPr="007D2C07">
        <w:t>Youth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Affairs'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demonstrates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great</w:t>
      </w:r>
      <w:r w:rsidR="00422215">
        <w:t xml:space="preserve"> </w:t>
      </w:r>
      <w:r w:rsidRPr="007D2C07">
        <w:t>deal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being</w:t>
      </w:r>
      <w:r w:rsidR="00422215">
        <w:t xml:space="preserve"> </w:t>
      </w:r>
      <w:r w:rsidRPr="007D2C07">
        <w:t>undertaken</w:t>
      </w:r>
      <w:r w:rsidR="00422215">
        <w:t xml:space="preserve"> </w:t>
      </w:r>
      <w:r w:rsidRPr="007D2C07">
        <w:t>across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sectors.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across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ministries</w:t>
      </w:r>
      <w:r w:rsidR="00422215">
        <w:t xml:space="preserve"> </w:t>
      </w:r>
      <w:r w:rsidRPr="007D2C07">
        <w:t>puts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issue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</w:t>
      </w:r>
      <w:r w:rsidR="00422215">
        <w:t xml:space="preserve"> </w:t>
      </w:r>
      <w:r w:rsidRPr="007D2C07">
        <w:t>poverty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agenda.</w:t>
      </w:r>
      <w:r w:rsidR="00422215">
        <w:t xml:space="preserve"> </w:t>
      </w:r>
      <w:r w:rsidRPr="007D2C07">
        <w:t>Research</w:t>
      </w:r>
      <w:r w:rsidR="00422215">
        <w:t xml:space="preserve"> </w:t>
      </w:r>
      <w:r w:rsidRPr="007D2C07">
        <w:t>collected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Oslo</w:t>
      </w:r>
      <w:r w:rsidR="00422215">
        <w:t xml:space="preserve"> </w:t>
      </w:r>
      <w:r w:rsidRPr="007D2C07">
        <w:t>Metropolitan</w:t>
      </w:r>
      <w:r w:rsidR="00422215">
        <w:t xml:space="preserve"> </w:t>
      </w:r>
      <w:r w:rsidRPr="007D2C07">
        <w:t>University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</w:t>
      </w:r>
      <w:r w:rsidR="00422215">
        <w:t xml:space="preserve"> </w:t>
      </w:r>
      <w:r w:rsidRPr="007D2C07">
        <w:t>pinpoints</w:t>
      </w:r>
      <w:r w:rsidR="00422215">
        <w:t xml:space="preserve"> </w:t>
      </w:r>
      <w:r w:rsidRPr="007D2C07">
        <w:t>areas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should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attention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future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ought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directed.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collaborative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growing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low-income</w:t>
      </w:r>
      <w:r w:rsidR="00422215">
        <w:t xml:space="preserve"> </w:t>
      </w:r>
      <w:r w:rsidRPr="007D2C07">
        <w:t>families.</w:t>
      </w:r>
    </w:p>
    <w:p w:rsidR="007D2C07" w:rsidRPr="008330AD" w:rsidRDefault="007D2C07" w:rsidP="00B60509">
      <w:pPr>
        <w:pStyle w:val="Heading1"/>
        <w:spacing w:after="120"/>
        <w:rPr>
          <w:b/>
        </w:rPr>
      </w:pPr>
      <w:r w:rsidRPr="008330AD">
        <w:rPr>
          <w:b/>
        </w:rPr>
        <w:t>Percentage</w:t>
      </w:r>
      <w:r w:rsidR="00422215" w:rsidRPr="008330AD">
        <w:rPr>
          <w:b/>
        </w:rPr>
        <w:t xml:space="preserve"> </w:t>
      </w:r>
      <w:r w:rsidRPr="008330AD">
        <w:rPr>
          <w:b/>
        </w:rPr>
        <w:t>of</w:t>
      </w:r>
      <w:r w:rsidR="00422215" w:rsidRPr="008330AD">
        <w:rPr>
          <w:b/>
        </w:rPr>
        <w:t xml:space="preserve"> </w:t>
      </w:r>
      <w:r w:rsidRPr="008330AD">
        <w:rPr>
          <w:b/>
        </w:rPr>
        <w:t>children</w:t>
      </w:r>
      <w:r w:rsidR="00422215" w:rsidRPr="008330AD">
        <w:rPr>
          <w:b/>
        </w:rPr>
        <w:t xml:space="preserve"> </w:t>
      </w:r>
      <w:r w:rsidRPr="008330AD">
        <w:rPr>
          <w:b/>
        </w:rPr>
        <w:t>under</w:t>
      </w:r>
      <w:r w:rsidR="00422215" w:rsidRPr="008330AD">
        <w:rPr>
          <w:b/>
        </w:rPr>
        <w:t xml:space="preserve"> </w:t>
      </w:r>
      <w:r w:rsidRPr="008330AD">
        <w:rPr>
          <w:b/>
        </w:rPr>
        <w:t>the</w:t>
      </w:r>
      <w:r w:rsidR="00422215" w:rsidRPr="008330AD">
        <w:rPr>
          <w:b/>
        </w:rPr>
        <w:t xml:space="preserve"> </w:t>
      </w:r>
      <w:r w:rsidRPr="008330AD">
        <w:rPr>
          <w:b/>
        </w:rPr>
        <w:t>age</w:t>
      </w:r>
      <w:r w:rsidR="00422215" w:rsidRPr="008330AD">
        <w:rPr>
          <w:b/>
        </w:rPr>
        <w:t xml:space="preserve"> </w:t>
      </w:r>
      <w:r w:rsidRPr="008330AD">
        <w:rPr>
          <w:b/>
        </w:rPr>
        <w:t>of</w:t>
      </w:r>
      <w:r w:rsidR="00422215" w:rsidRPr="008330AD">
        <w:rPr>
          <w:b/>
        </w:rPr>
        <w:t xml:space="preserve"> </w:t>
      </w:r>
      <w:r w:rsidRPr="008330AD">
        <w:rPr>
          <w:b/>
        </w:rPr>
        <w:t>18</w:t>
      </w:r>
      <w:r w:rsidR="00422215" w:rsidRPr="008330AD">
        <w:rPr>
          <w:b/>
        </w:rPr>
        <w:t xml:space="preserve"> </w:t>
      </w:r>
      <w:r w:rsidRPr="008330AD">
        <w:rPr>
          <w:b/>
        </w:rPr>
        <w:t>who</w:t>
      </w:r>
      <w:r w:rsidR="00422215" w:rsidRPr="008330AD">
        <w:rPr>
          <w:b/>
        </w:rPr>
        <w:t xml:space="preserve"> </w:t>
      </w:r>
      <w:r w:rsidRPr="008330AD">
        <w:rPr>
          <w:b/>
        </w:rPr>
        <w:t>live</w:t>
      </w:r>
      <w:r w:rsidR="00422215" w:rsidRPr="008330AD">
        <w:rPr>
          <w:b/>
        </w:rPr>
        <w:t xml:space="preserve"> </w:t>
      </w:r>
      <w:r w:rsidRPr="008330AD">
        <w:rPr>
          <w:b/>
        </w:rPr>
        <w:t>in</w:t>
      </w:r>
      <w:r w:rsidR="00422215" w:rsidRPr="008330AD">
        <w:rPr>
          <w:b/>
        </w:rPr>
        <w:t xml:space="preserve"> </w:t>
      </w:r>
      <w:r w:rsidRPr="008330AD">
        <w:rPr>
          <w:b/>
        </w:rPr>
        <w:t>a</w:t>
      </w:r>
      <w:r w:rsidR="00422215" w:rsidRPr="008330AD">
        <w:rPr>
          <w:b/>
        </w:rPr>
        <w:t xml:space="preserve"> </w:t>
      </w:r>
      <w:r w:rsidRPr="008330AD">
        <w:rPr>
          <w:b/>
        </w:rPr>
        <w:t>family</w:t>
      </w:r>
      <w:r w:rsidR="00422215" w:rsidRPr="008330AD">
        <w:rPr>
          <w:b/>
        </w:rPr>
        <w:t xml:space="preserve"> </w:t>
      </w:r>
      <w:r w:rsidRPr="008330AD">
        <w:rPr>
          <w:b/>
        </w:rPr>
        <w:t>with</w:t>
      </w:r>
      <w:r w:rsidR="00422215" w:rsidRPr="008330AD">
        <w:rPr>
          <w:b/>
        </w:rPr>
        <w:t xml:space="preserve"> </w:t>
      </w:r>
      <w:r w:rsidRPr="008330AD">
        <w:rPr>
          <w:b/>
        </w:rPr>
        <w:t>an</w:t>
      </w:r>
      <w:r w:rsidR="00422215" w:rsidRPr="008330AD">
        <w:rPr>
          <w:b/>
        </w:rPr>
        <w:t xml:space="preserve"> </w:t>
      </w:r>
      <w:r w:rsidRPr="008330AD">
        <w:rPr>
          <w:b/>
        </w:rPr>
        <w:t>income</w:t>
      </w:r>
      <w:r w:rsidR="00422215" w:rsidRPr="008330AD">
        <w:rPr>
          <w:b/>
        </w:rPr>
        <w:t xml:space="preserve"> </w:t>
      </w:r>
      <w:r w:rsidR="00147775">
        <w:rPr>
          <w:b/>
        </w:rPr>
        <w:br/>
      </w:r>
      <w:r w:rsidRPr="008330AD">
        <w:rPr>
          <w:b/>
        </w:rPr>
        <w:t>below</w:t>
      </w:r>
      <w:r w:rsidR="00422215" w:rsidRPr="008330AD">
        <w:rPr>
          <w:b/>
        </w:rPr>
        <w:t xml:space="preserve"> </w:t>
      </w:r>
      <w:r w:rsidRPr="008330AD">
        <w:rPr>
          <w:b/>
        </w:rPr>
        <w:t>60</w:t>
      </w:r>
      <w:r w:rsidR="00422215" w:rsidRPr="008330AD">
        <w:rPr>
          <w:b/>
        </w:rPr>
        <w:t xml:space="preserve"> </w:t>
      </w:r>
      <w:r w:rsidRPr="008330AD">
        <w:rPr>
          <w:b/>
        </w:rPr>
        <w:t>per</w:t>
      </w:r>
      <w:r w:rsidR="00422215" w:rsidRPr="008330AD">
        <w:rPr>
          <w:b/>
        </w:rPr>
        <w:t xml:space="preserve"> </w:t>
      </w:r>
      <w:r w:rsidRPr="008330AD">
        <w:rPr>
          <w:b/>
        </w:rPr>
        <w:t>cent</w:t>
      </w:r>
      <w:r w:rsidR="00422215" w:rsidRPr="008330AD">
        <w:rPr>
          <w:b/>
        </w:rPr>
        <w:t xml:space="preserve"> </w:t>
      </w:r>
      <w:r w:rsidRPr="008330AD">
        <w:rPr>
          <w:b/>
        </w:rPr>
        <w:t>of</w:t>
      </w:r>
      <w:r w:rsidR="00422215" w:rsidRPr="008330AD">
        <w:rPr>
          <w:b/>
        </w:rPr>
        <w:t xml:space="preserve"> </w:t>
      </w:r>
      <w:r w:rsidRPr="008330AD">
        <w:rPr>
          <w:b/>
        </w:rPr>
        <w:t>the</w:t>
      </w:r>
      <w:r w:rsidR="00422215" w:rsidRPr="008330AD">
        <w:rPr>
          <w:b/>
        </w:rPr>
        <w:t xml:space="preserve"> </w:t>
      </w:r>
      <w:r w:rsidRPr="008330AD">
        <w:rPr>
          <w:b/>
        </w:rPr>
        <w:t>median</w:t>
      </w:r>
      <w:r w:rsidR="00422215" w:rsidRPr="008330AD">
        <w:rPr>
          <w:b/>
        </w:rPr>
        <w:t xml:space="preserve"> </w:t>
      </w:r>
      <w:r w:rsidRPr="008330AD">
        <w:rPr>
          <w:b/>
        </w:rPr>
        <w:t>income</w:t>
      </w:r>
      <w:r w:rsidR="00422215" w:rsidRPr="008330AD">
        <w:rPr>
          <w:b/>
        </w:rPr>
        <w:t xml:space="preserve"> </w:t>
      </w:r>
      <w:r w:rsidRPr="008330AD">
        <w:rPr>
          <w:b/>
        </w:rPr>
        <w:t>over</w:t>
      </w:r>
      <w:r w:rsidR="00422215" w:rsidRPr="008330AD">
        <w:rPr>
          <w:b/>
        </w:rPr>
        <w:t xml:space="preserve"> </w:t>
      </w:r>
      <w:r w:rsidRPr="008330AD">
        <w:rPr>
          <w:b/>
        </w:rPr>
        <w:t>a</w:t>
      </w:r>
      <w:r w:rsidR="00422215" w:rsidRPr="008330AD">
        <w:rPr>
          <w:b/>
        </w:rPr>
        <w:t xml:space="preserve"> </w:t>
      </w:r>
      <w:r w:rsidRPr="008330AD">
        <w:rPr>
          <w:b/>
        </w:rPr>
        <w:t>three-year</w:t>
      </w:r>
      <w:r w:rsidR="00422215" w:rsidRPr="008330AD">
        <w:rPr>
          <w:b/>
        </w:rPr>
        <w:t xml:space="preserve"> </w:t>
      </w:r>
      <w:r w:rsidRPr="008330AD">
        <w:rPr>
          <w:b/>
        </w:rPr>
        <w:t>period,</w:t>
      </w:r>
      <w:r w:rsidR="00422215" w:rsidRPr="008330AD">
        <w:rPr>
          <w:b/>
        </w:rPr>
        <w:t xml:space="preserve"> </w:t>
      </w:r>
      <w:r w:rsidR="008330AD" w:rsidRPr="008330AD">
        <w:rPr>
          <w:b/>
        </w:rPr>
        <w:t>2007-2017</w:t>
      </w:r>
    </w:p>
    <w:tbl>
      <w:tblPr>
        <w:tblStyle w:val="GridTable6Colorful"/>
        <w:tblW w:w="7370" w:type="dxa"/>
        <w:tblInd w:w="1134" w:type="dxa"/>
        <w:tblBorders>
          <w:top w:val="single" w:sz="4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612"/>
        <w:gridCol w:w="611"/>
        <w:gridCol w:w="611"/>
        <w:gridCol w:w="612"/>
        <w:gridCol w:w="612"/>
        <w:gridCol w:w="612"/>
        <w:gridCol w:w="612"/>
        <w:gridCol w:w="612"/>
        <w:gridCol w:w="620"/>
        <w:gridCol w:w="620"/>
        <w:gridCol w:w="620"/>
      </w:tblGrid>
      <w:tr w:rsidR="00D07B55" w:rsidRPr="00D07B55" w:rsidTr="00D07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Year</w:t>
            </w:r>
          </w:p>
        </w:tc>
        <w:tc>
          <w:tcPr>
            <w:tcW w:w="70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2007</w:t>
            </w:r>
          </w:p>
        </w:tc>
        <w:tc>
          <w:tcPr>
            <w:tcW w:w="70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2008</w:t>
            </w:r>
          </w:p>
        </w:tc>
        <w:tc>
          <w:tcPr>
            <w:tcW w:w="70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2009</w:t>
            </w:r>
          </w:p>
        </w:tc>
        <w:tc>
          <w:tcPr>
            <w:tcW w:w="70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2010</w:t>
            </w:r>
          </w:p>
        </w:tc>
        <w:tc>
          <w:tcPr>
            <w:tcW w:w="70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2011</w:t>
            </w:r>
          </w:p>
        </w:tc>
        <w:tc>
          <w:tcPr>
            <w:tcW w:w="70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2012</w:t>
            </w:r>
          </w:p>
        </w:tc>
        <w:tc>
          <w:tcPr>
            <w:tcW w:w="70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2013</w:t>
            </w:r>
          </w:p>
        </w:tc>
        <w:tc>
          <w:tcPr>
            <w:tcW w:w="706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2014</w:t>
            </w:r>
          </w:p>
        </w:tc>
        <w:tc>
          <w:tcPr>
            <w:tcW w:w="71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2015</w:t>
            </w:r>
          </w:p>
        </w:tc>
        <w:tc>
          <w:tcPr>
            <w:tcW w:w="71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2016</w:t>
            </w:r>
          </w:p>
        </w:tc>
        <w:tc>
          <w:tcPr>
            <w:tcW w:w="715" w:type="dxa"/>
            <w:tcBorders>
              <w:bottom w:val="none" w:sz="0" w:space="0" w:color="auto"/>
            </w:tcBorders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</w:rPr>
            </w:pPr>
            <w:r w:rsidRPr="00D07B55">
              <w:rPr>
                <w:b w:val="0"/>
                <w:i/>
                <w:color w:val="auto"/>
                <w:sz w:val="16"/>
              </w:rPr>
              <w:t>2017</w:t>
            </w:r>
          </w:p>
        </w:tc>
      </w:tr>
      <w:tr w:rsidR="00D07B55" w:rsidRPr="00D07B55" w:rsidTr="00D0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%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7.30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7.60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7.70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7.70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7.60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8.00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8.60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9.40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10.00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10.30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7D2C07" w:rsidRPr="00D07B55" w:rsidRDefault="007D2C07" w:rsidP="00D07B55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D07B55">
              <w:rPr>
                <w:color w:val="auto"/>
                <w:sz w:val="18"/>
              </w:rPr>
              <w:t>10.70</w:t>
            </w:r>
          </w:p>
        </w:tc>
      </w:tr>
    </w:tbl>
    <w:p w:rsidR="007C7F59" w:rsidRPr="008330AD" w:rsidRDefault="007D2C07" w:rsidP="008330AD">
      <w:pPr>
        <w:pStyle w:val="SingleTxtG"/>
        <w:spacing w:before="120" w:after="0" w:line="220" w:lineRule="exact"/>
        <w:ind w:firstLine="170"/>
        <w:jc w:val="left"/>
        <w:rPr>
          <w:sz w:val="18"/>
          <w:szCs w:val="18"/>
        </w:rPr>
      </w:pPr>
      <w:r w:rsidRPr="008330AD">
        <w:rPr>
          <w:i/>
          <w:sz w:val="18"/>
          <w:szCs w:val="18"/>
        </w:rPr>
        <w:t>Source</w:t>
      </w:r>
      <w:r w:rsidRPr="008330AD">
        <w:rPr>
          <w:sz w:val="18"/>
          <w:szCs w:val="18"/>
        </w:rPr>
        <w:t>:</w:t>
      </w:r>
      <w:r w:rsidR="00422215" w:rsidRPr="008330AD">
        <w:rPr>
          <w:sz w:val="18"/>
          <w:szCs w:val="18"/>
        </w:rPr>
        <w:t xml:space="preserve"> </w:t>
      </w:r>
      <w:r w:rsidRPr="008330AD">
        <w:rPr>
          <w:sz w:val="18"/>
          <w:szCs w:val="18"/>
        </w:rPr>
        <w:t>Statistics</w:t>
      </w:r>
      <w:r w:rsidR="00422215" w:rsidRPr="008330AD">
        <w:rPr>
          <w:sz w:val="18"/>
          <w:szCs w:val="18"/>
        </w:rPr>
        <w:t xml:space="preserve"> </w:t>
      </w:r>
      <w:r w:rsidRPr="008330AD">
        <w:rPr>
          <w:sz w:val="18"/>
          <w:szCs w:val="18"/>
        </w:rPr>
        <w:t>Norway</w:t>
      </w:r>
      <w:r w:rsidR="00B60509">
        <w:rPr>
          <w:sz w:val="18"/>
          <w:szCs w:val="18"/>
        </w:rPr>
        <w:t>.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26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147775" w:rsidRDefault="007D2C07" w:rsidP="00764260">
      <w:pPr>
        <w:pStyle w:val="SingleTxtG"/>
        <w:numPr>
          <w:ilvl w:val="0"/>
          <w:numId w:val="35"/>
        </w:numPr>
        <w:ind w:left="1134" w:firstLine="0"/>
        <w:rPr>
          <w:spacing w:val="-2"/>
        </w:rPr>
      </w:pPr>
      <w:r w:rsidRPr="00147775">
        <w:rPr>
          <w:spacing w:val="-2"/>
        </w:rPr>
        <w:t>As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regards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discrimination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in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the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housing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market,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see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the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answer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to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question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number</w:t>
      </w:r>
      <w:r w:rsidR="00422215" w:rsidRPr="00147775">
        <w:rPr>
          <w:spacing w:val="-2"/>
        </w:rPr>
        <w:t xml:space="preserve"> </w:t>
      </w:r>
      <w:r w:rsidRPr="00147775">
        <w:rPr>
          <w:spacing w:val="-2"/>
        </w:rPr>
        <w:t>3.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D2C07">
        <w:t>Few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housing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reported.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2007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2015,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Ombudsman</w:t>
      </w:r>
      <w:r w:rsidR="00422215">
        <w:t xml:space="preserve"> </w:t>
      </w:r>
      <w:r w:rsidRPr="007D2C07">
        <w:t>rec</w:t>
      </w:r>
      <w:r w:rsidRPr="007D2C07">
        <w:rPr>
          <w:bCs/>
        </w:rPr>
        <w:t>eived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total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15,027</w:t>
      </w:r>
      <w:r w:rsidR="00422215">
        <w:rPr>
          <w:bCs/>
        </w:rPr>
        <w:t xml:space="preserve"> </w:t>
      </w:r>
      <w:r w:rsidRPr="007D2C07">
        <w:rPr>
          <w:bCs/>
        </w:rPr>
        <w:t>enquiries,</w:t>
      </w:r>
      <w:r w:rsidR="00422215">
        <w:rPr>
          <w:bCs/>
        </w:rPr>
        <w:t xml:space="preserve"> </w:t>
      </w:r>
      <w:r w:rsidRPr="007D2C07">
        <w:rPr>
          <w:bCs/>
        </w:rPr>
        <w:t>where</w:t>
      </w:r>
      <w:r w:rsidR="00422215">
        <w:rPr>
          <w:bCs/>
        </w:rPr>
        <w:t xml:space="preserve"> </w:t>
      </w:r>
      <w:r w:rsidRPr="007D2C07">
        <w:rPr>
          <w:bCs/>
        </w:rPr>
        <w:t>403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these</w:t>
      </w:r>
      <w:r w:rsidR="00422215">
        <w:rPr>
          <w:bCs/>
        </w:rPr>
        <w:t xml:space="preserve"> </w:t>
      </w:r>
      <w:r w:rsidRPr="007D2C07">
        <w:rPr>
          <w:bCs/>
        </w:rPr>
        <w:t>concerned</w:t>
      </w:r>
      <w:r w:rsidR="00422215">
        <w:rPr>
          <w:bCs/>
        </w:rPr>
        <w:t xml:space="preserve"> </w:t>
      </w:r>
      <w:r w:rsidRPr="007D2C07">
        <w:rPr>
          <w:bCs/>
        </w:rPr>
        <w:t>discrimination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housing</w:t>
      </w:r>
      <w:r w:rsidR="00422215">
        <w:rPr>
          <w:bCs/>
        </w:rPr>
        <w:t xml:space="preserve"> </w:t>
      </w:r>
      <w:r w:rsidRPr="007D2C07">
        <w:rPr>
          <w:bCs/>
        </w:rPr>
        <w:t>market</w:t>
      </w:r>
      <w:r w:rsidR="00422215">
        <w:rPr>
          <w:bCs/>
        </w:rPr>
        <w:t xml:space="preserve"> </w:t>
      </w:r>
      <w:r w:rsidRPr="007D2C07">
        <w:rPr>
          <w:bCs/>
        </w:rPr>
        <w:t>(2.7</w:t>
      </w:r>
      <w:r w:rsidR="00422215">
        <w:rPr>
          <w:bCs/>
        </w:rPr>
        <w:t xml:space="preserve"> </w:t>
      </w:r>
      <w:r w:rsidRPr="007D2C07">
        <w:rPr>
          <w:bCs/>
        </w:rPr>
        <w:t>per</w:t>
      </w:r>
      <w:r w:rsidR="00422215">
        <w:rPr>
          <w:bCs/>
        </w:rPr>
        <w:t xml:space="preserve"> </w:t>
      </w:r>
      <w:r w:rsidRPr="007D2C07">
        <w:rPr>
          <w:bCs/>
        </w:rPr>
        <w:t>cent).</w:t>
      </w:r>
      <w:r w:rsidR="00422215">
        <w:rPr>
          <w:bCs/>
        </w:rPr>
        <w:t xml:space="preserve"> </w:t>
      </w:r>
    </w:p>
    <w:p w:rsidR="007C7F5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reduce</w:t>
      </w:r>
      <w:r w:rsidR="00422215">
        <w:rPr>
          <w:bCs/>
        </w:rPr>
        <w:t xml:space="preserve"> </w:t>
      </w:r>
      <w:r w:rsidRPr="007D2C07">
        <w:rPr>
          <w:bCs/>
        </w:rPr>
        <w:t>prejudice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relation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renting</w:t>
      </w:r>
      <w:r w:rsidR="00422215">
        <w:rPr>
          <w:bCs/>
        </w:rPr>
        <w:t xml:space="preserve"> </w:t>
      </w:r>
      <w:r w:rsidRPr="007D2C07">
        <w:rPr>
          <w:bCs/>
        </w:rPr>
        <w:t>out</w:t>
      </w:r>
      <w:r w:rsidR="00422215">
        <w:rPr>
          <w:bCs/>
        </w:rPr>
        <w:t xml:space="preserve"> </w:t>
      </w:r>
      <w:r w:rsidRPr="007D2C07">
        <w:rPr>
          <w:bCs/>
        </w:rPr>
        <w:t>dwellings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persons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immigrant</w:t>
      </w:r>
      <w:r w:rsidR="00422215">
        <w:rPr>
          <w:bCs/>
        </w:rPr>
        <w:t xml:space="preserve"> </w:t>
      </w:r>
      <w:r w:rsidRPr="007D2C07">
        <w:rPr>
          <w:bCs/>
        </w:rPr>
        <w:t>background</w:t>
      </w:r>
      <w:r w:rsidR="00422215">
        <w:rPr>
          <w:bCs/>
        </w:rPr>
        <w:t xml:space="preserve"> </w:t>
      </w:r>
      <w:r w:rsidRPr="007D2C07">
        <w:rPr>
          <w:bCs/>
        </w:rPr>
        <w:t>or</w:t>
      </w:r>
      <w:r w:rsidR="00422215">
        <w:rPr>
          <w:bCs/>
        </w:rPr>
        <w:t xml:space="preserve"> </w:t>
      </w:r>
      <w:r w:rsidRPr="007D2C07">
        <w:rPr>
          <w:bCs/>
        </w:rPr>
        <w:t>others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are</w:t>
      </w:r>
      <w:r w:rsidR="00422215">
        <w:rPr>
          <w:bCs/>
        </w:rPr>
        <w:t xml:space="preserve"> </w:t>
      </w:r>
      <w:r w:rsidRPr="007D2C07">
        <w:rPr>
          <w:bCs/>
        </w:rPr>
        <w:t>disadvantaged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housing</w:t>
      </w:r>
      <w:r w:rsidR="00422215">
        <w:rPr>
          <w:bCs/>
        </w:rPr>
        <w:t xml:space="preserve"> </w:t>
      </w:r>
      <w:r w:rsidRPr="007D2C07">
        <w:rPr>
          <w:bCs/>
        </w:rPr>
        <w:t>market,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Norwegian</w:t>
      </w:r>
      <w:r w:rsidR="00422215">
        <w:rPr>
          <w:bCs/>
        </w:rPr>
        <w:t xml:space="preserve"> </w:t>
      </w:r>
      <w:r w:rsidRPr="007D2C07">
        <w:rPr>
          <w:bCs/>
        </w:rPr>
        <w:t>Tenants</w:t>
      </w:r>
      <w:r w:rsidR="00422215">
        <w:rPr>
          <w:bCs/>
        </w:rPr>
        <w:t xml:space="preserve"> </w:t>
      </w:r>
      <w:r w:rsidRPr="007D2C07">
        <w:rPr>
          <w:bCs/>
        </w:rPr>
        <w:t>Association</w:t>
      </w:r>
      <w:r w:rsidR="00422215">
        <w:rPr>
          <w:bCs/>
        </w:rPr>
        <w:t xml:space="preserve"> </w:t>
      </w:r>
      <w:r w:rsidRPr="007D2C07">
        <w:rPr>
          <w:bCs/>
        </w:rPr>
        <w:t>offers</w:t>
      </w:r>
      <w:r w:rsidR="00422215">
        <w:rPr>
          <w:bCs/>
        </w:rPr>
        <w:t xml:space="preserve"> </w:t>
      </w:r>
      <w:r w:rsidRPr="007D2C07">
        <w:rPr>
          <w:bCs/>
        </w:rPr>
        <w:t>advice,</w:t>
      </w:r>
      <w:r w:rsidR="00422215">
        <w:rPr>
          <w:bCs/>
        </w:rPr>
        <w:t xml:space="preserve"> </w:t>
      </w:r>
      <w:r w:rsidRPr="007D2C07">
        <w:rPr>
          <w:bCs/>
        </w:rPr>
        <w:t>courses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information</w:t>
      </w:r>
      <w:r w:rsidR="00422215">
        <w:rPr>
          <w:bCs/>
        </w:rPr>
        <w:t xml:space="preserve"> </w:t>
      </w:r>
      <w:r w:rsidRPr="007D2C07">
        <w:rPr>
          <w:bCs/>
        </w:rPr>
        <w:t>material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all</w:t>
      </w:r>
      <w:r w:rsidR="00422215">
        <w:rPr>
          <w:bCs/>
        </w:rPr>
        <w:t xml:space="preserve"> </w:t>
      </w:r>
      <w:r w:rsidRPr="007D2C07">
        <w:rPr>
          <w:bCs/>
        </w:rPr>
        <w:t>municipalities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assist</w:t>
      </w:r>
      <w:r w:rsidR="00422215">
        <w:rPr>
          <w:bCs/>
        </w:rPr>
        <w:t xml:space="preserve"> </w:t>
      </w:r>
      <w:r w:rsidRPr="007D2C07">
        <w:rPr>
          <w:bCs/>
        </w:rPr>
        <w:t>them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housing.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2016,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new</w:t>
      </w:r>
      <w:r w:rsidR="00422215">
        <w:rPr>
          <w:bCs/>
        </w:rPr>
        <w:t xml:space="preserve"> </w:t>
      </w:r>
      <w:r w:rsidRPr="007D2C07">
        <w:rPr>
          <w:bCs/>
        </w:rPr>
        <w:t>municipal</w:t>
      </w:r>
      <w:r w:rsidR="00422215">
        <w:rPr>
          <w:bCs/>
        </w:rPr>
        <w:t xml:space="preserve"> </w:t>
      </w:r>
      <w:r w:rsidRPr="007D2C07">
        <w:rPr>
          <w:bCs/>
        </w:rPr>
        <w:t>guarantee</w:t>
      </w:r>
      <w:r w:rsidR="00422215">
        <w:rPr>
          <w:bCs/>
        </w:rPr>
        <w:t xml:space="preserve"> </w:t>
      </w:r>
      <w:r w:rsidRPr="007D2C07">
        <w:rPr>
          <w:bCs/>
        </w:rPr>
        <w:t>document</w:t>
      </w:r>
      <w:r w:rsidR="00422215">
        <w:rPr>
          <w:bCs/>
        </w:rPr>
        <w:t xml:space="preserve"> </w:t>
      </w:r>
      <w:r w:rsidRPr="007D2C07">
        <w:rPr>
          <w:bCs/>
        </w:rPr>
        <w:t>was</w:t>
      </w:r>
      <w:r w:rsidR="00422215">
        <w:rPr>
          <w:bCs/>
        </w:rPr>
        <w:t xml:space="preserve"> </w:t>
      </w:r>
      <w:r w:rsidRPr="007D2C07">
        <w:rPr>
          <w:bCs/>
        </w:rPr>
        <w:t>launched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connection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tenancy</w:t>
      </w:r>
      <w:r w:rsidR="00422215">
        <w:rPr>
          <w:bCs/>
        </w:rPr>
        <w:t xml:space="preserve"> </w:t>
      </w:r>
      <w:r w:rsidRPr="007D2C07">
        <w:rPr>
          <w:bCs/>
        </w:rPr>
        <w:t>agreements.</w:t>
      </w:r>
      <w:r w:rsidR="00422215">
        <w:rPr>
          <w:bCs/>
        </w:rPr>
        <w:t xml:space="preserve"> </w:t>
      </w:r>
      <w:r w:rsidRPr="007D2C07">
        <w:rPr>
          <w:bCs/>
        </w:rPr>
        <w:t>This</w:t>
      </w:r>
      <w:r w:rsidR="00422215">
        <w:rPr>
          <w:bCs/>
        </w:rPr>
        <w:t xml:space="preserve"> </w:t>
      </w:r>
      <w:r w:rsidRPr="007D2C07">
        <w:rPr>
          <w:bCs/>
        </w:rPr>
        <w:t>guarantee</w:t>
      </w:r>
      <w:r w:rsidR="00422215">
        <w:rPr>
          <w:bCs/>
        </w:rPr>
        <w:t xml:space="preserve"> </w:t>
      </w:r>
      <w:r w:rsidRPr="007D2C07">
        <w:rPr>
          <w:bCs/>
        </w:rPr>
        <w:t>document</w:t>
      </w:r>
      <w:r w:rsidR="00422215">
        <w:rPr>
          <w:bCs/>
        </w:rPr>
        <w:t xml:space="preserve"> </w:t>
      </w:r>
      <w:r w:rsidRPr="007D2C07">
        <w:rPr>
          <w:bCs/>
        </w:rPr>
        <w:t>better</w:t>
      </w:r>
      <w:r w:rsidR="00422215">
        <w:rPr>
          <w:bCs/>
        </w:rPr>
        <w:t xml:space="preserve"> </w:t>
      </w:r>
      <w:r w:rsidRPr="007D2C07">
        <w:rPr>
          <w:bCs/>
        </w:rPr>
        <w:t>secures</w:t>
      </w:r>
      <w:r w:rsidR="00422215">
        <w:rPr>
          <w:bCs/>
        </w:rPr>
        <w:t xml:space="preserve"> </w:t>
      </w:r>
      <w:r w:rsidRPr="007D2C07">
        <w:rPr>
          <w:bCs/>
        </w:rPr>
        <w:t>landlords’</w:t>
      </w:r>
      <w:r w:rsidR="00422215">
        <w:rPr>
          <w:bCs/>
        </w:rPr>
        <w:t xml:space="preserve"> </w:t>
      </w:r>
      <w:r w:rsidRPr="007D2C07">
        <w:rPr>
          <w:bCs/>
        </w:rPr>
        <w:t>financial</w:t>
      </w:r>
      <w:r w:rsidR="00422215">
        <w:rPr>
          <w:bCs/>
        </w:rPr>
        <w:t xml:space="preserve"> </w:t>
      </w:r>
      <w:r w:rsidRPr="007D2C07">
        <w:rPr>
          <w:bCs/>
        </w:rPr>
        <w:t>interests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reduces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risk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landlords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rent</w:t>
      </w:r>
      <w:r w:rsidR="00422215">
        <w:rPr>
          <w:bCs/>
        </w:rPr>
        <w:t xml:space="preserve"> </w:t>
      </w:r>
      <w:r w:rsidRPr="007D2C07">
        <w:rPr>
          <w:bCs/>
        </w:rPr>
        <w:t>out</w:t>
      </w:r>
      <w:r w:rsidR="00422215">
        <w:rPr>
          <w:bCs/>
        </w:rPr>
        <w:t xml:space="preserve"> </w:t>
      </w:r>
      <w:r w:rsidRPr="007D2C07">
        <w:rPr>
          <w:bCs/>
        </w:rPr>
        <w:t>dwellings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disadvantaged</w:t>
      </w:r>
      <w:r w:rsidR="00422215">
        <w:rPr>
          <w:bCs/>
        </w:rPr>
        <w:t xml:space="preserve"> </w:t>
      </w:r>
      <w:r w:rsidRPr="007D2C07">
        <w:rPr>
          <w:bCs/>
        </w:rPr>
        <w:t>people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housing</w:t>
      </w:r>
      <w:r w:rsidR="00422215">
        <w:rPr>
          <w:bCs/>
        </w:rPr>
        <w:t xml:space="preserve"> </w:t>
      </w:r>
      <w:r w:rsidRPr="007D2C07">
        <w:rPr>
          <w:bCs/>
        </w:rPr>
        <w:t>market.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confirms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political</w:t>
      </w:r>
      <w:r w:rsidR="00422215">
        <w:t xml:space="preserve"> </w:t>
      </w:r>
      <w:r w:rsidRPr="007D2C07">
        <w:t>platform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take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housing</w:t>
      </w:r>
      <w:r w:rsidR="00422215">
        <w:t xml:space="preserve"> </w:t>
      </w:r>
      <w:r w:rsidRPr="007D2C07">
        <w:t>market.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grounds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ethnicity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religion,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set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submit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autumn</w:t>
      </w:r>
      <w:r w:rsidR="00422215">
        <w:t xml:space="preserve"> </w:t>
      </w:r>
      <w:r w:rsidRPr="007D2C07">
        <w:t>2019.</w:t>
      </w:r>
      <w:r w:rsidR="00422215">
        <w:t xml:space="preserve"> 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27</w:t>
      </w:r>
      <w:r w:rsidR="00A13A0A">
        <w:t xml:space="preserve"> </w:t>
      </w:r>
      <w:r w:rsidR="00425CC9">
        <w:t>(a)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C7F5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Anyone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staying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(regardless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citizenship,</w:t>
      </w:r>
      <w:r w:rsidR="00422215">
        <w:t xml:space="preserve"> </w:t>
      </w:r>
      <w:r w:rsidRPr="007D2C07">
        <w:t>permanent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illegal</w:t>
      </w:r>
      <w:r w:rsidR="00422215">
        <w:t xml:space="preserve"> </w:t>
      </w:r>
      <w:r w:rsidRPr="007D2C07">
        <w:t>stay)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emergency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cannot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postponed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risk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imminent</w:t>
      </w:r>
      <w:r w:rsidR="00422215">
        <w:t xml:space="preserve"> </w:t>
      </w:r>
      <w:r w:rsidRPr="007D2C07">
        <w:t>death,</w:t>
      </w:r>
      <w:r w:rsidR="00422215">
        <w:t xml:space="preserve"> </w:t>
      </w:r>
      <w:r w:rsidRPr="007D2C07">
        <w:t>permanent</w:t>
      </w:r>
      <w:r w:rsidR="00422215">
        <w:t xml:space="preserve"> </w:t>
      </w:r>
      <w:r w:rsidRPr="007D2C07">
        <w:t>severe</w:t>
      </w:r>
      <w:r w:rsidR="00422215">
        <w:t xml:space="preserve"> </w:t>
      </w:r>
      <w:r w:rsidRPr="007D2C07">
        <w:t>disability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injury,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severe</w:t>
      </w:r>
      <w:r w:rsidR="00422215">
        <w:t xml:space="preserve"> </w:t>
      </w:r>
      <w:r w:rsidRPr="007D2C07">
        <w:t>pain.</w:t>
      </w:r>
      <w:r w:rsidR="00422215">
        <w:t xml:space="preserve"> </w:t>
      </w:r>
      <w:r w:rsidRPr="007D2C07">
        <w:t>Everyone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assessment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specialised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whether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necessary.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permanent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rule</w:t>
      </w:r>
      <w:r w:rsidR="00422215">
        <w:t xml:space="preserve"> </w:t>
      </w:r>
      <w:r w:rsidRPr="007D2C07">
        <w:t>pay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healthcare.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payment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advance</w:t>
      </w:r>
      <w:r w:rsidR="00422215">
        <w:t xml:space="preserve"> </w:t>
      </w:r>
      <w:r w:rsidRPr="007D2C07">
        <w:t>cannot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required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emergency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specialised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cannot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postponed.</w:t>
      </w:r>
      <w:r w:rsidR="00422215">
        <w:t xml:space="preserve"> 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27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425CC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Postnatal</w:t>
      </w:r>
      <w:r w:rsidR="00422215">
        <w:t xml:space="preserve"> </w:t>
      </w:r>
      <w:r w:rsidRPr="007D2C07">
        <w:t>information,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guidelines,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publicly</w:t>
      </w:r>
      <w:r w:rsidR="00422215">
        <w:t xml:space="preserve"> </w:t>
      </w:r>
      <w:r w:rsidRPr="007D2C07">
        <w:t>available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municipalities,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personnel,</w:t>
      </w:r>
      <w:r w:rsidR="00422215">
        <w:t xml:space="preserve"> </w:t>
      </w:r>
      <w:r w:rsidRPr="007D2C07">
        <w:t>patients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users.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personnel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required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keep</w:t>
      </w:r>
      <w:r w:rsidR="00422215">
        <w:t xml:space="preserve"> </w:t>
      </w:r>
      <w:r w:rsidRPr="007D2C07">
        <w:t>up-to-date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information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Government,</w:t>
      </w:r>
      <w:r w:rsidR="00422215">
        <w:t xml:space="preserve"> </w:t>
      </w:r>
      <w:r w:rsidRPr="007D2C07">
        <w:t>so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high</w:t>
      </w:r>
      <w:r w:rsidR="00422215">
        <w:t xml:space="preserve"> </w:t>
      </w:r>
      <w:r w:rsidRPr="007D2C07">
        <w:t>quality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Board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Supervision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supervising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making</w:t>
      </w:r>
      <w:r w:rsidR="00422215">
        <w:t xml:space="preserve"> </w:t>
      </w:r>
      <w:r w:rsidRPr="007D2C07">
        <w:t>sure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law.</w:t>
      </w:r>
    </w:p>
    <w:p w:rsidR="007C7F5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27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  <w:r w:rsidR="00422215">
        <w:t xml:space="preserve"> </w:t>
      </w:r>
    </w:p>
    <w:p w:rsidR="007C7F5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Following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Chernobyl</w:t>
      </w:r>
      <w:r w:rsidR="00422215">
        <w:t xml:space="preserve"> </w:t>
      </w:r>
      <w:r w:rsidRPr="007D2C07">
        <w:t>disaster,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studies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reindeer</w:t>
      </w:r>
      <w:r w:rsidR="00422215">
        <w:t xml:space="preserve"> </w:t>
      </w:r>
      <w:r w:rsidRPr="007D2C07">
        <w:t>herders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Arctic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1960s</w:t>
      </w:r>
      <w:r w:rsidR="00422215">
        <w:t xml:space="preserve"> </w:t>
      </w:r>
      <w:r w:rsidRPr="007D2C07">
        <w:t>onwards,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quickly</w:t>
      </w:r>
      <w:r w:rsidR="00422215">
        <w:t xml:space="preserve"> </w:t>
      </w:r>
      <w:r w:rsidRPr="007D2C07">
        <w:t>realised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reindeer</w:t>
      </w:r>
      <w:r w:rsidR="00422215">
        <w:t xml:space="preserve"> </w:t>
      </w:r>
      <w:r w:rsidRPr="007D2C07">
        <w:t>herding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population</w:t>
      </w:r>
      <w:r w:rsidR="00422215">
        <w:t xml:space="preserve"> </w:t>
      </w:r>
      <w:r w:rsidRPr="007D2C07">
        <w:t>would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particularly</w:t>
      </w:r>
      <w:r w:rsidR="00422215">
        <w:t xml:space="preserve"> </w:t>
      </w:r>
      <w:r w:rsidRPr="007D2C07">
        <w:t>affected.</w:t>
      </w:r>
      <w:r w:rsidR="00422215">
        <w:t xml:space="preserve"> </w:t>
      </w:r>
      <w:r w:rsidRPr="007D2C07">
        <w:t>Knowing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radioactive</w:t>
      </w:r>
      <w:r w:rsidR="00422215">
        <w:t xml:space="preserve"> </w:t>
      </w:r>
      <w:r w:rsidRPr="007D2C07">
        <w:t>contamination</w:t>
      </w:r>
      <w:r w:rsidR="00422215">
        <w:t xml:space="preserve"> </w:t>
      </w:r>
      <w:r w:rsidRPr="007D2C07">
        <w:t>could</w:t>
      </w:r>
      <w:r w:rsidR="00422215">
        <w:t xml:space="preserve"> </w:t>
      </w:r>
      <w:r w:rsidRPr="007D2C07">
        <w:t>potentially</w:t>
      </w:r>
      <w:r w:rsidR="00422215">
        <w:t xml:space="preserve"> </w:t>
      </w:r>
      <w:r w:rsidRPr="007D2C07">
        <w:t>ruin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reindeer</w:t>
      </w:r>
      <w:r w:rsidR="00422215">
        <w:t xml:space="preserve"> </w:t>
      </w:r>
      <w:r w:rsidRPr="007D2C07">
        <w:t>business,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pertaining</w:t>
      </w:r>
      <w:r w:rsidR="00422215">
        <w:t xml:space="preserve"> </w:t>
      </w:r>
      <w:r w:rsidRPr="007D2C07">
        <w:t>economic</w:t>
      </w:r>
      <w:r w:rsidR="00422215">
        <w:t xml:space="preserve"> </w:t>
      </w:r>
      <w:r w:rsidRPr="007D2C07">
        <w:t>consequences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reindeer</w:t>
      </w:r>
      <w:r w:rsidR="00422215">
        <w:t xml:space="preserve"> </w:t>
      </w:r>
      <w:r w:rsidRPr="007D2C07">
        <w:t>herders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consequences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culture,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countermeasures,</w:t>
      </w:r>
      <w:r w:rsidR="00422215">
        <w:t xml:space="preserve"> </w:t>
      </w:r>
      <w:r w:rsidRPr="007D2C07">
        <w:t>regulation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control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helped</w:t>
      </w:r>
      <w:r w:rsidR="00422215">
        <w:t xml:space="preserve"> </w:t>
      </w:r>
      <w:r w:rsidRPr="007D2C07">
        <w:t>sustain</w:t>
      </w:r>
      <w:r w:rsidR="00422215">
        <w:t xml:space="preserve"> </w:t>
      </w:r>
      <w:r w:rsidRPr="007D2C07">
        <w:t>reindeer</w:t>
      </w:r>
      <w:r w:rsidR="00422215">
        <w:t xml:space="preserve"> </w:t>
      </w:r>
      <w:r w:rsidRPr="007D2C07">
        <w:t>herding.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time,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monitoring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reindeer</w:t>
      </w:r>
      <w:r w:rsidR="00422215">
        <w:t xml:space="preserve"> </w:t>
      </w:r>
      <w:r w:rsidRPr="007D2C07">
        <w:t>herders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survey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radiation</w:t>
      </w:r>
      <w:r w:rsidR="00422215">
        <w:t xml:space="preserve"> </w:t>
      </w:r>
      <w:r w:rsidRPr="007D2C07">
        <w:t>doses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herders</w:t>
      </w:r>
      <w:r w:rsidR="00422215">
        <w:t xml:space="preserve"> </w:t>
      </w:r>
      <w:r w:rsidRPr="007D2C07">
        <w:t>themselves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exposed</w:t>
      </w:r>
      <w:r w:rsidR="00422215">
        <w:t xml:space="preserve"> </w:t>
      </w:r>
      <w:r w:rsidRPr="007D2C07">
        <w:t>to.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addition,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helped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herders</w:t>
      </w:r>
      <w:r w:rsidR="00422215">
        <w:t xml:space="preserve"> </w:t>
      </w:r>
      <w:r w:rsidRPr="007D2C07">
        <w:t>themselves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control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effect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took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radiation</w:t>
      </w:r>
      <w:r w:rsidR="00422215">
        <w:t xml:space="preserve"> </w:t>
      </w:r>
      <w:r w:rsidRPr="007D2C07">
        <w:t>doses.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(which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still</w:t>
      </w:r>
      <w:r w:rsidR="00422215">
        <w:t xml:space="preserve"> </w:t>
      </w:r>
      <w:r w:rsidRPr="007D2C07">
        <w:t>ongoing)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proven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effect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various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taken,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radiation</w:t>
      </w:r>
      <w:r w:rsidR="00422215">
        <w:t xml:space="preserve"> </w:t>
      </w:r>
      <w:r w:rsidRPr="007D2C07">
        <w:t>doses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large</w:t>
      </w:r>
      <w:r w:rsidR="00422215">
        <w:t xml:space="preserve"> </w:t>
      </w:r>
      <w:r w:rsidRPr="007D2C07">
        <w:t>enough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cause</w:t>
      </w:r>
      <w:r w:rsidR="00422215">
        <w:t xml:space="preserve"> </w:t>
      </w:r>
      <w:r w:rsidRPr="007D2C07">
        <w:t>any</w:t>
      </w:r>
      <w:r w:rsidR="00422215">
        <w:t xml:space="preserve"> </w:t>
      </w:r>
      <w:r w:rsidRPr="007D2C07">
        <w:t>observable</w:t>
      </w:r>
      <w:r w:rsidR="00422215">
        <w:t xml:space="preserve"> </w:t>
      </w:r>
      <w:r w:rsidRPr="007D2C07">
        <w:t>radiation-related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effects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herders.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Chernobyl</w:t>
      </w:r>
      <w:r w:rsidR="00422215">
        <w:t xml:space="preserve"> </w:t>
      </w:r>
      <w:r w:rsidRPr="007D2C07">
        <w:t>fallout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doubt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serious</w:t>
      </w:r>
      <w:r w:rsidR="00422215">
        <w:t xml:space="preserve"> </w:t>
      </w:r>
      <w:r w:rsidRPr="007D2C07">
        <w:t>challenge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herders,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reason</w:t>
      </w:r>
      <w:r w:rsidR="00422215">
        <w:t xml:space="preserve"> </w:t>
      </w:r>
      <w:r w:rsidRPr="007D2C07">
        <w:t>why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monitoring</w:t>
      </w:r>
      <w:r w:rsidR="00422215">
        <w:t xml:space="preserve"> </w:t>
      </w:r>
      <w:r w:rsidRPr="007D2C07">
        <w:t>activities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maintained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serve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arena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communication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herders</w:t>
      </w:r>
      <w:r w:rsidR="00422215">
        <w:t xml:space="preserve"> </w:t>
      </w:r>
      <w:r w:rsidRPr="007D2C07">
        <w:t>about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contamination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caused.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27</w:t>
      </w:r>
      <w:r w:rsidR="00A13A0A">
        <w:t xml:space="preserve"> </w:t>
      </w:r>
      <w:r>
        <w:t xml:space="preserve">(d)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C7F5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As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Plan,</w:t>
      </w:r>
      <w:r w:rsidR="00422215">
        <w:t xml:space="preserve"> </w:t>
      </w:r>
      <w:r w:rsidRPr="007D2C07">
        <w:t>allocations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1.8</w:t>
      </w:r>
      <w:r w:rsidR="00422215">
        <w:t xml:space="preserve"> </w:t>
      </w:r>
      <w:r w:rsidRPr="007D2C07">
        <w:t>billion.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integrated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set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launching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grants.</w:t>
      </w:r>
      <w:r w:rsidR="00422215">
        <w:t xml:space="preserve"> </w:t>
      </w:r>
      <w:r w:rsidRPr="007D2C07">
        <w:t>Results</w:t>
      </w:r>
      <w:r w:rsidR="00422215">
        <w:t xml:space="preserve"> </w:t>
      </w:r>
      <w:r w:rsidRPr="007D2C07">
        <w:t>show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significant</w:t>
      </w:r>
      <w:r w:rsidR="00422215">
        <w:t xml:space="preserve"> </w:t>
      </w:r>
      <w:r w:rsidRPr="007D2C07">
        <w:t>increase,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2,000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employees</w:t>
      </w:r>
      <w:r w:rsidR="00422215">
        <w:t xml:space="preserve"> </w:t>
      </w:r>
      <w:r w:rsidRPr="007D2C07">
        <w:t>dedicated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improving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services.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recommended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psychologist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2020.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covered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initiative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(</w:t>
      </w:r>
      <w:proofErr w:type="spellStart"/>
      <w:r w:rsidRPr="007D2C07">
        <w:t>Tidlig</w:t>
      </w:r>
      <w:proofErr w:type="spellEnd"/>
      <w:r w:rsidR="00422215">
        <w:t xml:space="preserve"> </w:t>
      </w:r>
      <w:r w:rsidRPr="007D2C07">
        <w:t>Inn),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provides</w:t>
      </w:r>
      <w:r w:rsidR="00422215">
        <w:t xml:space="preserve"> </w:t>
      </w:r>
      <w:r w:rsidRPr="007D2C07">
        <w:t>funding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150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building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coordinating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handling</w:t>
      </w:r>
      <w:r w:rsidR="00422215">
        <w:t xml:space="preserve"> </w:t>
      </w:r>
      <w:r w:rsidRPr="007D2C07">
        <w:t>minors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adults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illicit</w:t>
      </w:r>
      <w:r w:rsidR="00422215">
        <w:t xml:space="preserve"> </w:t>
      </w:r>
      <w:r w:rsidRPr="007D2C07">
        <w:t>drug</w:t>
      </w:r>
      <w:r w:rsidR="00422215">
        <w:t xml:space="preserve"> </w:t>
      </w:r>
      <w:r w:rsidRPr="007D2C07">
        <w:t>use.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initiative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triband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Violence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parenthood</w:t>
      </w:r>
      <w:r w:rsidR="00422215">
        <w:t xml:space="preserve"> </w:t>
      </w:r>
      <w:r w:rsidRPr="007D2C07">
        <w:t>support.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show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slight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cannabis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students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stimulants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adolescents</w:t>
      </w:r>
      <w:r w:rsidR="00422215">
        <w:t xml:space="preserve"> </w:t>
      </w:r>
      <w:r w:rsidRPr="007D2C07">
        <w:t>(16-34),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significant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NPS.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overdose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fell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280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243.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selection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municipalities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established</w:t>
      </w:r>
      <w:r w:rsidR="00422215">
        <w:t xml:space="preserve"> </w:t>
      </w:r>
      <w:r w:rsidRPr="007D2C07">
        <w:t>distribution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harm</w:t>
      </w:r>
      <w:r w:rsidR="00422215">
        <w:t xml:space="preserve"> </w:t>
      </w:r>
      <w:r w:rsidRPr="007D2C07">
        <w:t>reduction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clean</w:t>
      </w:r>
      <w:r w:rsidR="00422215">
        <w:t xml:space="preserve"> </w:t>
      </w:r>
      <w:r w:rsidRPr="007D2C07">
        <w:t>syringes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naloxone</w:t>
      </w:r>
      <w:r w:rsidR="00422215">
        <w:t xml:space="preserve"> </w:t>
      </w:r>
      <w:r w:rsidRPr="007D2C07">
        <w:t>nose</w:t>
      </w:r>
      <w:r w:rsidR="00422215">
        <w:t xml:space="preserve"> </w:t>
      </w:r>
      <w:r w:rsidRPr="007D2C07">
        <w:t>spray.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prevention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similar</w:t>
      </w:r>
      <w:r w:rsidR="00422215">
        <w:t xml:space="preserve"> </w:t>
      </w:r>
      <w:r w:rsidRPr="007D2C07">
        <w:t>nature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established,</w:t>
      </w:r>
      <w:r w:rsidR="00422215">
        <w:t xml:space="preserve"> </w:t>
      </w:r>
      <w:r w:rsidRPr="007D2C07">
        <w:t>including:</w:t>
      </w:r>
      <w:r w:rsidR="00422215">
        <w:t xml:space="preserve"> </w:t>
      </w:r>
    </w:p>
    <w:p w:rsidR="007D2C07" w:rsidRPr="007D2C07" w:rsidRDefault="007D2C07" w:rsidP="00425CC9">
      <w:pPr>
        <w:pStyle w:val="Bullet1G"/>
      </w:pPr>
      <w:r w:rsidRPr="007D2C07">
        <w:t>A</w:t>
      </w:r>
      <w:r w:rsidR="00422215">
        <w:t xml:space="preserve"> </w:t>
      </w:r>
      <w:r w:rsidRPr="007D2C07">
        <w:t>renewed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drug</w:t>
      </w:r>
      <w:r w:rsidR="00422215">
        <w:t xml:space="preserve"> </w:t>
      </w:r>
      <w:r w:rsidRPr="007D2C07">
        <w:t>induced</w:t>
      </w:r>
      <w:r w:rsidR="00422215">
        <w:t xml:space="preserve"> </w:t>
      </w:r>
      <w:r w:rsidRPr="007D2C07">
        <w:t>deaths</w:t>
      </w:r>
      <w:r w:rsidR="00422215">
        <w:t xml:space="preserve"> </w:t>
      </w:r>
      <w:r w:rsidRPr="007D2C07">
        <w:t>2019-2022</w:t>
      </w:r>
      <w:r w:rsidR="00425CC9">
        <w:t>;</w:t>
      </w:r>
    </w:p>
    <w:p w:rsidR="007D2C07" w:rsidRPr="007D2C07" w:rsidRDefault="007D2C07" w:rsidP="00425CC9">
      <w:pPr>
        <w:pStyle w:val="Bullet1G"/>
      </w:pPr>
      <w:r w:rsidRPr="007D2C07">
        <w:t>Revised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safe</w:t>
      </w:r>
      <w:r w:rsidR="00422215">
        <w:t xml:space="preserve"> </w:t>
      </w:r>
      <w:r w:rsidRPr="007D2C07">
        <w:t>injection</w:t>
      </w:r>
      <w:r w:rsidR="00422215">
        <w:t xml:space="preserve"> </w:t>
      </w:r>
      <w:r w:rsidRPr="007D2C07">
        <w:t>rooms</w:t>
      </w:r>
      <w:r w:rsidR="00425CC9">
        <w:t>;</w:t>
      </w:r>
    </w:p>
    <w:p w:rsidR="007D2C07" w:rsidRPr="007D2C07" w:rsidRDefault="007D2C07" w:rsidP="00425CC9">
      <w:pPr>
        <w:pStyle w:val="Bullet1G"/>
      </w:pP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fighting</w:t>
      </w:r>
      <w:r w:rsidR="00422215">
        <w:t xml:space="preserve"> </w:t>
      </w:r>
      <w:r w:rsidRPr="007D2C07">
        <w:t>hepatitis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2025</w:t>
      </w:r>
      <w:r w:rsidR="00425CC9">
        <w:t>.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28</w:t>
      </w:r>
      <w:r w:rsidR="00A13A0A">
        <w:t xml:space="preserve"> </w:t>
      </w:r>
      <w:r w:rsidR="00425CC9">
        <w:t>(a)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Non-consensual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subject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strict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detailed</w:t>
      </w:r>
      <w:r w:rsidR="00422215">
        <w:t xml:space="preserve"> </w:t>
      </w:r>
      <w:r w:rsidRPr="007D2C07">
        <w:t>regulations.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2017,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legislative</w:t>
      </w:r>
      <w:r w:rsidR="00422215">
        <w:t xml:space="preserve"> </w:t>
      </w:r>
      <w:r w:rsidRPr="007D2C07">
        <w:t>amendments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patients’</w:t>
      </w:r>
      <w:r w:rsidR="00422215">
        <w:t xml:space="preserve"> </w:t>
      </w:r>
      <w:r w:rsidRPr="007D2C07">
        <w:t>autonomy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protection.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alteration</w:t>
      </w:r>
      <w:r w:rsidR="00422215">
        <w:t xml:space="preserve"> </w:t>
      </w:r>
      <w:r w:rsidRPr="007D2C07">
        <w:t>entails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patients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capacity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consent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say</w:t>
      </w:r>
      <w:r w:rsidR="00422215">
        <w:t xml:space="preserve"> </w:t>
      </w:r>
      <w:r w:rsidRPr="007D2C07">
        <w:t>no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admission</w:t>
      </w:r>
      <w:r w:rsidR="00422215">
        <w:t xml:space="preserve"> </w:t>
      </w:r>
      <w:r w:rsidRPr="007D2C07">
        <w:t>(hospitalisation)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treatment,</w:t>
      </w:r>
      <w:r w:rsidR="00422215">
        <w:t xml:space="preserve"> </w:t>
      </w:r>
      <w:r w:rsidRPr="007D2C07">
        <w:t>unless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represent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danger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themselves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others.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18</w:t>
      </w:r>
      <w:r w:rsidR="00422215">
        <w:t xml:space="preserve"> </w:t>
      </w:r>
      <w:r w:rsidRPr="007D2C07">
        <w:t>June</w:t>
      </w:r>
      <w:r w:rsidR="00422215">
        <w:t xml:space="preserve"> </w:t>
      </w:r>
      <w:r w:rsidRPr="007D2C07">
        <w:t>2019,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received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legislative</w:t>
      </w:r>
      <w:r w:rsidR="00422215">
        <w:t xml:space="preserve"> </w:t>
      </w:r>
      <w:r w:rsidRPr="007D2C07">
        <w:t>commission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reviewed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coercion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particular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Norway’s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human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obligations.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distributed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various</w:t>
      </w:r>
      <w:r w:rsidR="00422215">
        <w:t xml:space="preserve"> </w:t>
      </w:r>
      <w:r w:rsidRPr="007D2C07">
        <w:t>bodies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institutions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consultation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followed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Services.</w:t>
      </w:r>
      <w:r w:rsidR="00422215">
        <w:t xml:space="preserve"> </w:t>
      </w:r>
    </w:p>
    <w:p w:rsidR="00425CC9" w:rsidRPr="007D2C07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28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425CC9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Please</w:t>
      </w:r>
      <w:r w:rsidR="00422215">
        <w:t xml:space="preserve"> </w:t>
      </w:r>
      <w:r w:rsidRPr="007D2C07">
        <w:t>see</w:t>
      </w:r>
      <w:r w:rsidR="00422215">
        <w:t xml:space="preserve"> </w:t>
      </w:r>
      <w:r w:rsidRPr="007D2C07">
        <w:t>our</w:t>
      </w:r>
      <w:r w:rsidR="00422215">
        <w:t xml:space="preserve"> </w:t>
      </w:r>
      <w:r w:rsidRPr="007D2C07">
        <w:t>reply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item</w:t>
      </w:r>
      <w:r w:rsidR="00422215">
        <w:t xml:space="preserve"> </w:t>
      </w:r>
      <w:r w:rsidRPr="007D2C07">
        <w:t>28(a).</w:t>
      </w:r>
      <w:r w:rsidR="00422215">
        <w:t xml:space="preserve"> 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28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For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years,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allocated</w:t>
      </w:r>
      <w:r w:rsidR="00422215">
        <w:t xml:space="preserve"> </w:t>
      </w:r>
      <w:r w:rsidRPr="007D2C07">
        <w:t>annual</w:t>
      </w:r>
      <w:r w:rsidR="00422215">
        <w:t xml:space="preserve"> </w:t>
      </w:r>
      <w:r w:rsidRPr="007D2C07">
        <w:t>grants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establishment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assertive</w:t>
      </w:r>
      <w:r w:rsidR="00422215">
        <w:t xml:space="preserve"> </w:t>
      </w:r>
      <w:r w:rsidRPr="007D2C07">
        <w:t>community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teams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specialised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collaborate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reaching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live.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teams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proven</w:t>
      </w:r>
      <w:r w:rsidR="00422215">
        <w:t xml:space="preserve"> </w:t>
      </w:r>
      <w:r w:rsidRPr="007D2C07">
        <w:t>successful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rapid</w:t>
      </w:r>
      <w:r w:rsidR="00422215">
        <w:t xml:space="preserve"> </w:t>
      </w:r>
      <w:r w:rsidRPr="007D2C07">
        <w:t>comprehensive</w:t>
      </w:r>
      <w:r w:rsidR="00422215">
        <w:t xml:space="preserve"> </w:t>
      </w:r>
      <w:r w:rsidRPr="007D2C07">
        <w:t>assistance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avoid</w:t>
      </w:r>
      <w:r w:rsidR="00422215">
        <w:t xml:space="preserve"> </w:t>
      </w:r>
      <w:r w:rsidRPr="007D2C07">
        <w:t>crises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forced</w:t>
      </w:r>
      <w:r w:rsidR="00422215">
        <w:t xml:space="preserve"> </w:t>
      </w:r>
      <w:r w:rsidRPr="007D2C07">
        <w:t>admissions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28</w:t>
      </w:r>
      <w:r w:rsidR="00A13A0A">
        <w:t xml:space="preserve"> </w:t>
      </w:r>
      <w:r>
        <w:t xml:space="preserve">(d)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ongoing</w:t>
      </w:r>
      <w:r w:rsidR="00422215">
        <w:t xml:space="preserve"> </w:t>
      </w:r>
      <w:r w:rsidRPr="007D2C07">
        <w:t>focus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reports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issue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coercion,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refers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them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dialogue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regional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authorities.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trusts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direct</w:t>
      </w:r>
      <w:r w:rsidR="00422215">
        <w:t xml:space="preserve"> </w:t>
      </w:r>
      <w:r w:rsidRPr="007D2C07">
        <w:t>contact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preventive</w:t>
      </w:r>
      <w:r w:rsidR="00422215">
        <w:t xml:space="preserve"> </w:t>
      </w:r>
      <w:r w:rsidRPr="007D2C07">
        <w:t>mechanism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regards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specific</w:t>
      </w:r>
      <w:r w:rsidR="00422215">
        <w:t xml:space="preserve"> </w:t>
      </w:r>
      <w:r w:rsidRPr="007D2C07">
        <w:t>recommendations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reports.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28</w:t>
      </w:r>
      <w:r w:rsidR="00A13A0A">
        <w:t xml:space="preserve"> </w:t>
      </w:r>
      <w:r>
        <w:t xml:space="preserve">(e)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B6050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B60509">
        <w:t>Statistical</w:t>
      </w:r>
      <w:r w:rsidR="00422215" w:rsidRPr="00B60509">
        <w:t xml:space="preserve"> </w:t>
      </w:r>
      <w:r w:rsidRPr="00B60509">
        <w:t>data</w:t>
      </w:r>
      <w:r w:rsidR="00422215" w:rsidRPr="00B60509">
        <w:t xml:space="preserve"> </w:t>
      </w:r>
      <w:r w:rsidRPr="00B60509">
        <w:t>is</w:t>
      </w:r>
      <w:r w:rsidR="00422215" w:rsidRPr="00B60509">
        <w:t xml:space="preserve"> </w:t>
      </w:r>
      <w:r w:rsidRPr="00B60509">
        <w:t>kept</w:t>
      </w:r>
      <w:r w:rsidR="00422215" w:rsidRPr="00B60509">
        <w:t xml:space="preserve"> </w:t>
      </w:r>
      <w:r w:rsidRPr="00B60509">
        <w:t>on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administration</w:t>
      </w:r>
      <w:r w:rsidR="00422215" w:rsidRPr="00B60509">
        <w:t xml:space="preserve"> </w:t>
      </w:r>
      <w:r w:rsidRPr="00B60509">
        <w:t>of</w:t>
      </w:r>
      <w:r w:rsidR="00422215" w:rsidRPr="00B60509">
        <w:t xml:space="preserve"> </w:t>
      </w:r>
      <w:r w:rsidRPr="00B60509">
        <w:t>forced</w:t>
      </w:r>
      <w:r w:rsidR="00422215" w:rsidRPr="00B60509">
        <w:t xml:space="preserve"> </w:t>
      </w:r>
      <w:r w:rsidRPr="00B60509">
        <w:t>medication</w:t>
      </w:r>
      <w:r w:rsidR="00422215" w:rsidRPr="00B60509">
        <w:t xml:space="preserve"> </w:t>
      </w:r>
      <w:r w:rsidRPr="00B60509">
        <w:t>to</w:t>
      </w:r>
      <w:r w:rsidR="00422215" w:rsidRPr="00B60509">
        <w:t xml:space="preserve"> </w:t>
      </w:r>
      <w:r w:rsidRPr="00B60509">
        <w:t>both</w:t>
      </w:r>
      <w:r w:rsidR="00422215" w:rsidRPr="00B60509">
        <w:t xml:space="preserve"> </w:t>
      </w:r>
      <w:r w:rsidRPr="00B60509">
        <w:t>inpatients</w:t>
      </w:r>
      <w:r w:rsidR="00422215" w:rsidRPr="00B60509">
        <w:t xml:space="preserve"> </w:t>
      </w:r>
      <w:r w:rsidRPr="00B60509">
        <w:t>and</w:t>
      </w:r>
      <w:r w:rsidR="00422215" w:rsidRPr="00B60509">
        <w:t xml:space="preserve"> </w:t>
      </w:r>
      <w:r w:rsidRPr="00B60509">
        <w:t>outpatients,</w:t>
      </w:r>
      <w:r w:rsidR="00422215" w:rsidRPr="00B60509">
        <w:t xml:space="preserve"> </w:t>
      </w:r>
      <w:r w:rsidRPr="00B60509">
        <w:t>including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number</w:t>
      </w:r>
      <w:r w:rsidR="00422215" w:rsidRPr="00B60509">
        <w:t xml:space="preserve"> </w:t>
      </w:r>
      <w:r w:rsidRPr="00B60509">
        <w:t>of</w:t>
      </w:r>
      <w:r w:rsidR="00422215" w:rsidRPr="00B60509">
        <w:t xml:space="preserve"> </w:t>
      </w:r>
      <w:r w:rsidRPr="00B60509">
        <w:t>patients</w:t>
      </w:r>
      <w:r w:rsidR="00422215" w:rsidRPr="00B60509">
        <w:t xml:space="preserve"> </w:t>
      </w:r>
      <w:r w:rsidRPr="00B60509">
        <w:t>and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duration</w:t>
      </w:r>
      <w:r w:rsidR="00422215" w:rsidRPr="00B60509">
        <w:t xml:space="preserve"> </w:t>
      </w:r>
      <w:r w:rsidRPr="00B60509">
        <w:t>of</w:t>
      </w:r>
      <w:r w:rsidR="00422215" w:rsidRPr="00B60509">
        <w:t xml:space="preserve"> </w:t>
      </w:r>
      <w:r w:rsidRPr="00B60509">
        <w:t>medication,</w:t>
      </w:r>
      <w:r w:rsidR="00422215" w:rsidRPr="00B60509">
        <w:t xml:space="preserve"> </w:t>
      </w:r>
      <w:r w:rsidRPr="00B60509">
        <w:t>as</w:t>
      </w:r>
      <w:r w:rsidR="00422215" w:rsidRPr="00B60509">
        <w:t xml:space="preserve"> </w:t>
      </w:r>
      <w:r w:rsidRPr="00B60509">
        <w:t>well</w:t>
      </w:r>
      <w:r w:rsidR="00422215" w:rsidRPr="00B60509">
        <w:t xml:space="preserve"> </w:t>
      </w:r>
      <w:r w:rsidRPr="00B60509">
        <w:t>as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use</w:t>
      </w:r>
      <w:r w:rsidR="00422215" w:rsidRPr="00B60509">
        <w:t xml:space="preserve"> </w:t>
      </w:r>
      <w:r w:rsidRPr="00B60509">
        <w:t>of</w:t>
      </w:r>
      <w:r w:rsidR="00422215" w:rsidRPr="00B60509">
        <w:t xml:space="preserve"> </w:t>
      </w:r>
      <w:r w:rsidRPr="00B60509">
        <w:t>electroshock</w:t>
      </w:r>
      <w:r w:rsidR="00422215" w:rsidRPr="00B60509">
        <w:t xml:space="preserve"> </w:t>
      </w:r>
      <w:r w:rsidRPr="00B60509">
        <w:t>treatment,</w:t>
      </w:r>
      <w:r w:rsidR="00422215" w:rsidRPr="00B60509">
        <w:t xml:space="preserve"> </w:t>
      </w:r>
      <w:r w:rsidRPr="00B60509">
        <w:t>restraints</w:t>
      </w:r>
      <w:r w:rsidR="00422215" w:rsidRPr="00B60509">
        <w:t xml:space="preserve"> </w:t>
      </w:r>
      <w:r w:rsidRPr="00B60509">
        <w:t>and</w:t>
      </w:r>
      <w:r w:rsidR="00422215" w:rsidRPr="00B60509">
        <w:t xml:space="preserve"> </w:t>
      </w:r>
      <w:r w:rsidRPr="00B60509">
        <w:t>solitary</w:t>
      </w:r>
      <w:r w:rsidR="00422215" w:rsidRPr="00B60509">
        <w:t xml:space="preserve"> </w:t>
      </w:r>
      <w:r w:rsidRPr="00B60509">
        <w:t>confinement.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Ministry</w:t>
      </w:r>
      <w:r w:rsidR="00422215" w:rsidRPr="00B60509">
        <w:t xml:space="preserve"> </w:t>
      </w:r>
      <w:r w:rsidRPr="00B60509">
        <w:t>is</w:t>
      </w:r>
      <w:r w:rsidR="00422215" w:rsidRPr="00B60509">
        <w:t xml:space="preserve"> </w:t>
      </w:r>
      <w:r w:rsidRPr="00B60509">
        <w:t>in</w:t>
      </w:r>
      <w:r w:rsidR="00422215" w:rsidRPr="00B60509">
        <w:t xml:space="preserve"> </w:t>
      </w:r>
      <w:r w:rsidRPr="00B60509">
        <w:t>dialogue</w:t>
      </w:r>
      <w:r w:rsidR="00422215" w:rsidRPr="00B60509">
        <w:t xml:space="preserve"> </w:t>
      </w:r>
      <w:r w:rsidRPr="00B60509">
        <w:t>with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Directorate</w:t>
      </w:r>
      <w:r w:rsidR="00422215" w:rsidRPr="00B60509">
        <w:t xml:space="preserve"> </w:t>
      </w:r>
      <w:r w:rsidRPr="00B60509">
        <w:t>of</w:t>
      </w:r>
      <w:r w:rsidR="00422215" w:rsidRPr="00B60509">
        <w:t xml:space="preserve"> </w:t>
      </w:r>
      <w:r w:rsidRPr="00B60509">
        <w:t>Health</w:t>
      </w:r>
      <w:r w:rsidR="00422215" w:rsidRPr="00B60509">
        <w:t xml:space="preserve"> </w:t>
      </w:r>
      <w:r w:rsidRPr="00B60509">
        <w:t>in</w:t>
      </w:r>
      <w:r w:rsidR="00422215" w:rsidRPr="00B60509">
        <w:t xml:space="preserve"> </w:t>
      </w:r>
      <w:r w:rsidRPr="00B60509">
        <w:t>relation</w:t>
      </w:r>
      <w:r w:rsidR="00422215" w:rsidRPr="00B60509">
        <w:t xml:space="preserve"> </w:t>
      </w:r>
      <w:r w:rsidRPr="00B60509">
        <w:t>to</w:t>
      </w:r>
      <w:r w:rsidR="00422215" w:rsidRPr="00B60509">
        <w:t xml:space="preserve"> </w:t>
      </w:r>
      <w:r w:rsidRPr="00B60509">
        <w:t>the</w:t>
      </w:r>
      <w:r w:rsidR="00422215" w:rsidRPr="00B60509">
        <w:t xml:space="preserve"> </w:t>
      </w:r>
      <w:r w:rsidRPr="00B60509">
        <w:t>establishment</w:t>
      </w:r>
      <w:r w:rsidR="00422215" w:rsidRPr="00B60509">
        <w:t xml:space="preserve"> </w:t>
      </w:r>
      <w:r w:rsidRPr="00B60509">
        <w:t>of</w:t>
      </w:r>
      <w:r w:rsidR="00422215" w:rsidRPr="00B60509">
        <w:t xml:space="preserve"> </w:t>
      </w:r>
      <w:r w:rsidRPr="00B60509">
        <w:t>a</w:t>
      </w:r>
      <w:r w:rsidR="00422215" w:rsidRPr="00B60509">
        <w:t xml:space="preserve"> </w:t>
      </w:r>
      <w:r w:rsidRPr="00B60509">
        <w:t>national</w:t>
      </w:r>
      <w:r w:rsidR="00422215" w:rsidRPr="00B60509">
        <w:t xml:space="preserve"> </w:t>
      </w:r>
      <w:r w:rsidRPr="00B60509">
        <w:t>data</w:t>
      </w:r>
      <w:r w:rsidR="00422215" w:rsidRPr="00B60509">
        <w:t xml:space="preserve"> </w:t>
      </w:r>
      <w:r w:rsidRPr="00B60509">
        <w:t>indicator</w:t>
      </w:r>
      <w:r w:rsidR="00422215" w:rsidRPr="00B60509">
        <w:t xml:space="preserve"> </w:t>
      </w:r>
      <w:r w:rsidRPr="00B60509">
        <w:t>on</w:t>
      </w:r>
      <w:r w:rsidR="00422215" w:rsidRPr="00B60509">
        <w:t xml:space="preserve"> </w:t>
      </w:r>
      <w:r w:rsidRPr="00B60509">
        <w:t>long-term</w:t>
      </w:r>
      <w:r w:rsidR="00422215" w:rsidRPr="00B60509">
        <w:t xml:space="preserve"> </w:t>
      </w:r>
      <w:r w:rsidRPr="00B60509">
        <w:t>forced</w:t>
      </w:r>
      <w:r w:rsidR="00422215" w:rsidRPr="00B60509">
        <w:t xml:space="preserve"> </w:t>
      </w:r>
      <w:r w:rsidRPr="00B60509">
        <w:t>medication.</w:t>
      </w:r>
      <w:r w:rsidR="00422215" w:rsidRPr="00B60509">
        <w:t xml:space="preserve"> </w:t>
      </w:r>
      <w:r w:rsidRPr="00B60509">
        <w:t>Data</w:t>
      </w:r>
      <w:r w:rsidR="00422215" w:rsidRPr="00B60509">
        <w:t xml:space="preserve"> </w:t>
      </w:r>
      <w:r w:rsidRPr="00B60509">
        <w:t>on</w:t>
      </w:r>
      <w:r w:rsidR="00422215" w:rsidRPr="00B60509">
        <w:t xml:space="preserve"> </w:t>
      </w:r>
      <w:r w:rsidRPr="00B60509">
        <w:t>coercive</w:t>
      </w:r>
      <w:r w:rsidR="00422215" w:rsidRPr="00B60509">
        <w:t xml:space="preserve"> </w:t>
      </w:r>
      <w:r w:rsidRPr="00B60509">
        <w:t>admissions</w:t>
      </w:r>
      <w:r w:rsidR="00422215" w:rsidRPr="00B60509">
        <w:t xml:space="preserve"> </w:t>
      </w:r>
      <w:r w:rsidRPr="00B60509">
        <w:t>to</w:t>
      </w:r>
      <w:r w:rsidR="00422215" w:rsidRPr="00B60509">
        <w:t xml:space="preserve"> </w:t>
      </w:r>
      <w:r w:rsidRPr="00B60509">
        <w:t>mental</w:t>
      </w:r>
      <w:r w:rsidR="00422215" w:rsidRPr="00B60509">
        <w:t xml:space="preserve"> </w:t>
      </w:r>
      <w:r w:rsidRPr="00B60509">
        <w:t>health</w:t>
      </w:r>
      <w:r w:rsidR="00422215" w:rsidRPr="00B60509">
        <w:t xml:space="preserve"> </w:t>
      </w:r>
      <w:r w:rsidRPr="00B60509">
        <w:t>care</w:t>
      </w:r>
      <w:r w:rsidR="00422215" w:rsidRPr="00B60509">
        <w:t xml:space="preserve"> </w:t>
      </w:r>
      <w:r w:rsidRPr="00B60509">
        <w:t>are</w:t>
      </w:r>
      <w:r w:rsidR="00422215" w:rsidRPr="00B60509">
        <w:t xml:space="preserve"> </w:t>
      </w:r>
      <w:r w:rsidRPr="00B60509">
        <w:t>available</w:t>
      </w:r>
      <w:r w:rsidR="00422215" w:rsidRPr="00B60509">
        <w:t xml:space="preserve"> </w:t>
      </w:r>
      <w:r w:rsidRPr="00B60509">
        <w:t>at</w:t>
      </w:r>
      <w:r w:rsidR="00422215" w:rsidRPr="00B60509">
        <w:t xml:space="preserve"> </w:t>
      </w:r>
      <w:hyperlink r:id="rId11" w:history="1">
        <w:r w:rsidR="00443A61" w:rsidRPr="000E5E6F">
          <w:rPr>
            <w:rStyle w:val="Hyperlink"/>
          </w:rPr>
          <w:t>https://www.helsedirektoratet.no/statistikk/statistikk/kvalitetsindikatorer/</w:t>
        </w:r>
        <w:r w:rsidR="00443A61" w:rsidRPr="000E5E6F">
          <w:rPr>
            <w:rStyle w:val="Hyperlink"/>
          </w:rPr>
          <w:br/>
          <w:t>psykisk-helse-for-voksne/tvangsinnleggelser-i-psykisk-helsevern-for-voksne</w:t>
        </w:r>
      </w:hyperlink>
      <w:r w:rsidRPr="00B60509">
        <w:t>.</w:t>
      </w:r>
      <w:r w:rsidR="00422215" w:rsidRPr="00B60509">
        <w:t xml:space="preserve"> </w:t>
      </w:r>
      <w:r w:rsidRPr="00B60509">
        <w:t>Data</w:t>
      </w:r>
      <w:r w:rsidR="00422215" w:rsidRPr="00B60509">
        <w:t xml:space="preserve"> </w:t>
      </w:r>
      <w:r w:rsidRPr="00B60509">
        <w:t>on</w:t>
      </w:r>
      <w:r w:rsidR="00422215" w:rsidRPr="00B60509">
        <w:t xml:space="preserve"> </w:t>
      </w:r>
      <w:r w:rsidRPr="00B60509">
        <w:t>Coercive</w:t>
      </w:r>
      <w:r w:rsidR="00422215" w:rsidRPr="00B60509">
        <w:t xml:space="preserve"> </w:t>
      </w:r>
      <w:r w:rsidRPr="00B60509">
        <w:t>means</w:t>
      </w:r>
      <w:r w:rsidR="00422215" w:rsidRPr="00B60509">
        <w:t xml:space="preserve"> </w:t>
      </w:r>
      <w:r w:rsidRPr="00B60509">
        <w:t>in</w:t>
      </w:r>
      <w:r w:rsidR="00422215" w:rsidRPr="00B60509">
        <w:t xml:space="preserve"> </w:t>
      </w:r>
      <w:r w:rsidRPr="00B60509">
        <w:t>mental</w:t>
      </w:r>
      <w:r w:rsidR="00422215" w:rsidRPr="00B60509">
        <w:t xml:space="preserve"> </w:t>
      </w:r>
      <w:r w:rsidRPr="00B60509">
        <w:t>health</w:t>
      </w:r>
      <w:r w:rsidR="00422215" w:rsidRPr="00B60509">
        <w:t xml:space="preserve"> </w:t>
      </w:r>
      <w:r w:rsidRPr="00B60509">
        <w:t>care</w:t>
      </w:r>
      <w:r w:rsidR="00422215" w:rsidRPr="00B60509">
        <w:t xml:space="preserve"> </w:t>
      </w:r>
      <w:r w:rsidRPr="00B60509">
        <w:t>are</w:t>
      </w:r>
      <w:r w:rsidR="00422215" w:rsidRPr="00B60509">
        <w:t xml:space="preserve"> </w:t>
      </w:r>
      <w:r w:rsidRPr="00B60509">
        <w:t>available</w:t>
      </w:r>
      <w:r w:rsidR="00422215" w:rsidRPr="00B60509">
        <w:t xml:space="preserve"> </w:t>
      </w:r>
      <w:r w:rsidRPr="00B60509">
        <w:t>at</w:t>
      </w:r>
      <w:r w:rsidR="00422215" w:rsidRPr="00B60509">
        <w:t xml:space="preserve"> </w:t>
      </w:r>
      <w:r w:rsidRPr="00B60509">
        <w:t>https://www.helsedirektoratet.no/</w:t>
      </w:r>
      <w:r w:rsidR="00443A61">
        <w:br/>
      </w:r>
      <w:r w:rsidRPr="00B60509">
        <w:t>statistikk/statistikk/kvalitetsindikatorer/psykisk-helse-for-voksne/tvangsmiddelbruk-i-psykisk-helsevern-for-voksne.</w:t>
      </w:r>
      <w:r w:rsidR="00422215" w:rsidRPr="00B60509">
        <w:t xml:space="preserve"> </w:t>
      </w:r>
    </w:p>
    <w:p w:rsidR="00D07B55" w:rsidRDefault="00D07B55" w:rsidP="00A13A0A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29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Correctional</w:t>
      </w:r>
      <w:r w:rsidR="00422215">
        <w:t xml:space="preserve"> </w:t>
      </w:r>
      <w:r w:rsidRPr="007D2C07">
        <w:t>Service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cooperated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preparing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prisoners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disorders</w:t>
      </w:r>
      <w:r w:rsidR="00422215">
        <w:t xml:space="preserve"> </w:t>
      </w:r>
      <w:r w:rsidRPr="007D2C07">
        <w:t>and/or</w:t>
      </w:r>
      <w:r w:rsidR="00422215">
        <w:t xml:space="preserve"> </w:t>
      </w:r>
      <w:r w:rsidRPr="007D2C07">
        <w:t>substance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problems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prisoners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cross-disciplinary</w:t>
      </w:r>
      <w:r w:rsidR="00422215">
        <w:t xml:space="preserve"> </w:t>
      </w:r>
      <w:r w:rsidRPr="007D2C07">
        <w:t>specialist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substance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issues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specialist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services.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enhance</w:t>
      </w:r>
      <w:r w:rsidR="00422215">
        <w:t xml:space="preserve"> </w:t>
      </w:r>
      <w:r w:rsidRPr="007D2C07">
        <w:t>cooperation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agencies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taken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Correctional</w:t>
      </w:r>
      <w:r w:rsidR="00422215">
        <w:t xml:space="preserve"> </w:t>
      </w:r>
      <w:r w:rsidRPr="007D2C07">
        <w:t>Services,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activation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prisoners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vulnerable</w:t>
      </w:r>
      <w:r w:rsidR="00422215">
        <w:t xml:space="preserve"> </w:t>
      </w:r>
      <w:r w:rsidRPr="007D2C07">
        <w:t>groups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prison.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commissioned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Network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Security,</w:t>
      </w:r>
      <w:r w:rsidR="00422215">
        <w:t xml:space="preserve"> </w:t>
      </w:r>
      <w:r w:rsidRPr="007D2C07">
        <w:t>Prison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Forensic</w:t>
      </w:r>
      <w:r w:rsidR="00422215">
        <w:t xml:space="preserve"> </w:t>
      </w:r>
      <w:r w:rsidRPr="007D2C07">
        <w:t>Psychiatry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prepare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provision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strengthened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organised.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follow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reports.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17</w:t>
      </w:r>
      <w:r w:rsidR="00422215">
        <w:t xml:space="preserve"> </w:t>
      </w:r>
      <w:r w:rsidRPr="007D2C07">
        <w:t>prisons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drug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units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inmates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substance</w:t>
      </w:r>
      <w:r w:rsidR="00422215">
        <w:t xml:space="preserve"> </w:t>
      </w:r>
      <w:r w:rsidRPr="007D2C07">
        <w:t>abuse</w:t>
      </w:r>
      <w:r w:rsidR="00422215">
        <w:t xml:space="preserve"> </w:t>
      </w:r>
      <w:r w:rsidRPr="007D2C07">
        <w:t>problems.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separate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outpatient</w:t>
      </w:r>
      <w:r w:rsidR="00422215">
        <w:t xml:space="preserve"> </w:t>
      </w:r>
      <w:r w:rsidRPr="007D2C07">
        <w:t>clinics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prisons.</w:t>
      </w:r>
      <w:r w:rsidR="00422215">
        <w:t xml:space="preserve"> </w:t>
      </w:r>
      <w:r w:rsidRPr="007D2C07">
        <w:t>Inmates’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improved</w:t>
      </w:r>
      <w:r w:rsidR="00422215">
        <w:t xml:space="preserve"> </w:t>
      </w:r>
      <w:r w:rsidRPr="007D2C07">
        <w:t>over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coming</w:t>
      </w:r>
      <w:r w:rsidR="00422215">
        <w:t xml:space="preserve"> </w:t>
      </w:r>
      <w:r w:rsidRPr="007D2C07">
        <w:t>years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developing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comprehensive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prisoners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serious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illness.</w:t>
      </w:r>
      <w:r w:rsidR="00422215">
        <w:t xml:space="preserve"> </w:t>
      </w:r>
      <w:r w:rsidRPr="007D2C07">
        <w:t>Furthermore,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prisoners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reviewed.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All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regardless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residency</w:t>
      </w:r>
      <w:r w:rsidR="00422215">
        <w:t xml:space="preserve"> </w:t>
      </w:r>
      <w:r w:rsidRPr="007D2C07">
        <w:t>status.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mental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needed.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authorised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GP.</w:t>
      </w:r>
      <w:r w:rsidR="00422215">
        <w:t xml:space="preserve"> </w:t>
      </w:r>
    </w:p>
    <w:p w:rsidR="007D2C07" w:rsidRPr="007D2C07" w:rsidRDefault="007D2C07" w:rsidP="00425CC9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Southern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Regional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Violence,</w:t>
      </w:r>
      <w:r w:rsidR="00422215">
        <w:t xml:space="preserve"> </w:t>
      </w:r>
      <w:r w:rsidRPr="007D2C07">
        <w:t>Traumatic</w:t>
      </w:r>
      <w:r w:rsidR="00422215">
        <w:t xml:space="preserve"> </w:t>
      </w:r>
      <w:r w:rsidRPr="007D2C07">
        <w:t>Stress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Suicide</w:t>
      </w:r>
      <w:r w:rsidR="00422215">
        <w:t xml:space="preserve"> </w:t>
      </w:r>
      <w:r w:rsidRPr="007D2C07">
        <w:t>Prevention,</w:t>
      </w:r>
      <w:r w:rsidR="00422215">
        <w:t xml:space="preserve"> </w:t>
      </w:r>
      <w:r w:rsidRPr="007D2C07">
        <w:t>provides</w:t>
      </w:r>
      <w:r w:rsidR="00422215">
        <w:t xml:space="preserve"> </w:t>
      </w:r>
      <w:r w:rsidRPr="007D2C07">
        <w:t>trauma-informed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training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employees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unaccompanied</w:t>
      </w:r>
      <w:r w:rsidR="00422215">
        <w:t xml:space="preserve"> </w:t>
      </w:r>
      <w:r w:rsidRPr="007D2C07">
        <w:t>minor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seekers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reception</w:t>
      </w:r>
      <w:r w:rsidR="00422215">
        <w:t xml:space="preserve"> </w:t>
      </w:r>
      <w:r w:rsidRPr="007D2C07">
        <w:t>centres.</w:t>
      </w:r>
    </w:p>
    <w:p w:rsidR="00D07B55" w:rsidRDefault="00764260" w:rsidP="00A13A0A">
      <w:pPr>
        <w:pStyle w:val="H1G"/>
      </w:pPr>
      <w:r>
        <w:tab/>
      </w:r>
      <w:r>
        <w:tab/>
      </w:r>
      <w:r w:rsidR="00D07B55" w:rsidRPr="00341318">
        <w:t>Reply</w:t>
      </w:r>
      <w:r w:rsidR="00422215">
        <w:t xml:space="preserve"> </w:t>
      </w:r>
      <w:r w:rsidR="00D07B55" w:rsidRPr="00341318">
        <w:t>to</w:t>
      </w:r>
      <w:r w:rsidR="00422215">
        <w:t xml:space="preserve"> </w:t>
      </w:r>
      <w:r w:rsidR="00D07B55" w:rsidRPr="00341318">
        <w:t>paragraph</w:t>
      </w:r>
      <w:r w:rsidR="00422215">
        <w:t xml:space="preserve"> </w:t>
      </w:r>
      <w:r w:rsidR="00D07B55">
        <w:t>30</w:t>
      </w:r>
      <w:r w:rsidR="00A13A0A">
        <w:t xml:space="preserve"> </w:t>
      </w:r>
      <w:r w:rsidR="00425CC9">
        <w:t>(a)</w:t>
      </w:r>
      <w:r w:rsidR="00422215">
        <w:t xml:space="preserve"> </w:t>
      </w:r>
      <w:r w:rsidR="00D07B55" w:rsidRPr="00341318">
        <w:t>of</w:t>
      </w:r>
      <w:r w:rsidR="00422215">
        <w:t xml:space="preserve"> </w:t>
      </w:r>
      <w:r w:rsidR="00D07B55" w:rsidRPr="00341318">
        <w:t>the</w:t>
      </w:r>
      <w:r w:rsidR="00422215">
        <w:t xml:space="preserve"> </w:t>
      </w:r>
      <w:r w:rsidR="00D07B55" w:rsidRPr="00341318">
        <w:t>list</w:t>
      </w:r>
      <w:r w:rsidR="00422215">
        <w:t xml:space="preserve"> </w:t>
      </w:r>
      <w:r w:rsidR="00D07B55" w:rsidRPr="00341318">
        <w:t>of</w:t>
      </w:r>
      <w:r w:rsidR="00422215">
        <w:t xml:space="preserve"> </w:t>
      </w:r>
      <w:r w:rsidR="00D07B55"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initiated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White</w:t>
      </w:r>
      <w:r w:rsidR="00422215">
        <w:t xml:space="preserve"> </w:t>
      </w:r>
      <w:r w:rsidRPr="007D2C07">
        <w:t>Paper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communities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schools.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64260">
        <w:t>The</w:t>
      </w:r>
      <w:r w:rsidR="00422215">
        <w:rPr>
          <w:bCs/>
        </w:rPr>
        <w:t xml:space="preserve"> </w:t>
      </w:r>
      <w:r w:rsidRPr="007D2C07">
        <w:rPr>
          <w:bCs/>
        </w:rPr>
        <w:t>Government</w:t>
      </w:r>
      <w:r w:rsidR="00422215">
        <w:rPr>
          <w:bCs/>
        </w:rPr>
        <w:t xml:space="preserve"> </w:t>
      </w:r>
      <w:r w:rsidRPr="007D2C07">
        <w:rPr>
          <w:bCs/>
        </w:rPr>
        <w:t>is</w:t>
      </w:r>
      <w:r w:rsidR="00422215">
        <w:rPr>
          <w:bCs/>
        </w:rPr>
        <w:t xml:space="preserve"> </w:t>
      </w:r>
      <w:r w:rsidRPr="007D2C07">
        <w:rPr>
          <w:bCs/>
        </w:rPr>
        <w:t>now</w:t>
      </w:r>
      <w:r w:rsidR="00422215">
        <w:rPr>
          <w:bCs/>
        </w:rPr>
        <w:t xml:space="preserve"> </w:t>
      </w:r>
      <w:r w:rsidRPr="007D2C07">
        <w:rPr>
          <w:bCs/>
        </w:rPr>
        <w:t>carrying</w:t>
      </w:r>
      <w:r w:rsidR="00422215">
        <w:rPr>
          <w:bCs/>
        </w:rPr>
        <w:t xml:space="preserve"> </w:t>
      </w:r>
      <w:r w:rsidRPr="007D2C07">
        <w:rPr>
          <w:bCs/>
        </w:rPr>
        <w:t>out</w:t>
      </w:r>
      <w:r w:rsidR="00422215">
        <w:rPr>
          <w:bCs/>
        </w:rPr>
        <w:t xml:space="preserve"> </w:t>
      </w:r>
      <w:r w:rsidRPr="007D2C07">
        <w:rPr>
          <w:bCs/>
        </w:rPr>
        <w:t>a</w:t>
      </w:r>
      <w:r w:rsidR="00422215">
        <w:rPr>
          <w:bCs/>
        </w:rPr>
        <w:t xml:space="preserve"> </w:t>
      </w:r>
      <w:r w:rsidRPr="007D2C07">
        <w:rPr>
          <w:bCs/>
        </w:rPr>
        <w:t>significant</w:t>
      </w:r>
      <w:r w:rsidR="00422215">
        <w:rPr>
          <w:bCs/>
        </w:rPr>
        <w:t xml:space="preserve"> </w:t>
      </w:r>
      <w:r w:rsidRPr="007D2C07">
        <w:rPr>
          <w:bCs/>
        </w:rPr>
        <w:t>competence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recruitment</w:t>
      </w:r>
      <w:r w:rsidR="00422215">
        <w:rPr>
          <w:bCs/>
        </w:rPr>
        <w:t xml:space="preserve"> </w:t>
      </w:r>
      <w:r w:rsidRPr="007D2C07">
        <w:rPr>
          <w:bCs/>
        </w:rPr>
        <w:t>boost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teacher</w:t>
      </w:r>
      <w:r w:rsidR="00422215">
        <w:rPr>
          <w:bCs/>
        </w:rPr>
        <w:t xml:space="preserve"> </w:t>
      </w:r>
      <w:r w:rsidRPr="007D2C07">
        <w:rPr>
          <w:bCs/>
        </w:rPr>
        <w:t>education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schools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ensure</w:t>
      </w:r>
      <w:r w:rsidR="00422215">
        <w:rPr>
          <w:bCs/>
        </w:rPr>
        <w:t xml:space="preserve"> </w:t>
      </w:r>
      <w:r w:rsidRPr="007D2C07">
        <w:rPr>
          <w:bCs/>
        </w:rPr>
        <w:t>that</w:t>
      </w:r>
      <w:r w:rsidR="00422215">
        <w:rPr>
          <w:bCs/>
        </w:rPr>
        <w:t xml:space="preserve"> </w:t>
      </w:r>
      <w:r w:rsidRPr="007D2C07">
        <w:rPr>
          <w:bCs/>
        </w:rPr>
        <w:t>pupils</w:t>
      </w:r>
      <w:r w:rsidR="00422215">
        <w:rPr>
          <w:bCs/>
        </w:rPr>
        <w:t xml:space="preserve"> </w:t>
      </w:r>
      <w:r w:rsidRPr="007D2C07">
        <w:rPr>
          <w:bCs/>
        </w:rPr>
        <w:t>have</w:t>
      </w:r>
      <w:r w:rsidR="00422215">
        <w:rPr>
          <w:bCs/>
        </w:rPr>
        <w:t xml:space="preserve"> </w:t>
      </w:r>
      <w:r w:rsidRPr="007D2C07">
        <w:rPr>
          <w:bCs/>
        </w:rPr>
        <w:t>qualified</w:t>
      </w:r>
      <w:r w:rsidR="00422215">
        <w:rPr>
          <w:bCs/>
        </w:rPr>
        <w:t xml:space="preserve"> </w:t>
      </w:r>
      <w:r w:rsidRPr="007D2C07">
        <w:rPr>
          <w:bCs/>
        </w:rPr>
        <w:t>teachers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make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profession</w:t>
      </w:r>
      <w:r w:rsidR="00422215">
        <w:rPr>
          <w:bCs/>
        </w:rPr>
        <w:t xml:space="preserve"> </w:t>
      </w:r>
      <w:r w:rsidRPr="007D2C07">
        <w:rPr>
          <w:bCs/>
        </w:rPr>
        <w:t>more</w:t>
      </w:r>
      <w:r w:rsidR="00422215">
        <w:rPr>
          <w:bCs/>
        </w:rPr>
        <w:t xml:space="preserve"> </w:t>
      </w:r>
      <w:r w:rsidRPr="007D2C07">
        <w:rPr>
          <w:bCs/>
        </w:rPr>
        <w:t>attractive:</w:t>
      </w:r>
      <w:r w:rsidR="00422215">
        <w:rPr>
          <w:bCs/>
        </w:rPr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64260">
        <w:t>Teacher</w:t>
      </w:r>
      <w:r w:rsidR="00422215">
        <w:rPr>
          <w:bCs/>
        </w:rPr>
        <w:t xml:space="preserve"> </w:t>
      </w:r>
      <w:r w:rsidRPr="007D2C07">
        <w:rPr>
          <w:bCs/>
        </w:rPr>
        <w:t>education</w:t>
      </w:r>
      <w:r w:rsidR="00422215">
        <w:rPr>
          <w:bCs/>
        </w:rPr>
        <w:t xml:space="preserve"> </w:t>
      </w:r>
      <w:r w:rsidRPr="007D2C07">
        <w:rPr>
          <w:bCs/>
        </w:rPr>
        <w:t>has</w:t>
      </w:r>
      <w:r w:rsidR="00422215">
        <w:rPr>
          <w:bCs/>
        </w:rPr>
        <w:t xml:space="preserve"> </w:t>
      </w:r>
      <w:r w:rsidRPr="007D2C07">
        <w:rPr>
          <w:bCs/>
        </w:rPr>
        <w:t>been</w:t>
      </w:r>
      <w:r w:rsidR="00422215">
        <w:rPr>
          <w:bCs/>
        </w:rPr>
        <w:t xml:space="preserve"> </w:t>
      </w:r>
      <w:r w:rsidRPr="007D2C07">
        <w:rPr>
          <w:bCs/>
        </w:rPr>
        <w:t>raised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master’s</w:t>
      </w:r>
      <w:r w:rsidR="00422215">
        <w:rPr>
          <w:bCs/>
        </w:rPr>
        <w:t xml:space="preserve"> </w:t>
      </w:r>
      <w:r w:rsidRPr="007D2C07">
        <w:rPr>
          <w:bCs/>
        </w:rPr>
        <w:t>degree</w:t>
      </w:r>
      <w:r w:rsidR="00422215">
        <w:rPr>
          <w:bCs/>
        </w:rPr>
        <w:t xml:space="preserve"> </w:t>
      </w:r>
      <w:r w:rsidRPr="007D2C07">
        <w:rPr>
          <w:bCs/>
        </w:rPr>
        <w:t>level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candidates</w:t>
      </w:r>
      <w:r w:rsidR="00422215">
        <w:rPr>
          <w:bCs/>
        </w:rPr>
        <w:t xml:space="preserve"> </w:t>
      </w:r>
      <w:r w:rsidRPr="007D2C07">
        <w:rPr>
          <w:bCs/>
        </w:rPr>
        <w:t>face</w:t>
      </w:r>
      <w:r w:rsidR="00422215">
        <w:rPr>
          <w:bCs/>
        </w:rPr>
        <w:t xml:space="preserve"> </w:t>
      </w:r>
      <w:r w:rsidRPr="007D2C07">
        <w:rPr>
          <w:bCs/>
        </w:rPr>
        <w:t>stricter</w:t>
      </w:r>
      <w:r w:rsidR="00422215">
        <w:rPr>
          <w:bCs/>
        </w:rPr>
        <w:t xml:space="preserve"> </w:t>
      </w:r>
      <w:r w:rsidRPr="007D2C07">
        <w:rPr>
          <w:bCs/>
        </w:rPr>
        <w:t>admission</w:t>
      </w:r>
      <w:r w:rsidR="00422215">
        <w:rPr>
          <w:bCs/>
        </w:rPr>
        <w:t xml:space="preserve"> </w:t>
      </w:r>
      <w:r w:rsidRPr="007D2C07">
        <w:rPr>
          <w:bCs/>
        </w:rPr>
        <w:t>requirements.</w:t>
      </w:r>
      <w:r w:rsidR="00422215">
        <w:rPr>
          <w:bCs/>
        </w:rPr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64260">
        <w:t>Parts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student</w:t>
      </w:r>
      <w:r w:rsidR="00422215">
        <w:rPr>
          <w:bCs/>
        </w:rPr>
        <w:t xml:space="preserve"> </w:t>
      </w:r>
      <w:r w:rsidRPr="007D2C07">
        <w:rPr>
          <w:bCs/>
        </w:rPr>
        <w:t>loans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teachers</w:t>
      </w:r>
      <w:r w:rsidR="00422215">
        <w:rPr>
          <w:bCs/>
        </w:rPr>
        <w:t xml:space="preserve"> </w:t>
      </w:r>
      <w:r w:rsidRPr="007D2C07">
        <w:rPr>
          <w:bCs/>
        </w:rPr>
        <w:t>taking</w:t>
      </w:r>
      <w:r w:rsidR="00422215">
        <w:rPr>
          <w:bCs/>
        </w:rPr>
        <w:t xml:space="preserve"> </w:t>
      </w:r>
      <w:r w:rsidRPr="007D2C07">
        <w:rPr>
          <w:bCs/>
        </w:rPr>
        <w:t>jobs</w:t>
      </w:r>
      <w:r w:rsidR="00422215">
        <w:rPr>
          <w:bCs/>
        </w:rPr>
        <w:t xml:space="preserve"> </w:t>
      </w:r>
      <w:r w:rsidRPr="007D2C07">
        <w:rPr>
          <w:bCs/>
        </w:rPr>
        <w:t>at</w:t>
      </w:r>
      <w:r w:rsidR="00422215">
        <w:rPr>
          <w:bCs/>
        </w:rPr>
        <w:t xml:space="preserve"> </w:t>
      </w:r>
      <w:r w:rsidRPr="007D2C07">
        <w:rPr>
          <w:bCs/>
        </w:rPr>
        <w:t>school</w:t>
      </w:r>
      <w:r w:rsidR="00422215">
        <w:rPr>
          <w:bCs/>
        </w:rPr>
        <w:t xml:space="preserve"> </w:t>
      </w:r>
      <w:r w:rsidRPr="007D2C07">
        <w:rPr>
          <w:bCs/>
        </w:rPr>
        <w:t>are</w:t>
      </w:r>
      <w:r w:rsidR="00422215">
        <w:rPr>
          <w:bCs/>
        </w:rPr>
        <w:t xml:space="preserve"> </w:t>
      </w:r>
      <w:r w:rsidRPr="007D2C07">
        <w:rPr>
          <w:bCs/>
        </w:rPr>
        <w:t>written</w:t>
      </w:r>
      <w:r w:rsidR="00422215">
        <w:rPr>
          <w:bCs/>
        </w:rPr>
        <w:t xml:space="preserve"> </w:t>
      </w:r>
      <w:r w:rsidRPr="007D2C07">
        <w:rPr>
          <w:bCs/>
        </w:rPr>
        <w:t>off.</w:t>
      </w:r>
      <w:r w:rsidR="00422215">
        <w:rPr>
          <w:bCs/>
        </w:rPr>
        <w:t xml:space="preserve"> </w:t>
      </w:r>
      <w:r w:rsidRPr="007D2C07">
        <w:rPr>
          <w:bCs/>
        </w:rPr>
        <w:t>This</w:t>
      </w:r>
      <w:r w:rsidR="00422215">
        <w:rPr>
          <w:bCs/>
        </w:rPr>
        <w:t xml:space="preserve"> </w:t>
      </w:r>
      <w:r w:rsidRPr="007D2C07">
        <w:rPr>
          <w:bCs/>
        </w:rPr>
        <w:t>applies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students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complete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education</w:t>
      </w:r>
      <w:r w:rsidR="00422215">
        <w:rPr>
          <w:bCs/>
        </w:rPr>
        <w:t xml:space="preserve"> </w:t>
      </w:r>
      <w:r w:rsidRPr="007D2C07">
        <w:rPr>
          <w:bCs/>
        </w:rPr>
        <w:t>within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nominal</w:t>
      </w:r>
      <w:r w:rsidR="00422215">
        <w:rPr>
          <w:bCs/>
        </w:rPr>
        <w:t xml:space="preserve"> </w:t>
      </w:r>
      <w:r w:rsidRPr="007D2C07">
        <w:rPr>
          <w:bCs/>
        </w:rPr>
        <w:t>time,</w:t>
      </w:r>
      <w:r w:rsidR="00422215">
        <w:rPr>
          <w:bCs/>
        </w:rPr>
        <w:t xml:space="preserve"> </w:t>
      </w:r>
      <w:r w:rsidRPr="007D2C07">
        <w:rPr>
          <w:bCs/>
        </w:rPr>
        <w:t>those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train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teach</w:t>
      </w:r>
      <w:r w:rsidR="00422215">
        <w:rPr>
          <w:bCs/>
        </w:rPr>
        <w:t xml:space="preserve"> </w:t>
      </w:r>
      <w:r w:rsidRPr="007D2C07">
        <w:rPr>
          <w:bCs/>
        </w:rPr>
        <w:t>years</w:t>
      </w:r>
      <w:r w:rsidR="00422215">
        <w:rPr>
          <w:bCs/>
        </w:rPr>
        <w:t xml:space="preserve"> </w:t>
      </w:r>
      <w:r w:rsidRPr="007D2C07">
        <w:rPr>
          <w:bCs/>
        </w:rPr>
        <w:t>1–7,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those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take</w:t>
      </w:r>
      <w:r w:rsidR="00422215">
        <w:rPr>
          <w:bCs/>
        </w:rPr>
        <w:t xml:space="preserve"> </w:t>
      </w:r>
      <w:r w:rsidRPr="007D2C07">
        <w:rPr>
          <w:bCs/>
        </w:rPr>
        <w:t>jobs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Northern</w:t>
      </w:r>
      <w:r w:rsidR="00422215">
        <w:rPr>
          <w:bCs/>
        </w:rPr>
        <w:t xml:space="preserve"> </w:t>
      </w:r>
      <w:r w:rsidRPr="007D2C07">
        <w:rPr>
          <w:bCs/>
        </w:rPr>
        <w:t>Norway.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addition,</w:t>
      </w:r>
      <w:r w:rsidR="00422215">
        <w:rPr>
          <w:bCs/>
        </w:rPr>
        <w:t xml:space="preserve"> </w:t>
      </w:r>
      <w:r w:rsidRPr="007D2C07">
        <w:rPr>
          <w:bCs/>
        </w:rPr>
        <w:t>there</w:t>
      </w:r>
      <w:r w:rsidR="00422215">
        <w:rPr>
          <w:bCs/>
        </w:rPr>
        <w:t xml:space="preserve"> </w:t>
      </w:r>
      <w:r w:rsidRPr="007D2C07">
        <w:rPr>
          <w:bCs/>
        </w:rPr>
        <w:t>are</w:t>
      </w:r>
      <w:r w:rsidR="00422215">
        <w:rPr>
          <w:bCs/>
        </w:rPr>
        <w:t xml:space="preserve"> </w:t>
      </w:r>
      <w:r w:rsidRPr="007D2C07">
        <w:rPr>
          <w:bCs/>
        </w:rPr>
        <w:t>separate</w:t>
      </w:r>
      <w:r w:rsidR="00422215">
        <w:rPr>
          <w:bCs/>
        </w:rPr>
        <w:t xml:space="preserve"> </w:t>
      </w:r>
      <w:r w:rsidRPr="007D2C07">
        <w:rPr>
          <w:bCs/>
        </w:rPr>
        <w:t>arrangements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those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take</w:t>
      </w:r>
      <w:r w:rsidR="00422215">
        <w:rPr>
          <w:bCs/>
        </w:rPr>
        <w:t xml:space="preserve"> </w:t>
      </w:r>
      <w:r w:rsidRPr="007D2C07">
        <w:rPr>
          <w:bCs/>
        </w:rPr>
        <w:t>Sami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proofErr w:type="spellStart"/>
      <w:r w:rsidRPr="007D2C07">
        <w:rPr>
          <w:bCs/>
        </w:rPr>
        <w:t>Kven</w:t>
      </w:r>
      <w:proofErr w:type="spellEnd"/>
      <w:r w:rsidRPr="007D2C07">
        <w:rPr>
          <w:bCs/>
        </w:rPr>
        <w:t>.</w:t>
      </w:r>
      <w:r w:rsidR="00422215">
        <w:rPr>
          <w:bCs/>
        </w:rPr>
        <w:t xml:space="preserve"> </w:t>
      </w:r>
      <w:r w:rsidRPr="007D2C07">
        <w:rPr>
          <w:bCs/>
        </w:rPr>
        <w:t>Education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recruitment</w:t>
      </w:r>
      <w:r w:rsidR="00422215">
        <w:rPr>
          <w:bCs/>
        </w:rPr>
        <w:t xml:space="preserve"> </w:t>
      </w:r>
      <w:r w:rsidRPr="007D2C07">
        <w:rPr>
          <w:bCs/>
        </w:rPr>
        <w:t>grants</w:t>
      </w:r>
      <w:r w:rsidR="00422215">
        <w:rPr>
          <w:bCs/>
        </w:rPr>
        <w:t xml:space="preserve"> </w:t>
      </w:r>
      <w:r w:rsidRPr="007D2C07">
        <w:rPr>
          <w:bCs/>
        </w:rPr>
        <w:t>have</w:t>
      </w:r>
      <w:r w:rsidR="00422215">
        <w:rPr>
          <w:bCs/>
        </w:rPr>
        <w:t xml:space="preserve"> </w:t>
      </w:r>
      <w:r w:rsidRPr="007D2C07">
        <w:rPr>
          <w:bCs/>
        </w:rPr>
        <w:t>also</w:t>
      </w:r>
      <w:r w:rsidR="00422215">
        <w:rPr>
          <w:bCs/>
        </w:rPr>
        <w:t xml:space="preserve"> </w:t>
      </w:r>
      <w:r w:rsidRPr="007D2C07">
        <w:rPr>
          <w:bCs/>
        </w:rPr>
        <w:t>been</w:t>
      </w:r>
      <w:r w:rsidR="00422215">
        <w:rPr>
          <w:bCs/>
        </w:rPr>
        <w:t xml:space="preserve"> </w:t>
      </w:r>
      <w:r w:rsidRPr="007D2C07">
        <w:rPr>
          <w:bCs/>
        </w:rPr>
        <w:t>introduced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people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work</w:t>
      </w:r>
      <w:r w:rsidR="00422215">
        <w:rPr>
          <w:bCs/>
        </w:rPr>
        <w:t xml:space="preserve"> </w:t>
      </w:r>
      <w:r w:rsidRPr="007D2C07">
        <w:rPr>
          <w:bCs/>
        </w:rPr>
        <w:t>experience</w:t>
      </w:r>
      <w:r w:rsidR="00422215">
        <w:rPr>
          <w:bCs/>
        </w:rPr>
        <w:t xml:space="preserve"> </w:t>
      </w:r>
      <w:r w:rsidRPr="007D2C07">
        <w:rPr>
          <w:bCs/>
        </w:rPr>
        <w:t>who</w:t>
      </w:r>
      <w:r w:rsidR="00422215">
        <w:rPr>
          <w:bCs/>
        </w:rPr>
        <w:t xml:space="preserve"> </w:t>
      </w:r>
      <w:r w:rsidRPr="007D2C07">
        <w:rPr>
          <w:bCs/>
        </w:rPr>
        <w:t>want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become</w:t>
      </w:r>
      <w:r w:rsidR="00422215">
        <w:rPr>
          <w:bCs/>
        </w:rPr>
        <w:t xml:space="preserve"> </w:t>
      </w:r>
      <w:r w:rsidRPr="007D2C07">
        <w:rPr>
          <w:bCs/>
        </w:rPr>
        <w:t>teachers.</w:t>
      </w:r>
      <w:r w:rsidR="00422215">
        <w:rPr>
          <w:bCs/>
        </w:rPr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64260">
        <w:t>In</w:t>
      </w:r>
      <w:r w:rsidR="00422215">
        <w:rPr>
          <w:bCs/>
        </w:rPr>
        <w:t xml:space="preserve"> </w:t>
      </w:r>
      <w:r w:rsidRPr="007D2C07">
        <w:rPr>
          <w:bCs/>
        </w:rPr>
        <w:t>2019,</w:t>
      </w:r>
      <w:r w:rsidR="00422215">
        <w:rPr>
          <w:bCs/>
        </w:rPr>
        <w:t xml:space="preserve"> </w:t>
      </w:r>
      <w:r w:rsidRPr="007D2C07">
        <w:rPr>
          <w:bCs/>
        </w:rPr>
        <w:t>NOK</w:t>
      </w:r>
      <w:r w:rsidR="00422215">
        <w:rPr>
          <w:bCs/>
        </w:rPr>
        <w:t xml:space="preserve"> </w:t>
      </w:r>
      <w:r w:rsidRPr="007D2C07">
        <w:rPr>
          <w:bCs/>
        </w:rPr>
        <w:t>1.6</w:t>
      </w:r>
      <w:r w:rsidR="00422215">
        <w:rPr>
          <w:bCs/>
        </w:rPr>
        <w:t xml:space="preserve"> </w:t>
      </w:r>
      <w:r w:rsidRPr="007D2C07">
        <w:rPr>
          <w:bCs/>
        </w:rPr>
        <w:t>billion</w:t>
      </w:r>
      <w:r w:rsidR="00422215">
        <w:rPr>
          <w:bCs/>
        </w:rPr>
        <w:t xml:space="preserve"> </w:t>
      </w:r>
      <w:r w:rsidRPr="007D2C07">
        <w:rPr>
          <w:bCs/>
        </w:rPr>
        <w:t>will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used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further</w:t>
      </w:r>
      <w:r w:rsidR="00422215">
        <w:rPr>
          <w:bCs/>
        </w:rPr>
        <w:t xml:space="preserve"> </w:t>
      </w:r>
      <w:r w:rsidRPr="007D2C07">
        <w:rPr>
          <w:bCs/>
        </w:rPr>
        <w:t>education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teachers.</w:t>
      </w:r>
      <w:r w:rsidR="00422215">
        <w:rPr>
          <w:bCs/>
        </w:rPr>
        <w:t xml:space="preserve"> </w:t>
      </w:r>
      <w:r w:rsidRPr="007D2C07">
        <w:rPr>
          <w:bCs/>
        </w:rPr>
        <w:t>Academic</w:t>
      </w:r>
      <w:r w:rsidR="00422215">
        <w:rPr>
          <w:bCs/>
        </w:rPr>
        <w:t xml:space="preserve"> </w:t>
      </w:r>
      <w:r w:rsidRPr="007D2C07">
        <w:rPr>
          <w:bCs/>
        </w:rPr>
        <w:t>refill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competence</w:t>
      </w:r>
      <w:r w:rsidR="00422215">
        <w:rPr>
          <w:bCs/>
        </w:rPr>
        <w:t xml:space="preserve"> </w:t>
      </w:r>
      <w:r w:rsidRPr="007D2C07">
        <w:rPr>
          <w:bCs/>
        </w:rPr>
        <w:t>development</w:t>
      </w:r>
      <w:r w:rsidR="00422215">
        <w:rPr>
          <w:bCs/>
        </w:rPr>
        <w:t xml:space="preserve"> </w:t>
      </w:r>
      <w:r w:rsidRPr="007D2C07">
        <w:rPr>
          <w:bCs/>
        </w:rPr>
        <w:t>can</w:t>
      </w:r>
      <w:r w:rsidR="00422215">
        <w:rPr>
          <w:bCs/>
        </w:rPr>
        <w:t xml:space="preserve"> </w:t>
      </w:r>
      <w:r w:rsidRPr="007D2C07">
        <w:rPr>
          <w:bCs/>
        </w:rPr>
        <w:t>help</w:t>
      </w:r>
      <w:r w:rsidR="00422215">
        <w:rPr>
          <w:bCs/>
        </w:rPr>
        <w:t xml:space="preserve"> </w:t>
      </w:r>
      <w:r w:rsidRPr="007D2C07">
        <w:rPr>
          <w:bCs/>
        </w:rPr>
        <w:t>more</w:t>
      </w:r>
      <w:r w:rsidR="00422215">
        <w:rPr>
          <w:bCs/>
        </w:rPr>
        <w:t xml:space="preserve"> </w:t>
      </w:r>
      <w:r w:rsidRPr="007D2C07">
        <w:rPr>
          <w:bCs/>
        </w:rPr>
        <w:t>teachers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stay</w:t>
      </w:r>
      <w:r w:rsidR="00422215">
        <w:rPr>
          <w:bCs/>
        </w:rPr>
        <w:t xml:space="preserve"> </w:t>
      </w:r>
      <w:r w:rsidRPr="007D2C07">
        <w:rPr>
          <w:bCs/>
        </w:rPr>
        <w:t>employed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schools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more</w:t>
      </w:r>
      <w:r w:rsidR="00422215">
        <w:rPr>
          <w:bCs/>
        </w:rPr>
        <w:t xml:space="preserve"> </w:t>
      </w:r>
      <w:r w:rsidRPr="007D2C07">
        <w:rPr>
          <w:bCs/>
        </w:rPr>
        <w:t>teachers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become</w:t>
      </w:r>
      <w:r w:rsidR="00422215">
        <w:rPr>
          <w:bCs/>
        </w:rPr>
        <w:t xml:space="preserve"> </w:t>
      </w:r>
      <w:r w:rsidRPr="007D2C07">
        <w:rPr>
          <w:bCs/>
        </w:rPr>
        <w:t>better</w:t>
      </w:r>
      <w:r w:rsidR="00422215">
        <w:rPr>
          <w:bCs/>
        </w:rPr>
        <w:t xml:space="preserve"> </w:t>
      </w:r>
      <w:r w:rsidRPr="007D2C07">
        <w:rPr>
          <w:bCs/>
        </w:rPr>
        <w:t>qualified.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2019,</w:t>
      </w:r>
      <w:r w:rsidR="00422215">
        <w:rPr>
          <w:bCs/>
        </w:rPr>
        <w:t xml:space="preserve"> </w:t>
      </w:r>
      <w:r w:rsidRPr="007D2C07">
        <w:rPr>
          <w:bCs/>
        </w:rPr>
        <w:t>over</w:t>
      </w:r>
      <w:r w:rsidR="00422215">
        <w:rPr>
          <w:bCs/>
        </w:rPr>
        <w:t xml:space="preserve"> </w:t>
      </w:r>
      <w:r w:rsidRPr="007D2C07">
        <w:rPr>
          <w:bCs/>
        </w:rPr>
        <w:t>6,800</w:t>
      </w:r>
      <w:r w:rsidR="00422215">
        <w:rPr>
          <w:bCs/>
        </w:rPr>
        <w:t xml:space="preserve"> </w:t>
      </w:r>
      <w:r w:rsidRPr="007D2C07">
        <w:rPr>
          <w:bCs/>
        </w:rPr>
        <w:t>teachers</w:t>
      </w:r>
      <w:r w:rsidR="00422215">
        <w:rPr>
          <w:bCs/>
        </w:rPr>
        <w:t xml:space="preserve"> </w:t>
      </w:r>
      <w:r w:rsidRPr="007D2C07">
        <w:rPr>
          <w:bCs/>
        </w:rPr>
        <w:t>will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offered</w:t>
      </w:r>
      <w:r w:rsidR="00422215">
        <w:rPr>
          <w:bCs/>
        </w:rPr>
        <w:t xml:space="preserve"> </w:t>
      </w:r>
      <w:r w:rsidRPr="007D2C07">
        <w:rPr>
          <w:bCs/>
        </w:rPr>
        <w:t>continuing</w:t>
      </w:r>
      <w:r w:rsidR="00422215">
        <w:rPr>
          <w:bCs/>
        </w:rPr>
        <w:t xml:space="preserve"> </w:t>
      </w:r>
      <w:r w:rsidRPr="007D2C07">
        <w:rPr>
          <w:bCs/>
        </w:rPr>
        <w:t>education.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64260">
        <w:t>In</w:t>
      </w:r>
      <w:r w:rsidR="00422215">
        <w:rPr>
          <w:bCs/>
        </w:rPr>
        <w:t xml:space="preserve"> </w:t>
      </w:r>
      <w:r w:rsidRPr="007D2C07">
        <w:rPr>
          <w:bCs/>
        </w:rPr>
        <w:t>2019,</w:t>
      </w:r>
      <w:r w:rsidR="00422215">
        <w:rPr>
          <w:bCs/>
        </w:rPr>
        <w:t xml:space="preserve"> </w:t>
      </w:r>
      <w:r w:rsidRPr="007D2C07">
        <w:rPr>
          <w:bCs/>
        </w:rPr>
        <w:t>NOK</w:t>
      </w:r>
      <w:r w:rsidR="00422215">
        <w:rPr>
          <w:bCs/>
        </w:rPr>
        <w:t xml:space="preserve"> </w:t>
      </w:r>
      <w:r w:rsidRPr="007D2C07">
        <w:rPr>
          <w:bCs/>
        </w:rPr>
        <w:t>60</w:t>
      </w:r>
      <w:r w:rsidR="00422215">
        <w:rPr>
          <w:bCs/>
        </w:rPr>
        <w:t xml:space="preserve"> </w:t>
      </w:r>
      <w:r w:rsidRPr="007D2C07">
        <w:rPr>
          <w:bCs/>
        </w:rPr>
        <w:t>million</w:t>
      </w:r>
      <w:r w:rsidR="00422215">
        <w:rPr>
          <w:bCs/>
        </w:rPr>
        <w:t xml:space="preserve"> </w:t>
      </w:r>
      <w:r w:rsidRPr="007D2C07">
        <w:rPr>
          <w:bCs/>
        </w:rPr>
        <w:t>will</w:t>
      </w:r>
      <w:r w:rsidR="00422215">
        <w:rPr>
          <w:bCs/>
        </w:rPr>
        <w:t xml:space="preserve"> </w:t>
      </w:r>
      <w:r w:rsidRPr="007D2C07">
        <w:rPr>
          <w:bCs/>
        </w:rPr>
        <w:t>be</w:t>
      </w:r>
      <w:r w:rsidR="00422215">
        <w:rPr>
          <w:bCs/>
        </w:rPr>
        <w:t xml:space="preserve"> </w:t>
      </w:r>
      <w:r w:rsidRPr="007D2C07">
        <w:rPr>
          <w:bCs/>
        </w:rPr>
        <w:t>allocated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guidance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newly</w:t>
      </w:r>
      <w:r w:rsidR="00422215">
        <w:rPr>
          <w:bCs/>
        </w:rPr>
        <w:t xml:space="preserve"> </w:t>
      </w:r>
      <w:r w:rsidRPr="007D2C07">
        <w:rPr>
          <w:bCs/>
        </w:rPr>
        <w:t>qualified</w:t>
      </w:r>
      <w:r w:rsidR="00422215">
        <w:rPr>
          <w:bCs/>
        </w:rPr>
        <w:t xml:space="preserve"> </w:t>
      </w:r>
      <w:r w:rsidRPr="007D2C07">
        <w:rPr>
          <w:bCs/>
        </w:rPr>
        <w:t>employees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primary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lower</w:t>
      </w:r>
      <w:r w:rsidR="00422215">
        <w:rPr>
          <w:bCs/>
        </w:rPr>
        <w:t xml:space="preserve"> </w:t>
      </w:r>
      <w:r w:rsidRPr="007D2C07">
        <w:rPr>
          <w:bCs/>
        </w:rPr>
        <w:t>secondary</w:t>
      </w:r>
      <w:r w:rsidR="00422215">
        <w:rPr>
          <w:bCs/>
        </w:rPr>
        <w:t xml:space="preserve"> </w:t>
      </w:r>
      <w:r w:rsidRPr="007D2C07">
        <w:rPr>
          <w:bCs/>
        </w:rPr>
        <w:t>school.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bCs/>
        </w:rPr>
      </w:pPr>
      <w:r w:rsidRPr="00764260">
        <w:t>The</w:t>
      </w:r>
      <w:r w:rsidR="00422215">
        <w:rPr>
          <w:bCs/>
        </w:rPr>
        <w:t xml:space="preserve"> </w:t>
      </w:r>
      <w:r w:rsidRPr="007D2C07">
        <w:rPr>
          <w:bCs/>
        </w:rPr>
        <w:t>Government</w:t>
      </w:r>
      <w:r w:rsidR="00422215">
        <w:rPr>
          <w:bCs/>
        </w:rPr>
        <w:t xml:space="preserve"> </w:t>
      </w:r>
      <w:r w:rsidRPr="007D2C07">
        <w:rPr>
          <w:bCs/>
        </w:rPr>
        <w:t>allocated</w:t>
      </w:r>
      <w:r w:rsidR="00422215">
        <w:rPr>
          <w:bCs/>
        </w:rPr>
        <w:t xml:space="preserve"> </w:t>
      </w:r>
      <w:r w:rsidRPr="007D2C07">
        <w:rPr>
          <w:bCs/>
        </w:rPr>
        <w:t>NOK</w:t>
      </w:r>
      <w:r w:rsidR="00422215">
        <w:rPr>
          <w:bCs/>
        </w:rPr>
        <w:t xml:space="preserve"> </w:t>
      </w:r>
      <w:r w:rsidRPr="007D2C07">
        <w:rPr>
          <w:bCs/>
        </w:rPr>
        <w:t>8</w:t>
      </w:r>
      <w:r w:rsidR="00422215">
        <w:rPr>
          <w:bCs/>
        </w:rPr>
        <w:t xml:space="preserve"> </w:t>
      </w:r>
      <w:r w:rsidRPr="007D2C07">
        <w:rPr>
          <w:bCs/>
        </w:rPr>
        <w:t>million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universities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university</w:t>
      </w:r>
      <w:r w:rsidR="00422215">
        <w:rPr>
          <w:bCs/>
        </w:rPr>
        <w:t xml:space="preserve"> </w:t>
      </w:r>
      <w:r w:rsidRPr="007D2C07">
        <w:rPr>
          <w:bCs/>
        </w:rPr>
        <w:t>colleges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strengthen</w:t>
      </w:r>
      <w:r w:rsidR="00422215">
        <w:rPr>
          <w:bCs/>
        </w:rPr>
        <w:t xml:space="preserve"> </w:t>
      </w:r>
      <w:r w:rsidRPr="007D2C07">
        <w:rPr>
          <w:bCs/>
        </w:rPr>
        <w:t>their</w:t>
      </w:r>
      <w:r w:rsidR="00422215">
        <w:rPr>
          <w:bCs/>
        </w:rPr>
        <w:t xml:space="preserve"> </w:t>
      </w:r>
      <w:r w:rsidRPr="007D2C07">
        <w:rPr>
          <w:bCs/>
        </w:rPr>
        <w:t>work</w:t>
      </w:r>
      <w:r w:rsidR="00422215">
        <w:rPr>
          <w:bCs/>
        </w:rPr>
        <w:t xml:space="preserve"> </w:t>
      </w:r>
      <w:r w:rsidRPr="007D2C07">
        <w:rPr>
          <w:bCs/>
        </w:rPr>
        <w:t>on</w:t>
      </w:r>
      <w:r w:rsidR="00422215">
        <w:rPr>
          <w:bCs/>
        </w:rPr>
        <w:t xml:space="preserve"> </w:t>
      </w:r>
      <w:r w:rsidRPr="007D2C07">
        <w:rPr>
          <w:bCs/>
        </w:rPr>
        <w:t>recruitment</w:t>
      </w:r>
      <w:r w:rsidR="00422215">
        <w:rPr>
          <w:bCs/>
        </w:rPr>
        <w:t xml:space="preserve"> </w:t>
      </w:r>
      <w:r w:rsidRPr="007D2C07">
        <w:rPr>
          <w:bCs/>
        </w:rPr>
        <w:t>up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deadline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2019.</w:t>
      </w:r>
      <w:r w:rsidR="00422215">
        <w:rPr>
          <w:bCs/>
        </w:rPr>
        <w:t xml:space="preserve"> </w:t>
      </w:r>
      <w:r w:rsidRPr="007D2C07">
        <w:rPr>
          <w:bCs/>
        </w:rPr>
        <w:t>Another</w:t>
      </w:r>
      <w:r w:rsidR="00422215">
        <w:rPr>
          <w:bCs/>
        </w:rPr>
        <w:t xml:space="preserve"> </w:t>
      </w:r>
      <w:r w:rsidRPr="007D2C07">
        <w:rPr>
          <w:bCs/>
        </w:rPr>
        <w:t>NOK</w:t>
      </w:r>
      <w:r w:rsidR="00422215">
        <w:rPr>
          <w:bCs/>
        </w:rPr>
        <w:t xml:space="preserve"> </w:t>
      </w:r>
      <w:r w:rsidRPr="007D2C07">
        <w:rPr>
          <w:bCs/>
        </w:rPr>
        <w:t>2</w:t>
      </w:r>
      <w:r w:rsidR="00422215">
        <w:rPr>
          <w:bCs/>
        </w:rPr>
        <w:t xml:space="preserve"> </w:t>
      </w:r>
      <w:r w:rsidRPr="007D2C07">
        <w:rPr>
          <w:bCs/>
        </w:rPr>
        <w:t>million</w:t>
      </w:r>
      <w:r w:rsidR="00422215">
        <w:rPr>
          <w:bCs/>
        </w:rPr>
        <w:t xml:space="preserve"> </w:t>
      </w:r>
      <w:r w:rsidRPr="007D2C07">
        <w:rPr>
          <w:bCs/>
        </w:rPr>
        <w:t>have</w:t>
      </w:r>
      <w:r w:rsidR="00422215">
        <w:rPr>
          <w:bCs/>
        </w:rPr>
        <w:t xml:space="preserve"> </w:t>
      </w:r>
      <w:r w:rsidRPr="007D2C07">
        <w:rPr>
          <w:bCs/>
        </w:rPr>
        <w:t>gone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research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national</w:t>
      </w:r>
      <w:r w:rsidR="00422215">
        <w:rPr>
          <w:bCs/>
        </w:rPr>
        <w:t xml:space="preserve"> </w:t>
      </w:r>
      <w:r w:rsidRPr="007D2C07">
        <w:rPr>
          <w:bCs/>
        </w:rPr>
        <w:t>measures</w:t>
      </w:r>
      <w:r w:rsidR="00422215">
        <w:rPr>
          <w:bCs/>
        </w:rPr>
        <w:t xml:space="preserve"> </w:t>
      </w:r>
      <w:r w:rsidRPr="007D2C07">
        <w:rPr>
          <w:bCs/>
        </w:rPr>
        <w:t>in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field.</w:t>
      </w:r>
      <w:r w:rsidR="00422215">
        <w:rPr>
          <w:bCs/>
        </w:rPr>
        <w:t xml:space="preserve"> </w:t>
      </w:r>
      <w:r w:rsidRPr="007D2C07">
        <w:rPr>
          <w:bCs/>
        </w:rPr>
        <w:t>The</w:t>
      </w:r>
      <w:r w:rsidR="00422215">
        <w:rPr>
          <w:bCs/>
        </w:rPr>
        <w:t xml:space="preserve"> </w:t>
      </w:r>
      <w:r w:rsidRPr="007D2C07">
        <w:rPr>
          <w:bCs/>
        </w:rPr>
        <w:t>recruitment</w:t>
      </w:r>
      <w:r w:rsidR="00422215">
        <w:rPr>
          <w:bCs/>
        </w:rPr>
        <w:t xml:space="preserve"> </w:t>
      </w:r>
      <w:r w:rsidRPr="007D2C07">
        <w:rPr>
          <w:bCs/>
        </w:rPr>
        <w:t>of</w:t>
      </w:r>
      <w:r w:rsidR="00422215">
        <w:rPr>
          <w:bCs/>
        </w:rPr>
        <w:t xml:space="preserve"> </w:t>
      </w:r>
      <w:r w:rsidRPr="007D2C07">
        <w:rPr>
          <w:bCs/>
        </w:rPr>
        <w:t>men</w:t>
      </w:r>
      <w:r w:rsidR="00422215">
        <w:rPr>
          <w:bCs/>
        </w:rPr>
        <w:t xml:space="preserve"> </w:t>
      </w:r>
      <w:r w:rsidRPr="007D2C07">
        <w:rPr>
          <w:bCs/>
        </w:rPr>
        <w:t>to</w:t>
      </w:r>
      <w:r w:rsidR="00422215">
        <w:rPr>
          <w:bCs/>
        </w:rPr>
        <w:t xml:space="preserve"> </w:t>
      </w:r>
      <w:r w:rsidRPr="007D2C07">
        <w:rPr>
          <w:bCs/>
        </w:rPr>
        <w:t>teacher</w:t>
      </w:r>
      <w:r w:rsidR="00422215">
        <w:rPr>
          <w:bCs/>
        </w:rPr>
        <w:t xml:space="preserve"> </w:t>
      </w:r>
      <w:r w:rsidRPr="007D2C07">
        <w:rPr>
          <w:bCs/>
        </w:rPr>
        <w:t>training</w:t>
      </w:r>
      <w:r w:rsidR="00422215">
        <w:rPr>
          <w:bCs/>
        </w:rPr>
        <w:t xml:space="preserve"> </w:t>
      </w:r>
      <w:r w:rsidRPr="007D2C07">
        <w:rPr>
          <w:bCs/>
        </w:rPr>
        <w:t>for</w:t>
      </w:r>
      <w:r w:rsidR="00422215">
        <w:rPr>
          <w:bCs/>
        </w:rPr>
        <w:t xml:space="preserve"> </w:t>
      </w:r>
      <w:r w:rsidRPr="007D2C07">
        <w:rPr>
          <w:bCs/>
        </w:rPr>
        <w:t>primary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lower</w:t>
      </w:r>
      <w:r w:rsidR="00422215">
        <w:rPr>
          <w:bCs/>
        </w:rPr>
        <w:t xml:space="preserve"> </w:t>
      </w:r>
      <w:r w:rsidRPr="007D2C07">
        <w:rPr>
          <w:bCs/>
        </w:rPr>
        <w:t>secondary</w:t>
      </w:r>
      <w:r w:rsidR="00422215">
        <w:rPr>
          <w:bCs/>
        </w:rPr>
        <w:t xml:space="preserve"> </w:t>
      </w:r>
      <w:r w:rsidRPr="007D2C07">
        <w:rPr>
          <w:bCs/>
        </w:rPr>
        <w:t>education</w:t>
      </w:r>
      <w:r w:rsidR="00422215">
        <w:rPr>
          <w:bCs/>
        </w:rPr>
        <w:t xml:space="preserve"> </w:t>
      </w:r>
      <w:r w:rsidRPr="007D2C07">
        <w:rPr>
          <w:bCs/>
        </w:rPr>
        <w:t>(years</w:t>
      </w:r>
      <w:r w:rsidR="00422215">
        <w:rPr>
          <w:bCs/>
        </w:rPr>
        <w:t xml:space="preserve"> </w:t>
      </w:r>
      <w:r w:rsidRPr="007D2C07">
        <w:rPr>
          <w:bCs/>
        </w:rPr>
        <w:t>1-7),</w:t>
      </w:r>
      <w:r w:rsidR="00422215">
        <w:rPr>
          <w:bCs/>
        </w:rPr>
        <w:t xml:space="preserve"> </w:t>
      </w:r>
      <w:r w:rsidRPr="007D2C07">
        <w:rPr>
          <w:bCs/>
        </w:rPr>
        <w:t>and</w:t>
      </w:r>
      <w:r w:rsidR="00422215">
        <w:rPr>
          <w:bCs/>
        </w:rPr>
        <w:t xml:space="preserve"> </w:t>
      </w:r>
      <w:r w:rsidRPr="007D2C07">
        <w:rPr>
          <w:bCs/>
        </w:rPr>
        <w:t>people</w:t>
      </w:r>
      <w:r w:rsidR="00422215">
        <w:rPr>
          <w:bCs/>
        </w:rPr>
        <w:t xml:space="preserve"> </w:t>
      </w:r>
      <w:r w:rsidRPr="007D2C07">
        <w:rPr>
          <w:bCs/>
        </w:rPr>
        <w:t>with</w:t>
      </w:r>
      <w:r w:rsidR="00422215">
        <w:rPr>
          <w:bCs/>
        </w:rPr>
        <w:t xml:space="preserve"> </w:t>
      </w:r>
      <w:r w:rsidRPr="007D2C07">
        <w:rPr>
          <w:bCs/>
        </w:rPr>
        <w:t>immigrant</w:t>
      </w:r>
      <w:r w:rsidR="00422215">
        <w:rPr>
          <w:bCs/>
        </w:rPr>
        <w:t xml:space="preserve"> </w:t>
      </w:r>
      <w:r w:rsidRPr="007D2C07">
        <w:rPr>
          <w:bCs/>
        </w:rPr>
        <w:t>background,</w:t>
      </w:r>
      <w:r w:rsidR="00422215">
        <w:rPr>
          <w:bCs/>
        </w:rPr>
        <w:t xml:space="preserve"> </w:t>
      </w:r>
      <w:r w:rsidRPr="007D2C07">
        <w:rPr>
          <w:bCs/>
        </w:rPr>
        <w:t>are</w:t>
      </w:r>
      <w:r w:rsidR="00422215">
        <w:rPr>
          <w:bCs/>
        </w:rPr>
        <w:t xml:space="preserve"> </w:t>
      </w:r>
      <w:r w:rsidRPr="007D2C07">
        <w:rPr>
          <w:bCs/>
        </w:rPr>
        <w:t>priorities.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A13A0A">
        <w:t xml:space="preserve"> </w:t>
      </w:r>
      <w:r>
        <w:t xml:space="preserve">(b)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implemented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number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counteract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gender-segregated</w:t>
      </w:r>
      <w:r w:rsidR="00422215">
        <w:t xml:space="preserve"> </w:t>
      </w:r>
      <w:r w:rsidRPr="007D2C07">
        <w:t>labour</w:t>
      </w:r>
      <w:r w:rsidR="00422215">
        <w:t xml:space="preserve"> </w:t>
      </w:r>
      <w:r w:rsidRPr="007D2C07">
        <w:t>market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facilitate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selection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gender-neutral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courses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careers.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example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introduction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points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study</w:t>
      </w:r>
      <w:r w:rsidR="00422215">
        <w:t xml:space="preserve"> </w:t>
      </w:r>
      <w:r w:rsidRPr="007D2C07">
        <w:t>programmes.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long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awarded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points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male-dominated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courses,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points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introduced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selected</w:t>
      </w:r>
      <w:r w:rsidR="00422215">
        <w:t xml:space="preserve"> </w:t>
      </w:r>
      <w:r w:rsidRPr="007D2C07">
        <w:t>educational</w:t>
      </w:r>
      <w:r w:rsidR="00422215">
        <w:t xml:space="preserve"> </w:t>
      </w:r>
      <w:r w:rsidRPr="007D2C07">
        <w:t>programmes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institutions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so</w:t>
      </w:r>
      <w:r w:rsidR="00422215">
        <w:t xml:space="preserve"> </w:t>
      </w:r>
      <w:r w:rsidRPr="007D2C07">
        <w:t>requested.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Act,</w:t>
      </w:r>
      <w:r w:rsidRPr="007D2C07">
        <w:rPr>
          <w:vertAlign w:val="superscript"/>
        </w:rPr>
        <w:footnoteReference w:id="13"/>
      </w:r>
      <w:r w:rsidR="00422215">
        <w:t xml:space="preserve"> </w:t>
      </w:r>
      <w:r w:rsidRPr="007D2C07">
        <w:t>introduced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provides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conditions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women</w:t>
      </w:r>
      <w:r w:rsidR="00422215">
        <w:t xml:space="preserve"> </w:t>
      </w:r>
      <w:r w:rsidRPr="007D2C07">
        <w:t>(admission</w:t>
      </w:r>
      <w:r w:rsidR="00422215">
        <w:t xml:space="preserve"> </w:t>
      </w:r>
      <w:r w:rsidRPr="007D2C07">
        <w:t>regulations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7-9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supplementary</w:t>
      </w:r>
      <w:r w:rsidR="00422215">
        <w:t xml:space="preserve"> </w:t>
      </w:r>
      <w:r w:rsidRPr="007D2C07">
        <w:t>points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underrepresented</w:t>
      </w:r>
      <w:r w:rsidR="00422215">
        <w:t xml:space="preserve"> </w:t>
      </w:r>
      <w:r w:rsidRPr="007D2C07">
        <w:t>gender).</w:t>
      </w:r>
      <w:r w:rsidRPr="007D2C07">
        <w:rPr>
          <w:vertAlign w:val="superscript"/>
        </w:rPr>
        <w:footnoteReference w:id="14"/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various</w:t>
      </w:r>
      <w:r w:rsidR="00422215">
        <w:t xml:space="preserve"> </w:t>
      </w:r>
      <w:r w:rsidRPr="007D2C07">
        <w:t>projects</w:t>
      </w:r>
      <w:r w:rsidR="00422215">
        <w:t xml:space="preserve"> </w:t>
      </w:r>
      <w:r w:rsidRPr="007D2C07">
        <w:t>aimed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attracting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inspiring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non-traditional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professions.</w:t>
      </w:r>
      <w:r w:rsidR="00422215">
        <w:t xml:space="preserve"> </w:t>
      </w:r>
      <w:r w:rsidRPr="007D2C07">
        <w:t>Examples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Girls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Technology</w:t>
      </w:r>
      <w:r w:rsidR="00422215">
        <w:t xml:space="preserve"> </w:t>
      </w:r>
      <w:r w:rsidRPr="007D2C07">
        <w:t>("</w:t>
      </w:r>
      <w:proofErr w:type="spellStart"/>
      <w:r w:rsidRPr="007D2C07">
        <w:t>Jenter</w:t>
      </w:r>
      <w:proofErr w:type="spellEnd"/>
      <w:r w:rsidR="00422215">
        <w:t xml:space="preserve"> </w:t>
      </w:r>
      <w:proofErr w:type="spellStart"/>
      <w:r w:rsidRPr="007D2C07">
        <w:t>og</w:t>
      </w:r>
      <w:proofErr w:type="spellEnd"/>
      <w:r w:rsidR="00422215">
        <w:t xml:space="preserve"> </w:t>
      </w:r>
      <w:proofErr w:type="spellStart"/>
      <w:r w:rsidRPr="007D2C07">
        <w:t>teknologi</w:t>
      </w:r>
      <w:proofErr w:type="spellEnd"/>
      <w:r w:rsidRPr="007D2C07">
        <w:t>”)</w:t>
      </w:r>
      <w:r w:rsidRPr="007D2C07">
        <w:rPr>
          <w:vertAlign w:val="superscript"/>
        </w:rPr>
        <w:footnoteReference w:id="15"/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Healthcare</w:t>
      </w:r>
      <w:r w:rsidR="00422215">
        <w:t xml:space="preserve"> </w:t>
      </w:r>
      <w:r w:rsidRPr="007D2C07">
        <w:t>("</w:t>
      </w:r>
      <w:proofErr w:type="spellStart"/>
      <w:r w:rsidRPr="007D2C07">
        <w:t>Menn</w:t>
      </w:r>
      <w:proofErr w:type="spellEnd"/>
      <w:r w:rsidR="00422215">
        <w:t xml:space="preserve"> </w:t>
      </w:r>
      <w:proofErr w:type="spellStart"/>
      <w:r w:rsidRPr="007D2C07">
        <w:t>i</w:t>
      </w:r>
      <w:proofErr w:type="spellEnd"/>
      <w:r w:rsidR="00422215">
        <w:t xml:space="preserve"> </w:t>
      </w:r>
      <w:proofErr w:type="spellStart"/>
      <w:r w:rsidRPr="007D2C07">
        <w:t>helse</w:t>
      </w:r>
      <w:proofErr w:type="spellEnd"/>
      <w:r w:rsidRPr="007D2C07">
        <w:t>).</w:t>
      </w:r>
      <w:r w:rsidRPr="007D2C07">
        <w:rPr>
          <w:vertAlign w:val="superscript"/>
        </w:rPr>
        <w:footnoteReference w:id="16"/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past,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seen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fields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previously</w:t>
      </w:r>
      <w:r w:rsidR="00422215">
        <w:t xml:space="preserve"> </w:t>
      </w:r>
      <w:r w:rsidRPr="007D2C07">
        <w:t>male-dominated,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medicine,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predominance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female</w:t>
      </w:r>
      <w:r w:rsidR="00422215">
        <w:t xml:space="preserve"> </w:t>
      </w:r>
      <w:r w:rsidRPr="007D2C07">
        <w:t>students.</w:t>
      </w:r>
      <w:r w:rsidR="00422215">
        <w:t xml:space="preserve"> </w:t>
      </w:r>
      <w:r w:rsidRPr="007D2C07">
        <w:t>However,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tendency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choose</w:t>
      </w:r>
      <w:r w:rsidR="00422215">
        <w:t xml:space="preserve"> </w:t>
      </w:r>
      <w:r w:rsidRPr="007D2C07">
        <w:t>female-dominated</w:t>
      </w:r>
      <w:r w:rsidR="00422215">
        <w:t xml:space="preserve"> </w:t>
      </w:r>
      <w:r w:rsidRPr="007D2C07">
        <w:t>subjects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higher</w:t>
      </w:r>
      <w:r w:rsidR="00422215">
        <w:t xml:space="preserve"> </w:t>
      </w:r>
      <w:r w:rsidRPr="007D2C07">
        <w:t>education.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nonetheless</w:t>
      </w:r>
      <w:r w:rsidR="00422215">
        <w:t xml:space="preserve"> </w:t>
      </w:r>
      <w:r w:rsidRPr="007D2C07">
        <w:t>some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vocational</w:t>
      </w:r>
      <w:r w:rsidR="00422215">
        <w:t xml:space="preserve"> </w:t>
      </w:r>
      <w:r w:rsidRPr="007D2C07">
        <w:t>education.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supported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Statistics</w:t>
      </w:r>
      <w:r w:rsidR="00422215">
        <w:t xml:space="preserve"> </w:t>
      </w:r>
      <w:r w:rsidRPr="007D2C07">
        <w:t>Norway,</w:t>
      </w:r>
      <w:r w:rsidRPr="007D2C07">
        <w:rPr>
          <w:vertAlign w:val="superscript"/>
        </w:rPr>
        <w:footnoteReference w:id="17"/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choose</w:t>
      </w:r>
      <w:r w:rsidR="00422215">
        <w:t xml:space="preserve"> </w:t>
      </w:r>
      <w:r w:rsidRPr="007D2C07">
        <w:t>traditionally</w:t>
      </w:r>
      <w:r w:rsidR="00422215">
        <w:t xml:space="preserve"> </w:t>
      </w:r>
      <w:r w:rsidRPr="007D2C07">
        <w:t>female-dominated</w:t>
      </w:r>
      <w:r w:rsidR="00422215">
        <w:t xml:space="preserve"> </w:t>
      </w:r>
      <w:r w:rsidRPr="007D2C07">
        <w:t>subjects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markedly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2010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2018.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applies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particular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childhood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proportion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men,</w:t>
      </w:r>
      <w:r w:rsidR="00422215">
        <w:t xml:space="preserve"> </w:t>
      </w:r>
      <w:r w:rsidRPr="007D2C07">
        <w:t>albeit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very</w:t>
      </w:r>
      <w:r w:rsidR="00422215">
        <w:t xml:space="preserve"> </w:t>
      </w:r>
      <w:r w:rsidRPr="007D2C07">
        <w:t>low</w:t>
      </w:r>
      <w:r w:rsidR="00422215">
        <w:t xml:space="preserve"> </w:t>
      </w:r>
      <w:r w:rsidRPr="007D2C07">
        <w:t>level,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increased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7</w:t>
      </w:r>
      <w:r w:rsidR="00422215">
        <w:t xml:space="preserve"> </w:t>
      </w:r>
      <w:r w:rsidRPr="007D2C07">
        <w:t>percentage</w:t>
      </w:r>
      <w:r w:rsidR="00422215">
        <w:t xml:space="preserve"> </w:t>
      </w:r>
      <w:r w:rsidRPr="007D2C07">
        <w:t>points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almost</w:t>
      </w:r>
      <w:r w:rsidR="00422215">
        <w:t xml:space="preserve"> </w:t>
      </w:r>
      <w:r w:rsidRPr="007D2C07">
        <w:t>20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2018.</w:t>
      </w:r>
      <w:r w:rsidR="00422215">
        <w:t xml:space="preserve"> 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2019,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deliver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#</w:t>
      </w:r>
      <w:proofErr w:type="spellStart"/>
      <w:r w:rsidRPr="007D2C07">
        <w:t>Ungidag</w:t>
      </w:r>
      <w:proofErr w:type="spellEnd"/>
      <w:r w:rsidRPr="007D2C07">
        <w:t>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has,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things,</w:t>
      </w:r>
      <w:r w:rsidR="00422215">
        <w:t xml:space="preserve"> </w:t>
      </w:r>
      <w:r w:rsidRPr="007D2C07">
        <w:t>looked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gender-traditional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choices.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future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gender-neutral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choices.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A13A0A">
        <w:t xml:space="preserve"> </w:t>
      </w:r>
      <w:r>
        <w:t xml:space="preserve">(c)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Many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immigrate</w:t>
      </w:r>
      <w:r w:rsidR="00422215">
        <w:t xml:space="preserve"> </w:t>
      </w:r>
      <w:r w:rsidRPr="007D2C07">
        <w:t>late</w:t>
      </w:r>
      <w:r w:rsidR="00422215">
        <w:t xml:space="preserve"> </w:t>
      </w:r>
      <w:r w:rsidRPr="007D2C07">
        <w:t>during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course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poor</w:t>
      </w:r>
      <w:r w:rsidR="00422215">
        <w:t xml:space="preserve"> </w:t>
      </w:r>
      <w:r w:rsidRPr="007D2C07">
        <w:t>qualifications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admittance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school,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boys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particular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worryingly</w:t>
      </w:r>
      <w:r w:rsidR="00422215">
        <w:t xml:space="preserve"> </w:t>
      </w:r>
      <w:r w:rsidRPr="007D2C07">
        <w:t>high</w:t>
      </w:r>
      <w:r w:rsidR="00422215">
        <w:t xml:space="preserve"> </w:t>
      </w:r>
      <w:r w:rsidRPr="007D2C07">
        <w:t>dropout</w:t>
      </w:r>
      <w:r w:rsidR="00422215">
        <w:t xml:space="preserve"> </w:t>
      </w:r>
      <w:r w:rsidRPr="007D2C07">
        <w:t>rate.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immigrate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age,</w:t>
      </w:r>
      <w:r w:rsidR="00422215">
        <w:t xml:space="preserve"> </w:t>
      </w:r>
      <w:r w:rsidRPr="007D2C07">
        <w:t>only</w:t>
      </w:r>
      <w:r w:rsidR="00422215">
        <w:t xml:space="preserve"> </w:t>
      </w:r>
      <w:r w:rsidRPr="007D2C07">
        <w:t>half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completed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passed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end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twenties.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little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learn</w:t>
      </w:r>
      <w:r w:rsidR="00422215">
        <w:t xml:space="preserve"> </w:t>
      </w:r>
      <w:r w:rsidRPr="007D2C07">
        <w:t>Norwegian,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too</w:t>
      </w:r>
      <w:r w:rsidR="00422215">
        <w:t xml:space="preserve"> </w:t>
      </w:r>
      <w:r w:rsidRPr="007D2C07">
        <w:t>little</w:t>
      </w:r>
      <w:r w:rsidR="00422215">
        <w:t xml:space="preserve"> </w:t>
      </w:r>
      <w:r w:rsidRPr="007D2C07">
        <w:t>time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acquire</w:t>
      </w:r>
      <w:r w:rsidR="00422215">
        <w:t xml:space="preserve"> </w:t>
      </w:r>
      <w:r w:rsidRPr="007D2C07">
        <w:t>sufficient</w:t>
      </w:r>
      <w:r w:rsidR="00422215">
        <w:t xml:space="preserve"> </w:t>
      </w:r>
      <w:r w:rsidRPr="007D2C07">
        <w:t>elementary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competencies.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types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challenges,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example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result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experiences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war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flight.</w:t>
      </w:r>
      <w:r w:rsidR="00422215">
        <w:t xml:space="preserve"> </w:t>
      </w:r>
      <w:r w:rsidRPr="007D2C07">
        <w:t>Although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adapted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everyone</w:t>
      </w:r>
      <w:r w:rsidR="00422215">
        <w:t xml:space="preserve"> </w:t>
      </w:r>
      <w:r w:rsidRPr="007D2C07">
        <w:t>gets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adaptation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Objectives: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give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immigrant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Norwegian,</w:t>
      </w:r>
      <w:r w:rsidR="00422215">
        <w:t xml:space="preserve"> </w:t>
      </w:r>
      <w:r w:rsidRPr="007D2C07">
        <w:t>basic</w:t>
      </w:r>
      <w:r w:rsidR="00422215">
        <w:t xml:space="preserve"> </w:t>
      </w:r>
      <w:r w:rsidRPr="007D2C07">
        <w:t>skills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professional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through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courses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Main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1: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early</w:t>
      </w:r>
      <w:r w:rsidR="00422215">
        <w:t xml:space="preserve"> </w:t>
      </w:r>
      <w:r w:rsidRPr="007D2C07">
        <w:t>efforts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knowledge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Norwegian,</w:t>
      </w:r>
      <w:r w:rsidR="00422215">
        <w:t xml:space="preserve"> </w:t>
      </w:r>
      <w:r w:rsidRPr="007D2C07">
        <w:t>basic</w:t>
      </w:r>
      <w:r w:rsidR="00422215">
        <w:t xml:space="preserve"> </w:t>
      </w:r>
      <w:r w:rsidRPr="007D2C07">
        <w:t>skills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professional</w:t>
      </w:r>
      <w:r w:rsidR="00422215">
        <w:t xml:space="preserve"> </w:t>
      </w:r>
      <w:r w:rsidRPr="007D2C07">
        <w:t>competence.</w:t>
      </w:r>
      <w:r w:rsidR="00422215">
        <w:t xml:space="preserve"> 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Main</w:t>
      </w:r>
      <w:r w:rsidR="00422215">
        <w:t xml:space="preserve"> </w:t>
      </w:r>
      <w:r w:rsidRPr="007D2C07">
        <w:t>action</w:t>
      </w:r>
      <w:r w:rsidR="00422215">
        <w:t xml:space="preserve"> </w:t>
      </w:r>
      <w:r w:rsidRPr="007D2C07">
        <w:t>2: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staff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enable</w:t>
      </w:r>
      <w:r w:rsidR="00422215">
        <w:t xml:space="preserve"> </w:t>
      </w:r>
      <w:r w:rsidRPr="007D2C07">
        <w:t>them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follow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minority-language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throughout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best</w:t>
      </w:r>
      <w:r w:rsidR="00422215">
        <w:t xml:space="preserve"> </w:t>
      </w:r>
      <w:r w:rsidRPr="007D2C07">
        <w:t>possible</w:t>
      </w:r>
      <w:r w:rsidR="00422215">
        <w:t xml:space="preserve"> </w:t>
      </w:r>
      <w:r w:rsidRPr="007D2C07">
        <w:t>way.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A13A0A">
        <w:t xml:space="preserve"> </w:t>
      </w:r>
      <w:r>
        <w:t xml:space="preserve">(d)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Act,</w:t>
      </w:r>
      <w:r w:rsidRPr="007D2C07">
        <w:rPr>
          <w:vertAlign w:val="superscript"/>
        </w:rPr>
        <w:footnoteReference w:id="18"/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shall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adapted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abilities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aptitudes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pupil,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when</w:t>
      </w:r>
      <w:r w:rsidR="00422215">
        <w:t xml:space="preserve"> </w:t>
      </w:r>
      <w:r w:rsidRPr="007D2C07">
        <w:t>necessary,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pupil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special</w:t>
      </w:r>
      <w:r w:rsidR="00422215">
        <w:t xml:space="preserve"> </w:t>
      </w:r>
      <w:r w:rsidRPr="007D2C07">
        <w:t>education.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rights,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pupils’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attend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live,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particularly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elements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ensuring</w:t>
      </w:r>
      <w:r w:rsidR="00422215">
        <w:t xml:space="preserve"> </w:t>
      </w:r>
      <w:r w:rsidRPr="007D2C07">
        <w:t>inclusive</w:t>
      </w:r>
      <w:r w:rsidR="00422215">
        <w:t xml:space="preserve"> </w:t>
      </w:r>
      <w:r w:rsidRPr="007D2C07">
        <w:t>learning</w:t>
      </w:r>
      <w:r w:rsidR="00422215">
        <w:t xml:space="preserve"> </w:t>
      </w:r>
      <w:r w:rsidRPr="007D2C07">
        <w:t>environments.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sign</w:t>
      </w:r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first</w:t>
      </w:r>
      <w:r w:rsidR="00422215">
        <w:t xml:space="preserve"> </w:t>
      </w:r>
      <w:r w:rsidRPr="007D2C07">
        <w:t>language,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who,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expert</w:t>
      </w:r>
      <w:r w:rsidR="00422215">
        <w:t xml:space="preserve"> </w:t>
      </w:r>
      <w:r w:rsidRPr="007D2C07">
        <w:t>assessment,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instruction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sign</w:t>
      </w:r>
      <w:r w:rsidR="00422215">
        <w:t xml:space="preserve"> </w:t>
      </w:r>
      <w:r w:rsidRPr="007D2C07">
        <w:t>language,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instruction.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similar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exists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instruction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braille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technical</w:t>
      </w:r>
      <w:r w:rsidR="00422215">
        <w:t xml:space="preserve"> </w:t>
      </w:r>
      <w:r w:rsidRPr="007D2C07">
        <w:t>aids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severely</w:t>
      </w:r>
      <w:r w:rsidR="00422215">
        <w:t xml:space="preserve"> </w:t>
      </w:r>
      <w:r w:rsidRPr="007D2C07">
        <w:t>visually</w:t>
      </w:r>
      <w:r w:rsidR="00422215">
        <w:t xml:space="preserve"> </w:t>
      </w:r>
      <w:r w:rsidRPr="007D2C07">
        <w:t>impaired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blind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pupils.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adolescents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partly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wholly</w:t>
      </w:r>
      <w:r w:rsidR="00422215">
        <w:t xml:space="preserve"> </w:t>
      </w:r>
      <w:r w:rsidRPr="007D2C07">
        <w:t>lack</w:t>
      </w:r>
      <w:r w:rsidR="00422215">
        <w:t xml:space="preserve"> </w:t>
      </w:r>
      <w:r w:rsidRPr="007D2C07">
        <w:t>functional</w:t>
      </w:r>
      <w:r w:rsidR="00422215">
        <w:t xml:space="preserve"> </w:t>
      </w:r>
      <w:r w:rsidRPr="007D2C07">
        <w:t>speech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need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alternative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supplementary</w:t>
      </w:r>
      <w:r w:rsidR="00422215">
        <w:t xml:space="preserve"> </w:t>
      </w:r>
      <w:r w:rsidRPr="007D2C07">
        <w:t>communication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appropriate</w:t>
      </w:r>
      <w:r w:rsidR="00422215">
        <w:t xml:space="preserve"> </w:t>
      </w:r>
      <w:r w:rsidRPr="007D2C07">
        <w:t>forms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communication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necessary</w:t>
      </w:r>
      <w:r w:rsidR="00422215">
        <w:t xml:space="preserve"> </w:t>
      </w:r>
      <w:r w:rsidRPr="007D2C07">
        <w:t>means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communication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learning.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All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educational</w:t>
      </w:r>
      <w:r w:rsidR="00422215">
        <w:t xml:space="preserve"> </w:t>
      </w:r>
      <w:r w:rsidRPr="007D2C07">
        <w:t>facility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adapted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needs.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built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fitted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so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take</w:t>
      </w:r>
      <w:r w:rsidR="00422215">
        <w:t xml:space="preserve"> </w:t>
      </w:r>
      <w:r w:rsidRPr="007D2C07">
        <w:t>account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disabilities.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A13A0A">
        <w:t xml:space="preserve"> </w:t>
      </w:r>
      <w:r>
        <w:t xml:space="preserve">(e)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Pupil</w:t>
      </w:r>
      <w:r w:rsidR="00422215">
        <w:t xml:space="preserve"> </w:t>
      </w:r>
      <w:r w:rsidRPr="007D2C07">
        <w:t>Survey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autumn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6.1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responded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bullied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2-3</w:t>
      </w:r>
      <w:r w:rsidR="00422215">
        <w:t xml:space="preserve"> </w:t>
      </w:r>
      <w:r w:rsidRPr="007D2C07">
        <w:t>times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month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often.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decrease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0.5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compared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previous</w:t>
      </w:r>
      <w:r w:rsidR="00422215">
        <w:t xml:space="preserve"> </w:t>
      </w:r>
      <w:r w:rsidRPr="007D2C07">
        <w:t>year.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data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distinguishes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different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groups.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2017,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rPr>
          <w:bCs/>
        </w:rPr>
        <w:t>Norwegian</w:t>
      </w:r>
      <w:r w:rsidR="00422215">
        <w:rPr>
          <w:bCs/>
        </w:rPr>
        <w:t xml:space="preserve"> </w:t>
      </w:r>
      <w:r w:rsidRPr="007D2C07">
        <w:rPr>
          <w:bCs/>
        </w:rPr>
        <w:t>Centre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rPr>
          <w:bCs/>
        </w:rPr>
        <w:t>Racism</w:t>
      </w:r>
      <w:r w:rsidRPr="007D2C07">
        <w:rPr>
          <w:vertAlign w:val="superscript"/>
        </w:rPr>
        <w:footnoteReference w:id="19"/>
      </w:r>
      <w:r w:rsidR="00422215">
        <w:t xml:space="preserve"> </w:t>
      </w:r>
      <w:r w:rsidRPr="007D2C07">
        <w:t>published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experienced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many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experiences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school.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247</w:t>
      </w:r>
      <w:r w:rsidR="00422215">
        <w:t xml:space="preserve"> </w:t>
      </w:r>
      <w:r w:rsidRPr="007D2C07">
        <w:t>respondents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one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parents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born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country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24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state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experienced</w:t>
      </w:r>
      <w:r w:rsidR="00422215">
        <w:t xml:space="preserve"> </w:t>
      </w:r>
      <w:r w:rsidRPr="007D2C07">
        <w:t>racism,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unfair</w:t>
      </w:r>
      <w:r w:rsidR="00422215">
        <w:t xml:space="preserve"> </w:t>
      </w:r>
      <w:r w:rsidRPr="007D2C07">
        <w:t>treatment</w:t>
      </w:r>
      <w:r w:rsidR="00422215">
        <w:t xml:space="preserve"> </w:t>
      </w:r>
      <w:r w:rsidRPr="007D2C07">
        <w:t>regularly</w:t>
      </w:r>
      <w:r w:rsidR="00422215">
        <w:t xml:space="preserve"> </w:t>
      </w:r>
      <w:r w:rsidRPr="007D2C07">
        <w:t>(2-3</w:t>
      </w:r>
      <w:r w:rsidR="00422215">
        <w:t xml:space="preserve"> </w:t>
      </w:r>
      <w:r w:rsidRPr="007D2C07">
        <w:t>times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month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often)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attending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school,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25.6</w:t>
      </w:r>
      <w:r w:rsidR="00422215">
        <w:t xml:space="preserve"> </w:t>
      </w:r>
      <w:r w:rsidRPr="007D2C07">
        <w:t>per</w:t>
      </w:r>
      <w:r w:rsidR="00422215">
        <w:t xml:space="preserve"> </w:t>
      </w:r>
      <w:r w:rsidRPr="007D2C07">
        <w:t>cent</w:t>
      </w:r>
      <w:r w:rsidR="00422215">
        <w:t xml:space="preserve"> </w:t>
      </w:r>
      <w:r w:rsidRPr="007D2C07">
        <w:t>experienced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school.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launched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combat</w:t>
      </w:r>
      <w:r w:rsidR="00422215">
        <w:t xml:space="preserve"> </w:t>
      </w:r>
      <w:r w:rsidRPr="007D2C07">
        <w:t>bullying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schools.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legislative</w:t>
      </w:r>
      <w:r w:rsidR="00422215">
        <w:t xml:space="preserve"> </w:t>
      </w:r>
      <w:r w:rsidRPr="007D2C07">
        <w:t>changes,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enhancement,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support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exposed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bullying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offenses,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families.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main</w:t>
      </w:r>
      <w:r w:rsidR="00422215">
        <w:t xml:space="preserve"> </w:t>
      </w:r>
      <w:r w:rsidRPr="007D2C07">
        <w:t>effort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adults'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prevent,</w:t>
      </w:r>
      <w:r w:rsidR="00422215">
        <w:t xml:space="preserve"> </w:t>
      </w:r>
      <w:r w:rsidRPr="007D2C07">
        <w:t>uncover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deal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bullying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kindergartens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package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now</w:t>
      </w:r>
      <w:r w:rsidR="00422215">
        <w:t xml:space="preserve"> </w:t>
      </w:r>
      <w:r w:rsidRPr="007D2C07">
        <w:t>used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800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kindergartens</w:t>
      </w:r>
      <w:r w:rsidR="00422215">
        <w:t xml:space="preserve"> </w:t>
      </w:r>
      <w:r w:rsidRPr="007D2C07">
        <w:t>across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country.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proofErr w:type="spellStart"/>
      <w:r w:rsidRPr="007D2C07">
        <w:t>Dembra</w:t>
      </w:r>
      <w:proofErr w:type="spellEnd"/>
      <w:r w:rsidRPr="007D2C07">
        <w:rPr>
          <w:vertAlign w:val="superscript"/>
        </w:rPr>
        <w:footnoteReference w:id="20"/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professional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teachers,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leaders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staff.</w:t>
      </w:r>
      <w:r w:rsidR="00422215">
        <w:t xml:space="preserve"> </w:t>
      </w:r>
      <w:r w:rsidRPr="007D2C07">
        <w:t>Based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school’s</w:t>
      </w:r>
      <w:r w:rsidR="00422215">
        <w:t xml:space="preserve"> </w:t>
      </w:r>
      <w:r w:rsidRPr="007D2C07">
        <w:t>own</w:t>
      </w:r>
      <w:r w:rsidR="00422215">
        <w:t xml:space="preserve"> </w:t>
      </w:r>
      <w:r w:rsidRPr="007D2C07">
        <w:t>circumstances,</w:t>
      </w:r>
      <w:r w:rsidR="00422215">
        <w:t xml:space="preserve"> </w:t>
      </w:r>
      <w:proofErr w:type="spellStart"/>
      <w:r w:rsidRPr="007D2C07">
        <w:t>Dembra</w:t>
      </w:r>
      <w:proofErr w:type="spellEnd"/>
      <w:r w:rsidR="00422215">
        <w:t xml:space="preserve"> </w:t>
      </w:r>
      <w:r w:rsidRPr="007D2C07">
        <w:t>helps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school’s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critical</w:t>
      </w:r>
      <w:r w:rsidR="00422215">
        <w:t xml:space="preserve"> </w:t>
      </w:r>
      <w:r w:rsidRPr="007D2C07">
        <w:t>thinking.</w:t>
      </w:r>
      <w:r w:rsidR="00422215">
        <w:t xml:space="preserve"> </w:t>
      </w:r>
      <w:proofErr w:type="spellStart"/>
      <w:r w:rsidRPr="007D2C07">
        <w:t>Dembra</w:t>
      </w:r>
      <w:proofErr w:type="spellEnd"/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suitable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schools</w:t>
      </w:r>
      <w:r w:rsidR="00422215">
        <w:t xml:space="preserve"> </w:t>
      </w:r>
      <w:r w:rsidRPr="007D2C07">
        <w:t>whose</w:t>
      </w:r>
      <w:r w:rsidR="00422215">
        <w:t xml:space="preserve"> </w:t>
      </w:r>
      <w:r w:rsidRPr="007D2C07">
        <w:t>leaders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teachers</w:t>
      </w:r>
      <w:r w:rsidR="00422215">
        <w:t xml:space="preserve"> </w:t>
      </w:r>
      <w:r w:rsidRPr="007D2C07">
        <w:t>wish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take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systematic</w:t>
      </w:r>
      <w:r w:rsidR="00422215">
        <w:t xml:space="preserve"> </w:t>
      </w:r>
      <w:r w:rsidRPr="007D2C07">
        <w:t>approach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critical</w:t>
      </w:r>
      <w:r w:rsidR="00422215">
        <w:t xml:space="preserve"> </w:t>
      </w:r>
      <w:r w:rsidRPr="007D2C07">
        <w:t>thinking,</w:t>
      </w:r>
      <w:r w:rsidR="00422215">
        <w:t xml:space="preserve"> </w:t>
      </w:r>
      <w:r w:rsidRPr="007D2C07">
        <w:t>democratic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inclusion,</w:t>
      </w:r>
      <w:r w:rsidR="00422215">
        <w:t xml:space="preserve"> </w:t>
      </w:r>
      <w:r w:rsidRPr="007D2C07">
        <w:t>and/or</w:t>
      </w:r>
      <w:r w:rsidR="00422215">
        <w:t xml:space="preserve"> </w:t>
      </w:r>
      <w:r w:rsidRPr="007D2C07">
        <w:t>find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come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experience</w:t>
      </w:r>
      <w:r w:rsidR="00422215">
        <w:t xml:space="preserve"> </w:t>
      </w:r>
      <w:r w:rsidRPr="007D2C07">
        <w:t>particular</w:t>
      </w:r>
      <w:r w:rsidR="00422215">
        <w:t xml:space="preserve"> </w:t>
      </w:r>
      <w:r w:rsidRPr="007D2C07">
        <w:t>challenges</w:t>
      </w:r>
      <w:r w:rsidR="00422215">
        <w:t xml:space="preserve"> </w:t>
      </w:r>
      <w:r w:rsidRPr="007D2C07">
        <w:t>relating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group-based</w:t>
      </w:r>
      <w:r w:rsidR="00422215">
        <w:t xml:space="preserve"> </w:t>
      </w:r>
      <w:r w:rsidRPr="007D2C07">
        <w:t>hostility.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A13A0A">
        <w:t xml:space="preserve"> </w:t>
      </w:r>
      <w:r>
        <w:t xml:space="preserve">(f)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All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age,</w:t>
      </w:r>
      <w:r w:rsidR="00422215">
        <w:t xml:space="preserve"> </w:t>
      </w:r>
      <w:r w:rsidRPr="007D2C07">
        <w:t>including</w:t>
      </w:r>
      <w:r w:rsidR="00422215">
        <w:t xml:space="preserve"> </w:t>
      </w:r>
      <w:r w:rsidRPr="007D2C07">
        <w:t>Roma</w:t>
      </w:r>
      <w:r w:rsidR="00422215">
        <w:t xml:space="preserve"> </w:t>
      </w:r>
      <w:r w:rsidRPr="007D2C07">
        <w:t>children,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both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education.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responsible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school</w:t>
      </w:r>
      <w:r w:rsidR="00422215">
        <w:t xml:space="preserve"> </w:t>
      </w:r>
      <w:r w:rsidRPr="007D2C07">
        <w:t>attendance,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obliged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law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seek</w:t>
      </w:r>
      <w:r w:rsidR="00422215">
        <w:t xml:space="preserve"> </w:t>
      </w:r>
      <w:r w:rsidRPr="007D2C07">
        <w:t>out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attend</w:t>
      </w:r>
      <w:r w:rsidR="00422215">
        <w:t xml:space="preserve"> </w:t>
      </w:r>
      <w:r w:rsidRPr="007D2C07">
        <w:t>school.</w:t>
      </w:r>
      <w:r w:rsidR="00422215">
        <w:t xml:space="preserve"> </w:t>
      </w:r>
      <w:r w:rsidRPr="007D2C07">
        <w:t>Travelling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provide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exemption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duty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education.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dialogue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Roma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improved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there</w:t>
      </w:r>
      <w:r w:rsidR="00422215">
        <w:t xml:space="preserve"> </w:t>
      </w:r>
      <w:r w:rsidRPr="007D2C07">
        <w:t>seems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be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understanding</w:t>
      </w:r>
      <w:r w:rsidR="00422215">
        <w:t xml:space="preserve"> </w:t>
      </w:r>
      <w:r w:rsidRPr="007D2C07">
        <w:t>among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Roma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must</w:t>
      </w:r>
      <w:r w:rsidR="00422215">
        <w:t xml:space="preserve"> </w:t>
      </w:r>
      <w:r w:rsidRPr="007D2C07">
        <w:t>attend</w:t>
      </w:r>
      <w:r w:rsidR="00422215">
        <w:t xml:space="preserve"> </w:t>
      </w:r>
      <w:r w:rsidRPr="007D2C07">
        <w:t>school,</w:t>
      </w:r>
      <w:r w:rsidR="00422215">
        <w:t xml:space="preserve"> </w:t>
      </w:r>
      <w:r w:rsidRPr="007D2C07">
        <w:t>even</w:t>
      </w:r>
      <w:r w:rsidR="00422215">
        <w:t xml:space="preserve"> </w:t>
      </w:r>
      <w:r w:rsidRPr="007D2C07">
        <w:t>though</w:t>
      </w:r>
      <w:r w:rsidR="00422215">
        <w:t xml:space="preserve"> </w:t>
      </w:r>
      <w:r w:rsidRPr="007D2C07">
        <w:t>travelling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traditionally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central</w:t>
      </w:r>
      <w:r w:rsidR="00422215">
        <w:t xml:space="preserve"> </w:t>
      </w:r>
      <w:r w:rsidRPr="007D2C07">
        <w:t>part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culture.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Modernisation</w:t>
      </w:r>
      <w:r w:rsidR="00422215">
        <w:t xml:space="preserve"> </w:t>
      </w:r>
      <w:r w:rsidRPr="007D2C07">
        <w:t>funds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municipality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Oslo's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"School</w:t>
      </w:r>
      <w:r w:rsidR="00422215">
        <w:t xml:space="preserve"> </w:t>
      </w:r>
      <w:r w:rsidRPr="007D2C07">
        <w:t>guidance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Roma</w:t>
      </w:r>
      <w:r w:rsidR="00422215">
        <w:t xml:space="preserve"> </w:t>
      </w:r>
      <w:r w:rsidRPr="007D2C07">
        <w:t>pupils"</w:t>
      </w:r>
      <w:r w:rsidR="00422215">
        <w:t xml:space="preserve"> </w:t>
      </w:r>
      <w:r w:rsidRPr="007D2C07">
        <w:t>(</w:t>
      </w:r>
      <w:proofErr w:type="spellStart"/>
      <w:r w:rsidRPr="007D2C07">
        <w:t>Skolelos</w:t>
      </w:r>
      <w:proofErr w:type="spellEnd"/>
      <w:r w:rsidR="00422215">
        <w:t xml:space="preserve"> </w:t>
      </w:r>
      <w:r w:rsidRPr="007D2C07">
        <w:t>for</w:t>
      </w:r>
      <w:r w:rsidR="00422215">
        <w:t xml:space="preserve"> </w:t>
      </w:r>
      <w:proofErr w:type="spellStart"/>
      <w:r w:rsidRPr="007D2C07">
        <w:t>romelever</w:t>
      </w:r>
      <w:proofErr w:type="spellEnd"/>
      <w:r w:rsidRPr="007D2C07">
        <w:t>).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aim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learning</w:t>
      </w:r>
      <w:r w:rsidR="00422215">
        <w:t xml:space="preserve"> </w:t>
      </w:r>
      <w:r w:rsidRPr="007D2C07">
        <w:t>outcomes,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absence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Roma</w:t>
      </w:r>
      <w:r w:rsidR="00422215">
        <w:t xml:space="preserve"> </w:t>
      </w:r>
      <w:r w:rsidRPr="007D2C07">
        <w:t>pupils'</w:t>
      </w:r>
      <w:r w:rsidR="00422215">
        <w:t xml:space="preserve"> </w:t>
      </w:r>
      <w:r w:rsidRPr="007D2C07">
        <w:t>chances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completing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programme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strengthened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2019.</w:t>
      </w:r>
    </w:p>
    <w:p w:rsidR="00425CC9" w:rsidRPr="00425CC9" w:rsidRDefault="00425CC9" w:rsidP="00A13A0A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A13A0A">
        <w:t xml:space="preserve"> </w:t>
      </w:r>
      <w:r>
        <w:t xml:space="preserve">(g)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From</w:t>
      </w:r>
      <w:r w:rsidR="00422215">
        <w:t xml:space="preserve"> </w:t>
      </w:r>
      <w:r w:rsidRPr="007D2C07">
        <w:t>2014,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aged</w:t>
      </w:r>
      <w:r w:rsidR="00422215">
        <w:t xml:space="preserve"> </w:t>
      </w:r>
      <w:r w:rsidRPr="007D2C07">
        <w:t>16-18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applying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adults,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likely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stay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three</w:t>
      </w:r>
      <w:r w:rsidR="00422215">
        <w:t xml:space="preserve"> </w:t>
      </w:r>
      <w:r w:rsidRPr="007D2C07">
        <w:t>months.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Unaccompanied</w:t>
      </w:r>
      <w:r w:rsidR="00422215">
        <w:t xml:space="preserve"> </w:t>
      </w:r>
      <w:r w:rsidRPr="007D2C07">
        <w:t>minor</w:t>
      </w:r>
      <w:r w:rsidR="00422215">
        <w:t xml:space="preserve"> </w:t>
      </w:r>
      <w:r w:rsidRPr="007D2C07">
        <w:t>asylum-seekers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time-limited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From</w:t>
      </w:r>
      <w:r w:rsidR="00422215">
        <w:t xml:space="preserve"> </w:t>
      </w:r>
      <w:r w:rsidRPr="007D2C07">
        <w:t>June</w:t>
      </w:r>
      <w:r w:rsidR="00422215">
        <w:t xml:space="preserve"> </w:t>
      </w:r>
      <w:r w:rsidRPr="007D2C07">
        <w:t>2016,</w:t>
      </w:r>
      <w:r w:rsidR="00422215">
        <w:t xml:space="preserve"> </w:t>
      </w:r>
      <w:r w:rsidRPr="007D2C07">
        <w:t>those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can,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necessary,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additional</w:t>
      </w:r>
      <w:r w:rsidR="00422215">
        <w:t xml:space="preserve"> </w:t>
      </w:r>
      <w:r w:rsidRPr="007D2C07">
        <w:t>primary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lower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before,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combination</w:t>
      </w:r>
      <w:r w:rsidR="00422215">
        <w:t xml:space="preserve"> </w:t>
      </w:r>
      <w:r w:rsidRPr="007D2C07">
        <w:t>with,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aged</w:t>
      </w:r>
      <w:r w:rsidR="00422215">
        <w:t xml:space="preserve"> </w:t>
      </w:r>
      <w:r w:rsidRPr="007D2C07">
        <w:t>16-18</w:t>
      </w:r>
      <w:r w:rsidR="00422215">
        <w:t xml:space="preserve"> </w:t>
      </w:r>
      <w:r w:rsidRPr="007D2C07">
        <w:t>ceases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event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final</w:t>
      </w:r>
      <w:r w:rsidR="00422215">
        <w:t xml:space="preserve"> </w:t>
      </w:r>
      <w:r w:rsidRPr="007D2C07">
        <w:t>rejection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application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Unaccompanied</w:t>
      </w:r>
      <w:r w:rsidR="00422215">
        <w:t xml:space="preserve"> </w:t>
      </w:r>
      <w:r w:rsidRPr="007D2C07">
        <w:t>minor</w:t>
      </w:r>
      <w:r w:rsidR="00422215">
        <w:t xml:space="preserve"> </w:t>
      </w:r>
      <w:r w:rsidRPr="007D2C07">
        <w:t>asylum-seekers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time-limited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permits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rejections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funds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skills</w:t>
      </w:r>
      <w:r w:rsidR="00422215">
        <w:t xml:space="preserve"> </w:t>
      </w:r>
      <w:r w:rsidRPr="007D2C07">
        <w:t>development</w:t>
      </w:r>
      <w:r w:rsidR="00422215">
        <w:t xml:space="preserve"> </w:t>
      </w:r>
      <w:r w:rsidRPr="007D2C07">
        <w:t>so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equipped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employment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homeland.</w:t>
      </w:r>
    </w:p>
    <w:p w:rsid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upper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does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apply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young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without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implementing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right,</w:t>
      </w:r>
      <w:r w:rsidR="00422215">
        <w:t xml:space="preserve"> </w:t>
      </w:r>
      <w:r w:rsidRPr="007D2C07">
        <w:t>emphasis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placed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finding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balance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consideration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individual</w:t>
      </w:r>
      <w:r w:rsidR="00422215">
        <w:t xml:space="preserve"> </w:t>
      </w:r>
      <w:r w:rsidRPr="007D2C07">
        <w:t>needs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social</w:t>
      </w:r>
      <w:r w:rsidR="00422215">
        <w:t xml:space="preserve"> </w:t>
      </w:r>
      <w:r w:rsidRPr="007D2C07">
        <w:t>considerations,</w:t>
      </w:r>
      <w:r w:rsidR="00422215">
        <w:t xml:space="preserve"> </w:t>
      </w:r>
      <w:r w:rsidRPr="007D2C07">
        <w:t>such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regulatory</w:t>
      </w:r>
      <w:r w:rsidR="00422215">
        <w:t xml:space="preserve"> </w:t>
      </w:r>
      <w:r w:rsidRPr="007D2C07">
        <w:t>considerations.</w:t>
      </w:r>
    </w:p>
    <w:p w:rsidR="00425CC9" w:rsidRPr="00425CC9" w:rsidRDefault="00425CC9" w:rsidP="002E075E">
      <w:pPr>
        <w:pStyle w:val="H1G"/>
      </w:pPr>
      <w:r>
        <w:tab/>
      </w:r>
      <w:r>
        <w:tab/>
      </w:r>
      <w:r w:rsidRPr="00341318">
        <w:t>Reply</w:t>
      </w:r>
      <w:r>
        <w:t xml:space="preserve"> </w:t>
      </w:r>
      <w:r w:rsidRPr="00341318">
        <w:t>to</w:t>
      </w:r>
      <w:r>
        <w:t xml:space="preserve"> </w:t>
      </w:r>
      <w:r w:rsidRPr="00341318">
        <w:t>paragraph</w:t>
      </w:r>
      <w:r>
        <w:t xml:space="preserve"> 30</w:t>
      </w:r>
      <w:r w:rsidR="002E075E">
        <w:t xml:space="preserve"> </w:t>
      </w:r>
      <w:r>
        <w:t xml:space="preserve">(h) </w:t>
      </w:r>
      <w:r w:rsidRPr="00341318">
        <w:t>of</w:t>
      </w:r>
      <w:r>
        <w:t xml:space="preserve"> </w:t>
      </w:r>
      <w:r w:rsidRPr="00341318">
        <w:t>the</w:t>
      </w:r>
      <w:r>
        <w:t xml:space="preserve"> </w:t>
      </w:r>
      <w:r w:rsidRPr="00341318">
        <w:t>list</w:t>
      </w:r>
      <w:r>
        <w:t xml:space="preserve"> </w:t>
      </w:r>
      <w:r w:rsidRPr="00341318">
        <w:t>of</w:t>
      </w:r>
      <w:r>
        <w:t xml:space="preserve"> </w:t>
      </w:r>
      <w:r w:rsidRPr="00341318">
        <w:t>issues</w:t>
      </w:r>
    </w:p>
    <w:p w:rsidR="00764260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centres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possibilities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receiving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dramatically</w:t>
      </w:r>
      <w:r w:rsidR="00422215">
        <w:t xml:space="preserve"> </w:t>
      </w:r>
      <w:r w:rsidRPr="007D2C07">
        <w:t>changed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last</w:t>
      </w:r>
      <w:r w:rsidR="00422215">
        <w:t xml:space="preserve"> </w:t>
      </w:r>
      <w:r w:rsidRPr="007D2C07">
        <w:t>few</w:t>
      </w:r>
      <w:r w:rsidR="00422215">
        <w:t xml:space="preserve"> </w:t>
      </w:r>
      <w:r w:rsidRPr="007D2C07">
        <w:t>years.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For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years,</w:t>
      </w:r>
      <w:r w:rsidR="00422215">
        <w:t xml:space="preserve"> </w:t>
      </w:r>
      <w:r w:rsidRPr="007D2C07">
        <w:t>four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five</w:t>
      </w:r>
      <w:r w:rsidR="00422215">
        <w:t xml:space="preserve"> </w:t>
      </w:r>
      <w:r w:rsidRPr="007D2C07">
        <w:t>year</w:t>
      </w:r>
      <w:r w:rsidR="00422215">
        <w:t xml:space="preserve"> </w:t>
      </w:r>
      <w:r w:rsidRPr="007D2C07">
        <w:t>olds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offered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publicly</w:t>
      </w:r>
      <w:r w:rsidR="00422215">
        <w:t xml:space="preserve"> </w:t>
      </w:r>
      <w:r w:rsidRPr="007D2C07">
        <w:t>funded</w:t>
      </w:r>
      <w:r w:rsidR="00422215">
        <w:t xml:space="preserve"> </w:t>
      </w:r>
      <w:r w:rsidRPr="007D2C07">
        <w:t>full-time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where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situated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vacant</w:t>
      </w:r>
      <w:r w:rsidR="00422215">
        <w:t xml:space="preserve"> </w:t>
      </w:r>
      <w:r w:rsidRPr="007D2C07">
        <w:t>places.</w:t>
      </w:r>
      <w:r w:rsidR="00422215">
        <w:t xml:space="preserve"> </w:t>
      </w:r>
      <w:r w:rsidRPr="007D2C07">
        <w:t>Numbers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Immigration</w:t>
      </w:r>
      <w:r w:rsidR="00422215">
        <w:t xml:space="preserve"> </w:t>
      </w:r>
      <w:r w:rsidRPr="007D2C07">
        <w:t>show</w:t>
      </w:r>
      <w:r w:rsidR="00422215">
        <w:t xml:space="preserve"> </w:t>
      </w:r>
      <w:r w:rsidRPr="007D2C07">
        <w:t>that,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cases,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offered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place.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2016,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financing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places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extended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core-time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two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three</w:t>
      </w:r>
      <w:r w:rsidR="00422215">
        <w:t xml:space="preserve"> </w:t>
      </w:r>
      <w:r w:rsidRPr="007D2C07">
        <w:t>year</w:t>
      </w:r>
      <w:r w:rsidR="00422215">
        <w:t xml:space="preserve"> </w:t>
      </w:r>
      <w:r w:rsidRPr="007D2C07">
        <w:t>olds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families</w:t>
      </w:r>
      <w:r w:rsidR="00422215">
        <w:t xml:space="preserve"> </w:t>
      </w:r>
      <w:r w:rsidRPr="007D2C07">
        <w:t>had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permanent</w:t>
      </w:r>
      <w:r w:rsidR="00422215">
        <w:t xml:space="preserve"> </w:t>
      </w:r>
      <w:r w:rsidRPr="007D2C07">
        <w:t>residence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were</w:t>
      </w:r>
      <w:r w:rsidR="00422215">
        <w:t xml:space="preserve"> </w:t>
      </w:r>
      <w:r w:rsidRPr="007D2C07">
        <w:t>still</w:t>
      </w:r>
      <w:r w:rsidR="00422215">
        <w:t xml:space="preserve"> </w:t>
      </w:r>
      <w:r w:rsidRPr="007D2C07">
        <w:t>living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centre</w:t>
      </w:r>
      <w:r w:rsidR="00422215">
        <w:t xml:space="preserve"> </w:t>
      </w:r>
      <w:r w:rsidRPr="007D2C07">
        <w:t>while</w:t>
      </w:r>
      <w:r w:rsidR="00422215">
        <w:t xml:space="preserve"> </w:t>
      </w:r>
      <w:r w:rsidRPr="007D2C07">
        <w:t>waiting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permanent</w:t>
      </w:r>
      <w:r w:rsidR="00422215">
        <w:t xml:space="preserve"> </w:t>
      </w:r>
      <w:r w:rsidRPr="007D2C07">
        <w:t>address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another</w:t>
      </w:r>
      <w:r w:rsidR="00422215">
        <w:t xml:space="preserve"> </w:t>
      </w:r>
      <w:r w:rsidRPr="007D2C07">
        <w:t>municipality.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financing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further</w:t>
      </w:r>
      <w:r w:rsidR="00422215">
        <w:t xml:space="preserve"> </w:t>
      </w:r>
      <w:r w:rsidRPr="007D2C07">
        <w:t>extended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include</w:t>
      </w:r>
      <w:r w:rsidR="00422215">
        <w:t xml:space="preserve"> </w:t>
      </w:r>
      <w:r w:rsidRPr="007D2C07">
        <w:t>free</w:t>
      </w:r>
      <w:r w:rsidR="00422215">
        <w:t xml:space="preserve"> </w:t>
      </w:r>
      <w:r w:rsidRPr="007D2C07">
        <w:t>core-time</w:t>
      </w:r>
      <w:r w:rsidR="00422215">
        <w:t xml:space="preserve"> </w:t>
      </w:r>
      <w:r w:rsidRPr="007D2C07">
        <w:t>places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all</w:t>
      </w:r>
      <w:r w:rsidR="00422215">
        <w:t xml:space="preserve"> </w:t>
      </w:r>
      <w:r w:rsidRPr="007D2C07">
        <w:t>two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three</w:t>
      </w:r>
      <w:r w:rsidR="00422215">
        <w:t xml:space="preserve"> </w:t>
      </w:r>
      <w:r w:rsidRPr="007D2C07">
        <w:t>year</w:t>
      </w:r>
      <w:r w:rsidR="00422215">
        <w:t xml:space="preserve"> </w:t>
      </w:r>
      <w:r w:rsidRPr="007D2C07">
        <w:t>olds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centres,</w:t>
      </w:r>
      <w:r w:rsidR="00422215">
        <w:t xml:space="preserve"> </w:t>
      </w:r>
      <w:r w:rsidRPr="007D2C07">
        <w:t>independent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status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family's</w:t>
      </w:r>
      <w:r w:rsidR="00422215">
        <w:t xml:space="preserve"> </w:t>
      </w:r>
      <w:r w:rsidRPr="007D2C07">
        <w:t>asylum</w:t>
      </w:r>
      <w:r w:rsidR="00422215">
        <w:t xml:space="preserve"> </w:t>
      </w:r>
      <w:r w:rsidRPr="007D2C07">
        <w:t>application.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  <w:rPr>
          <w:lang w:val="nn-NO"/>
        </w:rPr>
      </w:pPr>
      <w:r w:rsidRPr="007D2C07">
        <w:rPr>
          <w:lang w:val="nn-NO"/>
        </w:rPr>
        <w:t>The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government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decided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in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the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revised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national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budget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for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2019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to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spend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NOK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3,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2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million</w:t>
      </w:r>
      <w:r w:rsidR="00422215">
        <w:rPr>
          <w:lang w:val="nn-NO"/>
        </w:rPr>
        <w:t xml:space="preserve"> </w:t>
      </w:r>
      <w:r w:rsidRPr="00764260">
        <w:t>to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extend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the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free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core-time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places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in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kindergarten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to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include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all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one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year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olds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in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asylum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centres.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The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draft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budget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for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2020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proposes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to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continue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this</w:t>
      </w:r>
      <w:r w:rsidR="00422215">
        <w:rPr>
          <w:lang w:val="nn-NO"/>
        </w:rPr>
        <w:t xml:space="preserve"> </w:t>
      </w:r>
      <w:r w:rsidRPr="007D2C07">
        <w:rPr>
          <w:lang w:val="nn-NO"/>
        </w:rPr>
        <w:t>scheme.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place</w:t>
      </w:r>
      <w:r w:rsidR="00422215">
        <w:t xml:space="preserve"> </w:t>
      </w:r>
      <w:r w:rsidRPr="007D2C07">
        <w:t>follows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Section</w:t>
      </w:r>
      <w:r w:rsidR="00422215">
        <w:t xml:space="preserve"> </w:t>
      </w:r>
      <w:r w:rsidRPr="007D2C07">
        <w:t>12a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Act.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minority</w:t>
      </w:r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kindergarten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children.</w:t>
      </w:r>
      <w:r w:rsidR="00422215">
        <w:t xml:space="preserve"> </w:t>
      </w:r>
      <w:r w:rsidRPr="007D2C07">
        <w:t>Minority-language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group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not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statutory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priority</w:t>
      </w:r>
      <w:r w:rsidR="00422215">
        <w:t xml:space="preserve"> </w:t>
      </w:r>
      <w:r w:rsidRPr="007D2C07">
        <w:t>admission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kindergarten.</w:t>
      </w:r>
      <w:r w:rsidR="00422215">
        <w:t xml:space="preserve"> </w:t>
      </w:r>
      <w:r w:rsidRPr="007D2C07">
        <w:rPr>
          <w:iCs/>
        </w:rPr>
        <w:t>Several</w:t>
      </w:r>
      <w:r w:rsidR="00422215">
        <w:rPr>
          <w:iCs/>
        </w:rPr>
        <w:t xml:space="preserve"> </w:t>
      </w:r>
      <w:r w:rsidRPr="007D2C07">
        <w:rPr>
          <w:iCs/>
        </w:rPr>
        <w:t>municipal</w:t>
      </w:r>
      <w:r w:rsidR="00422215">
        <w:rPr>
          <w:iCs/>
        </w:rPr>
        <w:t xml:space="preserve"> </w:t>
      </w:r>
      <w:r w:rsidRPr="007D2C07">
        <w:rPr>
          <w:iCs/>
        </w:rPr>
        <w:t>and</w:t>
      </w:r>
      <w:r w:rsidR="00422215">
        <w:rPr>
          <w:iCs/>
        </w:rPr>
        <w:t xml:space="preserve"> </w:t>
      </w:r>
      <w:r w:rsidRPr="007D2C07">
        <w:rPr>
          <w:iCs/>
        </w:rPr>
        <w:t>private</w:t>
      </w:r>
      <w:r w:rsidR="00422215">
        <w:rPr>
          <w:iCs/>
        </w:rPr>
        <w:t xml:space="preserve"> </w:t>
      </w:r>
      <w:r w:rsidRPr="007D2C07">
        <w:rPr>
          <w:iCs/>
        </w:rPr>
        <w:t>kindergartens</w:t>
      </w:r>
      <w:r w:rsidR="00422215">
        <w:rPr>
          <w:iCs/>
        </w:rPr>
        <w:t xml:space="preserve"> </w:t>
      </w:r>
      <w:r w:rsidRPr="007D2C07">
        <w:rPr>
          <w:iCs/>
        </w:rPr>
        <w:t>nevertheless</w:t>
      </w:r>
      <w:r w:rsidR="00422215">
        <w:rPr>
          <w:iCs/>
        </w:rPr>
        <w:t xml:space="preserve"> </w:t>
      </w:r>
      <w:r w:rsidRPr="007D2C07">
        <w:rPr>
          <w:iCs/>
        </w:rPr>
        <w:t>choose</w:t>
      </w:r>
      <w:r w:rsidR="00422215">
        <w:rPr>
          <w:iCs/>
        </w:rPr>
        <w:t xml:space="preserve"> </w:t>
      </w:r>
      <w:r w:rsidRPr="007D2C07">
        <w:rPr>
          <w:iCs/>
        </w:rPr>
        <w:t>to</w:t>
      </w:r>
      <w:r w:rsidR="00422215">
        <w:rPr>
          <w:iCs/>
        </w:rPr>
        <w:t xml:space="preserve"> </w:t>
      </w:r>
      <w:r w:rsidRPr="007D2C07">
        <w:rPr>
          <w:iCs/>
        </w:rPr>
        <w:t>prioritise</w:t>
      </w:r>
      <w:r w:rsidR="00422215">
        <w:rPr>
          <w:iCs/>
        </w:rPr>
        <w:t xml:space="preserve"> </w:t>
      </w:r>
      <w:r w:rsidRPr="007D2C07">
        <w:rPr>
          <w:iCs/>
        </w:rPr>
        <w:t>minority-language</w:t>
      </w:r>
      <w:r w:rsidR="00422215">
        <w:rPr>
          <w:iCs/>
        </w:rPr>
        <w:t xml:space="preserve"> </w:t>
      </w:r>
      <w:r w:rsidRPr="007D2C07">
        <w:rPr>
          <w:iCs/>
        </w:rPr>
        <w:t>children</w:t>
      </w:r>
      <w:r w:rsidR="00422215">
        <w:rPr>
          <w:iCs/>
        </w:rPr>
        <w:t xml:space="preserve"> </w:t>
      </w:r>
      <w:r w:rsidRPr="007D2C07">
        <w:rPr>
          <w:iCs/>
        </w:rPr>
        <w:t>for</w:t>
      </w:r>
      <w:r w:rsidR="00422215">
        <w:rPr>
          <w:iCs/>
        </w:rPr>
        <w:t xml:space="preserve"> </w:t>
      </w:r>
      <w:r w:rsidRPr="007D2C07">
        <w:rPr>
          <w:iCs/>
        </w:rPr>
        <w:t>admission.</w:t>
      </w:r>
    </w:p>
    <w:p w:rsidR="00B26EE5" w:rsidRDefault="00EC1971" w:rsidP="002E075E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31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works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promote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preserve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identity,</w:t>
      </w:r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culture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minorities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people.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Sami,</w:t>
      </w:r>
      <w:r w:rsidR="00422215">
        <w:t xml:space="preserve"> </w:t>
      </w:r>
      <w:proofErr w:type="spellStart"/>
      <w:r w:rsidRPr="007D2C07">
        <w:t>Kven</w:t>
      </w:r>
      <w:proofErr w:type="spellEnd"/>
      <w:r w:rsidRPr="007D2C07">
        <w:t>,</w:t>
      </w:r>
      <w:r w:rsidR="00422215">
        <w:t xml:space="preserve"> </w:t>
      </w:r>
      <w:r w:rsidRPr="007D2C07">
        <w:t>Romani</w:t>
      </w:r>
      <w:r w:rsidR="00422215">
        <w:t xml:space="preserve"> </w:t>
      </w:r>
      <w:r w:rsidRPr="007D2C07">
        <w:t>and</w:t>
      </w:r>
      <w:r w:rsidR="00422215">
        <w:t xml:space="preserve"> </w:t>
      </w:r>
      <w:proofErr w:type="spellStart"/>
      <w:r w:rsidRPr="007D2C07">
        <w:t>Romanes</w:t>
      </w:r>
      <w:proofErr w:type="spellEnd"/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recognised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minority</w:t>
      </w:r>
      <w:r w:rsidR="00422215">
        <w:t xml:space="preserve"> </w:t>
      </w:r>
      <w:r w:rsidRPr="007D2C07">
        <w:t>languages.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appointed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position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languages</w:t>
      </w:r>
      <w:r w:rsidR="00422215">
        <w:t xml:space="preserve"> </w:t>
      </w:r>
      <w:r w:rsidRPr="007D2C07">
        <w:t>issued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2016.</w:t>
      </w:r>
      <w:r w:rsidR="00422215">
        <w:t xml:space="preserve"> </w:t>
      </w:r>
      <w:r w:rsidRPr="007D2C07">
        <w:t>This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legislative</w:t>
      </w:r>
      <w:r w:rsidR="00422215">
        <w:t xml:space="preserve"> </w:t>
      </w:r>
      <w:r w:rsidRPr="007D2C07">
        <w:t>amendments,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schemes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concerning</w:t>
      </w:r>
      <w:r w:rsidR="00422215">
        <w:t xml:space="preserve"> </w:t>
      </w:r>
      <w:r w:rsidRPr="007D2C07">
        <w:t>child</w:t>
      </w:r>
      <w:r w:rsidR="00422215">
        <w:t xml:space="preserve"> </w:t>
      </w:r>
      <w:proofErr w:type="spellStart"/>
      <w:r w:rsidRPr="007D2C07">
        <w:t>daycare</w:t>
      </w:r>
      <w:proofErr w:type="spellEnd"/>
      <w:r w:rsidRPr="007D2C07">
        <w:t>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primary,</w:t>
      </w:r>
      <w:r w:rsidR="00422215">
        <w:t xml:space="preserve"> </w:t>
      </w:r>
      <w:r w:rsidRPr="007D2C07">
        <w:t>secondary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tertiary</w:t>
      </w:r>
      <w:r w:rsidR="00422215">
        <w:t xml:space="preserve"> </w:t>
      </w:r>
      <w:r w:rsidRPr="007D2C07">
        <w:t>education,</w:t>
      </w:r>
      <w:r w:rsidR="00422215">
        <w:t xml:space="preserve"> </w:t>
      </w:r>
      <w:r w:rsidRPr="007D2C07">
        <w:t>health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care</w:t>
      </w:r>
      <w:r w:rsidR="00422215">
        <w:t xml:space="preserve"> </w:t>
      </w:r>
      <w:r w:rsidRPr="007D2C07">
        <w:t>services,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justice</w:t>
      </w:r>
      <w:r w:rsidR="00422215">
        <w:t xml:space="preserve"> </w:t>
      </w:r>
      <w:r w:rsidRPr="007D2C07">
        <w:t>sector,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local</w:t>
      </w:r>
      <w:r w:rsidR="00422215">
        <w:t xml:space="preserve"> </w:t>
      </w:r>
      <w:r w:rsidRPr="007D2C07">
        <w:t>administration.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ministries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following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report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close</w:t>
      </w:r>
      <w:r w:rsidR="00422215">
        <w:t xml:space="preserve"> </w:t>
      </w:r>
      <w:r w:rsidRPr="007D2C07">
        <w:t>dialogue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Sámediggi</w:t>
      </w:r>
      <w:proofErr w:type="spellEnd"/>
      <w:r w:rsidRPr="007D2C07">
        <w:t>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presented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targeted</w:t>
      </w:r>
      <w:r w:rsidR="00422215">
        <w:t xml:space="preserve"> </w:t>
      </w:r>
      <w:r w:rsidRPr="007D2C07">
        <w:t>plan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revitalising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Kven</w:t>
      </w:r>
      <w:proofErr w:type="spellEnd"/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period</w:t>
      </w:r>
      <w:r w:rsidR="00422215">
        <w:t xml:space="preserve"> </w:t>
      </w:r>
      <w:r w:rsidRPr="007D2C07">
        <w:t>leading</w:t>
      </w:r>
      <w:r w:rsidR="00422215">
        <w:t xml:space="preserve"> </w:t>
      </w:r>
      <w:r w:rsidRPr="007D2C07">
        <w:t>up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2021.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allocates</w:t>
      </w:r>
      <w:r w:rsidR="00422215">
        <w:t xml:space="preserve"> </w:t>
      </w:r>
      <w:r w:rsidRPr="007D2C07">
        <w:t>funds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proofErr w:type="spellStart"/>
      <w:r w:rsidRPr="007D2C07">
        <w:t>Sámediggi</w:t>
      </w:r>
      <w:proofErr w:type="spellEnd"/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purposes</w:t>
      </w:r>
      <w:r w:rsidR="00422215">
        <w:t xml:space="preserve"> </w:t>
      </w:r>
      <w:r w:rsidRPr="007D2C07">
        <w:t>(NOK</w:t>
      </w:r>
      <w:r w:rsidR="00422215">
        <w:t xml:space="preserve"> </w:t>
      </w:r>
      <w:r w:rsidRPr="007D2C07">
        <w:t>85.7</w:t>
      </w:r>
      <w:r w:rsidR="00422215">
        <w:t xml:space="preserve"> </w:t>
      </w:r>
      <w:r w:rsidRPr="007D2C07">
        <w:t>million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2019).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nevertheless</w:t>
      </w:r>
      <w:r w:rsidR="00422215">
        <w:t xml:space="preserve"> </w:t>
      </w:r>
      <w:r w:rsidRPr="007D2C07">
        <w:t>includes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independent</w:t>
      </w:r>
      <w:r w:rsidR="00422215">
        <w:t xml:space="preserve"> </w:t>
      </w:r>
      <w:r w:rsidRPr="007D2C07">
        <w:t>responsibility</w:t>
      </w:r>
      <w:r w:rsidR="00422215">
        <w:t xml:space="preserve"> </w:t>
      </w:r>
      <w:r w:rsidRPr="007D2C07">
        <w:t>towards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art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culture,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allocates</w:t>
      </w:r>
      <w:r w:rsidR="00422215">
        <w:t xml:space="preserve"> </w:t>
      </w:r>
      <w:r w:rsidRPr="007D2C07">
        <w:t>funds</w:t>
      </w:r>
      <w:r w:rsidR="00422215">
        <w:t xml:space="preserve"> </w:t>
      </w:r>
      <w:r w:rsidRPr="007D2C07">
        <w:t>directly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institutions.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recent</w:t>
      </w:r>
      <w:r w:rsidR="00422215">
        <w:t xml:space="preserve"> </w:t>
      </w:r>
      <w:r w:rsidRPr="007D2C07">
        <w:t>years,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made</w:t>
      </w:r>
      <w:r w:rsidR="00422215">
        <w:t xml:space="preserve"> </w:t>
      </w:r>
      <w:r w:rsidRPr="007D2C07">
        <w:t>significant</w:t>
      </w:r>
      <w:r w:rsidR="00422215">
        <w:t xml:space="preserve"> </w:t>
      </w:r>
      <w:r w:rsidRPr="007D2C07">
        <w:t>investments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contributed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cultural</w:t>
      </w:r>
      <w:r w:rsidR="00422215">
        <w:t xml:space="preserve"> </w:t>
      </w:r>
      <w:r w:rsidRPr="007D2C07">
        <w:t>arenas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people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minorities.</w:t>
      </w:r>
      <w:r w:rsidR="00422215">
        <w:t xml:space="preserve"> </w:t>
      </w:r>
      <w:r w:rsidRPr="007D2C07">
        <w:t>Arts</w:t>
      </w:r>
      <w:r w:rsidR="00422215">
        <w:t xml:space="preserve"> </w:t>
      </w:r>
      <w:r w:rsidRPr="007D2C07">
        <w:t>Council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provided</w:t>
      </w:r>
      <w:r w:rsidR="00422215">
        <w:t xml:space="preserve"> </w:t>
      </w:r>
      <w:r w:rsidRPr="007D2C07">
        <w:t>funding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translation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literature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since</w:t>
      </w:r>
      <w:r w:rsidR="00422215">
        <w:t xml:space="preserve"> </w:t>
      </w:r>
      <w:r w:rsidRPr="007D2C07">
        <w:t>2019.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proposed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allocations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International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Film</w:t>
      </w:r>
      <w:r w:rsidR="00422215">
        <w:t xml:space="preserve"> </w:t>
      </w:r>
      <w:r w:rsidRPr="007D2C07">
        <w:t>Institute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NOK</w:t>
      </w:r>
      <w:r w:rsidR="00422215">
        <w:t xml:space="preserve"> </w:t>
      </w:r>
      <w:r w:rsidRPr="007D2C07">
        <w:t>2.5</w:t>
      </w:r>
      <w:r w:rsidR="00422215">
        <w:t xml:space="preserve"> </w:t>
      </w:r>
      <w:r w:rsidRPr="007D2C07">
        <w:t>million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2020,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audio-visual</w:t>
      </w:r>
      <w:r w:rsidR="00422215">
        <w:t xml:space="preserve"> </w:t>
      </w:r>
      <w:r w:rsidRPr="007D2C07">
        <w:t>productions.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All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pupils</w:t>
      </w:r>
      <w:r w:rsidR="00422215">
        <w:t xml:space="preserve"> </w:t>
      </w:r>
      <w:r w:rsidRPr="007D2C07">
        <w:t>have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right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learn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wherever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live.</w:t>
      </w:r>
      <w:r w:rsidR="00422215">
        <w:t xml:space="preserve"> </w:t>
      </w:r>
      <w:r w:rsidRPr="007D2C07">
        <w:t>If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than</w:t>
      </w:r>
      <w:r w:rsidR="00422215">
        <w:t xml:space="preserve"> </w:t>
      </w:r>
      <w:r w:rsidRPr="007D2C07">
        <w:t>ten</w:t>
      </w:r>
      <w:r w:rsidR="00422215">
        <w:t xml:space="preserve"> </w:t>
      </w:r>
      <w:r w:rsidRPr="007D2C07">
        <w:t>non-Sami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municipality</w:t>
      </w:r>
      <w:r w:rsidR="00422215">
        <w:t xml:space="preserve"> </w:t>
      </w:r>
      <w:r w:rsidRPr="007D2C07">
        <w:t>would</w:t>
      </w:r>
      <w:r w:rsidR="00422215">
        <w:t xml:space="preserve"> </w:t>
      </w:r>
      <w:r w:rsidRPr="007D2C07">
        <w:t>like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learn</w:t>
      </w:r>
      <w:r w:rsidR="00422215">
        <w:t xml:space="preserve"> </w:t>
      </w:r>
      <w:r w:rsidRPr="007D2C07">
        <w:t>Sami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receive</w:t>
      </w:r>
      <w:r w:rsidR="00422215">
        <w:t xml:space="preserve"> </w:t>
      </w:r>
      <w:r w:rsidRPr="007D2C07">
        <w:t>instruction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Sami,</w:t>
      </w:r>
      <w:r w:rsidR="00422215">
        <w:t xml:space="preserve"> </w:t>
      </w:r>
      <w:r w:rsidRPr="007D2C07">
        <w:t>they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do</w:t>
      </w:r>
      <w:r w:rsidR="00422215">
        <w:t xml:space="preserve"> </w:t>
      </w:r>
      <w:r w:rsidRPr="007D2C07">
        <w:t>so.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Pupils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a</w:t>
      </w:r>
      <w:r w:rsidR="00422215">
        <w:t xml:space="preserve"> </w:t>
      </w:r>
      <w:proofErr w:type="spellStart"/>
      <w:r w:rsidRPr="007D2C07">
        <w:t>Kven</w:t>
      </w:r>
      <w:proofErr w:type="spellEnd"/>
      <w:r w:rsidRPr="007D2C07">
        <w:t>/Norwegian</w:t>
      </w:r>
      <w:r w:rsidR="00422215">
        <w:t xml:space="preserve"> </w:t>
      </w:r>
      <w:r w:rsidRPr="007D2C07">
        <w:t>Finn</w:t>
      </w:r>
      <w:r w:rsidR="00422215">
        <w:t xml:space="preserve"> </w:t>
      </w:r>
      <w:r w:rsidRPr="007D2C07">
        <w:t>background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live</w:t>
      </w:r>
      <w:r w:rsidR="00422215">
        <w:t xml:space="preserve"> </w:t>
      </w:r>
      <w:r w:rsidRPr="007D2C07">
        <w:t>in</w:t>
      </w:r>
      <w:r w:rsidR="00422215">
        <w:t xml:space="preserve"> </w:t>
      </w:r>
      <w:proofErr w:type="spellStart"/>
      <w:r w:rsidRPr="007D2C07">
        <w:t>Finnmark</w:t>
      </w:r>
      <w:proofErr w:type="spellEnd"/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Troms</w:t>
      </w:r>
      <w:r w:rsidR="00422215">
        <w:t xml:space="preserve"> </w:t>
      </w:r>
      <w:proofErr w:type="gramStart"/>
      <w:r w:rsidRPr="007D2C07">
        <w:t>county</w:t>
      </w:r>
      <w:proofErr w:type="gramEnd"/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entitled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instruction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Finnish</w:t>
      </w:r>
      <w:r w:rsidR="00422215">
        <w:t xml:space="preserve"> </w:t>
      </w:r>
      <w:r w:rsidRPr="007D2C07">
        <w:t>or</w:t>
      </w:r>
      <w:r w:rsidR="00422215">
        <w:t xml:space="preserve"> </w:t>
      </w:r>
      <w:proofErr w:type="spellStart"/>
      <w:r w:rsidRPr="007D2C07">
        <w:t>Kven</w:t>
      </w:r>
      <w:proofErr w:type="spellEnd"/>
      <w:r w:rsidRPr="007D2C07">
        <w:t>,</w:t>
      </w:r>
      <w:r w:rsidR="00422215">
        <w:t xml:space="preserve"> </w:t>
      </w:r>
      <w:r w:rsidRPr="007D2C07">
        <w:t>according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Education</w:t>
      </w:r>
      <w:r w:rsidR="00422215">
        <w:t xml:space="preserve"> </w:t>
      </w:r>
      <w:r w:rsidRPr="007D2C07">
        <w:t>Act.</w:t>
      </w:r>
      <w:r w:rsidR="00422215">
        <w:t xml:space="preserve"> </w:t>
      </w:r>
    </w:p>
    <w:p w:rsidR="00EC1971" w:rsidRDefault="00EC1971" w:rsidP="002E075E">
      <w:pPr>
        <w:pStyle w:val="H1G"/>
      </w:pPr>
      <w:r>
        <w:tab/>
      </w:r>
      <w:r>
        <w:tab/>
      </w:r>
      <w:r w:rsidRPr="00341318">
        <w:t>Reply</w:t>
      </w:r>
      <w:r w:rsidR="00422215">
        <w:t xml:space="preserve"> </w:t>
      </w:r>
      <w:r w:rsidRPr="00341318">
        <w:t>to</w:t>
      </w:r>
      <w:r w:rsidR="00422215">
        <w:t xml:space="preserve"> </w:t>
      </w:r>
      <w:r w:rsidRPr="00341318">
        <w:t>paragraph</w:t>
      </w:r>
      <w:r w:rsidR="00422215">
        <w:t xml:space="preserve"> </w:t>
      </w:r>
      <w:r>
        <w:t>32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the</w:t>
      </w:r>
      <w:r w:rsidR="00422215">
        <w:t xml:space="preserve"> </w:t>
      </w:r>
      <w:r w:rsidRPr="00341318">
        <w:t>list</w:t>
      </w:r>
      <w:r w:rsidR="00422215">
        <w:t xml:space="preserve"> </w:t>
      </w:r>
      <w:r w:rsidRPr="00341318">
        <w:t>of</w:t>
      </w:r>
      <w:r w:rsidR="00422215">
        <w:t xml:space="preserve"> </w:t>
      </w:r>
      <w:r w:rsidRPr="00341318">
        <w:t>issues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</w:t>
      </w:r>
      <w:r w:rsidR="00422215">
        <w:t xml:space="preserve"> </w:t>
      </w:r>
      <w:r w:rsidRPr="007D2C07">
        <w:t>new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entered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2018.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Act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mostly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continuation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previous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legislation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2013,</w:t>
      </w:r>
      <w:r w:rsidR="00422215">
        <w:t xml:space="preserve"> </w:t>
      </w:r>
      <w:r w:rsidRPr="007D2C07">
        <w:t>but</w:t>
      </w:r>
      <w:r w:rsidR="00422215">
        <w:t xml:space="preserve"> </w:t>
      </w:r>
      <w:r w:rsidRPr="007D2C07">
        <w:t>strengthens</w:t>
      </w:r>
      <w:r w:rsidR="00422215">
        <w:t xml:space="preserve"> </w:t>
      </w:r>
      <w:r w:rsidRPr="007D2C07">
        <w:t>protection</w:t>
      </w:r>
      <w:r w:rsidR="00422215">
        <w:t xml:space="preserve"> </w:t>
      </w:r>
      <w:r w:rsidRPr="007D2C07">
        <w:t>against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providing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coherent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accessible</w:t>
      </w:r>
      <w:r w:rsidR="00422215">
        <w:t xml:space="preserve"> </w:t>
      </w:r>
      <w:r w:rsidRPr="007D2C07">
        <w:t>regulation,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by</w:t>
      </w:r>
      <w:r w:rsidR="00422215">
        <w:t xml:space="preserve"> </w:t>
      </w:r>
      <w:r w:rsidRPr="007D2C07">
        <w:t>imposing</w:t>
      </w:r>
      <w:r w:rsidR="00422215">
        <w:t xml:space="preserve"> </w:t>
      </w:r>
      <w:r w:rsidRPr="007D2C07">
        <w:t>more</w:t>
      </w:r>
      <w:r w:rsidR="00422215">
        <w:t xml:space="preserve"> </w:t>
      </w:r>
      <w:r w:rsidRPr="007D2C07">
        <w:t>concrete</w:t>
      </w:r>
      <w:r w:rsidR="00422215">
        <w:t xml:space="preserve"> </w:t>
      </w:r>
      <w:r w:rsidRPr="007D2C07">
        <w:t>duties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certain</w:t>
      </w:r>
      <w:r w:rsidR="00422215">
        <w:t xml:space="preserve"> </w:t>
      </w:r>
      <w:r w:rsidRPr="007D2C07">
        <w:t>employers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employ</w:t>
      </w:r>
      <w:r w:rsidR="00422215">
        <w:t xml:space="preserve"> </w:t>
      </w:r>
      <w:r w:rsidRPr="007D2C07">
        <w:t>active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efforts.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enforcement</w:t>
      </w:r>
      <w:r w:rsidR="00422215">
        <w:t xml:space="preserve"> </w:t>
      </w:r>
      <w:r w:rsidRPr="007D2C07">
        <w:t>system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reorganised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2018.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changes</w:t>
      </w:r>
      <w:r w:rsidR="00422215">
        <w:t xml:space="preserve"> </w:t>
      </w:r>
      <w:r w:rsidRPr="007D2C07">
        <w:t>strengthened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Ombudsman's</w:t>
      </w:r>
      <w:r w:rsidR="00422215">
        <w:t xml:space="preserve"> </w:t>
      </w:r>
      <w:r w:rsidRPr="007D2C07">
        <w:t>role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proactive</w:t>
      </w:r>
      <w:r w:rsidR="00422215">
        <w:t xml:space="preserve"> </w:t>
      </w:r>
      <w:r w:rsidRPr="007D2C07">
        <w:t>agent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opportunities,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Tribunal</w:t>
      </w:r>
      <w:r w:rsidR="00422215">
        <w:t xml:space="preserve"> </w:t>
      </w:r>
      <w:r w:rsidRPr="007D2C07">
        <w:t>was</w:t>
      </w:r>
      <w:r w:rsidR="00422215">
        <w:t xml:space="preserve"> </w:t>
      </w:r>
      <w:r w:rsidRPr="007D2C07">
        <w:t>given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authority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award</w:t>
      </w:r>
      <w:r w:rsidR="00422215">
        <w:t xml:space="preserve"> </w:t>
      </w:r>
      <w:r w:rsidRPr="007D2C07">
        <w:t>redress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cases</w:t>
      </w:r>
      <w:r w:rsidR="00422215">
        <w:t xml:space="preserve"> </w:t>
      </w:r>
      <w:r w:rsidRPr="007D2C07">
        <w:t>within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compensation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simple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remedies</w:t>
      </w:r>
      <w:r w:rsidR="00422215">
        <w:t xml:space="preserve"> </w:t>
      </w:r>
      <w:r w:rsidRPr="007D2C07">
        <w:t>are</w:t>
      </w:r>
      <w:r w:rsidR="00422215">
        <w:t xml:space="preserve"> </w:t>
      </w:r>
      <w:r w:rsidRPr="007D2C07">
        <w:t>available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persons</w:t>
      </w:r>
      <w:r w:rsidR="00422215">
        <w:t xml:space="preserve"> </w:t>
      </w:r>
      <w:r w:rsidRPr="007D2C07">
        <w:t>who</w:t>
      </w:r>
      <w:r w:rsidR="00422215">
        <w:t xml:space="preserve"> </w:t>
      </w:r>
      <w:r w:rsidRPr="007D2C07">
        <w:t>claim</w:t>
      </w:r>
      <w:r w:rsidR="00422215">
        <w:t xml:space="preserve"> </w:t>
      </w:r>
      <w:r w:rsidRPr="007D2C07">
        <w:t>protection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their</w:t>
      </w:r>
      <w:r w:rsidR="00422215">
        <w:t xml:space="preserve"> </w:t>
      </w:r>
      <w:r w:rsidRPr="007D2C07">
        <w:t>rights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Convention.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proofErr w:type="spellStart"/>
      <w:r w:rsidRPr="007D2C07">
        <w:t>Storting</w:t>
      </w:r>
      <w:proofErr w:type="spellEnd"/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enacted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extension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Anti-Discrimination</w:t>
      </w:r>
      <w:r w:rsidR="00422215">
        <w:t xml:space="preserve"> </w:t>
      </w:r>
      <w:r w:rsidRPr="007D2C07">
        <w:t>Tribunal's</w:t>
      </w:r>
      <w:r w:rsidR="00422215">
        <w:t xml:space="preserve"> </w:t>
      </w:r>
      <w:r w:rsidRPr="007D2C07">
        <w:t>authority,</w:t>
      </w:r>
      <w:r w:rsidR="00422215">
        <w:t xml:space="preserve"> </w:t>
      </w:r>
      <w:r w:rsidRPr="007D2C07">
        <w:t>so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it</w:t>
      </w:r>
      <w:r w:rsidR="00422215">
        <w:t xml:space="preserve"> </w:t>
      </w:r>
      <w:r w:rsidRPr="007D2C07">
        <w:t>can</w:t>
      </w:r>
      <w:r w:rsidR="00422215">
        <w:t xml:space="preserve"> </w:t>
      </w:r>
      <w:r w:rsidRPr="007D2C07">
        <w:t>consider</w:t>
      </w:r>
      <w:r w:rsidR="00422215">
        <w:t xml:space="preserve"> </w:t>
      </w:r>
      <w:r w:rsidRPr="007D2C07">
        <w:t>sexual</w:t>
      </w:r>
      <w:r w:rsidR="00422215">
        <w:t xml:space="preserve"> </w:t>
      </w:r>
      <w:r w:rsidRPr="007D2C07">
        <w:t>harassment</w:t>
      </w:r>
      <w:r w:rsidR="00422215">
        <w:t xml:space="preserve"> </w:t>
      </w:r>
      <w:r w:rsidRPr="007D2C07">
        <w:t>cases.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amendment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enter</w:t>
      </w:r>
      <w:r w:rsidR="00422215">
        <w:t xml:space="preserve"> </w:t>
      </w:r>
      <w:r w:rsidRPr="007D2C07">
        <w:t>into</w:t>
      </w:r>
      <w:r w:rsidR="00422215">
        <w:t xml:space="preserve"> </w:t>
      </w:r>
      <w:r w:rsidRPr="007D2C07">
        <w:t>force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1</w:t>
      </w:r>
      <w:r w:rsidR="00422215">
        <w:t xml:space="preserve"> </w:t>
      </w:r>
      <w:r w:rsidRPr="007D2C07">
        <w:t>January</w:t>
      </w:r>
      <w:r w:rsidR="00422215">
        <w:t xml:space="preserve"> </w:t>
      </w:r>
      <w:r w:rsidRPr="007D2C07">
        <w:t>2020.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Culture</w:t>
      </w:r>
      <w:r w:rsidR="00422215">
        <w:t xml:space="preserve"> </w:t>
      </w:r>
      <w:r w:rsidRPr="007D2C07">
        <w:t>aims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safeguard</w:t>
      </w:r>
      <w:r w:rsidR="00422215">
        <w:t xml:space="preserve"> </w:t>
      </w:r>
      <w:r w:rsidRPr="007D2C07">
        <w:t>equal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culture,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debate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e.g.</w:t>
      </w:r>
      <w:r w:rsidR="00422215">
        <w:t xml:space="preserve"> </w:t>
      </w:r>
      <w:r w:rsidRPr="007D2C07">
        <w:t>access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books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media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marginalised</w:t>
      </w:r>
      <w:r w:rsidR="00422215">
        <w:t xml:space="preserve"> </w:t>
      </w:r>
      <w:r w:rsidRPr="007D2C07">
        <w:t>groups.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National</w:t>
      </w:r>
      <w:r w:rsidR="00422215">
        <w:t xml:space="preserve"> </w:t>
      </w:r>
      <w:r w:rsidRPr="007D2C07">
        <w:t>library</w:t>
      </w:r>
      <w:r w:rsidR="00422215">
        <w:t xml:space="preserve"> </w:t>
      </w:r>
      <w:r w:rsidRPr="007D2C07">
        <w:t>administrates</w:t>
      </w:r>
      <w:r w:rsidR="00422215">
        <w:t xml:space="preserve"> </w:t>
      </w:r>
      <w:r w:rsidRPr="007D2C07">
        <w:t>funds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order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develop</w:t>
      </w:r>
      <w:r w:rsidR="00422215">
        <w:t xml:space="preserve"> </w:t>
      </w:r>
      <w:r w:rsidRPr="007D2C07">
        <w:t>library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prison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deaf/visually</w:t>
      </w:r>
      <w:r w:rsidR="00422215">
        <w:t xml:space="preserve"> </w:t>
      </w:r>
      <w:r w:rsidRPr="007D2C07">
        <w:t>impaired.</w:t>
      </w:r>
      <w:r w:rsidR="00422215">
        <w:t xml:space="preserve"> </w:t>
      </w:r>
      <w:r w:rsidRPr="007D2C07">
        <w:t>Sign</w:t>
      </w:r>
      <w:r w:rsidR="00422215">
        <w:t xml:space="preserve"> </w:t>
      </w:r>
      <w:r w:rsidRPr="007D2C07">
        <w:t>language</w:t>
      </w:r>
      <w:r w:rsidR="00422215">
        <w:t xml:space="preserve"> </w:t>
      </w:r>
      <w:r w:rsidRPr="007D2C07">
        <w:t>users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classify</w:t>
      </w:r>
      <w:r w:rsidR="00422215">
        <w:t xml:space="preserve"> </w:t>
      </w:r>
      <w:r w:rsidRPr="007D2C07">
        <w:t>as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marginalised</w:t>
      </w:r>
      <w:r w:rsidR="00422215">
        <w:t xml:space="preserve"> </w:t>
      </w:r>
      <w:r w:rsidRPr="007D2C07">
        <w:t>or</w:t>
      </w:r>
      <w:r w:rsidR="00422215">
        <w:t xml:space="preserve"> </w:t>
      </w:r>
      <w:r w:rsidRPr="007D2C07">
        <w:t>disadvantaged</w:t>
      </w:r>
      <w:r w:rsidR="00422215">
        <w:t xml:space="preserve"> </w:t>
      </w:r>
      <w:r w:rsidRPr="007D2C07">
        <w:t>group.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Association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Deaf</w:t>
      </w:r>
      <w:r w:rsidR="00422215">
        <w:t xml:space="preserve"> </w:t>
      </w:r>
      <w:r w:rsidRPr="007D2C07">
        <w:t>receives</w:t>
      </w:r>
      <w:r w:rsidR="00422215">
        <w:t xml:space="preserve"> </w:t>
      </w:r>
      <w:r w:rsidRPr="007D2C07">
        <w:t>grants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Culture.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collaboration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community,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created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best</w:t>
      </w:r>
      <w:r w:rsidR="00422215">
        <w:t xml:space="preserve"> </w:t>
      </w:r>
      <w:r w:rsidRPr="007D2C07">
        <w:t>practice</w:t>
      </w:r>
      <w:r w:rsidR="00422215">
        <w:t xml:space="preserve"> </w:t>
      </w:r>
      <w:r w:rsidRPr="007D2C07">
        <w:t>list</w:t>
      </w:r>
      <w:r w:rsidR="00422215">
        <w:t xml:space="preserve"> </w:t>
      </w:r>
      <w:r w:rsidRPr="00B60509">
        <w:t>entitled</w:t>
      </w:r>
      <w:r w:rsidR="00422215" w:rsidRPr="00B60509">
        <w:t xml:space="preserve"> </w:t>
      </w:r>
      <w:hyperlink r:id="rId12" w:history="1">
        <w:r w:rsidRPr="00B60509">
          <w:rPr>
            <w:rStyle w:val="Hyperlink"/>
            <w:color w:val="auto"/>
          </w:rPr>
          <w:t>“How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to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achieve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gender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balance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at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the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top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in</w:t>
        </w:r>
        <w:r w:rsidR="00422215" w:rsidRPr="00B60509">
          <w:rPr>
            <w:rStyle w:val="Hyperlink"/>
            <w:color w:val="auto"/>
          </w:rPr>
          <w:t xml:space="preserve"> </w:t>
        </w:r>
        <w:r w:rsidRPr="00B60509">
          <w:rPr>
            <w:rStyle w:val="Hyperlink"/>
            <w:color w:val="auto"/>
          </w:rPr>
          <w:t>business”,</w:t>
        </w:r>
      </w:hyperlink>
      <w:r w:rsidR="00422215" w:rsidRPr="00B60509">
        <w:t xml:space="preserve"> </w:t>
      </w:r>
      <w:r w:rsidRPr="00B60509">
        <w:t>with</w:t>
      </w:r>
      <w:r w:rsidR="00422215" w:rsidRPr="00B60509">
        <w:t xml:space="preserve"> </w:t>
      </w:r>
      <w:r w:rsidRPr="007D2C07">
        <w:t>advice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guidelines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most</w:t>
      </w:r>
      <w:r w:rsidR="00422215">
        <w:t xml:space="preserve"> </w:t>
      </w:r>
      <w:r w:rsidRPr="007D2C07">
        <w:t>important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better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balance</w:t>
      </w:r>
      <w:r w:rsidR="00422215">
        <w:t xml:space="preserve"> </w:t>
      </w:r>
      <w:r w:rsidRPr="007D2C07">
        <w:t>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top.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list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result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several</w:t>
      </w:r>
      <w:r w:rsidR="00422215">
        <w:t xml:space="preserve"> </w:t>
      </w:r>
      <w:r w:rsidRPr="007D2C07">
        <w:t>roundtable</w:t>
      </w:r>
      <w:r w:rsidR="00422215">
        <w:t xml:space="preserve"> </w:t>
      </w:r>
      <w:r w:rsidRPr="007D2C07">
        <w:t>discussions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former</w:t>
      </w:r>
      <w:r w:rsidR="00422215">
        <w:t xml:space="preserve"> </w:t>
      </w:r>
      <w:r w:rsidRPr="007D2C07">
        <w:t>Ministry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Children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Minister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Trade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Industry</w:t>
      </w:r>
      <w:r w:rsidR="00422215">
        <w:t xml:space="preserve"> </w:t>
      </w:r>
      <w:r w:rsidRPr="007D2C07">
        <w:t>hosted</w:t>
      </w:r>
      <w:r w:rsidR="00422215">
        <w:t xml:space="preserve"> </w:t>
      </w:r>
      <w:r w:rsidRPr="007D2C07">
        <w:t>with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leaders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other</w:t>
      </w:r>
      <w:r w:rsidR="00422215">
        <w:t xml:space="preserve"> </w:t>
      </w:r>
      <w:r w:rsidRPr="007D2C07">
        <w:t>relevant</w:t>
      </w:r>
      <w:r w:rsidR="00422215">
        <w:t xml:space="preserve"> </w:t>
      </w:r>
      <w:r w:rsidRPr="007D2C07">
        <w:t>representatives</w:t>
      </w:r>
      <w:r w:rsidR="00422215">
        <w:t xml:space="preserve"> </w:t>
      </w:r>
      <w:r w:rsidRPr="007D2C07">
        <w:t>from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business</w:t>
      </w:r>
      <w:r w:rsidR="00422215">
        <w:t xml:space="preserve"> </w:t>
      </w:r>
      <w:r w:rsidRPr="007D2C07">
        <w:t>sector.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list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been</w:t>
      </w:r>
      <w:r w:rsidR="00422215">
        <w:t xml:space="preserve"> </w:t>
      </w:r>
      <w:r w:rsidRPr="007D2C07">
        <w:t>distributed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500</w:t>
      </w:r>
      <w:r w:rsidR="00422215">
        <w:t xml:space="preserve"> </w:t>
      </w:r>
      <w:r w:rsidRPr="007D2C07">
        <w:t>largest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companies.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The</w:t>
      </w:r>
      <w:r w:rsidR="00422215">
        <w:t xml:space="preserve"> </w:t>
      </w:r>
      <w:r w:rsidRPr="007D2C07">
        <w:t>Norwegian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Children,</w:t>
      </w:r>
      <w:r w:rsidR="00422215">
        <w:t xml:space="preserve"> </w:t>
      </w:r>
      <w:r w:rsidRPr="007D2C07">
        <w:t>Youth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Family</w:t>
      </w:r>
      <w:r w:rsidR="00422215">
        <w:t xml:space="preserve"> </w:t>
      </w:r>
      <w:r w:rsidRPr="007D2C07">
        <w:t>Affairs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committed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strengthening</w:t>
      </w:r>
      <w:r w:rsidR="00422215">
        <w:t xml:space="preserve"> </w:t>
      </w:r>
      <w:r w:rsidRPr="007D2C07">
        <w:t>competence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area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racism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discrimination,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developing</w:t>
      </w:r>
      <w:r w:rsidR="00422215">
        <w:t xml:space="preserve"> </w:t>
      </w:r>
      <w:r w:rsidRPr="007D2C07">
        <w:t>indicators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discrimination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gender</w:t>
      </w:r>
      <w:r w:rsidR="00422215">
        <w:t xml:space="preserve"> </w:t>
      </w:r>
      <w:r w:rsidRPr="007D2C07">
        <w:t>equality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religious</w:t>
      </w:r>
      <w:r w:rsidR="00422215">
        <w:t xml:space="preserve"> </w:t>
      </w:r>
      <w:r w:rsidRPr="007D2C07">
        <w:t>minorities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Norway.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Directorate</w:t>
      </w:r>
      <w:r w:rsidR="00422215">
        <w:t xml:space="preserve"> </w:t>
      </w:r>
      <w:r w:rsidRPr="007D2C07">
        <w:t>also</w:t>
      </w:r>
      <w:r w:rsidR="00422215">
        <w:t xml:space="preserve"> </w:t>
      </w:r>
      <w:r w:rsidRPr="007D2C07">
        <w:t>leads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forum</w:t>
      </w:r>
      <w:r w:rsidR="00422215">
        <w:t xml:space="preserve"> </w:t>
      </w:r>
      <w:r w:rsidRPr="007D2C07">
        <w:t>on</w:t>
      </w:r>
      <w:r w:rsidR="00422215">
        <w:t xml:space="preserve"> </w:t>
      </w:r>
      <w:r w:rsidRPr="007D2C07">
        <w:t>Ethnic</w:t>
      </w:r>
      <w:r w:rsidR="00422215">
        <w:t xml:space="preserve"> </w:t>
      </w:r>
      <w:r w:rsidRPr="007D2C07">
        <w:t>Discrimination.</w:t>
      </w:r>
      <w:r w:rsidR="00422215">
        <w:t xml:space="preserve"> 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NAV</w:t>
      </w:r>
      <w:r w:rsidR="00422215">
        <w:t xml:space="preserve"> </w:t>
      </w:r>
      <w:r w:rsidRPr="007D2C07">
        <w:t>works</w:t>
      </w:r>
      <w:r w:rsidR="00422215">
        <w:t xml:space="preserve"> </w:t>
      </w:r>
      <w:r w:rsidRPr="007D2C07">
        <w:t>continually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systematically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offer</w:t>
      </w:r>
      <w:r w:rsidR="00422215">
        <w:t xml:space="preserve"> </w:t>
      </w:r>
      <w:r w:rsidRPr="007D2C07">
        <w:t>good</w:t>
      </w:r>
      <w:r w:rsidR="00422215">
        <w:t xml:space="preserve"> </w:t>
      </w:r>
      <w:r w:rsidRPr="007D2C07">
        <w:t>services</w:t>
      </w:r>
      <w:r w:rsidR="00422215">
        <w:t xml:space="preserve"> </w:t>
      </w:r>
      <w:r w:rsidRPr="007D2C07">
        <w:t>tailored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users'</w:t>
      </w:r>
      <w:r w:rsidR="00422215">
        <w:t xml:space="preserve"> </w:t>
      </w:r>
      <w:r w:rsidRPr="007D2C07">
        <w:t>needs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circumstances.</w:t>
      </w:r>
      <w:r w:rsidR="00422215">
        <w:t xml:space="preserve"> </w:t>
      </w:r>
      <w:r w:rsidRPr="007D2C07">
        <w:t>NAV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currently</w:t>
      </w:r>
      <w:r w:rsidR="00422215">
        <w:t xml:space="preserve"> </w:t>
      </w:r>
      <w:r w:rsidRPr="007D2C07">
        <w:t>undergoing</w:t>
      </w:r>
      <w:r w:rsidR="00422215">
        <w:t xml:space="preserve"> </w:t>
      </w:r>
      <w:r w:rsidRPr="007D2C07">
        <w:t>extensive</w:t>
      </w:r>
      <w:r w:rsidR="00422215">
        <w:t xml:space="preserve"> </w:t>
      </w:r>
      <w:r w:rsidRPr="007D2C07">
        <w:t>modernisation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ICT</w:t>
      </w:r>
      <w:r w:rsidR="00422215">
        <w:t xml:space="preserve"> </w:t>
      </w:r>
      <w:r w:rsidRPr="007D2C07">
        <w:t>systems</w:t>
      </w:r>
      <w:r w:rsidR="00422215">
        <w:t xml:space="preserve"> </w:t>
      </w:r>
      <w:r w:rsidRPr="007D2C07">
        <w:t>used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administration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benefits,</w:t>
      </w:r>
      <w:r w:rsidR="00422215">
        <w:t xml:space="preserve"> </w:t>
      </w:r>
      <w:r w:rsidRPr="007D2C07">
        <w:t>which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result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automatic</w:t>
      </w:r>
      <w:r w:rsidR="00422215">
        <w:t xml:space="preserve"> </w:t>
      </w:r>
      <w:r w:rsidRPr="007D2C07">
        <w:t>case</w:t>
      </w:r>
      <w:r w:rsidR="00422215">
        <w:t xml:space="preserve"> </w:t>
      </w:r>
      <w:r w:rsidRPr="007D2C07">
        <w:t>processing.</w:t>
      </w:r>
      <w:r w:rsidR="00422215">
        <w:t xml:space="preserve"> </w:t>
      </w:r>
      <w:r w:rsidRPr="007D2C07">
        <w:t>Simultaneously,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digital</w:t>
      </w:r>
      <w:r w:rsidR="00422215">
        <w:t xml:space="preserve"> </w:t>
      </w:r>
      <w:r w:rsidRPr="007D2C07">
        <w:t>transformation</w:t>
      </w:r>
      <w:r w:rsidR="00422215">
        <w:t xml:space="preserve"> </w:t>
      </w:r>
      <w:r w:rsidRPr="007D2C07">
        <w:t>is</w:t>
      </w:r>
      <w:r w:rsidR="00422215">
        <w:t xml:space="preserve"> </w:t>
      </w:r>
      <w:r w:rsidRPr="007D2C07">
        <w:t>underway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improve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simplify</w:t>
      </w:r>
      <w:r w:rsidR="00422215">
        <w:t xml:space="preserve"> </w:t>
      </w:r>
      <w:r w:rsidRPr="007D2C07">
        <w:t>communication</w:t>
      </w:r>
      <w:r w:rsidR="00422215">
        <w:t xml:space="preserve"> </w:t>
      </w:r>
      <w:r w:rsidRPr="007D2C07">
        <w:t>between</w:t>
      </w:r>
      <w:r w:rsidR="00422215">
        <w:t xml:space="preserve"> </w:t>
      </w:r>
      <w:r w:rsidRPr="007D2C07">
        <w:t>NAV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general</w:t>
      </w:r>
      <w:r w:rsidR="00422215">
        <w:t xml:space="preserve"> </w:t>
      </w:r>
      <w:r w:rsidRPr="007D2C07">
        <w:t>public.</w:t>
      </w:r>
      <w:r w:rsidR="00422215">
        <w:t xml:space="preserve"> </w:t>
      </w:r>
      <w:r w:rsidRPr="007D2C07">
        <w:t>These</w:t>
      </w:r>
      <w:r w:rsidR="00422215">
        <w:t xml:space="preserve"> </w:t>
      </w:r>
      <w:r w:rsidRPr="007D2C07">
        <w:t>measures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reduce</w:t>
      </w:r>
      <w:r w:rsidR="00422215">
        <w:t xml:space="preserve"> </w:t>
      </w:r>
      <w:r w:rsidRPr="007D2C07">
        <w:t>administration</w:t>
      </w:r>
      <w:r w:rsidR="00422215">
        <w:t xml:space="preserve"> </w:t>
      </w:r>
      <w:r w:rsidRPr="007D2C07">
        <w:t>resources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increase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availability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resources</w:t>
      </w:r>
      <w:r w:rsidR="00422215">
        <w:t xml:space="preserve"> </w:t>
      </w:r>
      <w:r w:rsidRPr="007D2C07">
        <w:t>for</w:t>
      </w:r>
      <w:r w:rsidR="00422215">
        <w:t xml:space="preserve"> </w:t>
      </w:r>
      <w:r w:rsidRPr="007D2C07">
        <w:t>follow-up</w:t>
      </w:r>
      <w:r w:rsidR="00422215">
        <w:t xml:space="preserve"> </w:t>
      </w:r>
      <w:r w:rsidRPr="007D2C07">
        <w:t>activities.</w:t>
      </w:r>
    </w:p>
    <w:p w:rsidR="007D2C07" w:rsidRPr="007D2C07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In</w:t>
      </w:r>
      <w:r w:rsidR="00422215">
        <w:t xml:space="preserve"> </w:t>
      </w:r>
      <w:r w:rsidRPr="007D2C07">
        <w:t>2018,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launched</w:t>
      </w:r>
      <w:r w:rsidR="00422215">
        <w:t xml:space="preserve"> </w:t>
      </w:r>
      <w:r w:rsidRPr="007D2C07">
        <w:t>an</w:t>
      </w:r>
      <w:r w:rsidR="00422215">
        <w:t xml:space="preserve"> </w:t>
      </w:r>
      <w:r w:rsidRPr="007D2C07">
        <w:t>integration</w:t>
      </w:r>
      <w:r w:rsidR="00422215">
        <w:t xml:space="preserve"> </w:t>
      </w:r>
      <w:r w:rsidRPr="007D2C07">
        <w:t>strategy</w:t>
      </w:r>
      <w:r w:rsidR="00422215">
        <w:t xml:space="preserve"> </w:t>
      </w:r>
      <w:r w:rsidRPr="007D2C07">
        <w:t>that</w:t>
      </w:r>
      <w:r w:rsidR="00422215">
        <w:t xml:space="preserve"> </w:t>
      </w:r>
      <w:r w:rsidRPr="007D2C07">
        <w:t>shows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direction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Government’s</w:t>
      </w:r>
      <w:r w:rsidR="00422215">
        <w:t xml:space="preserve"> </w:t>
      </w:r>
      <w:r w:rsidRPr="007D2C07">
        <w:t>integration</w:t>
      </w:r>
      <w:r w:rsidR="00422215">
        <w:t xml:space="preserve"> </w:t>
      </w:r>
      <w:r w:rsidRPr="007D2C07">
        <w:t>policy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how</w:t>
      </w:r>
      <w:r w:rsidR="00422215">
        <w:t xml:space="preserve"> </w:t>
      </w:r>
      <w:r w:rsidRPr="007D2C07">
        <w:t>we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reach</w:t>
      </w:r>
      <w:r w:rsidR="00422215">
        <w:t xml:space="preserve"> </w:t>
      </w:r>
      <w:r w:rsidRPr="007D2C07">
        <w:t>our</w:t>
      </w:r>
      <w:r w:rsidR="00422215">
        <w:t xml:space="preserve"> </w:t>
      </w:r>
      <w:r w:rsidRPr="007D2C07">
        <w:t>goal</w:t>
      </w:r>
      <w:r w:rsidR="00422215">
        <w:t xml:space="preserve"> </w:t>
      </w:r>
      <w:r w:rsidRPr="007D2C07">
        <w:t>of</w:t>
      </w:r>
      <w:r w:rsidR="00422215">
        <w:t xml:space="preserve"> </w:t>
      </w:r>
      <w:r w:rsidRPr="007D2C07">
        <w:t>increasing</w:t>
      </w:r>
      <w:r w:rsidR="00422215">
        <w:t xml:space="preserve"> </w:t>
      </w:r>
      <w:r w:rsidRPr="007D2C07">
        <w:t>immigrants’</w:t>
      </w:r>
      <w:r w:rsidR="00422215">
        <w:t xml:space="preserve"> </w:t>
      </w:r>
      <w:r w:rsidRPr="007D2C07">
        <w:t>participation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working</w:t>
      </w:r>
      <w:r w:rsidR="00422215">
        <w:t xml:space="preserve"> </w:t>
      </w:r>
      <w:r w:rsidRPr="007D2C07">
        <w:t>life</w:t>
      </w:r>
      <w:r w:rsidR="00422215">
        <w:t xml:space="preserve"> </w:t>
      </w:r>
      <w:r w:rsidRPr="007D2C07">
        <w:t>and</w:t>
      </w:r>
      <w:r w:rsidR="00422215">
        <w:t xml:space="preserve"> </w:t>
      </w:r>
      <w:r w:rsidRPr="007D2C07">
        <w:t>society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general.</w:t>
      </w:r>
    </w:p>
    <w:p w:rsidR="007C7F59" w:rsidRDefault="007D2C07" w:rsidP="00764260">
      <w:pPr>
        <w:pStyle w:val="SingleTxtG"/>
        <w:numPr>
          <w:ilvl w:val="0"/>
          <w:numId w:val="35"/>
        </w:numPr>
        <w:ind w:left="1134" w:firstLine="0"/>
      </w:pPr>
      <w:r w:rsidRPr="007D2C07">
        <w:t>As</w:t>
      </w:r>
      <w:r w:rsidR="00422215">
        <w:t xml:space="preserve"> </w:t>
      </w:r>
      <w:r w:rsidRPr="007D2C07">
        <w:t>mentioned</w:t>
      </w:r>
      <w:r w:rsidR="00422215">
        <w:t xml:space="preserve"> </w:t>
      </w:r>
      <w:r w:rsidRPr="007D2C07">
        <w:t>under</w:t>
      </w:r>
      <w:r w:rsidR="00422215">
        <w:t xml:space="preserve"> </w:t>
      </w:r>
      <w:r w:rsidRPr="007D2C07">
        <w:t>question</w:t>
      </w:r>
      <w:r w:rsidR="00422215">
        <w:t xml:space="preserve"> </w:t>
      </w:r>
      <w:r w:rsidRPr="007D2C07">
        <w:t>6</w:t>
      </w:r>
      <w:r w:rsidR="00422215">
        <w:t xml:space="preserve"> </w:t>
      </w:r>
      <w:r w:rsidRPr="007D2C07">
        <w:t>above,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Government</w:t>
      </w:r>
      <w:r w:rsidR="00422215">
        <w:t xml:space="preserve"> </w:t>
      </w:r>
      <w:r w:rsidRPr="007D2C07">
        <w:t>has</w:t>
      </w:r>
      <w:r w:rsidR="00422215">
        <w:t xml:space="preserve"> </w:t>
      </w:r>
      <w:r w:rsidRPr="007D2C07">
        <w:t>appointed</w:t>
      </w:r>
      <w:r w:rsidR="00422215">
        <w:t xml:space="preserve"> </w:t>
      </w:r>
      <w:r w:rsidRPr="007D2C07">
        <w:t>a</w:t>
      </w:r>
      <w:r w:rsidR="00422215">
        <w:t xml:space="preserve"> </w:t>
      </w:r>
      <w:r w:rsidRPr="007D2C07">
        <w:t>public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to</w:t>
      </w:r>
      <w:r w:rsidR="00422215">
        <w:t xml:space="preserve"> </w:t>
      </w:r>
      <w:r w:rsidRPr="007D2C07">
        <w:t>review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legal</w:t>
      </w:r>
      <w:r w:rsidR="00422215">
        <w:t xml:space="preserve"> </w:t>
      </w:r>
      <w:r w:rsidRPr="007D2C07">
        <w:t>aid</w:t>
      </w:r>
      <w:r w:rsidR="00422215">
        <w:t xml:space="preserve"> </w:t>
      </w:r>
      <w:r w:rsidRPr="007D2C07">
        <w:t>scheme.</w:t>
      </w:r>
      <w:r w:rsidR="00422215">
        <w:t xml:space="preserve"> </w:t>
      </w:r>
      <w:r w:rsidRPr="007D2C07">
        <w:t>The</w:t>
      </w:r>
      <w:r w:rsidR="00422215">
        <w:t xml:space="preserve"> </w:t>
      </w:r>
      <w:r w:rsidRPr="007D2C07">
        <w:t>committee</w:t>
      </w:r>
      <w:r w:rsidR="00422215">
        <w:t xml:space="preserve"> </w:t>
      </w:r>
      <w:r w:rsidRPr="007D2C07">
        <w:t>will</w:t>
      </w:r>
      <w:r w:rsidR="00422215">
        <w:t xml:space="preserve"> </w:t>
      </w:r>
      <w:r w:rsidRPr="007D2C07">
        <w:t>complete</w:t>
      </w:r>
      <w:r w:rsidR="00422215">
        <w:t xml:space="preserve"> </w:t>
      </w:r>
      <w:r w:rsidRPr="007D2C07">
        <w:t>its</w:t>
      </w:r>
      <w:r w:rsidR="00422215">
        <w:t xml:space="preserve"> </w:t>
      </w:r>
      <w:r w:rsidRPr="007D2C07">
        <w:t>work</w:t>
      </w:r>
      <w:r w:rsidR="00422215">
        <w:t xml:space="preserve"> </w:t>
      </w:r>
      <w:r w:rsidRPr="007D2C07">
        <w:t>in</w:t>
      </w:r>
      <w:r w:rsidR="00422215">
        <w:t xml:space="preserve"> </w:t>
      </w:r>
      <w:r w:rsidRPr="007D2C07">
        <w:t>May</w:t>
      </w:r>
      <w:r w:rsidR="00422215">
        <w:t xml:space="preserve"> </w:t>
      </w:r>
      <w:r w:rsidRPr="007D2C07">
        <w:t>2020.</w:t>
      </w:r>
    </w:p>
    <w:p w:rsidR="00D94F8C" w:rsidRPr="00D94F8C" w:rsidRDefault="00D94F8C" w:rsidP="00D94F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1237">
        <w:rPr>
          <w:u w:val="single"/>
        </w:rPr>
        <w:tab/>
      </w:r>
    </w:p>
    <w:sectPr w:rsidR="00D94F8C" w:rsidRPr="00D94F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75" w:rsidRDefault="00147775"/>
  </w:endnote>
  <w:endnote w:type="continuationSeparator" w:id="0">
    <w:p w:rsidR="00147775" w:rsidRDefault="00147775">
      <w:pPr>
        <w:pStyle w:val="Footer"/>
      </w:pPr>
    </w:p>
  </w:endnote>
  <w:endnote w:type="continuationNotice" w:id="1">
    <w:p w:rsidR="00147775" w:rsidRDefault="00147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75" w:rsidRDefault="00147775">
    <w:pPr>
      <w:pStyle w:val="Footer"/>
      <w:tabs>
        <w:tab w:val="right" w:pos="9639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00511">
      <w:rPr>
        <w:b/>
        <w:noProof/>
        <w:sz w:val="18"/>
      </w:rPr>
      <w:t>8</w:t>
    </w:r>
    <w:r>
      <w:rPr>
        <w:b/>
        <w:sz w:val="18"/>
      </w:rPr>
      <w:fldChar w:fldCharType="end"/>
    </w:r>
    <w:r>
      <w:tab/>
    </w:r>
    <w:r>
      <w:fldChar w:fldCharType="begin"/>
    </w:r>
    <w:r>
      <w:instrText xml:space="preserve"> DOCPROPERTY  gdocf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75" w:rsidRDefault="00147775">
    <w:pPr>
      <w:pStyle w:val="Footer"/>
      <w:tabs>
        <w:tab w:val="right" w:pos="9639"/>
      </w:tabs>
      <w:rPr>
        <w:sz w:val="20"/>
      </w:rPr>
    </w:pPr>
    <w:r>
      <w:fldChar w:fldCharType="begin"/>
    </w:r>
    <w:r>
      <w:instrText xml:space="preserve"> DOCPROPERTY  gdocf  \* MERGEFORMAT </w:instrText>
    </w:r>
    <w:r>
      <w:fldChar w:fldCharType="end"/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00511"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75" w:rsidRDefault="00900511" w:rsidP="00900511">
    <w:pPr>
      <w:pStyle w:val="Footer"/>
      <w:spacing w:before="120"/>
      <w:rPr>
        <w:noProof/>
        <w:sz w:val="20"/>
        <w:lang w:eastAsia="fr-FR"/>
      </w:rPr>
    </w:pPr>
    <w:r w:rsidRPr="00900511">
      <w:rPr>
        <w:noProof/>
        <w:sz w:val="20"/>
        <w:lang w:eastAsia="zh-CN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775">
      <w:rPr>
        <w:noProof/>
        <w:sz w:val="20"/>
        <w:lang w:eastAsia="zh-CN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column">
            <wp:posOffset>5868670</wp:posOffset>
          </wp:positionH>
          <wp:positionV relativeFrom="paragraph">
            <wp:posOffset>9387840</wp:posOffset>
          </wp:positionV>
          <wp:extent cx="930275" cy="230505"/>
          <wp:effectExtent l="0" t="0" r="3175" b="0"/>
          <wp:wrapNone/>
          <wp:docPr id="7" name="Image 7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511" w:rsidRDefault="00900511" w:rsidP="00900511">
    <w:pPr>
      <w:pStyle w:val="Footer"/>
      <w:ind w:right="1134"/>
      <w:rPr>
        <w:noProof/>
        <w:sz w:val="20"/>
        <w:lang w:eastAsia="fr-FR"/>
      </w:rPr>
    </w:pPr>
    <w:r>
      <w:rPr>
        <w:noProof/>
        <w:sz w:val="20"/>
        <w:lang w:eastAsia="fr-FR"/>
      </w:rPr>
      <w:t>GE.19-20697(E)</w:t>
    </w:r>
  </w:p>
  <w:p w:rsidR="00900511" w:rsidRPr="00900511" w:rsidRDefault="00900511" w:rsidP="00900511">
    <w:pPr>
      <w:pStyle w:val="Footer"/>
      <w:ind w:right="1134"/>
      <w:rPr>
        <w:rFonts w:ascii="C39T30Lfz" w:hAnsi="C39T30Lfz"/>
        <w:noProof/>
        <w:sz w:val="56"/>
        <w:lang w:eastAsia="fr-FR"/>
      </w:rPr>
    </w:pPr>
    <w:r>
      <w:rPr>
        <w:rFonts w:ascii="C39T30Lfz" w:hAnsi="C39T30Lfz"/>
        <w:noProof/>
        <w:sz w:val="56"/>
        <w:lang w:eastAsia="fr-FR"/>
      </w:rPr>
      <w:t></w:t>
    </w:r>
    <w:r>
      <w:rPr>
        <w:rFonts w:ascii="C39T30Lfz" w:hAnsi="C39T30Lfz"/>
        <w:noProof/>
        <w:sz w:val="56"/>
        <w:lang w:eastAsia="fr-FR"/>
      </w:rPr>
      <w:t></w:t>
    </w:r>
    <w:r>
      <w:rPr>
        <w:rFonts w:ascii="C39T30Lfz" w:hAnsi="C39T30Lfz"/>
        <w:noProof/>
        <w:sz w:val="56"/>
        <w:lang w:eastAsia="fr-FR"/>
      </w:rPr>
      <w:t></w:t>
    </w:r>
    <w:r>
      <w:rPr>
        <w:rFonts w:ascii="C39T30Lfz" w:hAnsi="C39T30Lfz"/>
        <w:noProof/>
        <w:sz w:val="56"/>
        <w:lang w:eastAsia="fr-FR"/>
      </w:rPr>
      <w:t></w:t>
    </w:r>
    <w:r>
      <w:rPr>
        <w:rFonts w:ascii="C39T30Lfz" w:hAnsi="C39T30Lfz"/>
        <w:noProof/>
        <w:sz w:val="56"/>
        <w:lang w:eastAsia="fr-FR"/>
      </w:rPr>
      <w:t></w:t>
    </w:r>
    <w:r>
      <w:rPr>
        <w:rFonts w:ascii="C39T30Lfz" w:hAnsi="C39T30Lfz"/>
        <w:noProof/>
        <w:sz w:val="56"/>
        <w:lang w:eastAsia="fr-FR"/>
      </w:rPr>
      <w:t></w:t>
    </w:r>
    <w:r>
      <w:rPr>
        <w:rFonts w:ascii="C39T30Lfz" w:hAnsi="C39T30Lfz"/>
        <w:noProof/>
        <w:sz w:val="56"/>
        <w:lang w:eastAsia="fr-FR"/>
      </w:rPr>
      <w:t></w:t>
    </w:r>
    <w:r>
      <w:rPr>
        <w:rFonts w:ascii="C39T30Lfz" w:hAnsi="C39T30Lfz"/>
        <w:noProof/>
        <w:sz w:val="56"/>
        <w:lang w:eastAsia="fr-FR"/>
      </w:rPr>
      <w:t></w:t>
    </w:r>
    <w:r>
      <w:rPr>
        <w:rFonts w:ascii="C39T30Lfz" w:hAnsi="C39T30Lfz"/>
        <w:noProof/>
        <w:sz w:val="56"/>
        <w:lang w:eastAsia="fr-FR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/C.12/NOR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NOR/6&amp;Size=2 &amp;Lang=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75" w:rsidRDefault="00147775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7775" w:rsidRDefault="00147775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47775" w:rsidRDefault="00147775">
      <w:pPr>
        <w:rPr>
          <w:sz w:val="2"/>
          <w:szCs w:val="2"/>
        </w:rPr>
      </w:pPr>
    </w:p>
  </w:footnote>
  <w:footnote w:id="2">
    <w:p w:rsidR="00147775" w:rsidRDefault="00147775">
      <w:pPr>
        <w:pStyle w:val="FootnoteText"/>
        <w:rPr>
          <w:sz w:val="20"/>
        </w:rPr>
      </w:pPr>
      <w:r>
        <w:tab/>
      </w:r>
      <w:r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szCs w:val="18"/>
        </w:rPr>
        <w:t>The present document is being issued without formal editing.</w:t>
      </w:r>
    </w:p>
  </w:footnote>
  <w:footnote w:id="3">
    <w:p w:rsidR="00147775" w:rsidRPr="00BC2962" w:rsidRDefault="00147775" w:rsidP="009B4E2B">
      <w:pPr>
        <w:pStyle w:val="FootnoteText"/>
      </w:pPr>
      <w:r>
        <w:rPr>
          <w:rFonts w:ascii="Open Sans" w:hAnsi="Open Sans" w:cs="Open Sans"/>
        </w:rPr>
        <w:tab/>
      </w:r>
      <w:r w:rsidRPr="000E751B">
        <w:rPr>
          <w:rStyle w:val="FootnoteReference"/>
          <w:rFonts w:ascii="Open Sans" w:hAnsi="Open Sans" w:cs="Open Sans"/>
        </w:rPr>
        <w:footnoteRef/>
      </w:r>
      <w:r>
        <w:rPr>
          <w:rFonts w:ascii="Open Sans" w:hAnsi="Open Sans" w:cs="Open Sans"/>
        </w:rPr>
        <w:tab/>
      </w:r>
      <w:hyperlink r:id="rId1" w:history="1">
        <w:r w:rsidRPr="00BC2962">
          <w:t>https://www.</w:t>
        </w:r>
        <w:r w:rsidRPr="009B4E2B">
          <w:t>nbim</w:t>
        </w:r>
        <w:r w:rsidRPr="00BC2962">
          <w:t>.no/contentassets/0ff34e35ba1a44c3b6c2039466ccbec7/human-rights-expectations-document2.pdf</w:t>
        </w:r>
      </w:hyperlink>
      <w:r>
        <w:t>.</w:t>
      </w:r>
    </w:p>
  </w:footnote>
  <w:footnote w:id="4">
    <w:p w:rsidR="00147775" w:rsidRPr="00BC2962" w:rsidRDefault="00147775" w:rsidP="009B4E2B">
      <w:pPr>
        <w:pStyle w:val="FootnoteText"/>
      </w:pPr>
      <w:r>
        <w:rPr>
          <w:rFonts w:ascii="Open Sans" w:hAnsi="Open Sans" w:cs="Open Sans"/>
        </w:rPr>
        <w:tab/>
      </w:r>
      <w:r w:rsidRPr="00000D96">
        <w:rPr>
          <w:rStyle w:val="FootnoteReference"/>
          <w:rFonts w:ascii="Open Sans" w:hAnsi="Open Sans" w:cs="Open Sans"/>
        </w:rPr>
        <w:footnoteRef/>
      </w:r>
      <w:r>
        <w:rPr>
          <w:rFonts w:ascii="Open Sans" w:hAnsi="Open Sans" w:cs="Open Sans"/>
        </w:rPr>
        <w:tab/>
      </w:r>
      <w:hyperlink r:id="rId2" w:history="1">
        <w:r w:rsidRPr="00BC2962">
          <w:t>https://www.nbim.no/contentassets/f5f7addcb20945dfa3560183f6f89d01/childrens-rights-expectations.pdf</w:t>
        </w:r>
      </w:hyperlink>
      <w:r>
        <w:t>.</w:t>
      </w:r>
    </w:p>
  </w:footnote>
  <w:footnote w:id="5">
    <w:p w:rsidR="00147775" w:rsidRPr="00372F70" w:rsidRDefault="00147775" w:rsidP="009B4E2B">
      <w:pPr>
        <w:pStyle w:val="FootnoteText"/>
      </w:pPr>
      <w:r>
        <w:rPr>
          <w:rFonts w:ascii="Open Sans" w:hAnsi="Open Sans" w:cs="Open Sans"/>
        </w:rPr>
        <w:tab/>
      </w:r>
      <w:r w:rsidRPr="00E85CE5">
        <w:rPr>
          <w:rStyle w:val="FootnoteReference"/>
          <w:rFonts w:ascii="Open Sans" w:hAnsi="Open Sans" w:cs="Open Sans"/>
        </w:rPr>
        <w:footnoteRef/>
      </w:r>
      <w:r>
        <w:rPr>
          <w:rFonts w:ascii="Open Sans" w:hAnsi="Open Sans" w:cs="Open Sans"/>
        </w:rPr>
        <w:tab/>
      </w:r>
      <w:hyperlink r:id="rId3" w:history="1">
        <w:r w:rsidRPr="00372F70">
          <w:t>http://etikkradet.no/files/2017/04/Etikkraadet_Guidelines-_eng_2017_web.pdf</w:t>
        </w:r>
      </w:hyperlink>
      <w:r>
        <w:t>.</w:t>
      </w:r>
    </w:p>
  </w:footnote>
  <w:footnote w:id="6">
    <w:p w:rsidR="00147775" w:rsidRPr="00372F70" w:rsidRDefault="00147775" w:rsidP="009B4E2B">
      <w:pPr>
        <w:pStyle w:val="FootnoteText"/>
      </w:pPr>
      <w:r>
        <w:rPr>
          <w:rFonts w:ascii="Open Sans" w:hAnsi="Open Sans" w:cs="Open Sans"/>
        </w:rPr>
        <w:tab/>
      </w:r>
      <w:r w:rsidRPr="001B2BB5">
        <w:rPr>
          <w:rStyle w:val="FootnoteReference"/>
          <w:rFonts w:ascii="Open Sans" w:hAnsi="Open Sans" w:cs="Open Sans"/>
        </w:rPr>
        <w:footnoteRef/>
      </w:r>
      <w:r>
        <w:rPr>
          <w:rFonts w:ascii="Open Sans" w:hAnsi="Open Sans" w:cs="Open Sans"/>
        </w:rPr>
        <w:tab/>
      </w:r>
      <w:hyperlink r:id="rId4" w:history="1">
        <w:r w:rsidRPr="00372F70">
          <w:t>https://etikkradet.no/en/</w:t>
        </w:r>
      </w:hyperlink>
      <w:r>
        <w:t>.</w:t>
      </w:r>
    </w:p>
  </w:footnote>
  <w:footnote w:id="7">
    <w:p w:rsidR="00147775" w:rsidRPr="001F38F6" w:rsidRDefault="00147775" w:rsidP="007D2C07">
      <w:pPr>
        <w:pStyle w:val="FootnoteText"/>
      </w:pPr>
      <w:r>
        <w:rPr>
          <w:rStyle w:val="FootnoteTextChar"/>
        </w:rPr>
        <w:tab/>
      </w:r>
      <w:r>
        <w:rPr>
          <w:rStyle w:val="FootnoteReference"/>
        </w:rPr>
        <w:footnoteRef/>
      </w:r>
      <w:r>
        <w:rPr>
          <w:rStyle w:val="FootnoteTextChar"/>
        </w:rPr>
        <w:tab/>
      </w:r>
      <w:r w:rsidRPr="00E21125">
        <w:rPr>
          <w:rStyle w:val="FootnoteTextChar"/>
        </w:rPr>
        <w:t>Student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households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and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children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below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the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age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of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18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that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live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alone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are</w:t>
      </w:r>
      <w:r>
        <w:rPr>
          <w:rStyle w:val="FootnoteTextChar"/>
        </w:rPr>
        <w:t xml:space="preserve"> </w:t>
      </w:r>
      <w:r w:rsidRPr="00E21125">
        <w:rPr>
          <w:rStyle w:val="FootnoteTextChar"/>
        </w:rPr>
        <w:t>excluded.</w:t>
      </w:r>
    </w:p>
  </w:footnote>
  <w:footnote w:id="8">
    <w:p w:rsidR="00147775" w:rsidRPr="00B63DCC" w:rsidRDefault="00147775" w:rsidP="006735FB">
      <w:pPr>
        <w:pStyle w:val="FootnoteText"/>
      </w:pPr>
      <w:r w:rsidRPr="009F44E4">
        <w:tab/>
      </w:r>
      <w:r>
        <w:rPr>
          <w:rStyle w:val="FootnoteReference"/>
        </w:rPr>
        <w:footnoteRef/>
      </w:r>
      <w:r>
        <w:tab/>
      </w:r>
      <w:r w:rsidRPr="00B63DCC">
        <w:t>These</w:t>
      </w:r>
      <w:r>
        <w:t xml:space="preserve"> </w:t>
      </w:r>
      <w:r w:rsidRPr="00B63DCC">
        <w:t>provide</w:t>
      </w:r>
      <w:r>
        <w:t xml:space="preserve"> </w:t>
      </w:r>
      <w:r w:rsidRPr="00B63DCC">
        <w:t>care</w:t>
      </w:r>
      <w:r>
        <w:t xml:space="preserve"> </w:t>
      </w:r>
      <w:r w:rsidRPr="00B63DCC">
        <w:t>services</w:t>
      </w:r>
      <w:r>
        <w:t xml:space="preserve"> </w:t>
      </w:r>
      <w:r w:rsidRPr="00B63DCC">
        <w:t>appropriate</w:t>
      </w:r>
      <w:r>
        <w:t xml:space="preserve"> </w:t>
      </w:r>
      <w:r w:rsidRPr="00B63DCC">
        <w:t>to</w:t>
      </w:r>
      <w:r>
        <w:t xml:space="preserve"> </w:t>
      </w:r>
      <w:r w:rsidRPr="00B63DCC">
        <w:t>the</w:t>
      </w:r>
      <w:r>
        <w:t xml:space="preserve"> </w:t>
      </w:r>
      <w:r w:rsidRPr="00B63DCC">
        <w:t>particular</w:t>
      </w:r>
      <w:r>
        <w:t xml:space="preserve"> </w:t>
      </w:r>
      <w:r w:rsidRPr="00B63DCC">
        <w:t>needs</w:t>
      </w:r>
      <w:r>
        <w:t xml:space="preserve"> </w:t>
      </w:r>
      <w:r w:rsidRPr="00B63DCC">
        <w:t>of</w:t>
      </w:r>
      <w:r>
        <w:t xml:space="preserve"> </w:t>
      </w:r>
      <w:r w:rsidRPr="00B63DCC">
        <w:t>the</w:t>
      </w:r>
      <w:r>
        <w:t xml:space="preserve"> </w:t>
      </w:r>
      <w:r w:rsidRPr="00B63DCC">
        <w:t>child.</w:t>
      </w:r>
      <w:r>
        <w:t xml:space="preserve"> </w:t>
      </w:r>
      <w:r w:rsidRPr="00B63DCC">
        <w:t>The</w:t>
      </w:r>
      <w:r>
        <w:t xml:space="preserve"> </w:t>
      </w:r>
      <w:r w:rsidRPr="00B63DCC">
        <w:t>provision</w:t>
      </w:r>
      <w:r>
        <w:t xml:space="preserve"> </w:t>
      </w:r>
      <w:r w:rsidRPr="00B63DCC">
        <w:t>is</w:t>
      </w:r>
      <w:r>
        <w:t xml:space="preserve"> </w:t>
      </w:r>
      <w:r w:rsidRPr="00B63DCC">
        <w:t>governed</w:t>
      </w:r>
      <w:r>
        <w:t xml:space="preserve"> </w:t>
      </w:r>
      <w:r w:rsidRPr="00B63DCC">
        <w:t>by</w:t>
      </w:r>
      <w:r>
        <w:t xml:space="preserve"> C</w:t>
      </w:r>
      <w:r w:rsidRPr="00B63DCC">
        <w:t>hapter</w:t>
      </w:r>
      <w:r>
        <w:t xml:space="preserve"> </w:t>
      </w:r>
      <w:r w:rsidRPr="00B63DCC">
        <w:t>5A</w:t>
      </w:r>
      <w:r>
        <w:t xml:space="preserve"> </w:t>
      </w:r>
      <w:r w:rsidRPr="00B63DCC">
        <w:t>of</w:t>
      </w:r>
      <w:r>
        <w:t xml:space="preserve"> </w:t>
      </w:r>
      <w:r w:rsidRPr="00B63DCC">
        <w:t>the</w:t>
      </w:r>
      <w:r>
        <w:t xml:space="preserve"> </w:t>
      </w:r>
      <w:r w:rsidRPr="00B63DCC">
        <w:t>Child</w:t>
      </w:r>
      <w:r>
        <w:t xml:space="preserve"> </w:t>
      </w:r>
      <w:r w:rsidRPr="00B63DCC">
        <w:t>Welfare</w:t>
      </w:r>
      <w:r>
        <w:t xml:space="preserve"> </w:t>
      </w:r>
      <w:r w:rsidRPr="00B63DCC">
        <w:t>Act.</w:t>
      </w:r>
      <w:r>
        <w:t xml:space="preserve"> </w:t>
      </w:r>
      <w:r w:rsidRPr="00B63DCC">
        <w:t>The</w:t>
      </w:r>
      <w:r>
        <w:t xml:space="preserve"> </w:t>
      </w:r>
      <w:r w:rsidRPr="00B63DCC">
        <w:t>rules</w:t>
      </w:r>
      <w:r>
        <w:t xml:space="preserve"> </w:t>
      </w:r>
      <w:r w:rsidRPr="00B63DCC">
        <w:t>for</w:t>
      </w:r>
      <w:r>
        <w:t xml:space="preserve"> </w:t>
      </w:r>
      <w:r w:rsidRPr="00B63DCC">
        <w:t>approval,</w:t>
      </w:r>
      <w:r>
        <w:t xml:space="preserve"> </w:t>
      </w:r>
      <w:r w:rsidRPr="00B63DCC">
        <w:t>quality,</w:t>
      </w:r>
      <w:r>
        <w:t xml:space="preserve"> </w:t>
      </w:r>
      <w:r w:rsidRPr="00B63DCC">
        <w:t>residents'</w:t>
      </w:r>
      <w:r>
        <w:t xml:space="preserve"> </w:t>
      </w:r>
      <w:r w:rsidRPr="00B63DCC">
        <w:t>rights,</w:t>
      </w:r>
      <w:r>
        <w:t xml:space="preserve"> </w:t>
      </w:r>
      <w:r w:rsidRPr="00B63DCC">
        <w:t>and</w:t>
      </w:r>
      <w:r>
        <w:t xml:space="preserve"> </w:t>
      </w:r>
      <w:r w:rsidRPr="00B63DCC">
        <w:t>supervision</w:t>
      </w:r>
      <w:r>
        <w:t xml:space="preserve"> </w:t>
      </w:r>
      <w:r w:rsidRPr="00B63DCC">
        <w:t>in</w:t>
      </w:r>
      <w:r>
        <w:t xml:space="preserve"> </w:t>
      </w:r>
      <w:r w:rsidRPr="00B63DCC">
        <w:t>care</w:t>
      </w:r>
      <w:r>
        <w:t xml:space="preserve"> </w:t>
      </w:r>
      <w:r w:rsidRPr="00B63DCC">
        <w:t>centres</w:t>
      </w:r>
      <w:r>
        <w:t xml:space="preserve"> </w:t>
      </w:r>
      <w:r w:rsidRPr="00B63DCC">
        <w:t>are</w:t>
      </w:r>
      <w:r>
        <w:t xml:space="preserve"> </w:t>
      </w:r>
      <w:r w:rsidRPr="00B63DCC">
        <w:t>identical</w:t>
      </w:r>
      <w:r>
        <w:t xml:space="preserve"> </w:t>
      </w:r>
      <w:r w:rsidRPr="00B63DCC">
        <w:t>to</w:t>
      </w:r>
      <w:r>
        <w:t xml:space="preserve"> </w:t>
      </w:r>
      <w:r w:rsidRPr="00B63DCC">
        <w:t>those</w:t>
      </w:r>
      <w:r>
        <w:t xml:space="preserve"> </w:t>
      </w:r>
      <w:r w:rsidRPr="00B63DCC">
        <w:t>of</w:t>
      </w:r>
      <w:r>
        <w:t xml:space="preserve"> </w:t>
      </w:r>
      <w:r w:rsidRPr="00B63DCC">
        <w:t>other</w:t>
      </w:r>
      <w:r>
        <w:t xml:space="preserve"> </w:t>
      </w:r>
      <w:r w:rsidRPr="00B63DCC">
        <w:t>child</w:t>
      </w:r>
      <w:r>
        <w:t xml:space="preserve"> </w:t>
      </w:r>
      <w:r w:rsidRPr="00B63DCC">
        <w:t>welfare</w:t>
      </w:r>
      <w:r>
        <w:t xml:space="preserve"> </w:t>
      </w:r>
      <w:r w:rsidRPr="00B63DCC">
        <w:t>institutions.</w:t>
      </w:r>
    </w:p>
  </w:footnote>
  <w:footnote w:id="9">
    <w:p w:rsidR="00147775" w:rsidRPr="007C2FBF" w:rsidRDefault="00147775" w:rsidP="00A13A0A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7C2FBF">
        <w:t>Statistical</w:t>
      </w:r>
      <w:r>
        <w:t xml:space="preserve"> </w:t>
      </w:r>
      <w:r w:rsidRPr="007C2FBF">
        <w:t>data</w:t>
      </w:r>
      <w:r>
        <w:t xml:space="preserve"> </w:t>
      </w:r>
      <w:r w:rsidRPr="007C2FBF">
        <w:t>for</w:t>
      </w:r>
      <w:r>
        <w:t xml:space="preserve"> </w:t>
      </w:r>
      <w:r w:rsidRPr="007C2FBF">
        <w:t>2010</w:t>
      </w:r>
      <w:r>
        <w:t xml:space="preserve"> </w:t>
      </w:r>
      <w:r w:rsidRPr="007C2FBF">
        <w:t>is</w:t>
      </w:r>
      <w:r>
        <w:t xml:space="preserve"> </w:t>
      </w:r>
      <w:r w:rsidRPr="007C2FBF">
        <w:t>not</w:t>
      </w:r>
      <w:r>
        <w:t xml:space="preserve"> </w:t>
      </w:r>
      <w:r w:rsidRPr="007C2FBF">
        <w:t>av</w:t>
      </w:r>
      <w:r>
        <w:t>ailable.</w:t>
      </w:r>
    </w:p>
  </w:footnote>
  <w:footnote w:id="10">
    <w:p w:rsidR="00147775" w:rsidRPr="00106791" w:rsidRDefault="00147775" w:rsidP="00B60509">
      <w:pPr>
        <w:pStyle w:val="FootnoteText"/>
        <w:rPr>
          <w:lang w:val="nb-NO"/>
        </w:rPr>
      </w:pPr>
      <w:r w:rsidRPr="009F44E4">
        <w:tab/>
      </w:r>
      <w:r>
        <w:rPr>
          <w:rStyle w:val="FootnoteReference"/>
        </w:rPr>
        <w:footnoteRef/>
      </w:r>
      <w:r>
        <w:tab/>
      </w:r>
      <w:r w:rsidRPr="00B60509">
        <w:rPr>
          <w:lang w:val="nb-NO"/>
        </w:rPr>
        <w:t xml:space="preserve">Klasseblikk på et barnevern i vekst, </w:t>
      </w:r>
      <w:r w:rsidRPr="00B60509">
        <w:t>NTNU</w:t>
      </w:r>
      <w:r>
        <w:rPr>
          <w:lang w:val="nb-NO"/>
        </w:rPr>
        <w:t xml:space="preserve"> </w:t>
      </w:r>
      <w:r w:rsidRPr="00E83EE8">
        <w:rPr>
          <w:lang w:val="nb-NO"/>
        </w:rPr>
        <w:t>2011;</w:t>
      </w:r>
      <w:r>
        <w:rPr>
          <w:lang w:val="nb-NO"/>
        </w:rPr>
        <w:t xml:space="preserve"> </w:t>
      </w:r>
      <w:r w:rsidRPr="00E83EE8">
        <w:rPr>
          <w:lang w:val="nb-NO"/>
        </w:rPr>
        <w:t>Minst</w:t>
      </w:r>
      <w:r>
        <w:rPr>
          <w:lang w:val="nb-NO"/>
        </w:rPr>
        <w:t xml:space="preserve"> </w:t>
      </w:r>
      <w:r w:rsidRPr="00E83EE8">
        <w:rPr>
          <w:lang w:val="nb-NO"/>
        </w:rPr>
        <w:t>hjelp</w:t>
      </w:r>
      <w:r>
        <w:rPr>
          <w:lang w:val="nb-NO"/>
        </w:rPr>
        <w:t xml:space="preserve"> </w:t>
      </w:r>
      <w:r w:rsidRPr="00E83EE8">
        <w:rPr>
          <w:lang w:val="nb-NO"/>
        </w:rPr>
        <w:t>til</w:t>
      </w:r>
      <w:r>
        <w:rPr>
          <w:lang w:val="nb-NO"/>
        </w:rPr>
        <w:t xml:space="preserve"> </w:t>
      </w:r>
      <w:r w:rsidRPr="00E83EE8">
        <w:rPr>
          <w:lang w:val="nb-NO"/>
        </w:rPr>
        <w:t>dem</w:t>
      </w:r>
      <w:r>
        <w:rPr>
          <w:lang w:val="nb-NO"/>
        </w:rPr>
        <w:t xml:space="preserve"> </w:t>
      </w:r>
      <w:r w:rsidRPr="00E83EE8">
        <w:rPr>
          <w:lang w:val="nb-NO"/>
        </w:rPr>
        <w:t>som</w:t>
      </w:r>
      <w:r>
        <w:rPr>
          <w:lang w:val="nb-NO"/>
        </w:rPr>
        <w:t xml:space="preserve"> trenger det mest. Sluttrapport </w:t>
      </w:r>
      <w:r w:rsidRPr="00E83EE8">
        <w:rPr>
          <w:lang w:val="nb-NO"/>
        </w:rPr>
        <w:t>fra</w:t>
      </w:r>
      <w:r>
        <w:rPr>
          <w:lang w:val="nb-NO"/>
        </w:rPr>
        <w:t xml:space="preserve"> </w:t>
      </w:r>
      <w:r w:rsidRPr="00E83EE8">
        <w:rPr>
          <w:lang w:val="nb-NO"/>
        </w:rPr>
        <w:t>forsknings-</w:t>
      </w:r>
      <w:r>
        <w:rPr>
          <w:lang w:val="nb-NO"/>
        </w:rPr>
        <w:t xml:space="preserve"> </w:t>
      </w:r>
      <w:r w:rsidRPr="00E83EE8">
        <w:rPr>
          <w:lang w:val="nb-NO"/>
        </w:rPr>
        <w:t>og</w:t>
      </w:r>
      <w:r>
        <w:rPr>
          <w:lang w:val="nb-NO"/>
        </w:rPr>
        <w:t xml:space="preserve"> </w:t>
      </w:r>
      <w:r w:rsidRPr="00E83EE8">
        <w:rPr>
          <w:lang w:val="nb-NO"/>
        </w:rPr>
        <w:t>utviklingsprosjektet</w:t>
      </w:r>
      <w:r>
        <w:rPr>
          <w:lang w:val="nb-NO"/>
        </w:rPr>
        <w:t xml:space="preserve"> </w:t>
      </w:r>
      <w:r w:rsidRPr="00E83EE8">
        <w:rPr>
          <w:lang w:val="nb-NO"/>
        </w:rPr>
        <w:t>"Det</w:t>
      </w:r>
      <w:r>
        <w:rPr>
          <w:lang w:val="nb-NO"/>
        </w:rPr>
        <w:t xml:space="preserve"> </w:t>
      </w:r>
      <w:r w:rsidRPr="00E83EE8">
        <w:rPr>
          <w:lang w:val="nb-NO"/>
        </w:rPr>
        <w:t>nye</w:t>
      </w:r>
      <w:r>
        <w:rPr>
          <w:lang w:val="nb-NO"/>
        </w:rPr>
        <w:t xml:space="preserve"> </w:t>
      </w:r>
      <w:r w:rsidRPr="00E83EE8">
        <w:rPr>
          <w:lang w:val="nb-NO"/>
        </w:rPr>
        <w:t>barnevernet",</w:t>
      </w:r>
      <w:r>
        <w:rPr>
          <w:lang w:val="nb-NO"/>
        </w:rPr>
        <w:t xml:space="preserve"> </w:t>
      </w:r>
      <w:r w:rsidRPr="00E83EE8">
        <w:rPr>
          <w:lang w:val="nb-NO"/>
        </w:rPr>
        <w:t>Nordlandsforskning</w:t>
      </w:r>
      <w:r>
        <w:rPr>
          <w:lang w:val="nb-NO"/>
        </w:rPr>
        <w:t xml:space="preserve"> </w:t>
      </w:r>
      <w:r w:rsidRPr="00E83EE8">
        <w:rPr>
          <w:lang w:val="nb-NO"/>
        </w:rPr>
        <w:t>2015</w:t>
      </w:r>
      <w:r>
        <w:rPr>
          <w:lang w:val="nb-NO"/>
        </w:rPr>
        <w:t>.</w:t>
      </w:r>
    </w:p>
  </w:footnote>
  <w:footnote w:id="11">
    <w:p w:rsidR="00147775" w:rsidRPr="00B60509" w:rsidRDefault="00147775" w:rsidP="00B60509">
      <w:pPr>
        <w:pStyle w:val="FootnoteText"/>
      </w:pPr>
      <w:r w:rsidRPr="00B60509">
        <w:rPr>
          <w:lang w:val="nb-NO"/>
        </w:rPr>
        <w:tab/>
      </w:r>
      <w:r w:rsidRPr="00B60509">
        <w:rPr>
          <w:rStyle w:val="FootnoteReference"/>
        </w:rPr>
        <w:footnoteRef/>
      </w:r>
      <w:r w:rsidRPr="00B60509">
        <w:rPr>
          <w:lang w:val="nb-NO"/>
        </w:rPr>
        <w:tab/>
        <w:t>Myter og realiteter. Innvandreres møte med barnevernet, NTNU Samfunnsforskning 2017</w:t>
      </w:r>
      <w:r>
        <w:rPr>
          <w:lang w:val="nb-NO"/>
        </w:rPr>
        <w:t>.</w:t>
      </w:r>
    </w:p>
  </w:footnote>
  <w:footnote w:id="12">
    <w:p w:rsidR="00147775" w:rsidRPr="00B60509" w:rsidRDefault="00147775" w:rsidP="007D2C07">
      <w:pPr>
        <w:pStyle w:val="FootnoteText"/>
      </w:pPr>
      <w:r w:rsidRPr="00B60509">
        <w:rPr>
          <w:lang w:val="nb-NO"/>
        </w:rPr>
        <w:tab/>
      </w:r>
      <w:r w:rsidRPr="00B60509">
        <w:rPr>
          <w:rStyle w:val="FootnoteReference"/>
        </w:rPr>
        <w:footnoteRef/>
      </w:r>
      <w:r w:rsidRPr="00B60509">
        <w:rPr>
          <w:lang w:val="nb-NO"/>
        </w:rPr>
        <w:tab/>
      </w:r>
      <w:r w:rsidRPr="00B60509">
        <w:t xml:space="preserve">In 2017, after a review of the Child Welfare Act by an independent law committee, the Government presented proposals for amendments to the Child Welfare Act to the </w:t>
      </w:r>
      <w:proofErr w:type="spellStart"/>
      <w:r w:rsidRPr="00B60509">
        <w:t>Storting</w:t>
      </w:r>
      <w:proofErr w:type="spellEnd"/>
      <w:r w:rsidRPr="00B60509">
        <w:t xml:space="preserve"> (Prop. 169 L (2016–2017)). The amendments came into force on 1 July 2018.</w:t>
      </w:r>
    </w:p>
  </w:footnote>
  <w:footnote w:id="13">
    <w:p w:rsidR="00147775" w:rsidRPr="00B60509" w:rsidRDefault="00147775" w:rsidP="00B60509">
      <w:pPr>
        <w:pStyle w:val="FootnoteText"/>
      </w:pPr>
      <w:r w:rsidRPr="00B60509">
        <w:tab/>
      </w:r>
      <w:r w:rsidRPr="00B60509">
        <w:rPr>
          <w:rStyle w:val="FootnoteReference"/>
        </w:rPr>
        <w:footnoteRef/>
      </w:r>
      <w:r w:rsidRPr="00B60509">
        <w:tab/>
      </w:r>
      <w:hyperlink r:id="rId5" w:history="1">
        <w:r w:rsidRPr="00B60509">
          <w:rPr>
            <w:rStyle w:val="Hyperlink"/>
            <w:color w:val="auto"/>
          </w:rPr>
          <w:t>https://lovdata.no/dokument/NLE/lov/2017-06-16-51</w:t>
        </w:r>
      </w:hyperlink>
      <w:r w:rsidRPr="00B60509">
        <w:t>.</w:t>
      </w:r>
    </w:p>
  </w:footnote>
  <w:footnote w:id="14">
    <w:p w:rsidR="00147775" w:rsidRPr="00B60509" w:rsidRDefault="00147775" w:rsidP="00B60509">
      <w:pPr>
        <w:pStyle w:val="FootnoteText"/>
      </w:pPr>
      <w:r w:rsidRPr="00B60509">
        <w:tab/>
      </w:r>
      <w:r w:rsidRPr="00B60509">
        <w:rPr>
          <w:rStyle w:val="FootnoteReference"/>
        </w:rPr>
        <w:footnoteRef/>
      </w:r>
      <w:r w:rsidRPr="00B60509">
        <w:tab/>
        <w:t>The Ministry of Education and Research has the authority to decide whether to grant up to two additional points to the underrepresented gender on application from the educational institutions.</w:t>
      </w:r>
    </w:p>
  </w:footnote>
  <w:footnote w:id="15">
    <w:p w:rsidR="00147775" w:rsidRPr="00B60509" w:rsidRDefault="00147775" w:rsidP="00B60509">
      <w:pPr>
        <w:pStyle w:val="FootnoteText"/>
      </w:pPr>
      <w:r w:rsidRPr="00B60509">
        <w:tab/>
      </w:r>
      <w:r w:rsidRPr="00B60509">
        <w:rPr>
          <w:rStyle w:val="FootnoteReference"/>
        </w:rPr>
        <w:footnoteRef/>
      </w:r>
      <w:r w:rsidRPr="00B60509">
        <w:tab/>
      </w:r>
      <w:hyperlink r:id="rId6" w:history="1">
        <w:r w:rsidRPr="00B60509">
          <w:rPr>
            <w:rStyle w:val="Hyperlink"/>
            <w:color w:val="auto"/>
          </w:rPr>
          <w:t>https://www.nho.no/samarbeid/jenter-og-teknologi/in-english/</w:t>
        </w:r>
      </w:hyperlink>
      <w:r w:rsidRPr="00B60509">
        <w:t>.</w:t>
      </w:r>
    </w:p>
  </w:footnote>
  <w:footnote w:id="16">
    <w:p w:rsidR="00147775" w:rsidRPr="00B60509" w:rsidRDefault="00147775" w:rsidP="00B60509">
      <w:pPr>
        <w:pStyle w:val="FootnoteText"/>
      </w:pPr>
      <w:r w:rsidRPr="00B60509">
        <w:tab/>
      </w:r>
      <w:r w:rsidRPr="00B60509">
        <w:rPr>
          <w:rStyle w:val="FootnoteReference"/>
        </w:rPr>
        <w:footnoteRef/>
      </w:r>
      <w:r w:rsidRPr="00B60509">
        <w:tab/>
      </w:r>
      <w:hyperlink r:id="rId7" w:history="1">
        <w:r w:rsidRPr="00B60509">
          <w:rPr>
            <w:rStyle w:val="Hyperlink"/>
            <w:color w:val="auto"/>
          </w:rPr>
          <w:t>https://mennihelse.no/kontakt/</w:t>
        </w:r>
      </w:hyperlink>
      <w:r w:rsidRPr="00B60509">
        <w:rPr>
          <w:rStyle w:val="Hyperlink"/>
          <w:color w:val="auto"/>
        </w:rPr>
        <w:t>.</w:t>
      </w:r>
    </w:p>
  </w:footnote>
  <w:footnote w:id="17">
    <w:p w:rsidR="00147775" w:rsidRPr="00B60509" w:rsidRDefault="00147775" w:rsidP="00B60509">
      <w:pPr>
        <w:pStyle w:val="FootnoteText"/>
      </w:pPr>
      <w:r>
        <w:tab/>
      </w:r>
      <w:r w:rsidRPr="00B60509">
        <w:rPr>
          <w:rStyle w:val="FootnoteReference"/>
        </w:rPr>
        <w:footnoteRef/>
      </w:r>
      <w:r>
        <w:tab/>
      </w:r>
      <w:hyperlink r:id="rId8" w:history="1">
        <w:r w:rsidRPr="00B60509">
          <w:rPr>
            <w:rStyle w:val="Hyperlink"/>
            <w:color w:val="auto"/>
          </w:rPr>
          <w:t>https://www.ssb.no/utdanning/artikler-og-publikasjoner/flere-menn-i-kvinnedominerte-utdanningsprogram</w:t>
        </w:r>
      </w:hyperlink>
      <w:r w:rsidRPr="00B60509">
        <w:rPr>
          <w:rStyle w:val="Hyperlink"/>
          <w:color w:val="auto"/>
        </w:rPr>
        <w:t>.</w:t>
      </w:r>
    </w:p>
  </w:footnote>
  <w:footnote w:id="18">
    <w:p w:rsidR="00147775" w:rsidRPr="00B60509" w:rsidRDefault="00147775" w:rsidP="00B60509">
      <w:pPr>
        <w:pStyle w:val="FootnoteText"/>
      </w:pPr>
      <w:r>
        <w:tab/>
      </w:r>
      <w:r w:rsidRPr="00B60509">
        <w:rPr>
          <w:rStyle w:val="FootnoteReference"/>
        </w:rPr>
        <w:footnoteRef/>
      </w:r>
      <w:r>
        <w:tab/>
      </w:r>
      <w:hyperlink r:id="rId9" w:anchor="KAPITTEL_11" w:history="1">
        <w:r w:rsidRPr="00B60509">
          <w:rPr>
            <w:rStyle w:val="Hyperlink"/>
            <w:color w:val="auto"/>
          </w:rPr>
          <w:t>https://lovdata.no/dokument/NL/lov/1998-07-17-61/KAPITTEL_11#KAPITTEL_11</w:t>
        </w:r>
      </w:hyperlink>
      <w:r w:rsidRPr="00B60509">
        <w:rPr>
          <w:rStyle w:val="Hyperlink"/>
          <w:color w:val="auto"/>
        </w:rPr>
        <w:t>.</w:t>
      </w:r>
    </w:p>
  </w:footnote>
  <w:footnote w:id="19">
    <w:p w:rsidR="00147775" w:rsidRPr="00914C09" w:rsidRDefault="00147775" w:rsidP="00B60509">
      <w:pPr>
        <w:pStyle w:val="FootnoteText"/>
        <w:rPr>
          <w:lang w:val="nb-NO"/>
        </w:rPr>
      </w:pPr>
      <w:r>
        <w:rPr>
          <w:lang w:val="nb-NO"/>
        </w:rPr>
        <w:tab/>
      </w:r>
      <w:r>
        <w:rPr>
          <w:rStyle w:val="FootnoteReference"/>
        </w:rPr>
        <w:footnoteRef/>
      </w:r>
      <w:r>
        <w:rPr>
          <w:lang w:val="nb-NO"/>
        </w:rPr>
        <w:tab/>
      </w:r>
      <w:r w:rsidRPr="00914C09">
        <w:rPr>
          <w:lang w:val="nb-NO"/>
        </w:rPr>
        <w:t>Antirasistisk</w:t>
      </w:r>
      <w:r>
        <w:rPr>
          <w:lang w:val="nb-NO"/>
        </w:rPr>
        <w:t xml:space="preserve"> </w:t>
      </w:r>
      <w:r w:rsidRPr="00914C09">
        <w:rPr>
          <w:lang w:val="nb-NO"/>
        </w:rPr>
        <w:t>senter</w:t>
      </w:r>
      <w:r>
        <w:rPr>
          <w:lang w:val="nb-NO"/>
        </w:rPr>
        <w:t xml:space="preserve"> </w:t>
      </w:r>
      <w:r w:rsidRPr="00914C09">
        <w:rPr>
          <w:lang w:val="nb-NO"/>
        </w:rPr>
        <w:t>(2017)</w:t>
      </w:r>
      <w:r>
        <w:rPr>
          <w:lang w:val="nb-NO"/>
        </w:rPr>
        <w:t>.</w:t>
      </w:r>
    </w:p>
  </w:footnote>
  <w:footnote w:id="20">
    <w:p w:rsidR="00147775" w:rsidRPr="001040C5" w:rsidRDefault="00147775" w:rsidP="00B60509">
      <w:pPr>
        <w:pStyle w:val="FootnoteText"/>
        <w:rPr>
          <w:lang w:val="nb-NO"/>
        </w:rPr>
      </w:pPr>
      <w:r>
        <w:rPr>
          <w:lang w:val="nb-NO"/>
        </w:rPr>
        <w:tab/>
      </w:r>
      <w:r>
        <w:rPr>
          <w:rStyle w:val="FootnoteReference"/>
        </w:rPr>
        <w:footnoteRef/>
      </w:r>
      <w:r>
        <w:rPr>
          <w:lang w:val="nb-NO"/>
        </w:rPr>
        <w:tab/>
      </w:r>
      <w:r w:rsidRPr="001040C5">
        <w:rPr>
          <w:lang w:val="nb-NO"/>
        </w:rPr>
        <w:t>https://dembra.no/en/om-dembra/</w:t>
      </w:r>
      <w:r>
        <w:rPr>
          <w:lang w:val="nb-N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75" w:rsidRDefault="00900511">
    <w:pPr>
      <w:pStyle w:val="Header"/>
    </w:pPr>
    <w:r>
      <w:fldChar w:fldCharType="begin"/>
    </w:r>
    <w:r>
      <w:instrText xml:space="preserve"> DOCPROPERTY  symh  \* MERGEFORMAT </w:instrText>
    </w:r>
    <w:r>
      <w:fldChar w:fldCharType="separate"/>
    </w:r>
    <w:r w:rsidR="00147775">
      <w:t>E/C.12/NOR/6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75" w:rsidRDefault="00900511">
    <w:pPr>
      <w:pStyle w:val="Header"/>
      <w:jc w:val="right"/>
    </w:pPr>
    <w:r>
      <w:fldChar w:fldCharType="begin"/>
    </w:r>
    <w:r>
      <w:instrText xml:space="preserve"> DOCPROPERTY  symh  \* MERGEFORMAT </w:instrText>
    </w:r>
    <w:r>
      <w:fldChar w:fldCharType="separate"/>
    </w:r>
    <w:r w:rsidR="00147775">
      <w:t>E/C.12/NOR/6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75" w:rsidRDefault="00147775">
    <w:pPr>
      <w:pStyle w:val="Header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83E07"/>
    <w:multiLevelType w:val="hybridMultilevel"/>
    <w:tmpl w:val="C8FE3CD4"/>
    <w:lvl w:ilvl="0" w:tplc="04140017">
      <w:start w:val="1"/>
      <w:numFmt w:val="lowerLetter"/>
      <w:lvlText w:val="%1)"/>
      <w:lvlJc w:val="left"/>
      <w:pPr>
        <w:ind w:left="1854" w:hanging="360"/>
      </w:pPr>
    </w:lvl>
    <w:lvl w:ilvl="1" w:tplc="04140019" w:tentative="1">
      <w:start w:val="1"/>
      <w:numFmt w:val="lowerLetter"/>
      <w:lvlText w:val="%2."/>
      <w:lvlJc w:val="left"/>
      <w:pPr>
        <w:ind w:left="2574" w:hanging="360"/>
      </w:pPr>
    </w:lvl>
    <w:lvl w:ilvl="2" w:tplc="0414001B" w:tentative="1">
      <w:start w:val="1"/>
      <w:numFmt w:val="lowerRoman"/>
      <w:lvlText w:val="%3."/>
      <w:lvlJc w:val="right"/>
      <w:pPr>
        <w:ind w:left="3294" w:hanging="180"/>
      </w:pPr>
    </w:lvl>
    <w:lvl w:ilvl="3" w:tplc="0414000F" w:tentative="1">
      <w:start w:val="1"/>
      <w:numFmt w:val="decimal"/>
      <w:lvlText w:val="%4."/>
      <w:lvlJc w:val="left"/>
      <w:pPr>
        <w:ind w:left="4014" w:hanging="360"/>
      </w:pPr>
    </w:lvl>
    <w:lvl w:ilvl="4" w:tplc="04140019" w:tentative="1">
      <w:start w:val="1"/>
      <w:numFmt w:val="lowerLetter"/>
      <w:lvlText w:val="%5."/>
      <w:lvlJc w:val="left"/>
      <w:pPr>
        <w:ind w:left="4734" w:hanging="360"/>
      </w:pPr>
    </w:lvl>
    <w:lvl w:ilvl="5" w:tplc="0414001B" w:tentative="1">
      <w:start w:val="1"/>
      <w:numFmt w:val="lowerRoman"/>
      <w:lvlText w:val="%6."/>
      <w:lvlJc w:val="right"/>
      <w:pPr>
        <w:ind w:left="5454" w:hanging="180"/>
      </w:pPr>
    </w:lvl>
    <w:lvl w:ilvl="6" w:tplc="0414000F" w:tentative="1">
      <w:start w:val="1"/>
      <w:numFmt w:val="decimal"/>
      <w:lvlText w:val="%7."/>
      <w:lvlJc w:val="left"/>
      <w:pPr>
        <w:ind w:left="6174" w:hanging="360"/>
      </w:pPr>
    </w:lvl>
    <w:lvl w:ilvl="7" w:tplc="04140019" w:tentative="1">
      <w:start w:val="1"/>
      <w:numFmt w:val="lowerLetter"/>
      <w:lvlText w:val="%8."/>
      <w:lvlJc w:val="left"/>
      <w:pPr>
        <w:ind w:left="6894" w:hanging="360"/>
      </w:pPr>
    </w:lvl>
    <w:lvl w:ilvl="8" w:tplc="041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D954887"/>
    <w:multiLevelType w:val="hybridMultilevel"/>
    <w:tmpl w:val="2B36281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C3754"/>
    <w:multiLevelType w:val="hybridMultilevel"/>
    <w:tmpl w:val="ACF8104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3A41D41"/>
    <w:multiLevelType w:val="hybridMultilevel"/>
    <w:tmpl w:val="0FF6D2E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27EA"/>
    <w:multiLevelType w:val="hybridMultilevel"/>
    <w:tmpl w:val="1BEA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4280"/>
    <w:multiLevelType w:val="hybridMultilevel"/>
    <w:tmpl w:val="E81AE8FE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4F31BC"/>
    <w:multiLevelType w:val="hybridMultilevel"/>
    <w:tmpl w:val="612C3668"/>
    <w:lvl w:ilvl="0" w:tplc="8B804842">
      <w:numFmt w:val="bullet"/>
      <w:lvlText w:val=""/>
      <w:lvlJc w:val="left"/>
      <w:pPr>
        <w:ind w:left="1499" w:hanging="71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3ACF4EB2"/>
    <w:multiLevelType w:val="hybridMultilevel"/>
    <w:tmpl w:val="CB6C816A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562A5F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DB23D5"/>
    <w:multiLevelType w:val="hybridMultilevel"/>
    <w:tmpl w:val="5D4A447E"/>
    <w:lvl w:ilvl="0" w:tplc="F604AB68">
      <w:start w:val="1"/>
      <w:numFmt w:val="lowerLetter"/>
      <w:lvlText w:val="%1."/>
      <w:lvlJc w:val="left"/>
      <w:pPr>
        <w:ind w:left="1689" w:hanging="5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D85D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B1144B"/>
    <w:multiLevelType w:val="hybridMultilevel"/>
    <w:tmpl w:val="B36A77E4"/>
    <w:lvl w:ilvl="0" w:tplc="E188AEA6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8AD07B2"/>
    <w:multiLevelType w:val="hybridMultilevel"/>
    <w:tmpl w:val="7FEE3222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5A65F6"/>
    <w:multiLevelType w:val="hybridMultilevel"/>
    <w:tmpl w:val="BB424F76"/>
    <w:lvl w:ilvl="0" w:tplc="DB2C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22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89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E1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43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0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2A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2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10"/>
  </w:num>
  <w:num w:numId="17">
    <w:abstractNumId w:val="25"/>
  </w:num>
  <w:num w:numId="18">
    <w:abstractNumId w:val="27"/>
  </w:num>
  <w:num w:numId="19">
    <w:abstractNumId w:val="22"/>
  </w:num>
  <w:num w:numId="20">
    <w:abstractNumId w:val="30"/>
  </w:num>
  <w:num w:numId="21">
    <w:abstractNumId w:val="29"/>
  </w:num>
  <w:num w:numId="22">
    <w:abstractNumId w:val="21"/>
  </w:num>
  <w:num w:numId="23">
    <w:abstractNumId w:val="12"/>
  </w:num>
  <w:num w:numId="24">
    <w:abstractNumId w:val="24"/>
  </w:num>
  <w:num w:numId="25">
    <w:abstractNumId w:val="26"/>
  </w:num>
  <w:num w:numId="26">
    <w:abstractNumId w:val="15"/>
  </w:num>
  <w:num w:numId="27">
    <w:abstractNumId w:val="31"/>
  </w:num>
  <w:num w:numId="28">
    <w:abstractNumId w:val="14"/>
  </w:num>
  <w:num w:numId="29">
    <w:abstractNumId w:val="18"/>
  </w:num>
  <w:num w:numId="30">
    <w:abstractNumId w:val="20"/>
  </w:num>
  <w:num w:numId="31">
    <w:abstractNumId w:val="11"/>
  </w:num>
  <w:num w:numId="32">
    <w:abstractNumId w:val="23"/>
  </w:num>
  <w:num w:numId="33">
    <w:abstractNumId w:val="19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defaultTabStop w:val="567"/>
  <w:hyphenationZone w:val="425"/>
  <w:evenAndOddHeaders/>
  <w:characterSpacingControl w:val="doNotCompress"/>
  <w:hdrShapeDefaults>
    <o:shapedefaults v:ext="edit" spidmax="9625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AF"/>
    <w:rsid w:val="00052F82"/>
    <w:rsid w:val="000B7390"/>
    <w:rsid w:val="00147775"/>
    <w:rsid w:val="001A5C69"/>
    <w:rsid w:val="001E6239"/>
    <w:rsid w:val="002E075E"/>
    <w:rsid w:val="002E1237"/>
    <w:rsid w:val="00341318"/>
    <w:rsid w:val="00352F63"/>
    <w:rsid w:val="003845BD"/>
    <w:rsid w:val="00422215"/>
    <w:rsid w:val="00425CC9"/>
    <w:rsid w:val="00443A61"/>
    <w:rsid w:val="00495BC2"/>
    <w:rsid w:val="006735FB"/>
    <w:rsid w:val="006B4AAF"/>
    <w:rsid w:val="0072332B"/>
    <w:rsid w:val="00731138"/>
    <w:rsid w:val="00764260"/>
    <w:rsid w:val="007754FF"/>
    <w:rsid w:val="007C7F59"/>
    <w:rsid w:val="007D02D1"/>
    <w:rsid w:val="007D2C07"/>
    <w:rsid w:val="007F60D3"/>
    <w:rsid w:val="008330AD"/>
    <w:rsid w:val="00874CEE"/>
    <w:rsid w:val="008C6E34"/>
    <w:rsid w:val="00900511"/>
    <w:rsid w:val="00936B66"/>
    <w:rsid w:val="009B4E2B"/>
    <w:rsid w:val="009B6C52"/>
    <w:rsid w:val="009D02C9"/>
    <w:rsid w:val="00A04DF9"/>
    <w:rsid w:val="00A13A0A"/>
    <w:rsid w:val="00A66D44"/>
    <w:rsid w:val="00B16CC7"/>
    <w:rsid w:val="00B26EE5"/>
    <w:rsid w:val="00B37B02"/>
    <w:rsid w:val="00B523E5"/>
    <w:rsid w:val="00B57389"/>
    <w:rsid w:val="00B60509"/>
    <w:rsid w:val="00B92F26"/>
    <w:rsid w:val="00C04709"/>
    <w:rsid w:val="00C3100A"/>
    <w:rsid w:val="00C34636"/>
    <w:rsid w:val="00C47B8B"/>
    <w:rsid w:val="00D07B55"/>
    <w:rsid w:val="00D61DB2"/>
    <w:rsid w:val="00D87315"/>
    <w:rsid w:val="00D94F8C"/>
    <w:rsid w:val="00DA23BB"/>
    <w:rsid w:val="00DA26C9"/>
    <w:rsid w:val="00DB5028"/>
    <w:rsid w:val="00E521F2"/>
    <w:rsid w:val="00E90914"/>
    <w:rsid w:val="00EB042F"/>
    <w:rsid w:val="00EC1971"/>
    <w:rsid w:val="00EC1FA9"/>
    <w:rsid w:val="00F06ECA"/>
    <w:rsid w:val="00F8044E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  <w15:docId w15:val="{1CD2F336-C71E-47E2-B19C-FEAB35E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HAnsi"/>
      <w:lang w:val="fr-CH"/>
    </w:rPr>
  </w:style>
  <w:style w:type="paragraph" w:styleId="Heading3">
    <w:name w:val="heading 3"/>
    <w:basedOn w:val="Normal"/>
    <w:next w:val="Normal"/>
    <w:link w:val="Heading3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HAnsi"/>
      <w:lang w:val="fr-CH"/>
    </w:rPr>
  </w:style>
  <w:style w:type="paragraph" w:styleId="Heading4">
    <w:name w:val="heading 4"/>
    <w:basedOn w:val="Normal"/>
    <w:next w:val="Normal"/>
    <w:link w:val="Heading4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HAnsi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HAnsi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HAnsi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HAnsi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HAnsi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HAnsi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  <w:suppressAutoHyphens w:val="0"/>
      <w:spacing w:line="240" w:lineRule="auto"/>
    </w:pPr>
    <w:rPr>
      <w:rFonts w:eastAsiaTheme="minorHAnsi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Pr>
      <w:rFonts w:ascii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pPr>
      <w:suppressAutoHyphens w:val="0"/>
      <w:spacing w:line="240" w:lineRule="auto"/>
    </w:pPr>
    <w:rPr>
      <w:rFonts w:eastAsiaTheme="minorHAnsi"/>
      <w:sz w:val="16"/>
    </w:rPr>
  </w:style>
  <w:style w:type="character" w:customStyle="1" w:styleId="FooterChar">
    <w:name w:val="Footer Char"/>
    <w:aliases w:val="3_G Char"/>
    <w:basedOn w:val="DefaultParagraphFont"/>
    <w:link w:val="Footer"/>
    <w:rPr>
      <w:rFonts w:ascii="Times New Roman" w:hAnsi="Times New Roman" w:cs="Times New Roman"/>
      <w:sz w:val="16"/>
      <w:szCs w:val="20"/>
      <w:lang w:val="en-GB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HAnsi"/>
      <w:b/>
      <w:sz w:val="34"/>
    </w:rPr>
  </w:style>
  <w:style w:type="paragraph" w:customStyle="1" w:styleId="HChG">
    <w:name w:val="_ H _Ch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HAnsi"/>
      <w:b/>
      <w:sz w:val="28"/>
    </w:r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HAnsi"/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</w:rPr>
  </w:style>
  <w:style w:type="paragraph" w:customStyle="1" w:styleId="SingleTxtG">
    <w:name w:val="_ Single Txt_G"/>
    <w:basedOn w:val="Normal"/>
    <w:link w:val="SingleTxtGChar"/>
    <w:qFormat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HAnsi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pPr>
      <w:numPr>
        <w:numId w:val="2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Bullet2G">
    <w:name w:val="_Bullet 2_G"/>
    <w:basedOn w:val="Normal"/>
    <w:qFormat/>
    <w:pPr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ParNoG">
    <w:name w:val="_ParNo_G"/>
    <w:basedOn w:val="Normal"/>
    <w:qFormat/>
    <w:pPr>
      <w:numPr>
        <w:numId w:val="23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character" w:styleId="FootnoteReference">
    <w:name w:val="footnote reference"/>
    <w:aliases w:val="4_G"/>
    <w:basedOn w:val="DefaultParagraphFont"/>
    <w:link w:val="16Point"/>
    <w:uiPriority w:val="99"/>
    <w:qFormat/>
    <w:rPr>
      <w:rFonts w:ascii="Times New Roman" w:hAnsi="Times New Roman"/>
      <w:sz w:val="18"/>
      <w:vertAlign w:val="superscript"/>
      <w:lang w:val="en-GB"/>
    </w:rPr>
  </w:style>
  <w:style w:type="character" w:styleId="EndnoteReference">
    <w:name w:val="endnote reference"/>
    <w:aliases w:val="1_G"/>
    <w:basedOn w:val="FootnoteReference"/>
    <w:qFormat/>
    <w:rPr>
      <w:rFonts w:ascii="Times New Roman" w:hAnsi="Times New Roman"/>
      <w:sz w:val="18"/>
      <w:vertAlign w:val="superscript"/>
      <w:lang w:val="en-GB"/>
    </w:rPr>
  </w:style>
  <w:style w:type="table" w:styleId="TableGrid">
    <w:name w:val="Table Grid"/>
    <w:basedOn w:val="TableNormal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Pr>
      <w:rFonts w:ascii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qFormat/>
  </w:style>
  <w:style w:type="character" w:customStyle="1" w:styleId="EndnoteTextChar">
    <w:name w:val="Endnote Text Char"/>
    <w:aliases w:val="2_G Char"/>
    <w:basedOn w:val="DefaultParagraphFont"/>
    <w:link w:val="EndnoteText"/>
    <w:rPr>
      <w:rFonts w:ascii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basedOn w:val="DefaultParagraphFont"/>
    <w:qFormat/>
    <w:rPr>
      <w:rFonts w:ascii="Times New Roman" w:hAnsi="Times New Roman"/>
      <w:b/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numbering" w:styleId="111111">
    <w:name w:val="Outline List 2"/>
    <w:basedOn w:val="NoList"/>
    <w:semiHidden/>
    <w:pPr>
      <w:numPr>
        <w:numId w:val="18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character" w:customStyle="1" w:styleId="SingleTxtGChar">
    <w:name w:val="_ Single Txt_G Char"/>
    <w:link w:val="SingleTxtG"/>
    <w:locked/>
    <w:rPr>
      <w:rFonts w:ascii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aNoG">
    <w:name w:val="_ParaNo._G"/>
    <w:basedOn w:val="SingleTxtG"/>
    <w:rsid w:val="007D2C07"/>
    <w:pPr>
      <w:tabs>
        <w:tab w:val="num" w:pos="0"/>
      </w:tabs>
      <w:suppressAutoHyphens w:val="0"/>
      <w:kinsoku/>
      <w:overflowPunct/>
      <w:autoSpaceDE/>
      <w:autoSpaceDN/>
      <w:adjustRightInd/>
      <w:snapToGrid/>
    </w:pPr>
    <w:rPr>
      <w:rFonts w:eastAsia="SimSun"/>
      <w:lang w:eastAsia="zh-CN"/>
    </w:rPr>
  </w:style>
  <w:style w:type="character" w:styleId="BookTitle">
    <w:name w:val="Book Title"/>
    <w:basedOn w:val="DefaultParagraphFont"/>
    <w:uiPriority w:val="33"/>
    <w:semiHidden/>
    <w:rsid w:val="007D2C07"/>
    <w:rPr>
      <w:b/>
      <w:bCs/>
      <w:smallCaps/>
      <w:spacing w:val="5"/>
    </w:rPr>
  </w:style>
  <w:style w:type="paragraph" w:customStyle="1" w:styleId="16Point">
    <w:name w:val="16 Point"/>
    <w:aliases w:val="Superscript 6 Point,4_G Char Char,Footnote Reference1 Char Char,Footnotes refss Char Char,ftref Char Char,BVI fnr Char Char,BVI fnr Car Car Char Char,BVI fnr Car Char Char,BVI fnr Car Car Car Car Char Char1"/>
    <w:basedOn w:val="Normal"/>
    <w:link w:val="FootnoteReference"/>
    <w:uiPriority w:val="99"/>
    <w:rsid w:val="007D2C07"/>
    <w:pPr>
      <w:suppressAutoHyphens w:val="0"/>
      <w:spacing w:after="160" w:line="240" w:lineRule="exact"/>
      <w:jc w:val="both"/>
    </w:pPr>
    <w:rPr>
      <w:rFonts w:eastAsiaTheme="minorHAnsi" w:cstheme="minorBidi"/>
      <w:sz w:val="18"/>
      <w:szCs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2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C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2C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0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aliases w:val="List P1,Dot pt,No Spacing1,List Paragraph Char Char Char,Indicator Text,Numbered Para 1,List Paragraph1,Bullet 1,Bullet Points,MAIN CONTENT,F5 List Paragraph,Colorful List - Accent 11,List Paragraph2,List Paragraph12,Párrafo de lista"/>
    <w:basedOn w:val="Normal"/>
    <w:link w:val="ListParagraphChar"/>
    <w:uiPriority w:val="34"/>
    <w:qFormat/>
    <w:rsid w:val="007D2C07"/>
    <w:pPr>
      <w:ind w:left="720"/>
      <w:contextualSpacing/>
    </w:pPr>
  </w:style>
  <w:style w:type="character" w:customStyle="1" w:styleId="ListParagraphChar">
    <w:name w:val="List Paragraph Char"/>
    <w:aliases w:val="List P1 Char,Dot pt Char,No Spacing1 Char,List Paragraph Char Char Char Char,Indicator Text Char,Numbered Para 1 Char,List Paragraph1 Char,Bullet 1 Char,Bullet Points Char,MAIN CONTENT Char,F5 List Paragraph Char,List Paragraph2 Char"/>
    <w:link w:val="ListParagraph"/>
    <w:uiPriority w:val="34"/>
    <w:qFormat/>
    <w:rsid w:val="007D2C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D2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paragraph" w:styleId="NormalWeb">
    <w:name w:val="Normal (Web)"/>
    <w:basedOn w:val="Normal"/>
    <w:uiPriority w:val="99"/>
    <w:semiHidden/>
    <w:unhideWhenUsed/>
    <w:rsid w:val="007D2C07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nb-NO" w:eastAsia="nb-NO"/>
    </w:rPr>
  </w:style>
  <w:style w:type="paragraph" w:styleId="IntenseQuote">
    <w:name w:val="Intense Quote"/>
    <w:basedOn w:val="Normal"/>
    <w:next w:val="Normal"/>
    <w:link w:val="IntenseQuoteChar"/>
    <w:uiPriority w:val="30"/>
    <w:rsid w:val="007D2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C07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GB"/>
    </w:rPr>
  </w:style>
  <w:style w:type="table" w:styleId="GridTable1Light-Accent5">
    <w:name w:val="Grid Table 1 Light Accent 5"/>
    <w:basedOn w:val="TableNormal"/>
    <w:uiPriority w:val="46"/>
    <w:rsid w:val="007D2C07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7D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GridTable6Colorful">
    <w:name w:val="Grid Table 6 Colorful"/>
    <w:basedOn w:val="TableNormal"/>
    <w:uiPriority w:val="51"/>
    <w:rsid w:val="007D2C07"/>
    <w:pPr>
      <w:spacing w:after="0" w:line="240" w:lineRule="auto"/>
    </w:pPr>
    <w:rPr>
      <w:rFonts w:eastAsia="SimSun"/>
      <w:color w:val="000000" w:themeColor="text1"/>
      <w:lang w:val="en-GB" w:eastAsia="zh-C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en/dokumenter/how-to-achieve-gender-balance-at-the-top-in-business/id2625076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sedirektoratet.no/statistikk/statistikk/kvalitetsindikatorer/psykisk-helse-for-voksne/tvangsinnleggelser-i-psykisk-helsevern-for-voks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egjeringen.no/en/dokumenter/how-to-achieve-gender-balance-at-the-top-in-business/id262507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mstol.no/no/verktoy/juridisk-ordliste/f/Fri-sakforsel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b.no/utdanning/artikler-og-publikasjoner/flere-menn-i-kvinnedominerte-utdanningsprogram" TargetMode="External"/><Relationship Id="rId3" Type="http://schemas.openxmlformats.org/officeDocument/2006/relationships/hyperlink" Target="http://etikkradet.no/files/2017/04/Etikkraadet_Guidelines-_eng_2017_web.pdf" TargetMode="External"/><Relationship Id="rId7" Type="http://schemas.openxmlformats.org/officeDocument/2006/relationships/hyperlink" Target="https://mennihelse.no/kontakt/" TargetMode="External"/><Relationship Id="rId2" Type="http://schemas.openxmlformats.org/officeDocument/2006/relationships/hyperlink" Target="https://www.nbim.no/contentassets/f5f7addcb20945dfa3560183f6f89d01/childrens-rights-expectations.pdf" TargetMode="External"/><Relationship Id="rId1" Type="http://schemas.openxmlformats.org/officeDocument/2006/relationships/hyperlink" Target="https://www.nbim.no/contentassets/0ff34e35ba1a44c3b6c2039466ccbec7/human-rights-expectations-document2.pdf" TargetMode="External"/><Relationship Id="rId6" Type="http://schemas.openxmlformats.org/officeDocument/2006/relationships/hyperlink" Target="https://www.nho.no/samarbeid/jenter-og-teknologi/in-english/" TargetMode="External"/><Relationship Id="rId5" Type="http://schemas.openxmlformats.org/officeDocument/2006/relationships/hyperlink" Target="https://lovdata.no/dokument/NLE/lov/2017-06-16-51" TargetMode="External"/><Relationship Id="rId4" Type="http://schemas.openxmlformats.org/officeDocument/2006/relationships/hyperlink" Target="https://etikkradet.no/en/" TargetMode="External"/><Relationship Id="rId9" Type="http://schemas.openxmlformats.org/officeDocument/2006/relationships/hyperlink" Target="https://lovdata.no/dokument/NL/lov/1998-07-17-61/KAPITTEL_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D671-EBD8-48FF-9075-9C0ADB6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20911</Words>
  <Characters>108840</Characters>
  <Application>Microsoft Office Word</Application>
  <DocSecurity>0</DocSecurity>
  <Lines>3927</Lines>
  <Paragraphs>2545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E/C.12/NOR/6</vt:lpstr>
      <vt:lpstr/>
      <vt:lpstr/>
    </vt:vector>
  </TitlesOfParts>
  <Company>DCM</Company>
  <LinksUpToDate>false</LinksUpToDate>
  <CharactersWithSpaces>127512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E/C.12/NOR/6</dc:title>
  <dc:subject>1920697</dc:subject>
  <dc:creator>Gloria</dc:creator>
  <cp:keywords/>
  <dc:description/>
  <cp:lastModifiedBy>Generic Desk Anglais</cp:lastModifiedBy>
  <cp:revision>2</cp:revision>
  <cp:lastPrinted>2017-10-25T12:09:00Z</cp:lastPrinted>
  <dcterms:created xsi:type="dcterms:W3CDTF">2019-12-03T09:32:00Z</dcterms:created>
  <dcterms:modified xsi:type="dcterms:W3CDTF">2019-12-03T09:32:00Z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1">
    <vt:lpwstr>C.12/NOR/6</vt:lpwstr>
  </property>
  <property fmtid="{D5CDD505-2E9C-101B-9397-08002B2CF9AE}" pid="3" name="symh">
    <vt:lpwstr>E/C.12/NOR/6</vt:lpwstr>
  </property>
  <property fmtid="{D5CDD505-2E9C-101B-9397-08002B2CF9AE}" pid="4" name="dist">
    <vt:lpwstr>General</vt:lpwstr>
  </property>
  <property fmtid="{D5CDD505-2E9C-101B-9397-08002B2CF9AE}" pid="5" name="date">
    <vt:lpwstr>31 October 2019</vt:lpwstr>
  </property>
  <property fmtid="{D5CDD505-2E9C-101B-9397-08002B2CF9AE}" pid="6" name="sdate">
    <vt:lpwstr>[Start-End Dates ]</vt:lpwstr>
  </property>
  <property fmtid="{D5CDD505-2E9C-101B-9397-08002B2CF9AE}" pid="7" name="virs">
    <vt:lpwstr>English only</vt:lpwstr>
  </property>
  <property fmtid="{D5CDD505-2E9C-101B-9397-08002B2CF9AE}" pid="8" name="snum">
    <vt:lpwstr>[NUMBER]</vt:lpwstr>
  </property>
  <property fmtid="{D5CDD505-2E9C-101B-9397-08002B2CF9AE}" pid="9" name="anum">
    <vt:lpwstr>[NUMBER]</vt:lpwstr>
  </property>
  <property fmtid="{D5CDD505-2E9C-101B-9397-08002B2CF9AE}" pid="10" name="count">
    <vt:lpwstr>Norway</vt:lpwstr>
  </property>
  <property fmtid="{D5CDD505-2E9C-101B-9397-08002B2CF9AE}" pid="11" name="countw">
    <vt:lpwstr>Norway</vt:lpwstr>
  </property>
  <property fmtid="{D5CDD505-2E9C-101B-9397-08002B2CF9AE}" pid="12" name="countwd">
    <vt:lpwstr>Norway</vt:lpwstr>
  </property>
  <property fmtid="{D5CDD505-2E9C-101B-9397-08002B2CF9AE}" pid="13" name="gdoc">
    <vt:lpwstr/>
  </property>
  <property fmtid="{D5CDD505-2E9C-101B-9397-08002B2CF9AE}" pid="14" name="gdocf">
    <vt:lpwstr/>
  </property>
  <property fmtid="{D5CDD505-2E9C-101B-9397-08002B2CF9AE}" pid="15" name="tlang">
    <vt:lpwstr/>
  </property>
  <property fmtid="{D5CDD505-2E9C-101B-9397-08002B2CF9AE}" pid="16" name="atitle">
    <vt:lpwstr>[Title]</vt:lpwstr>
  </property>
  <property fmtid="{D5CDD505-2E9C-101B-9397-08002B2CF9AE}" pid="17" name="stitle">
    <vt:lpwstr>[Title]</vt:lpwstr>
  </property>
  <property fmtid="{D5CDD505-2E9C-101B-9397-08002B2CF9AE}" pid="18" name="prep">
    <vt:lpwstr>sixth periodic report of Norway</vt:lpwstr>
  </property>
  <property fmtid="{D5CDD505-2E9C-101B-9397-08002B2CF9AE}" pid="19" name="preps">
    <vt:lpwstr>sixth periodic report of Norway</vt:lpwstr>
  </property>
  <property fmtid="{D5CDD505-2E9C-101B-9397-08002B2CF9AE}" pid="20" name="prepw">
    <vt:lpwstr>sixth periodic report</vt:lpwstr>
  </property>
  <property fmtid="{D5CDD505-2E9C-101B-9397-08002B2CF9AE}" pid="21" name="prepws">
    <vt:lpwstr>sixth periodic report</vt:lpwstr>
  </property>
  <property fmtid="{D5CDD505-2E9C-101B-9397-08002B2CF9AE}" pid="22" name="prepwc">
    <vt:lpwstr>Sixth periodic report </vt:lpwstr>
  </property>
  <property fmtid="{D5CDD505-2E9C-101B-9397-08002B2CF9AE}" pid="23" name="olang">
    <vt:lpwstr>English</vt:lpwstr>
  </property>
  <property fmtid="{D5CDD505-2E9C-101B-9397-08002B2CF9AE}" pid="24" name="Date-Generated">
    <vt:filetime>2019-10-31T13:00:17Z</vt:filetime>
  </property>
  <property fmtid="{D5CDD505-2E9C-101B-9397-08002B2CF9AE}" pid="25" name="Author">
    <vt:lpwstr/>
  </property>
  <property fmtid="{D5CDD505-2E9C-101B-9397-08002B2CF9AE}" pid="26" name="bar">
    <vt:lpwstr/>
  </property>
  <property fmtid="{D5CDD505-2E9C-101B-9397-08002B2CF9AE}" pid="27" name="Org">
    <vt:lpwstr>OHCHR</vt:lpwstr>
  </property>
  <property fmtid="{D5CDD505-2E9C-101B-9397-08002B2CF9AE}" pid="28" name="Entity">
    <vt:lpwstr>Country report</vt:lpwstr>
  </property>
  <property fmtid="{D5CDD505-2E9C-101B-9397-08002B2CF9AE}" pid="29" name="doctype">
    <vt:lpwstr>Final</vt:lpwstr>
  </property>
  <property fmtid="{D5CDD505-2E9C-101B-9397-08002B2CF9AE}" pid="30" name="category">
    <vt:lpwstr>CESCR</vt:lpwstr>
  </property>
</Properties>
</file>