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72E11E" w14:textId="77777777" w:rsidTr="00DD44B1">
        <w:trPr>
          <w:trHeight w:hRule="exact" w:val="851"/>
        </w:trPr>
        <w:tc>
          <w:tcPr>
            <w:tcW w:w="142" w:type="dxa"/>
            <w:tcBorders>
              <w:bottom w:val="single" w:sz="4" w:space="0" w:color="auto"/>
            </w:tcBorders>
          </w:tcPr>
          <w:p w14:paraId="1385FADE" w14:textId="77777777" w:rsidR="002D5AAC" w:rsidRDefault="002D5AAC" w:rsidP="007C159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F5D870"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7D0699" w14:textId="77777777" w:rsidR="002D5AAC" w:rsidRDefault="007C159B" w:rsidP="007C159B">
            <w:pPr>
              <w:jc w:val="right"/>
            </w:pPr>
            <w:r w:rsidRPr="007C159B">
              <w:rPr>
                <w:sz w:val="40"/>
              </w:rPr>
              <w:t>E</w:t>
            </w:r>
            <w:r>
              <w:t>/C.12/NOR/CO/6</w:t>
            </w:r>
          </w:p>
        </w:tc>
      </w:tr>
      <w:tr w:rsidR="002D5AAC" w:rsidRPr="001E3194" w14:paraId="7F82951A" w14:textId="77777777" w:rsidTr="00DD44B1">
        <w:trPr>
          <w:trHeight w:hRule="exact" w:val="2835"/>
        </w:trPr>
        <w:tc>
          <w:tcPr>
            <w:tcW w:w="1280" w:type="dxa"/>
            <w:gridSpan w:val="2"/>
            <w:tcBorders>
              <w:top w:val="single" w:sz="4" w:space="0" w:color="auto"/>
              <w:bottom w:val="single" w:sz="12" w:space="0" w:color="auto"/>
            </w:tcBorders>
          </w:tcPr>
          <w:p w14:paraId="583304F4" w14:textId="77777777" w:rsidR="002D5AAC" w:rsidRDefault="002E5067" w:rsidP="00DD44B1">
            <w:pPr>
              <w:spacing w:before="120"/>
              <w:jc w:val="center"/>
            </w:pPr>
            <w:r>
              <w:rPr>
                <w:noProof/>
                <w:lang w:val="fr-CH" w:eastAsia="fr-CH"/>
              </w:rPr>
              <w:drawing>
                <wp:inline distT="0" distB="0" distL="0" distR="0" wp14:anchorId="3D63FE3C" wp14:editId="401D05E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851E24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38637FC3" w14:textId="77777777" w:rsidR="002D5AAC" w:rsidRDefault="007C159B" w:rsidP="00DD44B1">
            <w:pPr>
              <w:spacing w:before="240"/>
              <w:rPr>
                <w:lang w:val="en-US"/>
              </w:rPr>
            </w:pPr>
            <w:r>
              <w:rPr>
                <w:lang w:val="en-US"/>
              </w:rPr>
              <w:t>Distr.: General</w:t>
            </w:r>
          </w:p>
          <w:p w14:paraId="5C2922DF" w14:textId="77777777" w:rsidR="007C159B" w:rsidRDefault="007C159B" w:rsidP="007C159B">
            <w:pPr>
              <w:spacing w:line="240" w:lineRule="exact"/>
              <w:rPr>
                <w:lang w:val="en-US"/>
              </w:rPr>
            </w:pPr>
            <w:r>
              <w:rPr>
                <w:lang w:val="en-US"/>
              </w:rPr>
              <w:t>2 April 2020</w:t>
            </w:r>
          </w:p>
          <w:p w14:paraId="312BA658" w14:textId="77777777" w:rsidR="007C159B" w:rsidRDefault="007C159B" w:rsidP="007C159B">
            <w:pPr>
              <w:spacing w:line="240" w:lineRule="exact"/>
              <w:rPr>
                <w:lang w:val="en-US"/>
              </w:rPr>
            </w:pPr>
            <w:r>
              <w:rPr>
                <w:lang w:val="en-US"/>
              </w:rPr>
              <w:t>Russian</w:t>
            </w:r>
          </w:p>
          <w:p w14:paraId="729955EF" w14:textId="77777777" w:rsidR="007C159B" w:rsidRPr="00D62A45" w:rsidRDefault="007C159B" w:rsidP="007C159B">
            <w:pPr>
              <w:spacing w:line="240" w:lineRule="exact"/>
              <w:rPr>
                <w:lang w:val="en-US"/>
              </w:rPr>
            </w:pPr>
            <w:r>
              <w:rPr>
                <w:lang w:val="en-US"/>
              </w:rPr>
              <w:t>Original: English</w:t>
            </w:r>
          </w:p>
        </w:tc>
        <w:bookmarkStart w:id="0" w:name="_GoBack"/>
        <w:bookmarkEnd w:id="0"/>
      </w:tr>
    </w:tbl>
    <w:p w14:paraId="4F9EFA35" w14:textId="77777777" w:rsidR="007C159B" w:rsidRPr="007C159B" w:rsidRDefault="007C159B" w:rsidP="007C159B">
      <w:pPr>
        <w:spacing w:before="120"/>
        <w:rPr>
          <w:sz w:val="24"/>
          <w:szCs w:val="24"/>
        </w:rPr>
      </w:pPr>
      <w:r w:rsidRPr="007C159B">
        <w:rPr>
          <w:b/>
          <w:sz w:val="24"/>
          <w:szCs w:val="24"/>
        </w:rPr>
        <w:t xml:space="preserve">Комитет по экономическим, социальным </w:t>
      </w:r>
      <w:r w:rsidRPr="007C159B">
        <w:rPr>
          <w:b/>
          <w:sz w:val="24"/>
          <w:szCs w:val="24"/>
        </w:rPr>
        <w:br/>
        <w:t>и культурным правам</w:t>
      </w:r>
    </w:p>
    <w:p w14:paraId="20F1B586" w14:textId="77777777" w:rsidR="001E44D8" w:rsidRPr="00BA63E2" w:rsidRDefault="001E44D8" w:rsidP="001E44D8">
      <w:pPr>
        <w:pStyle w:val="HChG"/>
      </w:pPr>
      <w:r>
        <w:tab/>
      </w:r>
      <w:r>
        <w:tab/>
      </w:r>
      <w:r w:rsidRPr="00BA63E2">
        <w:t>Заключительные замечания по шестому периодическому докладу Норвегии</w:t>
      </w:r>
      <w:r w:rsidRPr="009878F8">
        <w:rPr>
          <w:rStyle w:val="a8"/>
          <w:b w:val="0"/>
          <w:sz w:val="20"/>
          <w:vertAlign w:val="baseline"/>
        </w:rPr>
        <w:footnoteReference w:customMarkFollows="1" w:id="1"/>
        <w:t>*</w:t>
      </w:r>
    </w:p>
    <w:p w14:paraId="73CD893A" w14:textId="1CEDAE8F" w:rsidR="001E44D8" w:rsidRPr="00BA63E2" w:rsidRDefault="001E44D8" w:rsidP="001E44D8">
      <w:pPr>
        <w:pStyle w:val="SingleTxtG"/>
      </w:pPr>
      <w:r w:rsidRPr="00BA63E2">
        <w:t>1.</w:t>
      </w:r>
      <w:r w:rsidRPr="00BA63E2">
        <w:tab/>
        <w:t>Комитет рассмотрел шестой периодический доклад Норвегии (</w:t>
      </w:r>
      <w:r w:rsidRPr="00BA63E2">
        <w:rPr>
          <w:lang w:val="en-IE"/>
        </w:rPr>
        <w:t>E</w:t>
      </w:r>
      <w:r w:rsidRPr="00BA63E2">
        <w:t>/</w:t>
      </w:r>
      <w:r w:rsidRPr="00BA63E2">
        <w:rPr>
          <w:lang w:val="en-IE"/>
        </w:rPr>
        <w:t>C</w:t>
      </w:r>
      <w:r w:rsidRPr="00BA63E2">
        <w:t>.12/</w:t>
      </w:r>
      <w:r w:rsidRPr="00BA63E2">
        <w:rPr>
          <w:lang w:val="en-IE"/>
        </w:rPr>
        <w:t>NOR</w:t>
      </w:r>
      <w:r w:rsidRPr="00BA63E2">
        <w:t xml:space="preserve">/6) на своих 14-м и 15-м заседаниях (см. </w:t>
      </w:r>
      <w:r w:rsidRPr="00BA63E2">
        <w:rPr>
          <w:lang w:val="en-IE"/>
        </w:rPr>
        <w:t>E</w:t>
      </w:r>
      <w:r w:rsidRPr="00BA63E2">
        <w:t>/</w:t>
      </w:r>
      <w:r w:rsidRPr="00BA63E2">
        <w:rPr>
          <w:lang w:val="en-IE"/>
        </w:rPr>
        <w:t>C</w:t>
      </w:r>
      <w:r w:rsidRPr="00BA63E2">
        <w:t>.12/2020/</w:t>
      </w:r>
      <w:r w:rsidRPr="00BA63E2">
        <w:rPr>
          <w:lang w:val="en-IE"/>
        </w:rPr>
        <w:t>SR</w:t>
      </w:r>
      <w:r w:rsidRPr="00BA63E2">
        <w:t xml:space="preserve">.14 </w:t>
      </w:r>
      <w:r w:rsidR="00822272">
        <w:t>и</w:t>
      </w:r>
      <w:r w:rsidRPr="00BA63E2">
        <w:t xml:space="preserve"> 15), состоявшихся 25 и 26</w:t>
      </w:r>
      <w:r w:rsidR="00822272">
        <w:t> </w:t>
      </w:r>
      <w:r w:rsidRPr="00BA63E2">
        <w:t>февраля 2020 года, и на своем 30-м заседании, состоявшемся 6 марта 20</w:t>
      </w:r>
      <w:r w:rsidR="001E3194" w:rsidRPr="001E3194">
        <w:t>20</w:t>
      </w:r>
      <w:r w:rsidRPr="00BA63E2">
        <w:t xml:space="preserve"> года, принял настоящие заключительные замечания.</w:t>
      </w:r>
    </w:p>
    <w:p w14:paraId="2F167513" w14:textId="77777777" w:rsidR="001E44D8" w:rsidRPr="00BA63E2" w:rsidRDefault="001E44D8" w:rsidP="001E44D8">
      <w:pPr>
        <w:pStyle w:val="H1G"/>
      </w:pPr>
      <w:r w:rsidRPr="00BA63E2">
        <w:tab/>
      </w:r>
      <w:r w:rsidRPr="00BA63E2">
        <w:rPr>
          <w:lang w:val="en-IE"/>
        </w:rPr>
        <w:t>A</w:t>
      </w:r>
      <w:r w:rsidRPr="00BA63E2">
        <w:t>.</w:t>
      </w:r>
      <w:r w:rsidRPr="00BA63E2">
        <w:tab/>
        <w:t>Введение</w:t>
      </w:r>
    </w:p>
    <w:p w14:paraId="0B962F40" w14:textId="77777777" w:rsidR="001E44D8" w:rsidRPr="001369CA" w:rsidRDefault="001E44D8" w:rsidP="001E44D8">
      <w:pPr>
        <w:pStyle w:val="SingleTxtG"/>
      </w:pPr>
      <w:r w:rsidRPr="001369CA">
        <w:t>2.</w:t>
      </w:r>
      <w:r w:rsidRPr="001369CA">
        <w:tab/>
        <w:t xml:space="preserve">Комитет приветствует представление шестого периодического доклада государства-участника в порядке упрощенной процедуры представления докладов в форме ответов на подготовленный в соответствии с этой процедурой перечень вопросов, </w:t>
      </w:r>
      <w:r w:rsidRPr="001369CA">
        <w:rPr>
          <w:color w:val="333333"/>
          <w:shd w:val="clear" w:color="auto" w:fill="FFFFFF"/>
        </w:rPr>
        <w:t>предваряющий представление доклада</w:t>
      </w:r>
      <w:r w:rsidRPr="001369CA">
        <w:t xml:space="preserve"> (</w:t>
      </w:r>
      <w:r w:rsidRPr="001369CA">
        <w:rPr>
          <w:lang w:val="en-IE"/>
        </w:rPr>
        <w:t>E</w:t>
      </w:r>
      <w:r w:rsidRPr="001369CA">
        <w:t>/</w:t>
      </w:r>
      <w:r w:rsidRPr="001369CA">
        <w:rPr>
          <w:lang w:val="en-IE"/>
        </w:rPr>
        <w:t>C</w:t>
      </w:r>
      <w:r w:rsidRPr="001369CA">
        <w:t>.12/</w:t>
      </w:r>
      <w:r w:rsidRPr="001369CA">
        <w:rPr>
          <w:lang w:val="en-IE"/>
        </w:rPr>
        <w:t>NOR</w:t>
      </w:r>
      <w:r w:rsidRPr="001369CA">
        <w:t>/</w:t>
      </w:r>
      <w:r w:rsidRPr="001369CA">
        <w:rPr>
          <w:lang w:val="en-IE"/>
        </w:rPr>
        <w:t>QPR</w:t>
      </w:r>
      <w:r w:rsidRPr="001369CA">
        <w:t>/6). Комитет выражает государству-участнику признательность за согласие следовать упрощенной процедуре представления докладов, поскольку это позволяет улучшить сотрудничество и придать более сфокусированную направленность диалогу между государством-участником и Комитетом. Комитет также высоко оценивать конструктивный диалог, состоявшийся с межведомственной делегацией государства-участника.</w:t>
      </w:r>
    </w:p>
    <w:p w14:paraId="1B9F5975" w14:textId="77777777" w:rsidR="001E44D8" w:rsidRPr="001369CA" w:rsidRDefault="001E44D8" w:rsidP="001369CA">
      <w:pPr>
        <w:pStyle w:val="H1G"/>
      </w:pPr>
      <w:r w:rsidRPr="001369CA">
        <w:tab/>
      </w:r>
      <w:r w:rsidRPr="001369CA">
        <w:rPr>
          <w:lang w:val="en-IE"/>
        </w:rPr>
        <w:t>B</w:t>
      </w:r>
      <w:r w:rsidRPr="001369CA">
        <w:t>.</w:t>
      </w:r>
      <w:r w:rsidRPr="001369CA">
        <w:tab/>
        <w:t>Позитивные аспекты</w:t>
      </w:r>
    </w:p>
    <w:p w14:paraId="4B37A19D" w14:textId="77777777" w:rsidR="001E44D8" w:rsidRPr="001369CA" w:rsidRDefault="001E44D8" w:rsidP="001E44D8">
      <w:pPr>
        <w:pStyle w:val="SingleTxtG"/>
      </w:pPr>
      <w:r w:rsidRPr="001369CA">
        <w:t>3.</w:t>
      </w:r>
      <w:r w:rsidRPr="001369CA">
        <w:tab/>
        <w:t>Комитет высоко оценивает продолжающееся выделение 1% валового национального дохода государства-участника на официальную помощь в целях развития. Комитет также приветствует принятие Закона о равенстве и борьбе с дискриминацией и Плана действий по борьбе с расизмом и дискриминацией по признаку этнической и религиозной принадлежности, как</w:t>
      </w:r>
      <w:r w:rsidR="00822272" w:rsidRPr="001369CA">
        <w:t> </w:t>
      </w:r>
      <w:r w:rsidRPr="001369CA">
        <w:t>это было рекомендовано Комитетом в ходе предыдущего цикла обзора, а</w:t>
      </w:r>
      <w:r w:rsidR="00822272" w:rsidRPr="001369CA">
        <w:t> </w:t>
      </w:r>
      <w:r w:rsidRPr="001369CA">
        <w:t>также меры, принятые государством-участником в тех областях, которые касаются прав, закрепленных в Международном пакте об экономических, социальных и культурных правах, как это указано ниже.</w:t>
      </w:r>
    </w:p>
    <w:p w14:paraId="303FE225" w14:textId="77777777" w:rsidR="001E44D8" w:rsidRPr="001369CA" w:rsidRDefault="001E44D8" w:rsidP="001369CA">
      <w:pPr>
        <w:pStyle w:val="H1G"/>
      </w:pPr>
      <w:r w:rsidRPr="001369CA">
        <w:lastRenderedPageBreak/>
        <w:tab/>
      </w:r>
      <w:r w:rsidRPr="001369CA">
        <w:rPr>
          <w:lang w:val="en-IE"/>
        </w:rPr>
        <w:t>C</w:t>
      </w:r>
      <w:r w:rsidRPr="001369CA">
        <w:t>.</w:t>
      </w:r>
      <w:r w:rsidRPr="001369CA">
        <w:tab/>
        <w:t>Основные вопросы, вызывающие обеспокоенность, и</w:t>
      </w:r>
      <w:r w:rsidR="001A7202" w:rsidRPr="001369CA">
        <w:t> </w:t>
      </w:r>
      <w:r w:rsidRPr="001369CA">
        <w:t>рекомендации</w:t>
      </w:r>
    </w:p>
    <w:p w14:paraId="1DD384AD" w14:textId="77777777" w:rsidR="001E44D8" w:rsidRPr="001369CA" w:rsidRDefault="001E44D8" w:rsidP="001369CA">
      <w:pPr>
        <w:pStyle w:val="H23G"/>
      </w:pPr>
      <w:r w:rsidRPr="001369CA">
        <w:tab/>
      </w:r>
      <w:r w:rsidRPr="001369CA">
        <w:tab/>
      </w:r>
      <w:r w:rsidRPr="001369CA">
        <w:tab/>
        <w:t>Применение Пакта во внутреннем праве</w:t>
      </w:r>
    </w:p>
    <w:p w14:paraId="5695B584" w14:textId="77777777" w:rsidR="001E44D8" w:rsidRPr="001369CA" w:rsidRDefault="001E44D8" w:rsidP="001E44D8">
      <w:pPr>
        <w:pStyle w:val="SingleTxtG"/>
      </w:pPr>
      <w:r w:rsidRPr="001369CA">
        <w:t>4.</w:t>
      </w:r>
      <w:r w:rsidRPr="001369CA">
        <w:tab/>
        <w:t>Приветствуя включение в Конституцию государства-участника в 2014</w:t>
      </w:r>
      <w:r w:rsidR="001A7202" w:rsidRPr="001369CA">
        <w:t> </w:t>
      </w:r>
      <w:r w:rsidRPr="001369CA">
        <w:t>году главы, посвященной правам человека, Комитет в то же время принимает к сведению представленное делегацией пояснение о том, что парламент решил отразить в Конституции только самые основные обязательства Норвегии в области прав человека и что Пакт не имеет того же статуса, что и Конституция, но в случае коллизии он имеет преимущественную силу по сравнению с другими норвежскими законами. Комитет обеспокоен тем, что права, закрепленные в Пакте, не были в полной мере включены в Конституцию и что они не рассматриваются в качестве основных прав, которые могли бы быть в полном объеме защищены в судебном порядке, что не позволило государству-участнику ратифицировать Факультативный протокол к Пакту. Комитет также обеспокоен отсутствием подготовки специалистов юридической профессии по положениям Пакта. Несмотря на представленное государством-участником разъяснение, он далее обеспокоен пересмотром инструкций по подготовке мер центрального правительства (</w:t>
      </w:r>
      <w:r w:rsidRPr="001369CA">
        <w:rPr>
          <w:lang w:val="en-IE"/>
        </w:rPr>
        <w:t>utredningsinstruks</w:t>
      </w:r>
      <w:r w:rsidRPr="001369CA">
        <w:t>), из которых исключено конкретное требование о проведении оценки последствий для обязательств Норвегии в области прав человека в процессе разработки законодательства и политики.</w:t>
      </w:r>
    </w:p>
    <w:p w14:paraId="48616C88" w14:textId="77777777" w:rsidR="001E44D8" w:rsidRPr="001369CA" w:rsidRDefault="001E44D8" w:rsidP="001A7202">
      <w:pPr>
        <w:pStyle w:val="SingleTxtG"/>
        <w:rPr>
          <w:b/>
        </w:rPr>
      </w:pPr>
      <w:r w:rsidRPr="001369CA">
        <w:rPr>
          <w:bCs/>
        </w:rPr>
        <w:t>5.</w:t>
      </w:r>
      <w:r w:rsidRPr="001369CA">
        <w:rPr>
          <w:bCs/>
        </w:rPr>
        <w:tab/>
      </w:r>
      <w:r w:rsidRPr="001369CA">
        <w:rPr>
          <w:b/>
        </w:rPr>
        <w:t>Комитет рекомендует государству-участнику:</w:t>
      </w:r>
    </w:p>
    <w:p w14:paraId="5C8D869B" w14:textId="77777777" w:rsidR="001E44D8" w:rsidRPr="001369CA" w:rsidRDefault="001369CA" w:rsidP="001E44D8">
      <w:pPr>
        <w:pStyle w:val="SingleTxtG"/>
        <w:rPr>
          <w:b/>
        </w:rPr>
      </w:pPr>
      <w:r>
        <w:rPr>
          <w:b/>
        </w:rPr>
        <w:tab/>
      </w:r>
      <w:r w:rsidR="001E44D8" w:rsidRPr="001369CA">
        <w:rPr>
          <w:b/>
        </w:rPr>
        <w:tab/>
      </w:r>
      <w:r w:rsidR="001E44D8" w:rsidRPr="001369CA">
        <w:rPr>
          <w:b/>
          <w:bCs/>
          <w:lang w:val="en-IE"/>
        </w:rPr>
        <w:t>a</w:t>
      </w:r>
      <w:r w:rsidR="001E44D8" w:rsidRPr="001369CA">
        <w:rPr>
          <w:b/>
          <w:bCs/>
        </w:rPr>
        <w:t>)</w:t>
      </w:r>
      <w:r w:rsidR="001E44D8" w:rsidRPr="001369CA">
        <w:rPr>
          <w:b/>
        </w:rPr>
        <w:tab/>
        <w:t>в полном объеме включить закрепленные в Пакте права в свой национальный правопорядок на конституционном уровне, равном уровню гражданских и политических прав;</w:t>
      </w:r>
    </w:p>
    <w:p w14:paraId="3C71C30C" w14:textId="77777777" w:rsidR="001E44D8" w:rsidRPr="001369CA" w:rsidRDefault="001369CA" w:rsidP="001E44D8">
      <w:pPr>
        <w:pStyle w:val="SingleTxtG"/>
        <w:rPr>
          <w:b/>
        </w:rPr>
      </w:pPr>
      <w:r w:rsidRPr="001369CA">
        <w:rPr>
          <w:b/>
        </w:rPr>
        <w:tab/>
      </w:r>
      <w:r w:rsidR="001E44D8" w:rsidRPr="001369CA">
        <w:rPr>
          <w:b/>
        </w:rPr>
        <w:tab/>
      </w:r>
      <w:r w:rsidR="001E44D8" w:rsidRPr="001369CA">
        <w:rPr>
          <w:b/>
          <w:bCs/>
          <w:lang w:val="en-IE"/>
        </w:rPr>
        <w:t>b</w:t>
      </w:r>
      <w:r w:rsidR="001E44D8" w:rsidRPr="001369CA">
        <w:rPr>
          <w:b/>
          <w:bCs/>
        </w:rPr>
        <w:t>)</w:t>
      </w:r>
      <w:r w:rsidR="001E44D8" w:rsidRPr="001369CA">
        <w:rPr>
          <w:b/>
        </w:rPr>
        <w:tab/>
        <w:t>расширить подготовку судей, адвокатов и государственных должностных лиц по положениям Пакта и усилить возможность защиты в судебном порядке закрепленных в нем прав;</w:t>
      </w:r>
    </w:p>
    <w:p w14:paraId="73547BEC" w14:textId="77777777" w:rsidR="001E44D8" w:rsidRPr="001369CA" w:rsidRDefault="001369CA" w:rsidP="001E44D8">
      <w:pPr>
        <w:pStyle w:val="SingleTxtG"/>
        <w:rPr>
          <w:b/>
        </w:rPr>
      </w:pPr>
      <w:r w:rsidRPr="001369CA">
        <w:rPr>
          <w:b/>
        </w:rPr>
        <w:tab/>
      </w:r>
      <w:r w:rsidR="001E44D8" w:rsidRPr="001369CA">
        <w:rPr>
          <w:b/>
        </w:rPr>
        <w:tab/>
      </w:r>
      <w:r w:rsidR="001E44D8" w:rsidRPr="001369CA">
        <w:rPr>
          <w:b/>
          <w:bCs/>
          <w:lang w:val="en-IE"/>
        </w:rPr>
        <w:t>c</w:t>
      </w:r>
      <w:r w:rsidR="001E44D8" w:rsidRPr="001369CA">
        <w:rPr>
          <w:b/>
          <w:bCs/>
        </w:rPr>
        <w:t>)</w:t>
      </w:r>
      <w:r w:rsidR="001E44D8" w:rsidRPr="001369CA">
        <w:rPr>
          <w:b/>
        </w:rPr>
        <w:tab/>
        <w:t>ратифицировать Факультативный протокол к Международному пакту об экономических, социальных и культурных правах;</w:t>
      </w:r>
    </w:p>
    <w:p w14:paraId="0B230167" w14:textId="77777777" w:rsidR="001E44D8" w:rsidRPr="001369CA" w:rsidRDefault="001369CA" w:rsidP="001E44D8">
      <w:pPr>
        <w:pStyle w:val="SingleTxtG"/>
        <w:rPr>
          <w:b/>
        </w:rPr>
      </w:pPr>
      <w:r w:rsidRPr="001369CA">
        <w:rPr>
          <w:b/>
        </w:rPr>
        <w:tab/>
      </w:r>
      <w:r w:rsidR="001E44D8" w:rsidRPr="001369CA">
        <w:rPr>
          <w:b/>
        </w:rPr>
        <w:tab/>
      </w:r>
      <w:r w:rsidR="001E44D8" w:rsidRPr="001369CA">
        <w:rPr>
          <w:b/>
          <w:bCs/>
          <w:lang w:val="en-IE"/>
        </w:rPr>
        <w:t>d</w:t>
      </w:r>
      <w:r w:rsidR="001E44D8" w:rsidRPr="001369CA">
        <w:rPr>
          <w:b/>
          <w:bCs/>
        </w:rPr>
        <w:t>)</w:t>
      </w:r>
      <w:r w:rsidR="001E44D8" w:rsidRPr="001369CA">
        <w:rPr>
          <w:b/>
        </w:rPr>
        <w:tab/>
        <w:t>усилить роль оценок воздействия на права человека в процессе разработки законодательства и политики.</w:t>
      </w:r>
    </w:p>
    <w:p w14:paraId="58F978D9" w14:textId="77777777" w:rsidR="001E44D8" w:rsidRPr="001369CA" w:rsidRDefault="001E44D8" w:rsidP="001369CA">
      <w:pPr>
        <w:pStyle w:val="H23G"/>
      </w:pPr>
      <w:r w:rsidRPr="001369CA">
        <w:tab/>
      </w:r>
      <w:r w:rsidRPr="001369CA">
        <w:tab/>
        <w:t>Экстерриториальные обязательства в соответствии с Пактом</w:t>
      </w:r>
    </w:p>
    <w:p w14:paraId="759E1204" w14:textId="77777777" w:rsidR="001E44D8" w:rsidRPr="001369CA" w:rsidRDefault="001E44D8" w:rsidP="001E44D8">
      <w:pPr>
        <w:pStyle w:val="SingleTxtG"/>
      </w:pPr>
      <w:r w:rsidRPr="001369CA">
        <w:t>6.</w:t>
      </w:r>
      <w:r w:rsidRPr="001369CA">
        <w:tab/>
        <w:t>Комитет принимает к сведению, что Глобальный государственный пенсионный фонд государства-участника является крупнейшим в мире суверенным фондом национального благосостояния и что был создан Совет по этике для проведения мониторинга портфеля средств Фонда в соответствии с этически мотивированными руководящими принципами наблюдения и исключения из Фонда, пересмотр которых проводится в настоящее время. Вместе с тем Комитет обеспокоен серьезными последствиями для прав человека со стороны некоторых инвестиционных портфелей Фонда, включающих в себя компании, которые, как установлено, занимаются на оккупированной палестинской территории сносом жилых домов, строительством израильских поселений или другой деятельностью. Он также обеспокоен тем, что не все инвестиции Фонда подлежат оценке Советом по этике.</w:t>
      </w:r>
    </w:p>
    <w:p w14:paraId="4C2626F4" w14:textId="77777777" w:rsidR="001E44D8" w:rsidRPr="001369CA" w:rsidRDefault="001E44D8" w:rsidP="001E44D8">
      <w:pPr>
        <w:pStyle w:val="SingleTxtG"/>
        <w:rPr>
          <w:b/>
        </w:rPr>
      </w:pPr>
      <w:r w:rsidRPr="001369CA">
        <w:rPr>
          <w:bCs/>
        </w:rPr>
        <w:t>7.</w:t>
      </w:r>
      <w:r w:rsidRPr="001369CA">
        <w:rPr>
          <w:bCs/>
        </w:rPr>
        <w:tab/>
      </w:r>
      <w:r w:rsidRPr="001369CA">
        <w:rPr>
          <w:b/>
        </w:rPr>
        <w:t xml:space="preserve">Комитет рекомендует государству-участнику пересмотреть инвестиции </w:t>
      </w:r>
      <w:r w:rsidRPr="001369CA">
        <w:rPr>
          <w:b/>
          <w:bCs/>
        </w:rPr>
        <w:t>Глобального государственного пенсионного фонда</w:t>
      </w:r>
      <w:r w:rsidRPr="001369CA">
        <w:rPr>
          <w:b/>
        </w:rPr>
        <w:t xml:space="preserve"> в хозяйственные субъекты, участвующие в операциях на оккупированной палестинской территории, в свете его обязательств, предусмотренных в Консультативном заключении </w:t>
      </w:r>
      <w:r w:rsidRPr="001369CA">
        <w:rPr>
          <w:b/>
          <w:bCs/>
        </w:rPr>
        <w:t xml:space="preserve">Международного Суда от 9 июля 2004 года относительно правовых последствий строительства </w:t>
      </w:r>
      <w:r w:rsidRPr="001369CA">
        <w:rPr>
          <w:b/>
        </w:rPr>
        <w:t>стены на оккупированной палестинской территории. Он также рекомендует государству-участнику обеспечить, чтобы этически мотивированные руководящие принципы наблюдения и исключения из Фонда соответствовали его территориальным и экстерриториальным обязательствам по Пакту, как это указано в пунктах 25</w:t>
      </w:r>
      <w:r w:rsidR="00A24E2E">
        <w:rPr>
          <w:b/>
        </w:rPr>
        <w:t>–</w:t>
      </w:r>
      <w:r w:rsidRPr="001369CA">
        <w:rPr>
          <w:b/>
        </w:rPr>
        <w:t xml:space="preserve">37 замечания общего порядка № 24 (2017) Комитета об обязательствах государств по Международному пакту об </w:t>
      </w:r>
      <w:r w:rsidRPr="001369CA">
        <w:rPr>
          <w:b/>
        </w:rPr>
        <w:lastRenderedPageBreak/>
        <w:t xml:space="preserve">экономических, социальных и культурных правах в контексте предпринимательской деятельности. Он также рекомендует государству-участнику продолжать процесс тщательной оценки этических норм Советом по этике. </w:t>
      </w:r>
    </w:p>
    <w:p w14:paraId="6EB13016" w14:textId="77777777" w:rsidR="001E44D8" w:rsidRPr="001369CA" w:rsidRDefault="001E44D8" w:rsidP="001A7202">
      <w:pPr>
        <w:pStyle w:val="H23G"/>
      </w:pPr>
      <w:r w:rsidRPr="001369CA">
        <w:tab/>
      </w:r>
      <w:r w:rsidRPr="001369CA">
        <w:tab/>
        <w:t xml:space="preserve">Предпринимательская деятельность и права человека </w:t>
      </w:r>
    </w:p>
    <w:p w14:paraId="1E8EA6D8" w14:textId="77777777" w:rsidR="001E44D8" w:rsidRPr="001369CA" w:rsidRDefault="001E44D8" w:rsidP="001E44D8">
      <w:pPr>
        <w:pStyle w:val="SingleTxtG"/>
      </w:pPr>
      <w:r w:rsidRPr="001369CA">
        <w:t>8.</w:t>
      </w:r>
      <w:r w:rsidRPr="001369CA">
        <w:tab/>
        <w:t xml:space="preserve">Комитет приветствует </w:t>
      </w:r>
      <w:r w:rsidRPr="001369CA">
        <w:rPr>
          <w:color w:val="333333"/>
          <w:shd w:val="clear" w:color="auto" w:fill="FFFFFF"/>
        </w:rPr>
        <w:t xml:space="preserve">принятие национального </w:t>
      </w:r>
      <w:r w:rsidRPr="001369CA">
        <w:t xml:space="preserve">плана действий </w:t>
      </w:r>
      <w:r w:rsidRPr="001369CA">
        <w:rPr>
          <w:color w:val="333333"/>
          <w:shd w:val="clear" w:color="auto" w:fill="FFFFFF"/>
        </w:rPr>
        <w:t>по выполнению Руководящих принципов предпринимательской деятельности в аспекте прав человека: осуществление рамок Организации Объединенных Наций в отношении «защиты, соблюдения и средств правовой защиты</w:t>
      </w:r>
      <w:r w:rsidR="00A24E2E">
        <w:rPr>
          <w:color w:val="333333"/>
          <w:shd w:val="clear" w:color="auto" w:fill="FFFFFF"/>
        </w:rPr>
        <w:t>»</w:t>
      </w:r>
      <w:r w:rsidRPr="001369CA">
        <w:t xml:space="preserve">. </w:t>
      </w:r>
      <w:r w:rsidRPr="001369CA">
        <w:rPr>
          <w:color w:val="333333"/>
          <w:shd w:val="clear" w:color="auto" w:fill="FFFFFF"/>
        </w:rPr>
        <w:t xml:space="preserve">Тем не менее Комитет обеспокоен недостаточным уровнем осуществления этого плана. </w:t>
      </w:r>
      <w:r w:rsidRPr="001369CA">
        <w:t xml:space="preserve">Принимая к сведению законопроект, подготовленный правительственным Комитетом по информации в области этики в целях поощрения соблюдения прав человека в аспекте предпринимательской деятельности и </w:t>
      </w:r>
      <w:r w:rsidRPr="001369CA">
        <w:rPr>
          <w:color w:val="333333"/>
          <w:shd w:val="clear" w:color="auto" w:fill="FFFFFF"/>
        </w:rPr>
        <w:t>производственно-сбытовых цепочек</w:t>
      </w:r>
      <w:r w:rsidRPr="001369CA">
        <w:t>, Комитет также обеспокоен недостаточным уровнем оценки рисков в области прав человека, проводимой коммерческими предприятиями, имеющими домициль на территории или находящимися под юрисдикцией государства-участника, в связи с их деятельностью за рубежом, а также недостаточными возможностями государства-участника для оценки рисков в области прав человека в принимающих странах, в которых действуют такие предприятия. Он далее обеспокоен недостаточным доступом к средствам правовой защиты в государстве-участнике неграждан, чьи права, как утверждается, были нарушены норвежскими компаниями за рубежом.</w:t>
      </w:r>
    </w:p>
    <w:p w14:paraId="61A360D8" w14:textId="77777777" w:rsidR="001E44D8" w:rsidRPr="001369CA" w:rsidRDefault="001E44D8" w:rsidP="001E44D8">
      <w:pPr>
        <w:pStyle w:val="SingleTxtG"/>
        <w:rPr>
          <w:b/>
        </w:rPr>
      </w:pPr>
      <w:r w:rsidRPr="001369CA">
        <w:rPr>
          <w:bCs/>
        </w:rPr>
        <w:t>9.</w:t>
      </w:r>
      <w:r w:rsidRPr="001369CA">
        <w:rPr>
          <w:bCs/>
        </w:rPr>
        <w:tab/>
      </w:r>
      <w:r w:rsidRPr="001369CA">
        <w:rPr>
          <w:b/>
        </w:rPr>
        <w:t xml:space="preserve">Комитет рекомендует государству-участнику в полной мере осуществить национальный план действий по осуществлению Руководящих принципов предпринимательской деятельности в аспекте прав человека и повысить его эффективность, в том числе путем установления поддающихся измерению целей и конкретных сроков. Комитет также рекомендует государству-участнику обеспечить, чтобы </w:t>
      </w:r>
      <w:r w:rsidRPr="00A24E2E">
        <w:rPr>
          <w:b/>
        </w:rPr>
        <w:t>коммерческие предприятия надлежащим образом проводили оценку рисков для прав человека в связи с их деятельностью за рубежом, и</w:t>
      </w:r>
      <w:r w:rsidR="00A24E2E">
        <w:rPr>
          <w:b/>
        </w:rPr>
        <w:t> </w:t>
      </w:r>
      <w:r w:rsidRPr="00A24E2E">
        <w:rPr>
          <w:b/>
        </w:rPr>
        <w:t>укрепить потенциал государства-участника, в том числе через его посольства, с целью оценки рисков для прав человека в принимающих странах. Он далее рекомендует государству-участнику принять законодательные рамки, предусматривающие должную осмотрительность в отношении прав человека со стороны коммерческих предприятий, привлечение коммерческих предприятий, находящихся под юрисдикцией государства-участника, к ответственности за нарушения экономических, социальных и культурных прав и предоставление доступа к средствам правовой защиты в госу</w:t>
      </w:r>
      <w:r w:rsidRPr="001369CA">
        <w:rPr>
          <w:b/>
        </w:rPr>
        <w:t>дарстве-участнике жертвам, не</w:t>
      </w:r>
      <w:r w:rsidR="00A24E2E">
        <w:rPr>
          <w:b/>
        </w:rPr>
        <w:t> </w:t>
      </w:r>
      <w:r w:rsidRPr="001369CA">
        <w:rPr>
          <w:b/>
        </w:rPr>
        <w:t xml:space="preserve">являющимся гражданами страны. </w:t>
      </w:r>
    </w:p>
    <w:p w14:paraId="53C71708" w14:textId="77777777" w:rsidR="001E44D8" w:rsidRPr="001369CA" w:rsidRDefault="001E44D8" w:rsidP="001A7202">
      <w:pPr>
        <w:pStyle w:val="H23G"/>
      </w:pPr>
      <w:r w:rsidRPr="001369CA">
        <w:tab/>
      </w:r>
      <w:r w:rsidRPr="001369CA">
        <w:tab/>
        <w:t>Изменение климата</w:t>
      </w:r>
    </w:p>
    <w:p w14:paraId="17CB8293" w14:textId="77777777" w:rsidR="001E44D8" w:rsidRPr="001369CA" w:rsidRDefault="001E44D8" w:rsidP="001E44D8">
      <w:pPr>
        <w:pStyle w:val="SingleTxtG"/>
      </w:pPr>
      <w:r w:rsidRPr="001369CA">
        <w:t>10.</w:t>
      </w:r>
      <w:r w:rsidRPr="001369CA">
        <w:tab/>
        <w:t>Отмечая вклад государства-участника в Зеленый климатический фонд и его усилия по достижению целевых показателей сокращения выбросов парниковых газов к 2030 году, Комитет в то же время обеспокоен выданными государством-участником в последние годы лицензиями на разведку и эксплуатацию запасов нефти и природного газа в Северном Ледовитом океане и Баренцевом море, а также воздействием этой деятельности на глобальное потепление (пункт 1 статьи 2).</w:t>
      </w:r>
    </w:p>
    <w:p w14:paraId="755CEDC2" w14:textId="77777777" w:rsidR="001E44D8" w:rsidRPr="001369CA" w:rsidRDefault="001E44D8" w:rsidP="001E44D8">
      <w:pPr>
        <w:pStyle w:val="SingleTxtG"/>
        <w:rPr>
          <w:b/>
        </w:rPr>
      </w:pPr>
      <w:r w:rsidRPr="001369CA">
        <w:t>11</w:t>
      </w:r>
      <w:r w:rsidRPr="001369CA">
        <w:rPr>
          <w:bCs/>
        </w:rPr>
        <w:t>.</w:t>
      </w:r>
      <w:r w:rsidRPr="001369CA">
        <w:rPr>
          <w:bCs/>
        </w:rPr>
        <w:tab/>
      </w:r>
      <w:r w:rsidRPr="001369CA">
        <w:rPr>
          <w:b/>
        </w:rPr>
        <w:t>Комитет рекомендует государству-участнику активизировать усилия по достижению своего определенного на национальном уровне вклада в соответствии с Парижским соглашением в целях сокращения выбросов по меньшей мере на 50% и к 2030 году до 55% по сравнению с уровнями 1990 года, а</w:t>
      </w:r>
      <w:r w:rsidR="00A24E2E">
        <w:rPr>
          <w:b/>
        </w:rPr>
        <w:t> </w:t>
      </w:r>
      <w:r w:rsidRPr="001369CA">
        <w:rPr>
          <w:b/>
        </w:rPr>
        <w:t xml:space="preserve">также поощрять использование альтернативных и возобновляемых источников энергии. Он также рекомендует государству-участнику пересмотреть свое решение об увеличении масштабов эксплуатации нефти и природного газа и учитывать свои обязательства в области прав человека в качестве одного из основных соображений в своей политике в области эксплуатации и экспорта природных ресурсов. </w:t>
      </w:r>
    </w:p>
    <w:p w14:paraId="091A19B3" w14:textId="77777777" w:rsidR="001E44D8" w:rsidRPr="001369CA" w:rsidRDefault="001E44D8" w:rsidP="001A7202">
      <w:pPr>
        <w:pStyle w:val="H23G"/>
      </w:pPr>
      <w:r w:rsidRPr="001369CA">
        <w:lastRenderedPageBreak/>
        <w:tab/>
      </w:r>
      <w:r w:rsidRPr="001369CA">
        <w:tab/>
        <w:t>Сбор данных</w:t>
      </w:r>
    </w:p>
    <w:p w14:paraId="4958A2FF" w14:textId="77777777" w:rsidR="001E44D8" w:rsidRPr="001369CA" w:rsidRDefault="001E44D8" w:rsidP="001E44D8">
      <w:pPr>
        <w:pStyle w:val="SingleTxtG"/>
      </w:pPr>
      <w:r w:rsidRPr="001369CA">
        <w:t>12.</w:t>
      </w:r>
      <w:r w:rsidRPr="001369CA">
        <w:tab/>
        <w:t xml:space="preserve">Комитет обеспокоен отсутствием в государстве-участнике данных в разбивке по этническому происхождению или принадлежности к коренному населению, что затрудняет оценку уровня осуществления закрепленных в Пакте прав саами, а также лицами, принадлежащими к группам этнических меньшинств. </w:t>
      </w:r>
    </w:p>
    <w:p w14:paraId="6871E89A" w14:textId="77777777" w:rsidR="001E44D8" w:rsidRPr="001369CA" w:rsidRDefault="001E44D8" w:rsidP="001E44D8">
      <w:pPr>
        <w:pStyle w:val="SingleTxtG"/>
      </w:pPr>
      <w:r w:rsidRPr="001369CA">
        <w:t>13</w:t>
      </w:r>
      <w:r w:rsidRPr="001369CA">
        <w:rPr>
          <w:bCs/>
        </w:rPr>
        <w:t>.</w:t>
      </w:r>
      <w:r w:rsidRPr="001369CA">
        <w:rPr>
          <w:bCs/>
        </w:rPr>
        <w:tab/>
      </w:r>
      <w:r w:rsidRPr="001369CA">
        <w:rPr>
          <w:b/>
        </w:rPr>
        <w:t>Комитет рекомендует государству-участнику улучшить систему сбора данных и собирать их в разбивке по этническому происхождению или принадлежности к коренному населению для отслеживания прогресса в реализации закрепленных в Пакте прав и разработки эффективных и целенаправленных мер по повышению уровня осуществления закрепленных в Пакте прав саами, а также лицами, принадлежащими к группам этнических меньшинств, в интересах их полного осуществления.</w:t>
      </w:r>
    </w:p>
    <w:p w14:paraId="74F53F39" w14:textId="77777777" w:rsidR="001E44D8" w:rsidRPr="001369CA" w:rsidRDefault="001E44D8" w:rsidP="001A7202">
      <w:pPr>
        <w:pStyle w:val="H23G"/>
      </w:pPr>
      <w:r w:rsidRPr="001369CA">
        <w:tab/>
      </w:r>
      <w:r w:rsidRPr="001369CA">
        <w:tab/>
        <w:t>Правовая помощь</w:t>
      </w:r>
    </w:p>
    <w:p w14:paraId="7F876165" w14:textId="77777777" w:rsidR="001E44D8" w:rsidRPr="001369CA" w:rsidRDefault="001E44D8" w:rsidP="001E44D8">
      <w:pPr>
        <w:pStyle w:val="SingleTxtG"/>
      </w:pPr>
      <w:r w:rsidRPr="001369CA">
        <w:t>14.</w:t>
      </w:r>
      <w:r w:rsidRPr="001369CA">
        <w:tab/>
        <w:t xml:space="preserve">Отмечая, что в настоящее время проводится пересмотр системы правовой помощи, Комитет обеспокоен тем, что лица, находящиеся в неблагоприятном положении, имеют ограниченный доступ к средствам правовой защиты в случае нарушения их закрепленных в Пакте прав в силу ограниченности объема бесплатной правовой помощи и нереалистичности получения права на финансовую помощь в рамках системы предоставления такой правовой помощи с учетом проверки уровня доходов, которая не корректировалась с 2009 года. </w:t>
      </w:r>
    </w:p>
    <w:p w14:paraId="07B04AEB" w14:textId="77777777" w:rsidR="001E44D8" w:rsidRPr="001369CA" w:rsidRDefault="001E44D8" w:rsidP="001E44D8">
      <w:pPr>
        <w:pStyle w:val="SingleTxtG"/>
        <w:rPr>
          <w:b/>
        </w:rPr>
      </w:pPr>
      <w:r w:rsidRPr="001369CA">
        <w:t>15</w:t>
      </w:r>
      <w:r w:rsidRPr="001369CA">
        <w:rPr>
          <w:bCs/>
        </w:rPr>
        <w:t>.</w:t>
      </w:r>
      <w:r w:rsidRPr="001369CA">
        <w:rPr>
          <w:bCs/>
        </w:rPr>
        <w:tab/>
      </w:r>
      <w:r w:rsidRPr="001369CA">
        <w:rPr>
          <w:b/>
        </w:rPr>
        <w:t xml:space="preserve">Комитет рекомендует государству-участнику реформировать систему правовой помощи с </w:t>
      </w:r>
      <w:r w:rsidRPr="001369CA">
        <w:rPr>
          <w:b/>
          <w:bCs/>
        </w:rPr>
        <w:t>учетом итогов ее обзора</w:t>
      </w:r>
      <w:r w:rsidRPr="001369CA">
        <w:rPr>
          <w:b/>
        </w:rPr>
        <w:t xml:space="preserve"> после их опубликования для обеспечения того, чтобы бесплатная правовая помощь была доступна для всех находящихся в неблагоприятном положении и маргинализованных лиц.</w:t>
      </w:r>
    </w:p>
    <w:p w14:paraId="1136CA27" w14:textId="77777777" w:rsidR="001E44D8" w:rsidRPr="001369CA" w:rsidRDefault="001E44D8" w:rsidP="001A7202">
      <w:pPr>
        <w:pStyle w:val="H23G"/>
      </w:pPr>
      <w:r w:rsidRPr="001369CA">
        <w:tab/>
      </w:r>
      <w:r w:rsidRPr="001369CA">
        <w:tab/>
        <w:t>Закон о равенстве и борьбе с дискриминацией</w:t>
      </w:r>
    </w:p>
    <w:p w14:paraId="7DF5F728" w14:textId="77777777" w:rsidR="001E44D8" w:rsidRPr="001369CA" w:rsidRDefault="001E44D8" w:rsidP="001E44D8">
      <w:pPr>
        <w:pStyle w:val="SingleTxtG"/>
      </w:pPr>
      <w:r w:rsidRPr="001369CA">
        <w:t>16.</w:t>
      </w:r>
      <w:r w:rsidRPr="001369CA">
        <w:tab/>
        <w:t>Комитет принимает к сведению, что статьей 26 Закона о равенстве и борьбе с дискриминацией предусмотрена обязанность работодателей в государственном и частном секторах принимать меры по поощрению равенства и предотвращению дискриминации и что пункт а) статьи 26, которым предусмотрена обязанность информировать по просьбе наемных работников или их представителей о деятельности, осуществляемой в соответствии со статьей 26, применяется к частным предприятиям, на которых обычно заняты от 20 до 50 человек. Тем не менее Комитет обеспокоен эффективностью этого положения, поскольку частные работодатели, насчитывающие менее 50 работников, на которых приходится более 97% частных работодателей, полностью или условно освобождены от этой обязанности информировать о такой деятельности. Он также обеспокоен сообщениями о низком уровне соблюдения обязанностей принимать меры и представлять отчетность (пункт</w:t>
      </w:r>
      <w:r w:rsidR="00391830">
        <w:t> </w:t>
      </w:r>
      <w:r w:rsidRPr="001369CA">
        <w:t>2 статьи 2).</w:t>
      </w:r>
    </w:p>
    <w:p w14:paraId="6017B430" w14:textId="77777777" w:rsidR="001E44D8" w:rsidRPr="001369CA" w:rsidRDefault="001E44D8" w:rsidP="001E44D8">
      <w:pPr>
        <w:pStyle w:val="SingleTxtG"/>
      </w:pPr>
      <w:r w:rsidRPr="001369CA">
        <w:rPr>
          <w:bCs/>
        </w:rPr>
        <w:t>17.</w:t>
      </w:r>
      <w:r w:rsidRPr="001369CA">
        <w:rPr>
          <w:bCs/>
        </w:rPr>
        <w:tab/>
      </w:r>
      <w:r w:rsidRPr="001369CA">
        <w:rPr>
          <w:b/>
        </w:rPr>
        <w:t>Комитет рекомендует государству-участнику принять эффективные меры для обеспечения того, чтобы предусмотренная в статье 26 Закона о равенстве и борьбе с дискриминацией обязанность принимать меры по поощрению равенства и предотвращению дискриминации выполнялась в полном объеме всеми государственными и частными работодателями. Он также рекомендует государству-участнику обеспечить полное соблюдение обязанностей по принятию мер и представлению отчетности, в том числе путем ужесточения наказаний за несоблюдение.</w:t>
      </w:r>
    </w:p>
    <w:p w14:paraId="08687C9E" w14:textId="77777777" w:rsidR="001E44D8" w:rsidRPr="001369CA" w:rsidRDefault="001E44D8" w:rsidP="001A7202">
      <w:pPr>
        <w:pStyle w:val="H23G"/>
      </w:pPr>
      <w:r w:rsidRPr="001369CA">
        <w:tab/>
      </w:r>
      <w:r w:rsidRPr="001369CA">
        <w:tab/>
        <w:t>Инвалиды</w:t>
      </w:r>
    </w:p>
    <w:p w14:paraId="2B817172" w14:textId="77777777" w:rsidR="001E44D8" w:rsidRPr="001369CA" w:rsidRDefault="001E44D8" w:rsidP="001E44D8">
      <w:pPr>
        <w:pStyle w:val="SingleTxtG"/>
      </w:pPr>
      <w:r w:rsidRPr="001369CA">
        <w:t>18.</w:t>
      </w:r>
      <w:r w:rsidRPr="001369CA">
        <w:tab/>
        <w:t>Отмечая принятие Национальной инициативы по интеграции (2018</w:t>
      </w:r>
      <w:r w:rsidR="00432103">
        <w:t>–</w:t>
      </w:r>
      <w:r w:rsidRPr="001369CA">
        <w:t xml:space="preserve">2021 годы), Комитет вместе с тем выражает обеспокоенность по поводу большого количества инвалидов, которые являются безработными или находятся вне рынка труда. Он также обеспокоен сообщениями о том, что большое количество лиц с нарушениями зрения уволилось или рассматривает возможность увольнения с работы из-за технологических барьеров на рабочем месте. Он также обеспокоен тем, что </w:t>
      </w:r>
      <w:r w:rsidRPr="001369CA">
        <w:lastRenderedPageBreak/>
        <w:t xml:space="preserve">предусмотренная в статье 17 Закона о равенстве и борьбе с дискриминацией обязанность применять универсальный дизайн, хотя и налагается на государственные и частные предприятия в отношении предоставляемых ими услуг для населения, </w:t>
      </w:r>
      <w:r w:rsidRPr="00432103">
        <w:rPr>
          <w:spacing w:val="-2"/>
        </w:rPr>
        <w:t>не</w:t>
      </w:r>
      <w:r w:rsidR="00432103" w:rsidRPr="00432103">
        <w:rPr>
          <w:spacing w:val="-2"/>
        </w:rPr>
        <w:t> </w:t>
      </w:r>
      <w:r w:rsidRPr="00432103">
        <w:rPr>
          <w:spacing w:val="-2"/>
        </w:rPr>
        <w:t>распространяется на организацию труда на рабочем месте (статьи 2, пункт 2, 6 и 15).</w:t>
      </w:r>
      <w:r w:rsidRPr="001369CA">
        <w:t xml:space="preserve"> </w:t>
      </w:r>
    </w:p>
    <w:p w14:paraId="1FE9F729" w14:textId="77777777" w:rsidR="001E44D8" w:rsidRPr="001369CA" w:rsidRDefault="001E44D8" w:rsidP="001E44D8">
      <w:pPr>
        <w:pStyle w:val="SingleTxtG"/>
      </w:pPr>
      <w:r w:rsidRPr="001369CA">
        <w:t>19</w:t>
      </w:r>
      <w:r w:rsidRPr="001369CA">
        <w:rPr>
          <w:bCs/>
        </w:rPr>
        <w:t>.</w:t>
      </w:r>
      <w:r w:rsidRPr="001369CA">
        <w:rPr>
          <w:bCs/>
        </w:rPr>
        <w:tab/>
      </w:r>
      <w:r w:rsidRPr="001369CA">
        <w:rPr>
          <w:b/>
        </w:rPr>
        <w:t>Комитет рекомендует государству-участнику в полной мере осуществить Национальную инициативу по интеграции и принять меры с учетом конкретных потребностей инвалидов в доступе к занятости. Комитет также рекомендует государству-участнику пересмотреть статью 17 Закона о равенстве и борьбе с дискриминацией, с тем чтобы распространить на рабочие места обязанность, относящуюся к универсальному дизайну, и включить информационно-коммуникационные технологии, в том числе программное обеспечение, в</w:t>
      </w:r>
      <w:r w:rsidR="00432103">
        <w:rPr>
          <w:b/>
        </w:rPr>
        <w:t> </w:t>
      </w:r>
      <w:r w:rsidRPr="001369CA">
        <w:rPr>
          <w:b/>
        </w:rPr>
        <w:t xml:space="preserve">универсальный дизайн на рабочих местах. </w:t>
      </w:r>
    </w:p>
    <w:p w14:paraId="6DBBA414" w14:textId="77777777" w:rsidR="001E44D8" w:rsidRPr="001369CA" w:rsidRDefault="001E44D8" w:rsidP="001A7202">
      <w:pPr>
        <w:pStyle w:val="H23G"/>
      </w:pPr>
      <w:r w:rsidRPr="001369CA">
        <w:tab/>
      </w:r>
      <w:r w:rsidRPr="001369CA">
        <w:tab/>
        <w:t>Лица с иммигрантским происхождением</w:t>
      </w:r>
    </w:p>
    <w:p w14:paraId="52927858" w14:textId="77777777" w:rsidR="001E44D8" w:rsidRPr="001369CA" w:rsidRDefault="001E44D8" w:rsidP="001E44D8">
      <w:pPr>
        <w:pStyle w:val="SingleTxtG"/>
      </w:pPr>
      <w:r w:rsidRPr="001369CA">
        <w:t>20.</w:t>
      </w:r>
      <w:r w:rsidRPr="001369CA">
        <w:tab/>
        <w:t>Комитет обеспокоен тем, что лица с иммигрантским происхождением по</w:t>
      </w:r>
      <w:r w:rsidR="00432103">
        <w:noBreakHyphen/>
      </w:r>
      <w:r w:rsidRPr="001369CA">
        <w:t>прежнему подвергаются дискриминации при осуществлении своих закрепленных в Пакте прав. Он особенно обеспокоен тем, что уровень безработицы среди этих лиц в три раза выше, чем среди остального населения, и что они в основном заняты на низкооплачиваемых работах. Комитет также обеспокоен отсутствием специальных мер по улучшению их положения в области занятости. Он далее обеспокоен тем, что эти лица постоянно подвергаются дискриминации на рынке жилья и, следовательно, преобладают среди «обездоленных на рынке жилья» (статьи 2, пункт 2, 6 и 11).</w:t>
      </w:r>
    </w:p>
    <w:p w14:paraId="581FA328" w14:textId="77777777" w:rsidR="001E44D8" w:rsidRPr="001369CA" w:rsidRDefault="001E44D8" w:rsidP="001E44D8">
      <w:pPr>
        <w:pStyle w:val="SingleTxtG"/>
        <w:rPr>
          <w:b/>
        </w:rPr>
      </w:pPr>
      <w:r w:rsidRPr="001369CA">
        <w:rPr>
          <w:bCs/>
        </w:rPr>
        <w:t>21.</w:t>
      </w:r>
      <w:r w:rsidRPr="001369CA">
        <w:rPr>
          <w:bCs/>
        </w:rPr>
        <w:tab/>
      </w:r>
      <w:r w:rsidRPr="001369CA">
        <w:rPr>
          <w:b/>
        </w:rPr>
        <w:t xml:space="preserve">Комитет рекомендует государству-участнику в полной мере осуществлять </w:t>
      </w:r>
      <w:r w:rsidRPr="001369CA">
        <w:rPr>
          <w:b/>
          <w:bCs/>
        </w:rPr>
        <w:t>План действий по борьбе с расизмом и дискриминацией по признаку этнической и религиозной принадлежности</w:t>
      </w:r>
      <w:r w:rsidRPr="001369CA">
        <w:t xml:space="preserve"> </w:t>
      </w:r>
      <w:r w:rsidRPr="001369CA">
        <w:rPr>
          <w:b/>
        </w:rPr>
        <w:t>в консультации с лицами из числа иммигрантов и при их участии. В частности, он рекомендует государству-участнику:</w:t>
      </w:r>
    </w:p>
    <w:p w14:paraId="50C3118B" w14:textId="77777777" w:rsidR="001E44D8" w:rsidRPr="00432103" w:rsidRDefault="00432103" w:rsidP="001E44D8">
      <w:pPr>
        <w:pStyle w:val="SingleTxtG"/>
        <w:rPr>
          <w:b/>
        </w:rPr>
      </w:pPr>
      <w:r>
        <w:rPr>
          <w:b/>
        </w:rPr>
        <w:tab/>
      </w:r>
      <w:r w:rsidR="001E44D8" w:rsidRPr="001369CA">
        <w:rPr>
          <w:b/>
        </w:rPr>
        <w:tab/>
      </w:r>
      <w:r w:rsidR="001E44D8" w:rsidRPr="00432103">
        <w:rPr>
          <w:b/>
          <w:bCs/>
          <w:lang w:val="en-IE"/>
        </w:rPr>
        <w:t>a</w:t>
      </w:r>
      <w:r w:rsidR="001E44D8" w:rsidRPr="00432103">
        <w:rPr>
          <w:b/>
          <w:bCs/>
        </w:rPr>
        <w:t>)</w:t>
      </w:r>
      <w:r w:rsidR="001E44D8" w:rsidRPr="00432103">
        <w:rPr>
          <w:b/>
        </w:rPr>
        <w:tab/>
        <w:t>укреплять в их интересах профессиональное образование и обучение, языковую подготовку, а также услуги по трудоустройству;</w:t>
      </w:r>
    </w:p>
    <w:p w14:paraId="6684DD6E" w14:textId="77777777" w:rsidR="001E44D8" w:rsidRPr="00432103" w:rsidRDefault="00432103" w:rsidP="001E44D8">
      <w:pPr>
        <w:pStyle w:val="SingleTxtG"/>
        <w:rPr>
          <w:b/>
        </w:rPr>
      </w:pPr>
      <w:r w:rsidRPr="00432103">
        <w:rPr>
          <w:b/>
        </w:rPr>
        <w:tab/>
      </w:r>
      <w:r w:rsidR="001E44D8" w:rsidRPr="00432103">
        <w:rPr>
          <w:b/>
        </w:rPr>
        <w:tab/>
      </w:r>
      <w:r w:rsidR="001E44D8" w:rsidRPr="00432103">
        <w:rPr>
          <w:b/>
          <w:bCs/>
          <w:lang w:val="en-IE"/>
        </w:rPr>
        <w:t>b</w:t>
      </w:r>
      <w:r w:rsidR="001E44D8" w:rsidRPr="00432103">
        <w:rPr>
          <w:b/>
          <w:bCs/>
        </w:rPr>
        <w:t>)</w:t>
      </w:r>
      <w:r w:rsidR="001E44D8" w:rsidRPr="00432103">
        <w:rPr>
          <w:b/>
        </w:rPr>
        <w:tab/>
        <w:t>обеспечить надлежащее признание их образования и профессиональной квалификации, а также опыта работы за рубежом;</w:t>
      </w:r>
    </w:p>
    <w:p w14:paraId="122FC04C" w14:textId="77777777" w:rsidR="001E44D8" w:rsidRPr="00432103" w:rsidRDefault="00432103" w:rsidP="001E44D8">
      <w:pPr>
        <w:pStyle w:val="SingleTxtG"/>
        <w:rPr>
          <w:b/>
        </w:rPr>
      </w:pPr>
      <w:r w:rsidRPr="00432103">
        <w:rPr>
          <w:b/>
        </w:rPr>
        <w:tab/>
      </w:r>
      <w:r w:rsidR="001E44D8" w:rsidRPr="00432103">
        <w:rPr>
          <w:b/>
        </w:rPr>
        <w:tab/>
      </w:r>
      <w:r w:rsidR="001E44D8" w:rsidRPr="00432103">
        <w:rPr>
          <w:b/>
          <w:bCs/>
          <w:lang w:val="en-IE"/>
        </w:rPr>
        <w:t>c</w:t>
      </w:r>
      <w:r w:rsidR="001E44D8" w:rsidRPr="00432103">
        <w:rPr>
          <w:b/>
          <w:bCs/>
        </w:rPr>
        <w:t>)</w:t>
      </w:r>
      <w:r w:rsidR="001E44D8" w:rsidRPr="00432103">
        <w:rPr>
          <w:b/>
        </w:rPr>
        <w:tab/>
        <w:t>ввести специальные меры по улучшению трудоустройства лиц с иммигрантским происхождением;</w:t>
      </w:r>
    </w:p>
    <w:p w14:paraId="4CF0D656" w14:textId="77777777" w:rsidR="001E44D8" w:rsidRPr="00432103" w:rsidRDefault="00432103" w:rsidP="001E44D8">
      <w:pPr>
        <w:pStyle w:val="SingleTxtG"/>
        <w:rPr>
          <w:b/>
        </w:rPr>
      </w:pPr>
      <w:r w:rsidRPr="00432103">
        <w:rPr>
          <w:b/>
        </w:rPr>
        <w:tab/>
      </w:r>
      <w:r w:rsidR="001E44D8" w:rsidRPr="00432103">
        <w:rPr>
          <w:b/>
        </w:rPr>
        <w:tab/>
      </w:r>
      <w:r w:rsidR="001E44D8" w:rsidRPr="00432103">
        <w:rPr>
          <w:b/>
          <w:bCs/>
          <w:lang w:val="en-IE"/>
        </w:rPr>
        <w:t>d</w:t>
      </w:r>
      <w:r w:rsidR="001E44D8" w:rsidRPr="00432103">
        <w:rPr>
          <w:b/>
          <w:bCs/>
        </w:rPr>
        <w:t>)</w:t>
      </w:r>
      <w:r w:rsidR="001E44D8" w:rsidRPr="00432103">
        <w:rPr>
          <w:b/>
        </w:rPr>
        <w:tab/>
        <w:t>принять целенаправленные меры по борьбе с дискриминацией, с</w:t>
      </w:r>
      <w:r w:rsidRPr="00432103">
        <w:rPr>
          <w:b/>
        </w:rPr>
        <w:t> </w:t>
      </w:r>
      <w:r w:rsidR="001E44D8" w:rsidRPr="00432103">
        <w:rPr>
          <w:b/>
        </w:rPr>
        <w:t>которой они сталкиваются при получении доступа к жилью;</w:t>
      </w:r>
    </w:p>
    <w:p w14:paraId="4E5B79F5" w14:textId="77777777" w:rsidR="001E44D8" w:rsidRPr="001369CA" w:rsidRDefault="00432103" w:rsidP="001E44D8">
      <w:pPr>
        <w:pStyle w:val="SingleTxtG"/>
        <w:rPr>
          <w:b/>
        </w:rPr>
      </w:pPr>
      <w:r w:rsidRPr="001E3194">
        <w:rPr>
          <w:b/>
          <w:bCs/>
        </w:rPr>
        <w:tab/>
      </w:r>
      <w:r w:rsidRPr="001E3194">
        <w:rPr>
          <w:b/>
          <w:bCs/>
        </w:rPr>
        <w:tab/>
      </w:r>
      <w:r w:rsidR="001E44D8" w:rsidRPr="00432103">
        <w:rPr>
          <w:b/>
          <w:bCs/>
          <w:lang w:val="en-IE"/>
        </w:rPr>
        <w:t>e</w:t>
      </w:r>
      <w:r w:rsidR="001E44D8" w:rsidRPr="00432103">
        <w:rPr>
          <w:b/>
          <w:bCs/>
        </w:rPr>
        <w:t>)</w:t>
      </w:r>
      <w:r w:rsidR="001E44D8" w:rsidRPr="00432103">
        <w:rPr>
          <w:b/>
        </w:rPr>
        <w:tab/>
        <w:t>ус</w:t>
      </w:r>
      <w:r w:rsidR="001E44D8" w:rsidRPr="001369CA">
        <w:rPr>
          <w:b/>
        </w:rPr>
        <w:t>транить языковые и культурные барьеры при доступе к государственным и социальным услугам.</w:t>
      </w:r>
    </w:p>
    <w:p w14:paraId="2662883E" w14:textId="77777777" w:rsidR="001E44D8" w:rsidRPr="001369CA" w:rsidRDefault="001E44D8" w:rsidP="001A7202">
      <w:pPr>
        <w:pStyle w:val="H23G"/>
      </w:pPr>
      <w:r w:rsidRPr="001369CA">
        <w:tab/>
      </w:r>
      <w:r w:rsidRPr="001369CA">
        <w:tab/>
        <w:t>Равенство мужчин и женщин</w:t>
      </w:r>
    </w:p>
    <w:p w14:paraId="2D117D01" w14:textId="77777777" w:rsidR="001E44D8" w:rsidRPr="001369CA" w:rsidRDefault="001E44D8" w:rsidP="001E44D8">
      <w:pPr>
        <w:pStyle w:val="SingleTxtG"/>
      </w:pPr>
      <w:r w:rsidRPr="001369CA">
        <w:t>22.</w:t>
      </w:r>
      <w:r w:rsidRPr="001369CA">
        <w:tab/>
        <w:t>Отмечая, что период отпуска по уходу за ребенком теперь равномерно распределяется между матерью, отцом и обоими родителями, Комитет обеспокоен тем, что отцы использовали лишь 25,6% периода отпуска по уходу за ребенком, зарезервированного за ними в 2019 году, несмотря на увеличение этого показателя с 20% в 2018 году. Комитет также обеспокоен сохраняющимся гендерным разрывом в оплате труда, который в 2019 году составил 12,4% (статьи 3, 7 и 10).</w:t>
      </w:r>
    </w:p>
    <w:p w14:paraId="12F557F9" w14:textId="77777777" w:rsidR="001E44D8" w:rsidRPr="001369CA" w:rsidRDefault="001E44D8" w:rsidP="001E44D8">
      <w:pPr>
        <w:pStyle w:val="SingleTxtG"/>
        <w:rPr>
          <w:b/>
        </w:rPr>
      </w:pPr>
      <w:r w:rsidRPr="001369CA">
        <w:rPr>
          <w:bCs/>
        </w:rPr>
        <w:t>23.</w:t>
      </w:r>
      <w:r w:rsidRPr="001369CA">
        <w:rPr>
          <w:bCs/>
        </w:rPr>
        <w:tab/>
      </w:r>
      <w:r w:rsidRPr="001369CA">
        <w:rPr>
          <w:b/>
        </w:rPr>
        <w:t>Комитет рекомендует государству-участнику предпринять необходимые шаги для обеспечения того, чтобы родители в полном объеме использовали зарезервированный за ними период отпуска по уходу за ребенком с целью обеспечения справедливого распределения обязанностей по уходу за детьми между мужчинами и женщинами. Он также рекомендует государству-участнику активизировать усилия по сокращению гендерного разрыва в оплате труда.</w:t>
      </w:r>
    </w:p>
    <w:p w14:paraId="693C9F4E" w14:textId="77777777" w:rsidR="001E44D8" w:rsidRPr="001369CA" w:rsidRDefault="001E44D8" w:rsidP="001A7202">
      <w:pPr>
        <w:pStyle w:val="H23G"/>
      </w:pPr>
      <w:r w:rsidRPr="001369CA">
        <w:tab/>
      </w:r>
      <w:r w:rsidRPr="001369CA">
        <w:tab/>
        <w:t xml:space="preserve">Безопасность и гигиена труда </w:t>
      </w:r>
    </w:p>
    <w:p w14:paraId="55B867D9" w14:textId="77777777" w:rsidR="001E44D8" w:rsidRPr="001369CA" w:rsidRDefault="001E44D8" w:rsidP="001E44D8">
      <w:pPr>
        <w:pStyle w:val="SingleTxtG"/>
      </w:pPr>
      <w:r w:rsidRPr="001369CA">
        <w:t>24.</w:t>
      </w:r>
      <w:r w:rsidRPr="001369CA">
        <w:tab/>
        <w:t xml:space="preserve">Отмечая уменьшение в последние годы числа производственных травм и несчастных случаев со смертельным исходом, Комитет по-прежнему обеспокоен </w:t>
      </w:r>
      <w:r w:rsidRPr="001369CA">
        <w:lastRenderedPageBreak/>
        <w:t>большим количеством несчастных случаев на производстве и высокой концентрацией несчастных случаев со смертельным исходом на рабочем месте в строительном, транспортном и складском секторах, в сельском хозяйстве и обрабатывающей промышленности, несмотря на весьма незначительную долю рабочей силы, приходящуюся на эти сектора. Он также обеспокоен отсутствием официальных данных о профессиональных заболеваниях (статьи 7 и 12).</w:t>
      </w:r>
    </w:p>
    <w:p w14:paraId="1E74DAFB" w14:textId="77777777" w:rsidR="001E44D8" w:rsidRPr="001369CA" w:rsidRDefault="001E44D8" w:rsidP="001E44D8">
      <w:pPr>
        <w:pStyle w:val="SingleTxtG"/>
        <w:rPr>
          <w:b/>
        </w:rPr>
      </w:pPr>
      <w:r w:rsidRPr="001369CA">
        <w:rPr>
          <w:bCs/>
        </w:rPr>
        <w:t>25.</w:t>
      </w:r>
      <w:r w:rsidRPr="001369CA">
        <w:rPr>
          <w:bCs/>
        </w:rPr>
        <w:tab/>
      </w:r>
      <w:r w:rsidRPr="00432103">
        <w:rPr>
          <w:b/>
          <w:lang w:val="ru"/>
        </w:rPr>
        <w:t xml:space="preserve">Комитет рекомендует государству-участнику удвоить свои усилия по сокращению количества </w:t>
      </w:r>
      <w:r w:rsidRPr="00432103">
        <w:rPr>
          <w:b/>
        </w:rPr>
        <w:t>производственных травм и несчастных случаев со смертельным исходом</w:t>
      </w:r>
      <w:r w:rsidRPr="00432103">
        <w:rPr>
          <w:b/>
          <w:lang w:val="ru"/>
        </w:rPr>
        <w:t>, уделяя при этом особое внимание секторам, подверженным несчастным случаям, в том числе путем повышения осведомленности работодателей и работников о технике безопасности на рабочем месте, обеспечения принятия более строгих мер защиты на рабочем месте и укрепления трудовых инспе</w:t>
      </w:r>
      <w:r w:rsidRPr="001369CA">
        <w:rPr>
          <w:b/>
          <w:lang w:val="ru"/>
        </w:rPr>
        <w:t xml:space="preserve">кций. Он также рекомендует государству-участнику принять рамочную политику в области охраны труда и здоровья и создать соответствующую всеобъемлющую систему сбора данных. </w:t>
      </w:r>
    </w:p>
    <w:p w14:paraId="04019F49" w14:textId="77777777" w:rsidR="001E44D8" w:rsidRPr="001369CA" w:rsidRDefault="001E44D8" w:rsidP="001A7202">
      <w:pPr>
        <w:pStyle w:val="H23G"/>
      </w:pPr>
      <w:r w:rsidRPr="001369CA">
        <w:tab/>
      </w:r>
      <w:r w:rsidRPr="001369CA">
        <w:tab/>
        <w:t>Право на социальное обеспечение</w:t>
      </w:r>
    </w:p>
    <w:p w14:paraId="4D486DAA" w14:textId="77777777" w:rsidR="001E44D8" w:rsidRPr="001369CA" w:rsidRDefault="001E44D8" w:rsidP="001E44D8">
      <w:pPr>
        <w:pStyle w:val="SingleTxtG"/>
      </w:pPr>
      <w:r w:rsidRPr="001369CA">
        <w:t>26.</w:t>
      </w:r>
      <w:r w:rsidRPr="001369CA">
        <w:tab/>
        <w:t>Комитет отмечает введение возможности гибкого подхода к использованию пенсии по старости для лиц в возрасте от 62 до 75 лет путем проведения в 2011 году пенсионной реформы, которая позволяет пенсионерам совмещать трудовую деятельность с получением пенсии и продолжать накапливать свои пенсионные баллы. Тем не менее, несмотря на представленные государством-участником пояснения, Комитет по-прежнему обеспокоен дискриминационными последствиями этой меры для инвалидов, которые систематически лишаются возможности накапливать пенсионные баллы с 62 лет, поскольку пенсия по старости назначается им только в 67</w:t>
      </w:r>
      <w:r w:rsidR="00432103">
        <w:rPr>
          <w:lang w:val="fr-CH"/>
        </w:rPr>
        <w:t> </w:t>
      </w:r>
      <w:r w:rsidRPr="001369CA">
        <w:t>лет. Это ухудшает положение пенсионеров-инвалидов примерно на 10% по сравнению с пенсионерами без инвалидности (статьи 2, пункт 2</w:t>
      </w:r>
      <w:r w:rsidR="00432103">
        <w:t>,</w:t>
      </w:r>
      <w:r w:rsidRPr="001369CA">
        <w:t xml:space="preserve"> и 9). </w:t>
      </w:r>
    </w:p>
    <w:p w14:paraId="6EA3EACC" w14:textId="77777777" w:rsidR="001E44D8" w:rsidRPr="001369CA" w:rsidRDefault="001E44D8" w:rsidP="001E44D8">
      <w:pPr>
        <w:pStyle w:val="SingleTxtG"/>
        <w:rPr>
          <w:b/>
        </w:rPr>
      </w:pPr>
      <w:r w:rsidRPr="001369CA">
        <w:rPr>
          <w:bCs/>
        </w:rPr>
        <w:t>27.</w:t>
      </w:r>
      <w:r w:rsidRPr="001369CA">
        <w:rPr>
          <w:bCs/>
        </w:rPr>
        <w:tab/>
      </w:r>
      <w:r w:rsidRPr="001369CA">
        <w:rPr>
          <w:b/>
        </w:rPr>
        <w:t xml:space="preserve">Комитет рекомендует государству-участнику принять необходимые меры для ликвидации дискриминационных последствий назначения пенсии по старости для инвалидов. </w:t>
      </w:r>
    </w:p>
    <w:p w14:paraId="21737E5C" w14:textId="77777777" w:rsidR="001E44D8" w:rsidRPr="001369CA" w:rsidRDefault="001E44D8" w:rsidP="001A7202">
      <w:pPr>
        <w:pStyle w:val="H23G"/>
      </w:pPr>
      <w:r w:rsidRPr="001369CA">
        <w:tab/>
      </w:r>
      <w:r w:rsidRPr="001369CA">
        <w:tab/>
      </w:r>
      <w:bookmarkStart w:id="1" w:name="_Hlk38009048"/>
      <w:r w:rsidRPr="001369CA">
        <w:t>Несопровождаемые дети</w:t>
      </w:r>
      <w:r w:rsidR="00432103">
        <w:t xml:space="preserve"> – </w:t>
      </w:r>
      <w:r w:rsidRPr="001369CA">
        <w:t>просители убежища</w:t>
      </w:r>
      <w:bookmarkEnd w:id="1"/>
    </w:p>
    <w:p w14:paraId="66C358C6" w14:textId="77777777" w:rsidR="001E44D8" w:rsidRPr="001369CA" w:rsidRDefault="001E44D8" w:rsidP="001E44D8">
      <w:pPr>
        <w:pStyle w:val="SingleTxtG"/>
        <w:rPr>
          <w:spacing w:val="-2"/>
        </w:rPr>
      </w:pPr>
      <w:r w:rsidRPr="001369CA">
        <w:rPr>
          <w:spacing w:val="-2"/>
        </w:rPr>
        <w:t>28.</w:t>
      </w:r>
      <w:r w:rsidRPr="001369CA">
        <w:rPr>
          <w:spacing w:val="-2"/>
        </w:rPr>
        <w:tab/>
        <w:t>Отмечая, что действующий в государстве-участнике Закон о благосостоянии ребенка</w:t>
      </w:r>
      <w:r w:rsidRPr="001369CA">
        <w:rPr>
          <w:rStyle w:val="af6"/>
          <w:sz w:val="20"/>
          <w:szCs w:val="20"/>
        </w:rPr>
        <w:t xml:space="preserve"> </w:t>
      </w:r>
      <w:r w:rsidRPr="001369CA">
        <w:rPr>
          <w:spacing w:val="-2"/>
        </w:rPr>
        <w:t>применяется ко всем детям независимо от их этнического происхождения и статуса проживания в стране, Комитет вместе с тем выражает обеспокоенность по поводу того, что применение этого Закона не распространяется на несопровождаемых детей</w:t>
      </w:r>
      <w:r w:rsidR="00432103">
        <w:rPr>
          <w:spacing w:val="-2"/>
        </w:rPr>
        <w:t xml:space="preserve"> – </w:t>
      </w:r>
      <w:r w:rsidRPr="001369CA">
        <w:rPr>
          <w:spacing w:val="-2"/>
        </w:rPr>
        <w:t xml:space="preserve">просителей убежища в возрасте от 15 до 18 лет. Это исключение привело к тому, что они вынуждены жить в ненадлежащих условиях в </w:t>
      </w:r>
      <w:bookmarkStart w:id="2" w:name="_Hlk38015616"/>
      <w:r w:rsidRPr="001369CA">
        <w:rPr>
          <w:spacing w:val="-2"/>
        </w:rPr>
        <w:t>центрах приема</w:t>
      </w:r>
      <w:bookmarkEnd w:id="2"/>
      <w:r w:rsidRPr="001369CA">
        <w:rPr>
          <w:spacing w:val="-2"/>
        </w:rPr>
        <w:t>. Комитет также обеспокоен высокой распространенностью психических заболеваний среди несопровождаемых детей</w:t>
      </w:r>
      <w:r w:rsidR="00432103">
        <w:rPr>
          <w:spacing w:val="-2"/>
        </w:rPr>
        <w:t xml:space="preserve"> – </w:t>
      </w:r>
      <w:r w:rsidRPr="001369CA">
        <w:rPr>
          <w:spacing w:val="-2"/>
        </w:rPr>
        <w:t>просителей убежища, проживающих в центрах приема, и</w:t>
      </w:r>
      <w:r w:rsidR="00432103">
        <w:rPr>
          <w:spacing w:val="-2"/>
        </w:rPr>
        <w:t> </w:t>
      </w:r>
      <w:r w:rsidRPr="001369CA">
        <w:rPr>
          <w:spacing w:val="-2"/>
        </w:rPr>
        <w:t>ограниченностью их доступа к психиатрической помощи (статьи 2, пункт 2, 10 и 12).</w:t>
      </w:r>
    </w:p>
    <w:p w14:paraId="6F319D76" w14:textId="77777777" w:rsidR="001E44D8" w:rsidRPr="001369CA" w:rsidRDefault="001E44D8" w:rsidP="001E44D8">
      <w:pPr>
        <w:pStyle w:val="SingleTxtG"/>
        <w:rPr>
          <w:b/>
        </w:rPr>
      </w:pPr>
      <w:r w:rsidRPr="001369CA">
        <w:rPr>
          <w:bCs/>
        </w:rPr>
        <w:t>29.</w:t>
      </w:r>
      <w:r w:rsidRPr="001369CA">
        <w:rPr>
          <w:bCs/>
        </w:rPr>
        <w:tab/>
      </w:r>
      <w:r w:rsidRPr="001369CA">
        <w:rPr>
          <w:b/>
        </w:rPr>
        <w:t>Комитет рекомендует государству-участнику обеспечить, чтобы Закон о благосостоянии ребенка применялся ко всем несопровождаемым детям</w:t>
      </w:r>
      <w:r w:rsidR="00432103">
        <w:rPr>
          <w:b/>
        </w:rPr>
        <w:t xml:space="preserve"> – </w:t>
      </w:r>
      <w:r w:rsidRPr="001369CA">
        <w:rPr>
          <w:b/>
        </w:rPr>
        <w:t>просителям убежища, независимо от их возраста, с целью предоставления всем детям в государстве-участнике защиты и услуг на одинаковом уровне. Он также рекомендует государству-участнику обеспечить своевременное выявление несопровождаемых детей</w:t>
      </w:r>
      <w:r w:rsidR="00432103">
        <w:rPr>
          <w:b/>
        </w:rPr>
        <w:t xml:space="preserve"> – </w:t>
      </w:r>
      <w:r w:rsidRPr="001369CA">
        <w:rPr>
          <w:b/>
        </w:rPr>
        <w:t>просителей убежища, страдающих психическими расстройствами, и оказывать им необходимую психиатрическую помощь.</w:t>
      </w:r>
    </w:p>
    <w:p w14:paraId="5D72A988" w14:textId="77777777" w:rsidR="001E44D8" w:rsidRPr="001369CA" w:rsidRDefault="001E44D8" w:rsidP="001A7202">
      <w:pPr>
        <w:pStyle w:val="H23G"/>
      </w:pPr>
      <w:r w:rsidRPr="001369CA">
        <w:tab/>
      </w:r>
      <w:r w:rsidRPr="001369CA">
        <w:tab/>
        <w:t>Дети, переданные на патронатное воспитание</w:t>
      </w:r>
    </w:p>
    <w:p w14:paraId="12DEB561" w14:textId="77777777" w:rsidR="001E44D8" w:rsidRPr="001369CA" w:rsidRDefault="001E44D8" w:rsidP="001E44D8">
      <w:pPr>
        <w:pStyle w:val="SingleTxtG"/>
      </w:pPr>
      <w:r w:rsidRPr="001369CA">
        <w:t>30.</w:t>
      </w:r>
      <w:r w:rsidRPr="001369CA">
        <w:tab/>
        <w:t>Комитет обеспокоен тем, что ряд детей по-прежнему лишены родительской заботы и находятся на воспитании в патронатных семьях или в специализированных учреждениях и что многие из них имеют серьезные психические расстройства. Он</w:t>
      </w:r>
      <w:r w:rsidR="00432103">
        <w:t> </w:t>
      </w:r>
      <w:r w:rsidRPr="001369CA">
        <w:t xml:space="preserve">также обеспокоен тем, что дети из числа меньшинств, переданные на воспитание в патронатные семьи или специализированные учреждения, сталкиваются с </w:t>
      </w:r>
      <w:r w:rsidRPr="001369CA">
        <w:lastRenderedPageBreak/>
        <w:t>дополнительными трудностями, обусловленными культурными, языковыми и религиозными различиями (статьи 2, пункт 2</w:t>
      </w:r>
      <w:r w:rsidR="00A62E06">
        <w:t>,</w:t>
      </w:r>
      <w:r w:rsidRPr="001369CA">
        <w:t xml:space="preserve"> и 10).</w:t>
      </w:r>
    </w:p>
    <w:p w14:paraId="04E0FE18" w14:textId="77777777" w:rsidR="001E44D8" w:rsidRPr="001369CA" w:rsidRDefault="001E44D8" w:rsidP="001E44D8">
      <w:pPr>
        <w:pStyle w:val="SingleTxtG"/>
        <w:rPr>
          <w:b/>
        </w:rPr>
      </w:pPr>
      <w:r w:rsidRPr="001369CA">
        <w:rPr>
          <w:bCs/>
        </w:rPr>
        <w:t>31.</w:t>
      </w:r>
      <w:r w:rsidRPr="001369CA">
        <w:rPr>
          <w:bCs/>
        </w:rPr>
        <w:tab/>
      </w:r>
      <w:r w:rsidRPr="001369CA">
        <w:rPr>
          <w:b/>
        </w:rPr>
        <w:t xml:space="preserve">Комитет рекомендует государству-участнику активизировать свои усилия, с тем чтобы: </w:t>
      </w:r>
    </w:p>
    <w:p w14:paraId="46808681" w14:textId="77777777" w:rsidR="001E44D8" w:rsidRPr="00A62E06" w:rsidRDefault="00A62E06" w:rsidP="001E44D8">
      <w:pPr>
        <w:pStyle w:val="SingleTxtG"/>
        <w:rPr>
          <w:b/>
        </w:rPr>
      </w:pPr>
      <w:r>
        <w:rPr>
          <w:b/>
        </w:rPr>
        <w:tab/>
      </w:r>
      <w:r w:rsidR="001E44D8" w:rsidRPr="001369CA">
        <w:rPr>
          <w:b/>
        </w:rPr>
        <w:tab/>
      </w:r>
      <w:r w:rsidR="001E44D8" w:rsidRPr="00A62E06">
        <w:rPr>
          <w:b/>
          <w:bCs/>
          <w:lang w:val="en-IE"/>
        </w:rPr>
        <w:t>a</w:t>
      </w:r>
      <w:r w:rsidR="001E44D8" w:rsidRPr="00A62E06">
        <w:rPr>
          <w:b/>
          <w:bCs/>
        </w:rPr>
        <w:t>)</w:t>
      </w:r>
      <w:r w:rsidR="001E44D8" w:rsidRPr="00A62E06">
        <w:rPr>
          <w:b/>
        </w:rPr>
        <w:tab/>
        <w:t>выявить и устранить коренные причины ситуаций, которые привели к изъятию детей из-под родительской опеки;</w:t>
      </w:r>
    </w:p>
    <w:p w14:paraId="4BB4EE03" w14:textId="77777777" w:rsidR="001E44D8" w:rsidRPr="00A62E06" w:rsidRDefault="00A62E06" w:rsidP="001E44D8">
      <w:pPr>
        <w:pStyle w:val="SingleTxtG"/>
        <w:rPr>
          <w:b/>
        </w:rPr>
      </w:pPr>
      <w:r w:rsidRPr="00A62E06">
        <w:rPr>
          <w:b/>
        </w:rPr>
        <w:tab/>
      </w:r>
      <w:r w:rsidR="001E44D8" w:rsidRPr="00A62E06">
        <w:rPr>
          <w:b/>
        </w:rPr>
        <w:tab/>
      </w:r>
      <w:r w:rsidR="001E44D8" w:rsidRPr="00A62E06">
        <w:rPr>
          <w:b/>
          <w:bCs/>
          <w:lang w:val="en-IE"/>
        </w:rPr>
        <w:t>b</w:t>
      </w:r>
      <w:r w:rsidR="001E44D8" w:rsidRPr="00A62E06">
        <w:rPr>
          <w:b/>
          <w:bCs/>
        </w:rPr>
        <w:t>)</w:t>
      </w:r>
      <w:r w:rsidR="001E44D8" w:rsidRPr="00A62E06">
        <w:rPr>
          <w:b/>
        </w:rPr>
        <w:tab/>
        <w:t>обеспечить, чтобы изъятие детей из-под родительской опеки использовалось в качестве крайней меры;</w:t>
      </w:r>
    </w:p>
    <w:p w14:paraId="771BB92F" w14:textId="77777777" w:rsidR="001E44D8" w:rsidRPr="00A62E06" w:rsidRDefault="001E44D8" w:rsidP="001E44D8">
      <w:pPr>
        <w:pStyle w:val="SingleTxtG"/>
        <w:rPr>
          <w:b/>
        </w:rPr>
      </w:pPr>
      <w:r w:rsidRPr="00A62E06">
        <w:rPr>
          <w:b/>
        </w:rPr>
        <w:tab/>
      </w:r>
      <w:r w:rsidR="00A62E06" w:rsidRPr="00A62E06">
        <w:rPr>
          <w:b/>
        </w:rPr>
        <w:tab/>
      </w:r>
      <w:r w:rsidRPr="00A62E06">
        <w:rPr>
          <w:b/>
          <w:bCs/>
          <w:lang w:val="en-IE"/>
        </w:rPr>
        <w:t>c</w:t>
      </w:r>
      <w:r w:rsidRPr="00A62E06">
        <w:rPr>
          <w:b/>
          <w:bCs/>
        </w:rPr>
        <w:t>)</w:t>
      </w:r>
      <w:r w:rsidRPr="00A62E06">
        <w:rPr>
          <w:b/>
        </w:rPr>
        <w:tab/>
        <w:t>укреплять периодические всеобъемлющие обзоры положения детей, переданных на воспитание в патронатные семьи или специализированные учреждения;</w:t>
      </w:r>
    </w:p>
    <w:p w14:paraId="7D9C46F1" w14:textId="77777777" w:rsidR="001E44D8" w:rsidRPr="00A62E06" w:rsidRDefault="00A62E06" w:rsidP="001E44D8">
      <w:pPr>
        <w:pStyle w:val="SingleTxtG"/>
        <w:rPr>
          <w:b/>
        </w:rPr>
      </w:pPr>
      <w:r w:rsidRPr="00A62E06">
        <w:rPr>
          <w:b/>
        </w:rPr>
        <w:tab/>
      </w:r>
      <w:r w:rsidR="001E44D8" w:rsidRPr="00A62E06">
        <w:rPr>
          <w:b/>
        </w:rPr>
        <w:tab/>
      </w:r>
      <w:r w:rsidR="001E44D8" w:rsidRPr="00A62E06">
        <w:rPr>
          <w:b/>
          <w:bCs/>
          <w:lang w:val="en-IE"/>
        </w:rPr>
        <w:t>d</w:t>
      </w:r>
      <w:r w:rsidR="001E44D8" w:rsidRPr="00A62E06">
        <w:rPr>
          <w:b/>
          <w:bCs/>
        </w:rPr>
        <w:t>)</w:t>
      </w:r>
      <w:r w:rsidR="001E44D8" w:rsidRPr="00A62E06">
        <w:rPr>
          <w:b/>
        </w:rPr>
        <w:tab/>
        <w:t>оказывать родителям необходимую помощь и поддержку в реализации их роли и обязанностей в качестве родителей в воспитании и обучении их детей;</w:t>
      </w:r>
    </w:p>
    <w:p w14:paraId="6F5A89F4" w14:textId="77777777" w:rsidR="001E44D8" w:rsidRPr="001369CA" w:rsidRDefault="00A62E06" w:rsidP="001E44D8">
      <w:pPr>
        <w:pStyle w:val="SingleTxtG"/>
        <w:rPr>
          <w:b/>
        </w:rPr>
      </w:pPr>
      <w:r w:rsidRPr="00A62E06">
        <w:rPr>
          <w:b/>
        </w:rPr>
        <w:tab/>
      </w:r>
      <w:r w:rsidR="001E44D8" w:rsidRPr="00A62E06">
        <w:rPr>
          <w:b/>
        </w:rPr>
        <w:tab/>
      </w:r>
      <w:r w:rsidR="001E44D8" w:rsidRPr="00A62E06">
        <w:rPr>
          <w:b/>
          <w:bCs/>
          <w:lang w:val="en-IE"/>
        </w:rPr>
        <w:t>e</w:t>
      </w:r>
      <w:r w:rsidR="001E44D8" w:rsidRPr="00A62E06">
        <w:rPr>
          <w:b/>
          <w:bCs/>
        </w:rPr>
        <w:t>)</w:t>
      </w:r>
      <w:r w:rsidR="001E44D8" w:rsidRPr="00A62E06">
        <w:rPr>
          <w:b/>
        </w:rPr>
        <w:tab/>
        <w:t>п</w:t>
      </w:r>
      <w:r w:rsidR="001E44D8" w:rsidRPr="001369CA">
        <w:rPr>
          <w:b/>
        </w:rPr>
        <w:t>редоставить муниципалитетам достаточные ресурсы и поддержку, с тем чтобы они могли эффективно проводить профилактическую работу в семьях, подверженных риску, и последующую работу в отношении детей переданных в патронатные семьи или дома;</w:t>
      </w:r>
    </w:p>
    <w:p w14:paraId="7F6B3FF6" w14:textId="77777777" w:rsidR="001E44D8" w:rsidRPr="00A62E06" w:rsidRDefault="00A62E06" w:rsidP="001E44D8">
      <w:pPr>
        <w:pStyle w:val="SingleTxtG"/>
        <w:rPr>
          <w:b/>
        </w:rPr>
      </w:pPr>
      <w:r>
        <w:rPr>
          <w:b/>
        </w:rPr>
        <w:tab/>
      </w:r>
      <w:r w:rsidR="001E44D8" w:rsidRPr="001369CA">
        <w:rPr>
          <w:b/>
        </w:rPr>
        <w:tab/>
      </w:r>
      <w:r w:rsidR="001E44D8" w:rsidRPr="00A62E06">
        <w:rPr>
          <w:b/>
          <w:bCs/>
          <w:lang w:val="en-IE"/>
        </w:rPr>
        <w:t>f</w:t>
      </w:r>
      <w:r w:rsidR="001E44D8" w:rsidRPr="00A62E06">
        <w:rPr>
          <w:b/>
          <w:bCs/>
        </w:rPr>
        <w:t>)</w:t>
      </w:r>
      <w:r w:rsidR="001E44D8" w:rsidRPr="00A62E06">
        <w:rPr>
          <w:b/>
        </w:rPr>
        <w:tab/>
        <w:t>обеспечить своевременное выявление детей с психическими расстройствами и предоставить необходимые услуги;</w:t>
      </w:r>
    </w:p>
    <w:p w14:paraId="5081B6FA" w14:textId="77777777" w:rsidR="001E44D8" w:rsidRPr="001369CA" w:rsidRDefault="00A62E06" w:rsidP="001E44D8">
      <w:pPr>
        <w:pStyle w:val="SingleTxtG"/>
        <w:rPr>
          <w:b/>
        </w:rPr>
      </w:pPr>
      <w:r w:rsidRPr="00A62E06">
        <w:rPr>
          <w:b/>
        </w:rPr>
        <w:tab/>
      </w:r>
      <w:r w:rsidR="001E44D8" w:rsidRPr="00A62E06">
        <w:rPr>
          <w:b/>
        </w:rPr>
        <w:tab/>
      </w:r>
      <w:r w:rsidR="001E44D8" w:rsidRPr="00A62E06">
        <w:rPr>
          <w:b/>
          <w:bCs/>
          <w:lang w:val="en-IE"/>
        </w:rPr>
        <w:t>g</w:t>
      </w:r>
      <w:r w:rsidR="001E44D8" w:rsidRPr="00A62E06">
        <w:rPr>
          <w:b/>
          <w:bCs/>
        </w:rPr>
        <w:t>)</w:t>
      </w:r>
      <w:r w:rsidR="001E44D8" w:rsidRPr="00A62E06">
        <w:rPr>
          <w:b/>
        </w:rPr>
        <w:tab/>
      </w:r>
      <w:r w:rsidR="001E44D8" w:rsidRPr="001369CA">
        <w:rPr>
          <w:b/>
        </w:rPr>
        <w:t>совершенствовать подготовку лиц, осуществляющих уход за детьми, с тем чтобы они могли работать с детьми различного культурного, языкового и религиозного происхождения.</w:t>
      </w:r>
    </w:p>
    <w:p w14:paraId="1B558358" w14:textId="77777777" w:rsidR="001E44D8" w:rsidRPr="001369CA" w:rsidRDefault="001E44D8" w:rsidP="001A7202">
      <w:pPr>
        <w:pStyle w:val="H23G"/>
      </w:pPr>
      <w:r w:rsidRPr="001369CA">
        <w:tab/>
      </w:r>
      <w:r w:rsidRPr="001369CA">
        <w:tab/>
        <w:t>Бедность</w:t>
      </w:r>
    </w:p>
    <w:p w14:paraId="3A9C7760" w14:textId="77777777" w:rsidR="001E44D8" w:rsidRPr="001369CA" w:rsidRDefault="001E44D8" w:rsidP="001E44D8">
      <w:pPr>
        <w:pStyle w:val="SingleTxtG"/>
      </w:pPr>
      <w:r w:rsidRPr="001369CA">
        <w:t>32.</w:t>
      </w:r>
      <w:r w:rsidRPr="001369CA">
        <w:tab/>
        <w:t>Комитет обеспокоен продолжающимся ростом масштабов бедности, особенно среди детей, в результате увеличения неравенства в доходах. В частности, он</w:t>
      </w:r>
      <w:r w:rsidR="00A62E06">
        <w:t> </w:t>
      </w:r>
      <w:r w:rsidRPr="001369CA">
        <w:t>обеспокоен неуклонным ростом масштабов бедности среди детей на протяжении последнего десятилетия, несмотря на меры, принятые государством-участником в соответствии со стратегией правительства в отношении детей, живущих в условиях бедности (2015</w:t>
      </w:r>
      <w:r w:rsidR="00A62E06">
        <w:t>–</w:t>
      </w:r>
      <w:r w:rsidRPr="001369CA">
        <w:t xml:space="preserve">2017 годы), и увеличение объема выделяемых на цели ее реализации финансовых средств (статья 11). </w:t>
      </w:r>
    </w:p>
    <w:p w14:paraId="1F9C5E64" w14:textId="77777777" w:rsidR="001E44D8" w:rsidRPr="001369CA" w:rsidRDefault="001E44D8" w:rsidP="001E44D8">
      <w:pPr>
        <w:pStyle w:val="SingleTxtG"/>
        <w:rPr>
          <w:b/>
        </w:rPr>
      </w:pPr>
      <w:r w:rsidRPr="001369CA">
        <w:rPr>
          <w:bCs/>
        </w:rPr>
        <w:t>33.</w:t>
      </w:r>
      <w:r w:rsidRPr="001369CA">
        <w:rPr>
          <w:bCs/>
        </w:rPr>
        <w:tab/>
      </w:r>
      <w:r w:rsidRPr="001369CA">
        <w:rPr>
          <w:b/>
        </w:rPr>
        <w:t>Комитет рекомендует государству-участнику принять эффективные меры по сокращению неравенства доходов и активизировать усилия по искоренению в государстве-участнике бедности, особенно бедности среди детей. В частности, он</w:t>
      </w:r>
      <w:r w:rsidR="00A62E06">
        <w:rPr>
          <w:b/>
        </w:rPr>
        <w:t> </w:t>
      </w:r>
      <w:r w:rsidRPr="001369CA">
        <w:rPr>
          <w:b/>
        </w:rPr>
        <w:t>рекомендует государству-участнику оценить эффективность осуществляемой политики и программ и выявить коренные причины бедности среди детей, а</w:t>
      </w:r>
      <w:r w:rsidR="00A62E06">
        <w:rPr>
          <w:b/>
        </w:rPr>
        <w:t> </w:t>
      </w:r>
      <w:r w:rsidRPr="001369CA">
        <w:rPr>
          <w:b/>
        </w:rPr>
        <w:t>также потребности детей и их семей, живущих в условиях бедности, с целью принятия эффективных мер по решению проблемы бедности среди детей и оказания надлежащей поддержки детям и их семьям, живущим в условиях бедности.</w:t>
      </w:r>
    </w:p>
    <w:p w14:paraId="4CDDE4DD" w14:textId="77777777" w:rsidR="001E44D8" w:rsidRPr="001369CA" w:rsidRDefault="001E44D8" w:rsidP="001A7202">
      <w:pPr>
        <w:pStyle w:val="H23G"/>
      </w:pPr>
      <w:r w:rsidRPr="001369CA">
        <w:tab/>
      </w:r>
      <w:r w:rsidRPr="001369CA">
        <w:tab/>
        <w:t>Право на жилище</w:t>
      </w:r>
    </w:p>
    <w:p w14:paraId="77A1D783" w14:textId="77777777" w:rsidR="001E44D8" w:rsidRPr="001369CA" w:rsidRDefault="001E44D8" w:rsidP="001E44D8">
      <w:pPr>
        <w:pStyle w:val="SingleTxtG"/>
      </w:pPr>
      <w:r w:rsidRPr="001369CA">
        <w:t>34.</w:t>
      </w:r>
      <w:r w:rsidRPr="001369CA">
        <w:tab/>
        <w:t>Отмечая меры, принятые государством-участником, включая национальную стратегию обеспечения жильем и вспомогательными услугами (2014</w:t>
      </w:r>
      <w:r w:rsidR="00A62E06">
        <w:t>–</w:t>
      </w:r>
      <w:r w:rsidRPr="001369CA">
        <w:t xml:space="preserve">2020 годы), Комитет в то же время обеспокоен проблемами, с которыми постоянно сталкиваются лица, находящиеся в неблагоприятном положении, и группы населения при получении доступа к жилью. </w:t>
      </w:r>
      <w:r w:rsidRPr="001369CA">
        <w:rPr>
          <w:color w:val="333333"/>
          <w:shd w:val="clear" w:color="auto" w:fill="FFFFFF"/>
        </w:rPr>
        <w:t>Комитет выражает особую обеспокоенность по поводу:</w:t>
      </w:r>
    </w:p>
    <w:p w14:paraId="16D5A5A4" w14:textId="77777777" w:rsidR="001E44D8" w:rsidRPr="001369CA" w:rsidRDefault="00A62E06" w:rsidP="001E44D8">
      <w:pPr>
        <w:pStyle w:val="SingleTxtG"/>
      </w:pPr>
      <w:r>
        <w:tab/>
      </w:r>
      <w:r w:rsidR="001E44D8" w:rsidRPr="001369CA">
        <w:tab/>
        <w:t>a)</w:t>
      </w:r>
      <w:r w:rsidR="001E44D8" w:rsidRPr="001369CA">
        <w:tab/>
        <w:t xml:space="preserve">хронической нехватки социального жилья во многих муниципалитетах; </w:t>
      </w:r>
    </w:p>
    <w:p w14:paraId="1D405188" w14:textId="77777777" w:rsidR="001E44D8" w:rsidRPr="001369CA" w:rsidRDefault="00A62E06" w:rsidP="001E44D8">
      <w:pPr>
        <w:pStyle w:val="SingleTxtG"/>
      </w:pPr>
      <w:r>
        <w:tab/>
      </w:r>
      <w:r w:rsidR="001E44D8" w:rsidRPr="001369CA">
        <w:tab/>
        <w:t>b)</w:t>
      </w:r>
      <w:r w:rsidR="001E44D8" w:rsidRPr="001369CA">
        <w:tab/>
        <w:t>нехватки жилья, физически доступного для инвалидов;</w:t>
      </w:r>
    </w:p>
    <w:p w14:paraId="478496C9" w14:textId="77777777" w:rsidR="001E44D8" w:rsidRPr="001369CA" w:rsidRDefault="001E44D8" w:rsidP="001E44D8">
      <w:pPr>
        <w:pStyle w:val="SingleTxtG"/>
      </w:pPr>
      <w:r w:rsidRPr="001369CA">
        <w:lastRenderedPageBreak/>
        <w:tab/>
      </w:r>
      <w:r w:rsidR="00A62E06">
        <w:tab/>
      </w:r>
      <w:r w:rsidRPr="001369CA">
        <w:t>c)</w:t>
      </w:r>
      <w:r w:rsidRPr="001369CA">
        <w:tab/>
        <w:t xml:space="preserve">дороговизны частного съемного жилья, которое зачастую имеет низкое качество, и непредсказуемых условий договоров аренды и произвольных сроков прекращения их действия; </w:t>
      </w:r>
    </w:p>
    <w:p w14:paraId="449988B1" w14:textId="77777777" w:rsidR="001E44D8" w:rsidRPr="001369CA" w:rsidRDefault="00A62E06" w:rsidP="001E44D8">
      <w:pPr>
        <w:pStyle w:val="SingleTxtG"/>
      </w:pPr>
      <w:r>
        <w:tab/>
      </w:r>
      <w:r w:rsidR="001E44D8" w:rsidRPr="001369CA">
        <w:tab/>
        <w:t>d)</w:t>
      </w:r>
      <w:r w:rsidR="001E44D8" w:rsidRPr="001369CA">
        <w:tab/>
        <w:t>большого количества долговременно бездомных лиц (статья 11).</w:t>
      </w:r>
    </w:p>
    <w:p w14:paraId="511DC8D0" w14:textId="77777777" w:rsidR="001E44D8" w:rsidRPr="001369CA" w:rsidRDefault="001E44D8" w:rsidP="001E44D8">
      <w:pPr>
        <w:pStyle w:val="SingleTxtG"/>
        <w:rPr>
          <w:b/>
        </w:rPr>
      </w:pPr>
      <w:r w:rsidRPr="001369CA">
        <w:t>35</w:t>
      </w:r>
      <w:r w:rsidRPr="001369CA">
        <w:rPr>
          <w:bCs/>
        </w:rPr>
        <w:t>.</w:t>
      </w:r>
      <w:r w:rsidRPr="001369CA">
        <w:rPr>
          <w:bCs/>
        </w:rPr>
        <w:tab/>
      </w:r>
      <w:r w:rsidRPr="001369CA">
        <w:rPr>
          <w:b/>
        </w:rPr>
        <w:t xml:space="preserve">Комитет рекомендует государству-участнику в полной мере осуществить национальную стратегию в области обеспечения жильем и вспомогательными услугами и оценить ее эффективность с целью обновления этой стратегии, с тем чтобы лучше удовлетворять жилищные потребности находящихся в неблагоприятном положении и маргинализированных лиц и семей. </w:t>
      </w:r>
      <w:r w:rsidRPr="001369CA">
        <w:rPr>
          <w:b/>
          <w:bCs/>
          <w:color w:val="333333"/>
        </w:rPr>
        <w:t>В частности, Комитет рекомендует государству-участнику:</w:t>
      </w:r>
    </w:p>
    <w:p w14:paraId="7EADBD95" w14:textId="77777777" w:rsidR="001E44D8" w:rsidRPr="00A62E06" w:rsidRDefault="00A62E06" w:rsidP="001E44D8">
      <w:pPr>
        <w:pStyle w:val="SingleTxtG"/>
        <w:rPr>
          <w:b/>
        </w:rPr>
      </w:pPr>
      <w:r>
        <w:rPr>
          <w:b/>
        </w:rPr>
        <w:tab/>
      </w:r>
      <w:r w:rsidR="001E44D8" w:rsidRPr="001369CA">
        <w:rPr>
          <w:b/>
        </w:rPr>
        <w:tab/>
      </w:r>
      <w:r w:rsidR="001E44D8" w:rsidRPr="00A62E06">
        <w:rPr>
          <w:b/>
          <w:bCs/>
          <w:lang w:val="en-IE"/>
        </w:rPr>
        <w:t>a</w:t>
      </w:r>
      <w:r w:rsidR="001E44D8" w:rsidRPr="00A62E06">
        <w:rPr>
          <w:b/>
          <w:bCs/>
        </w:rPr>
        <w:t>)</w:t>
      </w:r>
      <w:r w:rsidR="001E44D8" w:rsidRPr="00A62E06">
        <w:rPr>
          <w:b/>
        </w:rPr>
        <w:tab/>
        <w:t>улучшить доступность и предоставление муниципального недорогого социального жилья для находящихся в неблагоприятном положении и маргинализованных лиц и групп;</w:t>
      </w:r>
    </w:p>
    <w:p w14:paraId="6A4EFE27" w14:textId="77777777" w:rsidR="001E44D8" w:rsidRPr="00A62E06" w:rsidRDefault="00A62E06" w:rsidP="001E44D8">
      <w:pPr>
        <w:pStyle w:val="SingleTxtG"/>
        <w:rPr>
          <w:b/>
        </w:rPr>
      </w:pPr>
      <w:r w:rsidRPr="00A62E06">
        <w:rPr>
          <w:b/>
        </w:rPr>
        <w:tab/>
      </w:r>
      <w:r w:rsidR="001E44D8" w:rsidRPr="00A62E06">
        <w:rPr>
          <w:b/>
        </w:rPr>
        <w:tab/>
      </w:r>
      <w:r w:rsidR="001E44D8" w:rsidRPr="00A62E06">
        <w:rPr>
          <w:b/>
          <w:bCs/>
          <w:lang w:val="en-IE"/>
        </w:rPr>
        <w:t>b</w:t>
      </w:r>
      <w:r w:rsidR="001E44D8" w:rsidRPr="00A62E06">
        <w:rPr>
          <w:b/>
          <w:bCs/>
        </w:rPr>
        <w:t>)</w:t>
      </w:r>
      <w:r w:rsidR="001E44D8" w:rsidRPr="00A62E06">
        <w:rPr>
          <w:b/>
        </w:rPr>
        <w:tab/>
        <w:t>расширить предоставление жилья, в том числе социального жилья, физически доступного для инвалидов;</w:t>
      </w:r>
    </w:p>
    <w:p w14:paraId="73791646" w14:textId="77777777" w:rsidR="001E44D8" w:rsidRPr="00A62E06" w:rsidRDefault="00A62E06" w:rsidP="001E44D8">
      <w:pPr>
        <w:pStyle w:val="SingleTxtG"/>
        <w:rPr>
          <w:b/>
        </w:rPr>
      </w:pPr>
      <w:r w:rsidRPr="00A62E06">
        <w:rPr>
          <w:b/>
        </w:rPr>
        <w:tab/>
      </w:r>
      <w:r w:rsidR="001E44D8" w:rsidRPr="00A62E06">
        <w:rPr>
          <w:b/>
        </w:rPr>
        <w:tab/>
      </w:r>
      <w:r w:rsidR="001E44D8" w:rsidRPr="00A62E06">
        <w:rPr>
          <w:b/>
          <w:bCs/>
          <w:lang w:val="en-IE"/>
        </w:rPr>
        <w:t>c</w:t>
      </w:r>
      <w:r w:rsidR="001E44D8" w:rsidRPr="00A62E06">
        <w:rPr>
          <w:b/>
          <w:bCs/>
        </w:rPr>
        <w:t>)</w:t>
      </w:r>
      <w:r w:rsidR="001E44D8" w:rsidRPr="00A62E06">
        <w:rPr>
          <w:b/>
        </w:rPr>
        <w:tab/>
        <w:t>увеличить наличие экономически доступного съемного жилья и регулировать рынок частного съемного жилья, в том числе путем контроля за повышением арендной платы, укрепления минимальных стандартов качества съемного жилья и защиты съемщиков от нерегулярных условий договоров аренды и произвольных сроков прекращения их действия;</w:t>
      </w:r>
    </w:p>
    <w:p w14:paraId="07588228" w14:textId="77777777" w:rsidR="001E44D8" w:rsidRPr="001369CA" w:rsidRDefault="00A62E06" w:rsidP="001E44D8">
      <w:pPr>
        <w:pStyle w:val="SingleTxtG"/>
        <w:rPr>
          <w:b/>
        </w:rPr>
      </w:pPr>
      <w:r w:rsidRPr="00A62E06">
        <w:rPr>
          <w:b/>
        </w:rPr>
        <w:tab/>
      </w:r>
      <w:r w:rsidR="001E44D8" w:rsidRPr="00A62E06">
        <w:rPr>
          <w:b/>
        </w:rPr>
        <w:tab/>
      </w:r>
      <w:r w:rsidR="001E44D8" w:rsidRPr="00A62E06">
        <w:rPr>
          <w:b/>
          <w:bCs/>
          <w:lang w:val="en-IE"/>
        </w:rPr>
        <w:t>d</w:t>
      </w:r>
      <w:r w:rsidR="001E44D8" w:rsidRPr="00A62E06">
        <w:rPr>
          <w:b/>
          <w:bCs/>
        </w:rPr>
        <w:t>)</w:t>
      </w:r>
      <w:r w:rsidR="001E44D8" w:rsidRPr="00A62E06">
        <w:rPr>
          <w:b/>
        </w:rPr>
        <w:tab/>
        <w:t>усили</w:t>
      </w:r>
      <w:r w:rsidR="001E44D8" w:rsidRPr="001369CA">
        <w:rPr>
          <w:b/>
        </w:rPr>
        <w:t>ть меры по сокращению масштабов бездомности, включая принятие адресных мер по решению проблемы долгосрочной бездомности.</w:t>
      </w:r>
    </w:p>
    <w:p w14:paraId="6985DC6B" w14:textId="77777777" w:rsidR="001E44D8" w:rsidRPr="001369CA" w:rsidRDefault="001E44D8" w:rsidP="001A7202">
      <w:pPr>
        <w:pStyle w:val="H23G"/>
      </w:pPr>
      <w:r w:rsidRPr="001369CA">
        <w:tab/>
      </w:r>
      <w:r w:rsidRPr="001369CA">
        <w:tab/>
      </w:r>
      <w:bookmarkStart w:id="3" w:name="_Hlk38009103"/>
      <w:r w:rsidRPr="001369CA">
        <w:t>Лица пожилого возраста</w:t>
      </w:r>
      <w:bookmarkEnd w:id="3"/>
    </w:p>
    <w:p w14:paraId="4F65F54C" w14:textId="77777777" w:rsidR="001E44D8" w:rsidRPr="001369CA" w:rsidRDefault="001E44D8" w:rsidP="001E44D8">
      <w:pPr>
        <w:pStyle w:val="SingleTxtG"/>
      </w:pPr>
      <w:r w:rsidRPr="001369CA">
        <w:t>36.</w:t>
      </w:r>
      <w:r w:rsidRPr="001369CA">
        <w:tab/>
        <w:t>Комитет обеспокоен сообщениями, указывающими на большое количество случаев насилия и жестокого обращения в отношении лиц пожилого возраста, как в семье, так и в учреждениях. Он также обеспокоен тем, что треть лиц пожилого возраста, находящихся в муниципальных больничных учреждениях и службах здравоохранения и ухода, получают ненадлежащее питание или рискуют стать жертвами ненадлежащего питания (статья 11).</w:t>
      </w:r>
    </w:p>
    <w:p w14:paraId="15804B30" w14:textId="77777777" w:rsidR="001E44D8" w:rsidRPr="001369CA" w:rsidRDefault="001E44D8" w:rsidP="001E44D8">
      <w:pPr>
        <w:pStyle w:val="SingleTxtG"/>
        <w:rPr>
          <w:b/>
        </w:rPr>
      </w:pPr>
      <w:r w:rsidRPr="001369CA">
        <w:rPr>
          <w:bCs/>
        </w:rPr>
        <w:t>37.</w:t>
      </w:r>
      <w:r w:rsidRPr="001369CA">
        <w:rPr>
          <w:bCs/>
        </w:rPr>
        <w:tab/>
      </w:r>
      <w:r w:rsidRPr="001369CA">
        <w:rPr>
          <w:b/>
        </w:rPr>
        <w:t>Комитет рекомендует государству-участнику активизировать усилия по предупреждению насилия в отношении лиц пожилого возраста и жестокого обращения с ними, в том числе путем выявления и устранения коренных причин этого явления и укреплению системы информирования о случаях жестокого обращения с престарелыми, а также тщательно расследовать сообщения о таких случаях. Комитет настоятельно призывает государство-участник принять незамедлительные меры для решения острой проблемы ненадлежащего питания лиц пожилого возраста в учреждениях здравоохранения и ухода в тесном сотрудничестве с муниципалитетами. Он рекомендует государству-участнику в полной мере осуществить национальную стратегию по обеспечению для престарелых лиц, находящихся в специализированных учреждениях и пользующихся услугами на дому,</w:t>
      </w:r>
      <w:r w:rsidR="00A62E06">
        <w:rPr>
          <w:b/>
        </w:rPr>
        <w:t xml:space="preserve"> </w:t>
      </w:r>
      <w:r w:rsidRPr="001369CA">
        <w:rPr>
          <w:b/>
        </w:rPr>
        <w:t>здоровых пищевых продуктов и режима питания, а после официального принятия этой стратегии выделить на нее достаточные финансовые ресурсы.</w:t>
      </w:r>
    </w:p>
    <w:p w14:paraId="75D13D76" w14:textId="77777777" w:rsidR="001E44D8" w:rsidRPr="001369CA" w:rsidRDefault="001E44D8" w:rsidP="001A7202">
      <w:pPr>
        <w:pStyle w:val="H23G"/>
      </w:pPr>
      <w:r w:rsidRPr="001369CA">
        <w:tab/>
      </w:r>
      <w:r w:rsidRPr="001369CA">
        <w:tab/>
      </w:r>
      <w:bookmarkStart w:id="4" w:name="_Hlk38009125"/>
      <w:r w:rsidRPr="001369CA">
        <w:t xml:space="preserve">Доступ к медицинским услугам </w:t>
      </w:r>
      <w:bookmarkEnd w:id="4"/>
    </w:p>
    <w:p w14:paraId="772FCD94" w14:textId="77777777" w:rsidR="001E44D8" w:rsidRPr="001369CA" w:rsidRDefault="001E44D8" w:rsidP="001E44D8">
      <w:pPr>
        <w:pStyle w:val="SingleTxtG"/>
      </w:pPr>
      <w:r w:rsidRPr="001369CA">
        <w:t>38.</w:t>
      </w:r>
      <w:r w:rsidRPr="001369CA">
        <w:tab/>
        <w:t xml:space="preserve">Учитывая значительное сокращение в последние годы в государстве-участнике количества просителей убежища и традиционно сильную экономику государства-участника, Комитет обеспокоен тем, что государство-участник сохраняет принятые в 2011 году регрессивные меры по ограничению права мигрантов с неурегулированным статусом, в том числе граждан Европейского союза, не имеющих европейской карточки медицинского страхования, на первичное медико-санитарное обслуживание без оценки последствий для затрагиваемых лиц. Комитет выражает особую обеспокоенность по поводу ограниченной сферы охвата условий, при которых мигрантам с неурегулированным статусом предоставляется медицинская помощь, </w:t>
      </w:r>
      <w:r w:rsidRPr="001369CA">
        <w:lastRenderedPageBreak/>
        <w:t>и</w:t>
      </w:r>
      <w:r w:rsidR="00A62E06">
        <w:t> </w:t>
      </w:r>
      <w:r w:rsidRPr="001369CA">
        <w:t>отсутствия четких руководящих принципов толкования таких условий, что приводит к серьезному ухудшению состояния здоровья или к смерти мигрантов с неурегулированным статусом, страдающих хроническими заболеваниями, а также к несистемности и различиям в уровне предоставляемого им медицинского обслуживания. Он также обеспокоен тем, что дети-мигранты с неурегулированным статусом не считаются имеющими право быть включенными в списки пациентов врачей общей практики, что фактически препятствует их доступу к своевременным и надлежащим медицинским услугам, на которые в государстве-участнике имеют право все дети (статьи 2, пункты 1</w:t>
      </w:r>
      <w:r w:rsidR="00A62E06">
        <w:t>–</w:t>
      </w:r>
      <w:r w:rsidRPr="001369CA">
        <w:t xml:space="preserve">2, и 12). </w:t>
      </w:r>
    </w:p>
    <w:p w14:paraId="7FEE8E63" w14:textId="77777777" w:rsidR="001E44D8" w:rsidRPr="001369CA" w:rsidRDefault="001E44D8" w:rsidP="001E44D8">
      <w:pPr>
        <w:pStyle w:val="SingleTxtG"/>
        <w:rPr>
          <w:b/>
        </w:rPr>
      </w:pPr>
      <w:r w:rsidRPr="001369CA">
        <w:rPr>
          <w:bCs/>
        </w:rPr>
        <w:t>39.</w:t>
      </w:r>
      <w:r w:rsidRPr="001369CA">
        <w:rPr>
          <w:bCs/>
        </w:rPr>
        <w:tab/>
      </w:r>
      <w:r w:rsidRPr="001369CA">
        <w:rPr>
          <w:b/>
        </w:rPr>
        <w:t>Комитет рекомендует государству-участнику принять эффективные меры для обеспечения того, чтобы все лица в государстве-участнике имели доступ к первичной медико-санитарной помощи, независимо от их статуса проживания. В</w:t>
      </w:r>
      <w:r w:rsidR="00A62E06">
        <w:rPr>
          <w:b/>
        </w:rPr>
        <w:t> </w:t>
      </w:r>
      <w:r w:rsidRPr="001369CA">
        <w:rPr>
          <w:b/>
        </w:rPr>
        <w:t>частности</w:t>
      </w:r>
      <w:r w:rsidR="00A62E06">
        <w:rPr>
          <w:b/>
        </w:rPr>
        <w:t>,</w:t>
      </w:r>
      <w:r w:rsidRPr="001369CA">
        <w:rPr>
          <w:b/>
        </w:rPr>
        <w:t xml:space="preserve"> Комитет рекомендует государству-участнику отменить принятые в 2011 году регрессивные меры в отношении права мигрантов</w:t>
      </w:r>
      <w:r w:rsidRPr="001369CA">
        <w:rPr>
          <w:b/>
          <w:bCs/>
        </w:rPr>
        <w:t xml:space="preserve"> с неурегулированным статусом </w:t>
      </w:r>
      <w:r w:rsidRPr="001369CA">
        <w:rPr>
          <w:b/>
        </w:rPr>
        <w:t xml:space="preserve">на первичное медико-санитарное обслуживание и разрешить им и их детям быть включенными в </w:t>
      </w:r>
      <w:r w:rsidRPr="00A62E06">
        <w:rPr>
          <w:b/>
        </w:rPr>
        <w:t>списки пациентов врачей общей практики. Комитет обращает внимание государства-участника на свое заявление от 13 марта 2017 года об обязанностях госуд</w:t>
      </w:r>
      <w:r w:rsidRPr="001369CA">
        <w:rPr>
          <w:b/>
        </w:rPr>
        <w:t>арств по отношению к беженцам и мигрантам согласно Международному пакту об экономических, социальных и культурных правах (</w:t>
      </w:r>
      <w:r w:rsidRPr="001369CA">
        <w:rPr>
          <w:b/>
          <w:lang w:val="en-IE"/>
        </w:rPr>
        <w:t>E</w:t>
      </w:r>
      <w:r w:rsidRPr="001369CA">
        <w:rPr>
          <w:b/>
        </w:rPr>
        <w:t>/</w:t>
      </w:r>
      <w:r w:rsidRPr="001369CA">
        <w:rPr>
          <w:b/>
          <w:lang w:val="en-IE"/>
        </w:rPr>
        <w:t>C</w:t>
      </w:r>
      <w:r w:rsidRPr="001369CA">
        <w:rPr>
          <w:b/>
        </w:rPr>
        <w:t>.12/201</w:t>
      </w:r>
      <w:r w:rsidR="00B425D3">
        <w:rPr>
          <w:b/>
        </w:rPr>
        <w:t>7</w:t>
      </w:r>
      <w:r w:rsidRPr="001369CA">
        <w:rPr>
          <w:b/>
        </w:rPr>
        <w:t>/1).</w:t>
      </w:r>
    </w:p>
    <w:p w14:paraId="7DD97442" w14:textId="77777777" w:rsidR="001E44D8" w:rsidRPr="001369CA" w:rsidRDefault="001E44D8" w:rsidP="001A7202">
      <w:pPr>
        <w:pStyle w:val="H23G"/>
      </w:pPr>
      <w:r w:rsidRPr="001369CA">
        <w:tab/>
      </w:r>
      <w:r w:rsidRPr="001369CA">
        <w:tab/>
        <w:t>Психическое здоровье</w:t>
      </w:r>
    </w:p>
    <w:p w14:paraId="1A4DF167" w14:textId="77777777" w:rsidR="001E44D8" w:rsidRPr="001369CA" w:rsidRDefault="001E44D8" w:rsidP="001E44D8">
      <w:pPr>
        <w:pStyle w:val="SingleTxtG"/>
      </w:pPr>
      <w:r w:rsidRPr="001369CA">
        <w:t>40.</w:t>
      </w:r>
      <w:r w:rsidRPr="001369CA">
        <w:tab/>
        <w:t xml:space="preserve">Комитет обеспокоен высокой долей лиц с психическими расстройствами среди тюремного контингента и ограниченностью их доступа к надлежащим услугам по охране психического здоровья. Он особенно обеспокоен широким использованием электросудорожной терапии, которое не имеет под собой законной основы, без согласия пациентов, и других принудительных мер, например, </w:t>
      </w:r>
      <w:r w:rsidRPr="001369CA">
        <w:rPr>
          <w:color w:val="333333"/>
          <w:shd w:val="clear" w:color="auto" w:fill="FFFFFF"/>
        </w:rPr>
        <w:t>средств усмирения</w:t>
      </w:r>
      <w:r w:rsidRPr="001369CA">
        <w:t xml:space="preserve"> и принудительного лечения, зачастую в условиях сегрегации в психиатрических учреждениях и домах для престарелых. Он также обеспокоен тем, что, несмотря на требования законодательства, не ведется систематического учета использования таких мер (статья 12).</w:t>
      </w:r>
    </w:p>
    <w:p w14:paraId="3B32C5C6" w14:textId="77777777" w:rsidR="001E44D8" w:rsidRPr="001369CA" w:rsidRDefault="001E44D8" w:rsidP="001E44D8">
      <w:pPr>
        <w:pStyle w:val="SingleTxtG"/>
        <w:rPr>
          <w:b/>
        </w:rPr>
      </w:pPr>
      <w:r w:rsidRPr="001369CA">
        <w:rPr>
          <w:bCs/>
        </w:rPr>
        <w:t>41.</w:t>
      </w:r>
      <w:r w:rsidRPr="001369CA">
        <w:rPr>
          <w:bCs/>
        </w:rPr>
        <w:tab/>
      </w:r>
      <w:r w:rsidRPr="001369CA">
        <w:rPr>
          <w:b/>
        </w:rPr>
        <w:t>Комитет рекомендует государству-участнику:</w:t>
      </w:r>
    </w:p>
    <w:p w14:paraId="25DA101A" w14:textId="77777777" w:rsidR="001E44D8" w:rsidRPr="00A62E06" w:rsidRDefault="00A62E06" w:rsidP="001E44D8">
      <w:pPr>
        <w:pStyle w:val="SingleTxtG"/>
        <w:rPr>
          <w:b/>
        </w:rPr>
      </w:pPr>
      <w:r>
        <w:rPr>
          <w:b/>
        </w:rPr>
        <w:tab/>
      </w:r>
      <w:r w:rsidR="001E44D8" w:rsidRPr="00A62E06">
        <w:rPr>
          <w:b/>
        </w:rPr>
        <w:tab/>
      </w:r>
      <w:r w:rsidR="001E44D8" w:rsidRPr="00A62E06">
        <w:rPr>
          <w:b/>
          <w:bCs/>
          <w:lang w:val="en-IE"/>
        </w:rPr>
        <w:t>a</w:t>
      </w:r>
      <w:r w:rsidR="001E44D8" w:rsidRPr="00A62E06">
        <w:rPr>
          <w:b/>
          <w:bCs/>
        </w:rPr>
        <w:t>)</w:t>
      </w:r>
      <w:r w:rsidR="001E44D8" w:rsidRPr="00A62E06">
        <w:rPr>
          <w:b/>
        </w:rPr>
        <w:tab/>
        <w:t>обеспечить, чтобы заключенные, страдающие психическими расстройствами, получали надлежащую психиатрическую помощь, в том числе путем перевода в соответствующее медицинское учреждение;</w:t>
      </w:r>
    </w:p>
    <w:p w14:paraId="39A880C0" w14:textId="77777777" w:rsidR="001E44D8" w:rsidRPr="00A62E06" w:rsidRDefault="00A62E06" w:rsidP="001E44D8">
      <w:pPr>
        <w:pStyle w:val="SingleTxtG"/>
        <w:rPr>
          <w:b/>
        </w:rPr>
      </w:pPr>
      <w:r>
        <w:rPr>
          <w:b/>
        </w:rPr>
        <w:tab/>
      </w:r>
      <w:r w:rsidR="001E44D8" w:rsidRPr="00A62E06">
        <w:rPr>
          <w:b/>
        </w:rPr>
        <w:tab/>
      </w:r>
      <w:r w:rsidR="001E44D8" w:rsidRPr="00A62E06">
        <w:rPr>
          <w:b/>
          <w:bCs/>
          <w:lang w:val="en-IE"/>
        </w:rPr>
        <w:t>b</w:t>
      </w:r>
      <w:r w:rsidR="001E44D8" w:rsidRPr="00A62E06">
        <w:rPr>
          <w:b/>
          <w:bCs/>
        </w:rPr>
        <w:t>)</w:t>
      </w:r>
      <w:r w:rsidR="001E44D8" w:rsidRPr="00A62E06">
        <w:rPr>
          <w:b/>
        </w:rPr>
        <w:tab/>
        <w:t>обеспечить, чтобы лечение основывалось на свободном и осознанном согласии соответствующего лица или его или ее законного представителя;</w:t>
      </w:r>
    </w:p>
    <w:p w14:paraId="10600E49" w14:textId="77777777" w:rsidR="001E44D8" w:rsidRPr="00A62E06" w:rsidRDefault="005D317D" w:rsidP="001E44D8">
      <w:pPr>
        <w:pStyle w:val="SingleTxtG"/>
        <w:rPr>
          <w:b/>
          <w:bCs/>
        </w:rPr>
      </w:pPr>
      <w:r>
        <w:rPr>
          <w:b/>
          <w:bCs/>
        </w:rPr>
        <w:tab/>
      </w:r>
      <w:r w:rsidR="001E44D8" w:rsidRPr="00A62E06">
        <w:rPr>
          <w:b/>
          <w:bCs/>
        </w:rPr>
        <w:tab/>
      </w:r>
      <w:r w:rsidR="001E44D8" w:rsidRPr="00A62E06">
        <w:rPr>
          <w:b/>
          <w:lang w:val="en-IE"/>
        </w:rPr>
        <w:t>c</w:t>
      </w:r>
      <w:r w:rsidR="001E44D8" w:rsidRPr="00A62E06">
        <w:rPr>
          <w:b/>
        </w:rPr>
        <w:t>)</w:t>
      </w:r>
      <w:r w:rsidR="001E44D8" w:rsidRPr="00A62E06">
        <w:rPr>
          <w:b/>
          <w:bCs/>
        </w:rPr>
        <w:tab/>
        <w:t xml:space="preserve">инкорпорировать в рамках закона запрещение принудительного осуществления интрузивного и необратимого лечения, такого как </w:t>
      </w:r>
      <w:r w:rsidR="001E44D8" w:rsidRPr="00A62E06">
        <w:rPr>
          <w:b/>
          <w:color w:val="333333"/>
          <w:shd w:val="clear" w:color="auto" w:fill="FFFFFF"/>
        </w:rPr>
        <w:t>назначение нейролептических препаратов</w:t>
      </w:r>
      <w:r w:rsidR="001E44D8" w:rsidRPr="00A62E06">
        <w:rPr>
          <w:b/>
        </w:rPr>
        <w:t xml:space="preserve"> и электросудорожная</w:t>
      </w:r>
      <w:r w:rsidR="001E44D8" w:rsidRPr="00A62E06">
        <w:rPr>
          <w:b/>
          <w:bCs/>
        </w:rPr>
        <w:t xml:space="preserve"> терапия;</w:t>
      </w:r>
    </w:p>
    <w:p w14:paraId="5010B367" w14:textId="77777777" w:rsidR="001E44D8" w:rsidRPr="001369CA" w:rsidRDefault="005D317D" w:rsidP="001E44D8">
      <w:pPr>
        <w:pStyle w:val="SingleTxtG"/>
        <w:rPr>
          <w:b/>
          <w:bCs/>
        </w:rPr>
      </w:pPr>
      <w:r>
        <w:rPr>
          <w:b/>
        </w:rPr>
        <w:tab/>
      </w:r>
      <w:r w:rsidR="001E44D8" w:rsidRPr="00A62E06">
        <w:rPr>
          <w:b/>
        </w:rPr>
        <w:tab/>
      </w:r>
      <w:r w:rsidR="001E44D8" w:rsidRPr="00A62E06">
        <w:rPr>
          <w:b/>
          <w:bCs/>
          <w:lang w:val="en-IE"/>
        </w:rPr>
        <w:t>d</w:t>
      </w:r>
      <w:r w:rsidR="001E44D8" w:rsidRPr="00A62E06">
        <w:rPr>
          <w:b/>
          <w:bCs/>
        </w:rPr>
        <w:t>)</w:t>
      </w:r>
      <w:r w:rsidR="001E44D8" w:rsidRPr="00A62E06">
        <w:rPr>
          <w:b/>
        </w:rPr>
        <w:tab/>
      </w:r>
      <w:r w:rsidR="001E44D8" w:rsidRPr="00A62E06">
        <w:rPr>
          <w:b/>
          <w:bCs/>
        </w:rPr>
        <w:t>ввести более строгие процедурные требования в отношении применения принудительных мер для обеспечения того, чтобы лица с психосоциальной инвалидность</w:t>
      </w:r>
      <w:r w:rsidR="001E44D8" w:rsidRPr="001369CA">
        <w:rPr>
          <w:b/>
          <w:bCs/>
        </w:rPr>
        <w:t>ю и лица пожилого возраста, находящиеся в условиях институционального ухода, имели надлежащую правовую защиту от применения принуждения;</w:t>
      </w:r>
    </w:p>
    <w:p w14:paraId="2BBF48B1" w14:textId="77777777" w:rsidR="001E44D8" w:rsidRPr="005D317D" w:rsidRDefault="005D317D" w:rsidP="001E44D8">
      <w:pPr>
        <w:pStyle w:val="SingleTxtG"/>
        <w:rPr>
          <w:b/>
          <w:bCs/>
        </w:rPr>
      </w:pPr>
      <w:r>
        <w:rPr>
          <w:b/>
          <w:bCs/>
        </w:rPr>
        <w:tab/>
      </w:r>
      <w:r w:rsidR="001E44D8" w:rsidRPr="005D317D">
        <w:rPr>
          <w:b/>
          <w:bCs/>
        </w:rPr>
        <w:tab/>
      </w:r>
      <w:r w:rsidR="001E44D8" w:rsidRPr="005D317D">
        <w:rPr>
          <w:b/>
          <w:lang w:val="en-IE"/>
        </w:rPr>
        <w:t>e</w:t>
      </w:r>
      <w:r w:rsidR="001E44D8" w:rsidRPr="005D317D">
        <w:rPr>
          <w:b/>
        </w:rPr>
        <w:t>)</w:t>
      </w:r>
      <w:r w:rsidR="001E44D8" w:rsidRPr="005D317D">
        <w:rPr>
          <w:b/>
          <w:bCs/>
        </w:rPr>
        <w:tab/>
      </w:r>
      <w:r w:rsidR="001E44D8" w:rsidRPr="005D317D">
        <w:rPr>
          <w:b/>
          <w:bCs/>
          <w:color w:val="333333"/>
        </w:rPr>
        <w:t>расширить услуги на базе общин, предоставляемые лицам с психосоциальной инвалидностью, включая поддержку со стороны сверстников и другие альтернативы медицинской модели;</w:t>
      </w:r>
    </w:p>
    <w:p w14:paraId="645472B5" w14:textId="77777777" w:rsidR="001E44D8" w:rsidRPr="001369CA" w:rsidRDefault="005D317D" w:rsidP="001E44D8">
      <w:pPr>
        <w:pStyle w:val="SingleTxtG"/>
        <w:rPr>
          <w:b/>
        </w:rPr>
      </w:pPr>
      <w:r>
        <w:rPr>
          <w:b/>
          <w:bCs/>
        </w:rPr>
        <w:tab/>
      </w:r>
      <w:r w:rsidR="001E44D8" w:rsidRPr="005D317D">
        <w:rPr>
          <w:b/>
          <w:bCs/>
        </w:rPr>
        <w:tab/>
      </w:r>
      <w:r w:rsidR="001E44D8" w:rsidRPr="005D317D">
        <w:rPr>
          <w:b/>
          <w:lang w:val="en-IE"/>
        </w:rPr>
        <w:t>f</w:t>
      </w:r>
      <w:r w:rsidR="001E44D8" w:rsidRPr="005D317D">
        <w:rPr>
          <w:b/>
        </w:rPr>
        <w:t>)</w:t>
      </w:r>
      <w:r w:rsidR="001E44D8" w:rsidRPr="005D317D">
        <w:rPr>
          <w:b/>
          <w:bCs/>
        </w:rPr>
        <w:tab/>
        <w:t>обеспечить систематический учет применения принудительных мер в соответ</w:t>
      </w:r>
      <w:r w:rsidR="001E44D8" w:rsidRPr="001369CA">
        <w:rPr>
          <w:b/>
          <w:bCs/>
        </w:rPr>
        <w:t>ствии с установленными в законодательном порядке требованиями.</w:t>
      </w:r>
    </w:p>
    <w:p w14:paraId="16C183BD" w14:textId="77777777" w:rsidR="001E44D8" w:rsidRPr="001369CA" w:rsidRDefault="001E44D8" w:rsidP="001A7202">
      <w:pPr>
        <w:pStyle w:val="H23G"/>
      </w:pPr>
      <w:r w:rsidRPr="001369CA">
        <w:tab/>
      </w:r>
      <w:r w:rsidRPr="001369CA">
        <w:tab/>
        <w:t>Употребление наркотиков</w:t>
      </w:r>
    </w:p>
    <w:p w14:paraId="18E7B86A" w14:textId="77777777" w:rsidR="001E44D8" w:rsidRPr="001369CA" w:rsidRDefault="001E44D8" w:rsidP="001E44D8">
      <w:pPr>
        <w:pStyle w:val="SingleTxtG"/>
      </w:pPr>
      <w:r w:rsidRPr="001369CA">
        <w:t>42.</w:t>
      </w:r>
      <w:r w:rsidRPr="001369CA">
        <w:tab/>
        <w:t xml:space="preserve">Принимая к сведению проведенный комитетом экспертов обзор действующей </w:t>
      </w:r>
      <w:r w:rsidRPr="001369CA">
        <w:rPr>
          <w:color w:val="333333"/>
          <w:shd w:val="clear" w:color="auto" w:fill="FFFFFF"/>
        </w:rPr>
        <w:t>политики в отношении наркотиков</w:t>
      </w:r>
      <w:r w:rsidRPr="001369CA">
        <w:t xml:space="preserve"> и представление в декабре 2019 года его доклада с </w:t>
      </w:r>
      <w:r w:rsidRPr="001369CA">
        <w:lastRenderedPageBreak/>
        <w:t>предложениями о реформе политики, Комитет в то же время обеспокоен тем, что государство-участник продолжает криминализировать употребление наркотиков, что</w:t>
      </w:r>
      <w:r w:rsidR="005D317D">
        <w:t> </w:t>
      </w:r>
      <w:r w:rsidRPr="001369CA">
        <w:t>не позволяет наркопотребителям получать доступ к программам снижения вреда и медицинским услугам (статья 12).</w:t>
      </w:r>
    </w:p>
    <w:p w14:paraId="0C9A6A51" w14:textId="77777777" w:rsidR="001E44D8" w:rsidRPr="001369CA" w:rsidRDefault="001E44D8" w:rsidP="001E44D8">
      <w:pPr>
        <w:pStyle w:val="SingleTxtG"/>
        <w:rPr>
          <w:b/>
        </w:rPr>
      </w:pPr>
      <w:r w:rsidRPr="001369CA">
        <w:rPr>
          <w:bCs/>
        </w:rPr>
        <w:t>43.</w:t>
      </w:r>
      <w:r w:rsidRPr="001369CA">
        <w:rPr>
          <w:bCs/>
        </w:rPr>
        <w:tab/>
      </w:r>
      <w:r w:rsidRPr="001369CA">
        <w:rPr>
          <w:b/>
        </w:rPr>
        <w:t>Комитет рекомендует государству-участнику декриминализировать употребление наркотиков и повысить наличие, доступность и качество программ снижения вреда и специализированных медицинских услуг, предоставляемых лицам, потребляющим наркотики.</w:t>
      </w:r>
    </w:p>
    <w:p w14:paraId="1AED548F" w14:textId="77777777" w:rsidR="001E44D8" w:rsidRPr="001369CA" w:rsidRDefault="001E44D8" w:rsidP="001A7202">
      <w:pPr>
        <w:pStyle w:val="H23G"/>
      </w:pPr>
      <w:r w:rsidRPr="001369CA">
        <w:tab/>
      </w:r>
      <w:r w:rsidRPr="001369CA">
        <w:tab/>
        <w:t>Право на образование</w:t>
      </w:r>
    </w:p>
    <w:p w14:paraId="1DD1AF18" w14:textId="77777777" w:rsidR="001E44D8" w:rsidRPr="001369CA" w:rsidRDefault="001E44D8" w:rsidP="001E44D8">
      <w:pPr>
        <w:pStyle w:val="SingleTxtG"/>
      </w:pPr>
      <w:r w:rsidRPr="001369CA">
        <w:t>44.</w:t>
      </w:r>
      <w:r w:rsidRPr="001369CA">
        <w:tab/>
        <w:t>Комитет выражает обеспокоенность по поводу:</w:t>
      </w:r>
    </w:p>
    <w:p w14:paraId="1036E797" w14:textId="77777777" w:rsidR="001E44D8" w:rsidRPr="001369CA" w:rsidRDefault="005D317D" w:rsidP="001E44D8">
      <w:pPr>
        <w:pStyle w:val="SingleTxtG"/>
      </w:pPr>
      <w:r>
        <w:tab/>
      </w:r>
      <w:r w:rsidR="001E44D8" w:rsidRPr="001369CA">
        <w:tab/>
        <w:t>a)</w:t>
      </w:r>
      <w:r w:rsidR="001E44D8" w:rsidRPr="001369CA">
        <w:tab/>
        <w:t xml:space="preserve">сохранения региональных различий по качеству образования и успеваемости учащихся, при сохранении наиболее неблагоприятного положения в северных и удаленных районах; </w:t>
      </w:r>
    </w:p>
    <w:p w14:paraId="255F445A" w14:textId="77777777" w:rsidR="001E44D8" w:rsidRPr="001369CA" w:rsidRDefault="005D317D" w:rsidP="001E44D8">
      <w:pPr>
        <w:pStyle w:val="SingleTxtG"/>
      </w:pPr>
      <w:r>
        <w:tab/>
      </w:r>
      <w:r w:rsidR="001E44D8" w:rsidRPr="001369CA">
        <w:tab/>
        <w:t>b)</w:t>
      </w:r>
      <w:r w:rsidR="001E44D8" w:rsidRPr="001369CA">
        <w:tab/>
        <w:t>отсутствия права на дошкольное образование у детей-просителей убежища, находящихся в центрах приема;</w:t>
      </w:r>
    </w:p>
    <w:p w14:paraId="52CE08E3" w14:textId="77777777" w:rsidR="001E44D8" w:rsidRPr="001369CA" w:rsidRDefault="005D317D" w:rsidP="001E44D8">
      <w:pPr>
        <w:pStyle w:val="SingleTxtG"/>
      </w:pPr>
      <w:r>
        <w:tab/>
      </w:r>
      <w:r w:rsidR="001E44D8" w:rsidRPr="001369CA">
        <w:tab/>
        <w:t>c)</w:t>
      </w:r>
      <w:r w:rsidR="001E44D8" w:rsidRPr="001369CA">
        <w:tab/>
        <w:t>сохранения высокого уровня отсева из школ и низкого уровня образования детей рома;</w:t>
      </w:r>
    </w:p>
    <w:p w14:paraId="4537BE49" w14:textId="77777777" w:rsidR="001E44D8" w:rsidRPr="001369CA" w:rsidRDefault="001E44D8" w:rsidP="001E44D8">
      <w:pPr>
        <w:pStyle w:val="SingleTxtG"/>
      </w:pPr>
      <w:r w:rsidRPr="001369CA">
        <w:tab/>
      </w:r>
      <w:r w:rsidR="005D317D">
        <w:tab/>
      </w:r>
      <w:r w:rsidRPr="001369CA">
        <w:t>d)</w:t>
      </w:r>
      <w:r w:rsidRPr="001369CA">
        <w:tab/>
        <w:t>высокого уровня отсева из школ учащихся мужского пола, родившихся за рубежом, в старших классах средней школы;</w:t>
      </w:r>
    </w:p>
    <w:p w14:paraId="068BDDD9" w14:textId="77777777" w:rsidR="001E44D8" w:rsidRPr="001369CA" w:rsidRDefault="005D317D" w:rsidP="001E44D8">
      <w:pPr>
        <w:pStyle w:val="SingleTxtG"/>
      </w:pPr>
      <w:r>
        <w:tab/>
      </w:r>
      <w:r w:rsidR="001E44D8" w:rsidRPr="001369CA">
        <w:tab/>
        <w:t>e)</w:t>
      </w:r>
      <w:r w:rsidR="001E44D8" w:rsidRPr="001369CA">
        <w:tab/>
        <w:t>часто встречающейся у учителей нехватки навыков и соответствующих инструментов для удовлетворения потребностей все более разнообразного контингента учащихся (статьи 13</w:t>
      </w:r>
      <w:r>
        <w:t>–</w:t>
      </w:r>
      <w:r w:rsidR="001E44D8" w:rsidRPr="001369CA">
        <w:t>15).</w:t>
      </w:r>
    </w:p>
    <w:p w14:paraId="3ECA93D1" w14:textId="77777777" w:rsidR="001E44D8" w:rsidRPr="001369CA" w:rsidRDefault="001E44D8" w:rsidP="001E44D8">
      <w:pPr>
        <w:pStyle w:val="SingleTxtG"/>
        <w:rPr>
          <w:b/>
        </w:rPr>
      </w:pPr>
      <w:r w:rsidRPr="001369CA">
        <w:rPr>
          <w:bCs/>
        </w:rPr>
        <w:t>45.</w:t>
      </w:r>
      <w:r w:rsidRPr="001369CA">
        <w:rPr>
          <w:bCs/>
        </w:rPr>
        <w:tab/>
      </w:r>
      <w:r w:rsidRPr="001369CA">
        <w:rPr>
          <w:b/>
        </w:rPr>
        <w:t>Комитет рекомендует государству-участнику:</w:t>
      </w:r>
    </w:p>
    <w:p w14:paraId="7C95856D" w14:textId="77777777" w:rsidR="001E44D8" w:rsidRPr="005D317D" w:rsidRDefault="005D317D" w:rsidP="001E44D8">
      <w:pPr>
        <w:pStyle w:val="SingleTxtG"/>
        <w:rPr>
          <w:b/>
        </w:rPr>
      </w:pPr>
      <w:r>
        <w:rPr>
          <w:b/>
        </w:rPr>
        <w:tab/>
      </w:r>
      <w:r w:rsidR="001E44D8" w:rsidRPr="005D317D">
        <w:rPr>
          <w:b/>
        </w:rPr>
        <w:tab/>
      </w:r>
      <w:r w:rsidR="001E44D8" w:rsidRPr="005D317D">
        <w:rPr>
          <w:b/>
          <w:bCs/>
          <w:lang w:val="en-IE"/>
        </w:rPr>
        <w:t>a</w:t>
      </w:r>
      <w:r w:rsidR="001E44D8" w:rsidRPr="005D317D">
        <w:rPr>
          <w:b/>
          <w:bCs/>
        </w:rPr>
        <w:t>)</w:t>
      </w:r>
      <w:r w:rsidR="001E44D8" w:rsidRPr="005D317D">
        <w:rPr>
          <w:b/>
        </w:rPr>
        <w:tab/>
      </w:r>
      <w:r w:rsidR="001E44D8" w:rsidRPr="005D317D">
        <w:rPr>
          <w:rFonts w:eastAsia="Malgun Gothic"/>
          <w:b/>
          <w:lang w:eastAsia="ko-KR"/>
        </w:rPr>
        <w:t>увеличить объем ресурсов, выделяемых на цели повышения качества образования в северных и удаленных районах государства-участника, с</w:t>
      </w:r>
      <w:r>
        <w:rPr>
          <w:rFonts w:eastAsia="Malgun Gothic"/>
          <w:b/>
          <w:lang w:eastAsia="ko-KR"/>
        </w:rPr>
        <w:t> </w:t>
      </w:r>
      <w:r w:rsidR="001E44D8" w:rsidRPr="005D317D">
        <w:rPr>
          <w:rFonts w:eastAsia="Malgun Gothic"/>
          <w:b/>
          <w:lang w:eastAsia="ko-KR"/>
        </w:rPr>
        <w:t>тем чтобы ликвидировать сохраняющиеся региональные различия;</w:t>
      </w:r>
      <w:r w:rsidR="001E44D8" w:rsidRPr="005D317D">
        <w:rPr>
          <w:b/>
        </w:rPr>
        <w:t xml:space="preserve"> </w:t>
      </w:r>
    </w:p>
    <w:p w14:paraId="0F2C91E6" w14:textId="77777777" w:rsidR="001E44D8" w:rsidRPr="005D317D" w:rsidRDefault="005D317D" w:rsidP="001E44D8">
      <w:pPr>
        <w:pStyle w:val="SingleTxtG"/>
        <w:rPr>
          <w:b/>
        </w:rPr>
      </w:pPr>
      <w:r>
        <w:rPr>
          <w:b/>
        </w:rPr>
        <w:tab/>
      </w:r>
      <w:r w:rsidR="001E44D8" w:rsidRPr="005D317D">
        <w:rPr>
          <w:b/>
        </w:rPr>
        <w:tab/>
      </w:r>
      <w:r w:rsidR="001E44D8" w:rsidRPr="005D317D">
        <w:rPr>
          <w:b/>
          <w:bCs/>
          <w:lang w:val="en-IE"/>
        </w:rPr>
        <w:t>b</w:t>
      </w:r>
      <w:r w:rsidR="001E44D8" w:rsidRPr="005D317D">
        <w:rPr>
          <w:b/>
          <w:bCs/>
        </w:rPr>
        <w:t>)</w:t>
      </w:r>
      <w:r w:rsidR="001E44D8" w:rsidRPr="005D317D">
        <w:rPr>
          <w:b/>
        </w:rPr>
        <w:tab/>
        <w:t>распространить право на дошкольное образование на детей</w:t>
      </w:r>
      <w:r>
        <w:rPr>
          <w:b/>
        </w:rPr>
        <w:t xml:space="preserve"> – </w:t>
      </w:r>
      <w:r w:rsidR="001E44D8" w:rsidRPr="005D317D">
        <w:rPr>
          <w:b/>
        </w:rPr>
        <w:t>просителей убежища, находящихся в центрах приема;</w:t>
      </w:r>
    </w:p>
    <w:p w14:paraId="3BE5DC3A" w14:textId="77777777" w:rsidR="001E44D8" w:rsidRPr="005D317D" w:rsidRDefault="005D317D" w:rsidP="001E44D8">
      <w:pPr>
        <w:pStyle w:val="SingleTxtG"/>
        <w:rPr>
          <w:b/>
        </w:rPr>
      </w:pPr>
      <w:r>
        <w:rPr>
          <w:b/>
        </w:rPr>
        <w:tab/>
      </w:r>
      <w:r w:rsidR="001E44D8" w:rsidRPr="005D317D">
        <w:rPr>
          <w:b/>
        </w:rPr>
        <w:tab/>
      </w:r>
      <w:r w:rsidR="001E44D8" w:rsidRPr="005D317D">
        <w:rPr>
          <w:b/>
          <w:bCs/>
          <w:lang w:val="en-IE"/>
        </w:rPr>
        <w:t>c</w:t>
      </w:r>
      <w:r w:rsidR="001E44D8" w:rsidRPr="005D317D">
        <w:rPr>
          <w:b/>
          <w:bCs/>
        </w:rPr>
        <w:t>)</w:t>
      </w:r>
      <w:r w:rsidR="001E44D8" w:rsidRPr="005D317D">
        <w:rPr>
          <w:b/>
        </w:rPr>
        <w:tab/>
        <w:t>принять целенаправленные меры по повышению посещаемости школ и уровня образования детей рома, в том числе путем развертывания таких эффективных программ, как программа «Путеводители для рома» в городе Осло;</w:t>
      </w:r>
    </w:p>
    <w:p w14:paraId="7C3E7555" w14:textId="77777777" w:rsidR="001E44D8" w:rsidRPr="001369CA" w:rsidRDefault="005D317D" w:rsidP="001E44D8">
      <w:pPr>
        <w:pStyle w:val="SingleTxtG"/>
        <w:rPr>
          <w:b/>
        </w:rPr>
      </w:pPr>
      <w:r>
        <w:rPr>
          <w:b/>
        </w:rPr>
        <w:tab/>
      </w:r>
      <w:r w:rsidR="001E44D8" w:rsidRPr="005D317D">
        <w:rPr>
          <w:b/>
        </w:rPr>
        <w:tab/>
      </w:r>
      <w:r w:rsidR="001E44D8" w:rsidRPr="005D317D">
        <w:rPr>
          <w:b/>
          <w:bCs/>
          <w:lang w:val="en-IE"/>
        </w:rPr>
        <w:t>d</w:t>
      </w:r>
      <w:r w:rsidR="001E44D8" w:rsidRPr="005D317D">
        <w:rPr>
          <w:b/>
          <w:bCs/>
        </w:rPr>
        <w:t>)</w:t>
      </w:r>
      <w:r w:rsidR="001E44D8" w:rsidRPr="005D317D">
        <w:rPr>
          <w:b/>
        </w:rPr>
        <w:tab/>
        <w:t>пре</w:t>
      </w:r>
      <w:r w:rsidR="001E44D8" w:rsidRPr="001369CA">
        <w:rPr>
          <w:b/>
        </w:rPr>
        <w:t>доставлять учащимся, родившимся за границей, поддержку с учетом их конкретных потребностей для завершения старшей ступени среднего образования;</w:t>
      </w:r>
    </w:p>
    <w:p w14:paraId="03283D09" w14:textId="77777777" w:rsidR="001E44D8" w:rsidRPr="001369CA" w:rsidRDefault="005D317D" w:rsidP="001E44D8">
      <w:pPr>
        <w:pStyle w:val="SingleTxtG"/>
        <w:rPr>
          <w:b/>
        </w:rPr>
      </w:pPr>
      <w:r>
        <w:rPr>
          <w:b/>
        </w:rPr>
        <w:tab/>
      </w:r>
      <w:r w:rsidR="001E44D8" w:rsidRPr="005D317D">
        <w:rPr>
          <w:b/>
        </w:rPr>
        <w:tab/>
      </w:r>
      <w:r w:rsidR="001E44D8" w:rsidRPr="005D317D">
        <w:rPr>
          <w:b/>
          <w:bCs/>
          <w:lang w:val="en-IE"/>
        </w:rPr>
        <w:t>e</w:t>
      </w:r>
      <w:r w:rsidR="001E44D8" w:rsidRPr="005D317D">
        <w:rPr>
          <w:b/>
          <w:bCs/>
        </w:rPr>
        <w:t>)</w:t>
      </w:r>
      <w:r w:rsidR="001E44D8" w:rsidRPr="005D317D">
        <w:rPr>
          <w:b/>
        </w:rPr>
        <w:tab/>
      </w:r>
      <w:r w:rsidR="001E44D8" w:rsidRPr="001369CA">
        <w:rPr>
          <w:b/>
        </w:rPr>
        <w:t>обеспечить предоставление учителям надлежащей подготовки и инструментов, с тем чтобы они могли уверенно работать со все более разнообразными контингентами учащихся.</w:t>
      </w:r>
    </w:p>
    <w:p w14:paraId="39BA3F30" w14:textId="77777777" w:rsidR="001E44D8" w:rsidRPr="001369CA" w:rsidRDefault="001E44D8" w:rsidP="001A7202">
      <w:pPr>
        <w:pStyle w:val="H23G"/>
      </w:pPr>
      <w:r w:rsidRPr="001369CA">
        <w:tab/>
      </w:r>
      <w:r w:rsidRPr="001369CA">
        <w:tab/>
        <w:t>Культурные права</w:t>
      </w:r>
    </w:p>
    <w:p w14:paraId="3916E1C4" w14:textId="77777777" w:rsidR="001E44D8" w:rsidRPr="001369CA" w:rsidRDefault="001E44D8" w:rsidP="001E44D8">
      <w:pPr>
        <w:pStyle w:val="SingleTxtG"/>
      </w:pPr>
      <w:r w:rsidRPr="001369CA">
        <w:t>46.</w:t>
      </w:r>
      <w:r w:rsidRPr="001369CA">
        <w:tab/>
        <w:t>Комитет принимает к сведению различные меры, принятые государством-участником для защиты и сохранения языков и культурного наследия саами. Тем не менее Комитет по-прежнему обеспокоен тем, что право детей саами на образование на саамских языках в качестве языков преподавания не гарантируется в полной мере на практике. Он также обеспокоен сообщениями парламента саами о том, что объекты, предназначенные для сохранения артефактов культуры саами, получают гораздо меньшую поддержку со стороны государства, чем другие норвежские объекты культурного наследия, и что количество объектов, предназначенных для сохранения культурных ценностей саами, является недостаточным (статьи 13</w:t>
      </w:r>
      <w:r w:rsidR="005D317D">
        <w:t>–</w:t>
      </w:r>
      <w:r w:rsidRPr="001369CA">
        <w:t>15).</w:t>
      </w:r>
    </w:p>
    <w:p w14:paraId="3DDFF811" w14:textId="77777777" w:rsidR="001E44D8" w:rsidRPr="001369CA" w:rsidRDefault="001E44D8" w:rsidP="001E44D8">
      <w:pPr>
        <w:pStyle w:val="SingleTxtG"/>
        <w:rPr>
          <w:b/>
        </w:rPr>
      </w:pPr>
      <w:r w:rsidRPr="001369CA">
        <w:rPr>
          <w:bCs/>
        </w:rPr>
        <w:t>47.</w:t>
      </w:r>
      <w:r w:rsidRPr="001369CA">
        <w:rPr>
          <w:bCs/>
        </w:rPr>
        <w:tab/>
      </w:r>
      <w:r w:rsidRPr="001369CA">
        <w:rPr>
          <w:b/>
        </w:rPr>
        <w:t xml:space="preserve">Комитет рекомендует государству-участнику активизировать свои усилия по обеспечению того, чтобы все дети саами, независимо от того, проживают ли они в районах сосредоточения саами или где-либо еще, в полной мере </w:t>
      </w:r>
      <w:r w:rsidRPr="001369CA">
        <w:rPr>
          <w:b/>
        </w:rPr>
        <w:lastRenderedPageBreak/>
        <w:t>пользовались своим правом на образование на саамских языках в качестве языков преподавания, а также выделить достаточные ресурсы, включая финансовые и технические ресурсы, для сохранения и экспонирования артефактов культуры саами.</w:t>
      </w:r>
    </w:p>
    <w:p w14:paraId="543C722D" w14:textId="77777777" w:rsidR="001E44D8" w:rsidRPr="001369CA" w:rsidRDefault="001E44D8" w:rsidP="005D317D">
      <w:pPr>
        <w:pStyle w:val="H1G"/>
      </w:pPr>
      <w:r w:rsidRPr="001369CA">
        <w:tab/>
      </w:r>
      <w:r w:rsidRPr="001369CA">
        <w:rPr>
          <w:lang w:val="en-IE"/>
        </w:rPr>
        <w:t>D</w:t>
      </w:r>
      <w:r w:rsidRPr="001369CA">
        <w:t>.</w:t>
      </w:r>
      <w:r w:rsidRPr="001369CA">
        <w:tab/>
        <w:t>Другие рекомендации</w:t>
      </w:r>
    </w:p>
    <w:p w14:paraId="2DF5058F" w14:textId="77777777" w:rsidR="001E44D8" w:rsidRPr="001369CA" w:rsidRDefault="001E44D8" w:rsidP="001E44D8">
      <w:pPr>
        <w:pStyle w:val="SingleTxtG"/>
        <w:rPr>
          <w:b/>
        </w:rPr>
      </w:pPr>
      <w:r w:rsidRPr="001369CA">
        <w:rPr>
          <w:bCs/>
        </w:rPr>
        <w:t>48.</w:t>
      </w:r>
      <w:r w:rsidRPr="001369CA">
        <w:rPr>
          <w:bCs/>
        </w:rPr>
        <w:tab/>
      </w:r>
      <w:r w:rsidRPr="005D317D">
        <w:rPr>
          <w:b/>
        </w:rPr>
        <w:t xml:space="preserve">Комитет рекомендует государству-участнику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 </w:t>
      </w:r>
      <w:r w:rsidRPr="005D317D">
        <w:rPr>
          <w:b/>
          <w:color w:val="333333"/>
          <w:shd w:val="clear" w:color="auto" w:fill="FFFFFF"/>
        </w:rPr>
        <w:t xml:space="preserve">Государство-участник могло бы существенно содействовать достижению </w:t>
      </w:r>
      <w:r w:rsidRPr="005D317D">
        <w:rPr>
          <w:b/>
        </w:rPr>
        <w:t>Целей в области устойчивого развития</w:t>
      </w:r>
      <w:r w:rsidRPr="005D317D">
        <w:rPr>
          <w:b/>
          <w:color w:val="333333"/>
          <w:shd w:val="clear" w:color="auto" w:fill="FFFFFF"/>
        </w:rPr>
        <w:t xml:space="preserve">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 которые могут запрашивать причитающиеся им льготы.</w:t>
      </w:r>
      <w:r w:rsidRPr="005D317D">
        <w:rPr>
          <w:b/>
        </w:rPr>
        <w:t xml:space="preserve"> Достижение этих Целей на основе принципов участия, подотчетности и недискрим</w:t>
      </w:r>
      <w:r w:rsidRPr="001369CA">
        <w:rPr>
          <w:b/>
        </w:rPr>
        <w:t>инации будет гарантировать, что никто не останется без внимания. В этой связи Комитет обращает внимание государства-участника на свое заявление об обязательстве никого не забыть (</w:t>
      </w:r>
      <w:r w:rsidRPr="001369CA">
        <w:rPr>
          <w:b/>
          <w:lang w:val="en-IE"/>
        </w:rPr>
        <w:t>E</w:t>
      </w:r>
      <w:r w:rsidRPr="001369CA">
        <w:rPr>
          <w:b/>
        </w:rPr>
        <w:t>/</w:t>
      </w:r>
      <w:r w:rsidRPr="001369CA">
        <w:rPr>
          <w:b/>
          <w:lang w:val="en-IE"/>
        </w:rPr>
        <w:t>C</w:t>
      </w:r>
      <w:r w:rsidRPr="001369CA">
        <w:rPr>
          <w:b/>
        </w:rPr>
        <w:t>.12/2019/1).</w:t>
      </w:r>
    </w:p>
    <w:p w14:paraId="2BE3174B" w14:textId="77777777" w:rsidR="001E44D8" w:rsidRPr="001369CA" w:rsidRDefault="001E44D8" w:rsidP="001E44D8">
      <w:pPr>
        <w:pStyle w:val="SingleTxtG"/>
        <w:rPr>
          <w:b/>
          <w:bCs/>
        </w:rPr>
      </w:pPr>
      <w:r w:rsidRPr="001369CA">
        <w:rPr>
          <w:bCs/>
        </w:rPr>
        <w:t>49.</w:t>
      </w:r>
      <w:r w:rsidRPr="001369CA">
        <w:rPr>
          <w:bCs/>
        </w:rPr>
        <w:tab/>
      </w:r>
      <w:r w:rsidRPr="001369CA">
        <w:rPr>
          <w:b/>
        </w:rPr>
        <w:t>Комитет просит государство-участник широко распространить настоящие заключительные замечания среди всех слоев общества, в том числе на национальном, губернском и муниципальном уровнях, в частности среди парламентариев, государственных должностных лиц и судебных органов, и</w:t>
      </w:r>
      <w:r w:rsidR="005D317D">
        <w:rPr>
          <w:b/>
        </w:rPr>
        <w:t> </w:t>
      </w:r>
      <w:r w:rsidRPr="001369CA">
        <w:rPr>
          <w:b/>
        </w:rPr>
        <w:t>в</w:t>
      </w:r>
      <w:r w:rsidR="005D317D">
        <w:rPr>
          <w:b/>
        </w:rPr>
        <w:t> </w:t>
      </w:r>
      <w:r w:rsidRPr="001369CA">
        <w:rPr>
          <w:b/>
        </w:rPr>
        <w:t>своем следующем периодическом докладе проинформировать Комитет о шагах, предпринятых с целью их осуществления. Комитет рекомендует государству-участнику привлечь норвежское национальное правозащитное учреждение,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 а также к процессу консультаций на национальном уровне перед представлением своего следующего периодического доклада. Кроме того, Комитет рекомендует государству-участнику рассмотреть вопрос о создании с участием норвежского национального правозащитного учреждения и организаций гражданского общества национального механизма по координации и контролю за осуществлением на постоянной основе.</w:t>
      </w:r>
    </w:p>
    <w:p w14:paraId="420151A4" w14:textId="77777777" w:rsidR="001E44D8" w:rsidRPr="001369CA" w:rsidRDefault="001E44D8" w:rsidP="001E44D8">
      <w:pPr>
        <w:pStyle w:val="SingleTxtG"/>
        <w:rPr>
          <w:b/>
          <w:bCs/>
        </w:rPr>
      </w:pPr>
      <w:r w:rsidRPr="001369CA">
        <w:t>50.</w:t>
      </w:r>
      <w:r w:rsidRPr="001369CA">
        <w:tab/>
      </w:r>
      <w:r w:rsidRPr="001369CA">
        <w:rPr>
          <w:b/>
          <w:bCs/>
        </w:rPr>
        <w:t>В соответствии с процедурой последующей деятельности по выполнению заключительных замечаний, принятых Комитетом, государству-участнику предлагается представить</w:t>
      </w:r>
      <w:r w:rsidR="005D317D">
        <w:rPr>
          <w:b/>
          <w:bCs/>
        </w:rPr>
        <w:t xml:space="preserve">, </w:t>
      </w:r>
      <w:r w:rsidRPr="001369CA">
        <w:rPr>
          <w:b/>
          <w:bCs/>
        </w:rPr>
        <w:t>в течение 24 месяцев с момента принятия настоящих заключительных замечаний, информацию о выполнении рекомендаций, содержащихся в пунктах 29 (несопровождаемые дети</w:t>
      </w:r>
      <w:r w:rsidR="005D317D">
        <w:rPr>
          <w:b/>
          <w:bCs/>
        </w:rPr>
        <w:t xml:space="preserve"> – </w:t>
      </w:r>
      <w:r w:rsidRPr="001369CA">
        <w:rPr>
          <w:b/>
          <w:bCs/>
        </w:rPr>
        <w:t>просители убежища), 37</w:t>
      </w:r>
      <w:r w:rsidR="005D317D">
        <w:rPr>
          <w:b/>
          <w:bCs/>
        </w:rPr>
        <w:t> </w:t>
      </w:r>
      <w:r w:rsidRPr="001369CA">
        <w:rPr>
          <w:b/>
          <w:bCs/>
        </w:rPr>
        <w:t xml:space="preserve">(лица пожилого возраста) и 39 (доступ к медицинским услугам) выше. </w:t>
      </w:r>
    </w:p>
    <w:p w14:paraId="47A5DFA9" w14:textId="77777777" w:rsidR="00381C24" w:rsidRPr="001369CA" w:rsidRDefault="001E44D8" w:rsidP="001E44D8">
      <w:pPr>
        <w:pStyle w:val="SingleTxtG"/>
      </w:pPr>
      <w:r w:rsidRPr="001369CA">
        <w:t>51.</w:t>
      </w:r>
      <w:r w:rsidRPr="001369CA">
        <w:tab/>
      </w:r>
      <w:r w:rsidRPr="001369CA">
        <w:rPr>
          <w:b/>
          <w:bCs/>
        </w:rPr>
        <w:t xml:space="preserve">Комитет просит государство-участник представить свой седьмой периодический доклад не позднее 31 марта 2025 года. </w:t>
      </w:r>
      <w:r w:rsidRPr="001369CA">
        <w:rPr>
          <w:b/>
          <w:bCs/>
          <w:color w:val="333333"/>
          <w:shd w:val="clear" w:color="auto" w:fill="FFFFFF"/>
        </w:rPr>
        <w:t>С этой целью, поскольку государство-участник согласилось следовать упрощенной процедуре представления докладов, Комитет в установленном порядке направит государству-участнику перечень вопросов, предваряющий представление доклада. Ответы государства-участника на этот перечень вопросов будут составлять его седьмой периодический доклад, представляемый в соответствии со статьей 16 Пакта.</w:t>
      </w:r>
      <w:r w:rsidRPr="001369CA">
        <w:rPr>
          <w:color w:val="333333"/>
          <w:shd w:val="clear" w:color="auto" w:fill="FFFFFF"/>
        </w:rPr>
        <w:t xml:space="preserve"> </w:t>
      </w:r>
      <w:r w:rsidRPr="001369CA">
        <w:rPr>
          <w:b/>
          <w:bCs/>
        </w:rPr>
        <w:t>Кроме того, Комитет предлагает государству-участнику, при</w:t>
      </w:r>
      <w:r w:rsidR="005D317D">
        <w:rPr>
          <w:b/>
          <w:bCs/>
        </w:rPr>
        <w:t> </w:t>
      </w:r>
      <w:r w:rsidRPr="001369CA">
        <w:rPr>
          <w:b/>
          <w:bCs/>
        </w:rPr>
        <w:t>необходимости, обновить свой общий базовый документ в соответствии с согласованными руководящими принципами представления докладов по международным договорам о правах человека (</w:t>
      </w:r>
      <w:r w:rsidRPr="001369CA">
        <w:rPr>
          <w:b/>
          <w:bCs/>
          <w:lang w:val="en-IE"/>
        </w:rPr>
        <w:t>HRI</w:t>
      </w:r>
      <w:r w:rsidRPr="001369CA">
        <w:rPr>
          <w:b/>
          <w:bCs/>
        </w:rPr>
        <w:t>/</w:t>
      </w:r>
      <w:r w:rsidRPr="001369CA">
        <w:rPr>
          <w:b/>
          <w:bCs/>
          <w:lang w:val="en-IE"/>
        </w:rPr>
        <w:t>GEN</w:t>
      </w:r>
      <w:r w:rsidRPr="001369CA">
        <w:rPr>
          <w:b/>
          <w:bCs/>
        </w:rPr>
        <w:t>/2/</w:t>
      </w:r>
      <w:r w:rsidRPr="001369CA">
        <w:rPr>
          <w:b/>
          <w:bCs/>
          <w:lang w:val="en-IE"/>
        </w:rPr>
        <w:t>Rev</w:t>
      </w:r>
      <w:r w:rsidRPr="001369CA">
        <w:rPr>
          <w:b/>
          <w:bCs/>
        </w:rPr>
        <w:t xml:space="preserve">.6, глава </w:t>
      </w:r>
      <w:r w:rsidRPr="001369CA">
        <w:rPr>
          <w:b/>
          <w:bCs/>
          <w:lang w:val="en-IE"/>
        </w:rPr>
        <w:t>I</w:t>
      </w:r>
      <w:r w:rsidRPr="001369CA">
        <w:rPr>
          <w:b/>
          <w:bCs/>
        </w:rPr>
        <w:t>)</w:t>
      </w:r>
      <w:r w:rsidR="001369CA">
        <w:rPr>
          <w:b/>
          <w:bCs/>
        </w:rPr>
        <w:t>.</w:t>
      </w:r>
    </w:p>
    <w:p w14:paraId="4182437E" w14:textId="77777777" w:rsidR="007C159B" w:rsidRPr="001E44D8" w:rsidRDefault="001E44D8" w:rsidP="001E44D8">
      <w:pPr>
        <w:pStyle w:val="SingleTxtG"/>
        <w:spacing w:before="240" w:after="0"/>
        <w:jc w:val="center"/>
        <w:rPr>
          <w:u w:val="single"/>
        </w:rPr>
      </w:pPr>
      <w:r>
        <w:rPr>
          <w:u w:val="single"/>
        </w:rPr>
        <w:tab/>
      </w:r>
      <w:r>
        <w:rPr>
          <w:u w:val="single"/>
        </w:rPr>
        <w:tab/>
      </w:r>
      <w:r>
        <w:rPr>
          <w:u w:val="single"/>
        </w:rPr>
        <w:tab/>
      </w:r>
      <w:r>
        <w:rPr>
          <w:u w:val="single"/>
        </w:rPr>
        <w:tab/>
      </w:r>
    </w:p>
    <w:sectPr w:rsidR="007C159B" w:rsidRPr="001E44D8" w:rsidSect="007C159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6ADE" w14:textId="77777777" w:rsidR="00CC0488" w:rsidRPr="00A312BC" w:rsidRDefault="00CC0488" w:rsidP="00A312BC"/>
  </w:endnote>
  <w:endnote w:type="continuationSeparator" w:id="0">
    <w:p w14:paraId="54CE2104" w14:textId="77777777" w:rsidR="00CC0488" w:rsidRPr="00A312BC" w:rsidRDefault="00CC048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7C42" w14:textId="77777777" w:rsidR="007C159B" w:rsidRPr="007C159B" w:rsidRDefault="007C159B">
    <w:pPr>
      <w:pStyle w:val="aa"/>
    </w:pPr>
    <w:r w:rsidRPr="007C159B">
      <w:rPr>
        <w:b/>
        <w:sz w:val="18"/>
      </w:rPr>
      <w:fldChar w:fldCharType="begin"/>
    </w:r>
    <w:r w:rsidRPr="007C159B">
      <w:rPr>
        <w:b/>
        <w:sz w:val="18"/>
      </w:rPr>
      <w:instrText xml:space="preserve"> PAGE  \* MERGEFORMAT </w:instrText>
    </w:r>
    <w:r w:rsidRPr="007C159B">
      <w:rPr>
        <w:b/>
        <w:sz w:val="18"/>
      </w:rPr>
      <w:fldChar w:fldCharType="separate"/>
    </w:r>
    <w:r w:rsidRPr="007C159B">
      <w:rPr>
        <w:b/>
        <w:noProof/>
        <w:sz w:val="18"/>
      </w:rPr>
      <w:t>2</w:t>
    </w:r>
    <w:r w:rsidRPr="007C159B">
      <w:rPr>
        <w:b/>
        <w:sz w:val="18"/>
      </w:rPr>
      <w:fldChar w:fldCharType="end"/>
    </w:r>
    <w:r>
      <w:rPr>
        <w:b/>
        <w:sz w:val="18"/>
      </w:rPr>
      <w:tab/>
    </w:r>
    <w:r>
      <w:t>GE.20-05057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7861" w14:textId="77777777" w:rsidR="007C159B" w:rsidRPr="007C159B" w:rsidRDefault="007C159B" w:rsidP="007C159B">
    <w:pPr>
      <w:pStyle w:val="aa"/>
      <w:tabs>
        <w:tab w:val="clear" w:pos="9639"/>
        <w:tab w:val="right" w:pos="9638"/>
      </w:tabs>
      <w:rPr>
        <w:b/>
        <w:sz w:val="18"/>
      </w:rPr>
    </w:pPr>
    <w:r>
      <w:t>GE.20-05057</w:t>
    </w:r>
    <w:r>
      <w:tab/>
    </w:r>
    <w:r w:rsidRPr="007C159B">
      <w:rPr>
        <w:b/>
        <w:sz w:val="18"/>
      </w:rPr>
      <w:fldChar w:fldCharType="begin"/>
    </w:r>
    <w:r w:rsidRPr="007C159B">
      <w:rPr>
        <w:b/>
        <w:sz w:val="18"/>
      </w:rPr>
      <w:instrText xml:space="preserve"> PAGE  \* MERGEFORMAT </w:instrText>
    </w:r>
    <w:r w:rsidRPr="007C159B">
      <w:rPr>
        <w:b/>
        <w:sz w:val="18"/>
      </w:rPr>
      <w:fldChar w:fldCharType="separate"/>
    </w:r>
    <w:r w:rsidRPr="007C159B">
      <w:rPr>
        <w:b/>
        <w:noProof/>
        <w:sz w:val="18"/>
      </w:rPr>
      <w:t>3</w:t>
    </w:r>
    <w:r w:rsidRPr="007C15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3BF1" w14:textId="77777777" w:rsidR="00042B72" w:rsidRPr="007C159B" w:rsidRDefault="007C159B" w:rsidP="007C159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8B1DAAE" wp14:editId="5A1F3BD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20-05057  (R)</w:t>
    </w:r>
    <w:r w:rsidR="001A7202">
      <w:t xml:space="preserve">  260420  290420</w:t>
    </w:r>
    <w:r>
      <w:br/>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sidRPr="007C159B">
      <w:rPr>
        <w:rFonts w:ascii="C39T30Lfz" w:hAnsi="C39T30Lfz"/>
        <w:kern w:val="14"/>
        <w:sz w:val="56"/>
      </w:rPr>
      <w:t></w:t>
    </w:r>
    <w:r>
      <w:rPr>
        <w:noProof/>
      </w:rPr>
      <w:drawing>
        <wp:anchor distT="0" distB="0" distL="114300" distR="114300" simplePos="0" relativeHeight="251659264" behindDoc="0" locked="0" layoutInCell="1" allowOverlap="1" wp14:anchorId="7B46D5CE" wp14:editId="67853CF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NOR/CO/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CO/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FDA7" w14:textId="77777777" w:rsidR="00CC0488" w:rsidRPr="001075E9" w:rsidRDefault="00CC0488" w:rsidP="001075E9">
      <w:pPr>
        <w:tabs>
          <w:tab w:val="right" w:pos="2155"/>
        </w:tabs>
        <w:spacing w:after="80" w:line="240" w:lineRule="auto"/>
        <w:ind w:left="680"/>
        <w:rPr>
          <w:u w:val="single"/>
        </w:rPr>
      </w:pPr>
      <w:r>
        <w:rPr>
          <w:u w:val="single"/>
        </w:rPr>
        <w:tab/>
      </w:r>
    </w:p>
  </w:footnote>
  <w:footnote w:type="continuationSeparator" w:id="0">
    <w:p w14:paraId="47E11AE5" w14:textId="77777777" w:rsidR="00CC0488" w:rsidRDefault="00CC0488" w:rsidP="00407B78">
      <w:pPr>
        <w:tabs>
          <w:tab w:val="right" w:pos="2155"/>
        </w:tabs>
        <w:spacing w:after="80"/>
        <w:ind w:left="680"/>
        <w:rPr>
          <w:u w:val="single"/>
        </w:rPr>
      </w:pPr>
      <w:r>
        <w:rPr>
          <w:u w:val="single"/>
        </w:rPr>
        <w:tab/>
      </w:r>
    </w:p>
  </w:footnote>
  <w:footnote w:id="1">
    <w:p w14:paraId="7D80B6C1" w14:textId="77777777" w:rsidR="001E44D8" w:rsidRPr="00B67131" w:rsidRDefault="001E44D8" w:rsidP="001E44D8">
      <w:pPr>
        <w:pStyle w:val="af"/>
      </w:pPr>
      <w:r w:rsidRPr="002A4C59">
        <w:tab/>
      </w:r>
      <w:r w:rsidRPr="001E44D8">
        <w:rPr>
          <w:rStyle w:val="a8"/>
          <w:sz w:val="20"/>
          <w:vertAlign w:val="baseline"/>
        </w:rPr>
        <w:t>*</w:t>
      </w:r>
      <w:r w:rsidRPr="00B67131">
        <w:rPr>
          <w:sz w:val="20"/>
        </w:rPr>
        <w:tab/>
      </w:r>
      <w:r w:rsidRPr="00B67131">
        <w:t>Принят</w:t>
      </w:r>
      <w:r>
        <w:t>ы</w:t>
      </w:r>
      <w:r w:rsidRPr="00B67131">
        <w:t xml:space="preserve"> Комитетом на его шестьдесят седьмой сессии (17 </w:t>
      </w:r>
      <w:r>
        <w:t xml:space="preserve">февраля </w:t>
      </w:r>
      <w:r w:rsidRPr="00B67131">
        <w:t>–</w:t>
      </w:r>
      <w:r>
        <w:t xml:space="preserve"> </w:t>
      </w:r>
      <w:r w:rsidRPr="00B67131">
        <w:t xml:space="preserve">6 </w:t>
      </w:r>
      <w:r>
        <w:t>марта</w:t>
      </w:r>
      <w:r w:rsidRPr="00B67131">
        <w:t xml:space="preserve"> 2020</w:t>
      </w:r>
      <w:r>
        <w:t xml:space="preserve"> года</w:t>
      </w:r>
      <w:r w:rsidRPr="00B671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F146" w14:textId="7401F5E9" w:rsidR="007C159B" w:rsidRPr="007C159B" w:rsidRDefault="006C5379">
    <w:pPr>
      <w:pStyle w:val="a5"/>
    </w:pPr>
    <w:fldSimple w:instr=" TITLE  \* MERGEFORMAT ">
      <w:r w:rsidR="00792E41">
        <w:t>E/C.12/NOR/CO/6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B98F" w14:textId="66D36295" w:rsidR="007C159B" w:rsidRPr="007C159B" w:rsidRDefault="006C5379" w:rsidP="007C159B">
    <w:pPr>
      <w:pStyle w:val="a5"/>
      <w:jc w:val="right"/>
    </w:pPr>
    <w:fldSimple w:instr=" TITLE  \* MERGEFORMAT ">
      <w:r w:rsidR="00792E41">
        <w:t>E/C.12/NOR/CO/6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C0C3C3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DBEDD0C" w:tentative="1">
      <w:start w:val="1"/>
      <w:numFmt w:val="lowerLetter"/>
      <w:lvlText w:val="%2."/>
      <w:lvlJc w:val="left"/>
      <w:pPr>
        <w:tabs>
          <w:tab w:val="num" w:pos="1440"/>
        </w:tabs>
        <w:ind w:left="1440" w:hanging="360"/>
      </w:pPr>
    </w:lvl>
    <w:lvl w:ilvl="2" w:tplc="A988633E" w:tentative="1">
      <w:start w:val="1"/>
      <w:numFmt w:val="lowerRoman"/>
      <w:lvlText w:val="%3."/>
      <w:lvlJc w:val="right"/>
      <w:pPr>
        <w:tabs>
          <w:tab w:val="num" w:pos="2160"/>
        </w:tabs>
        <w:ind w:left="2160" w:hanging="180"/>
      </w:pPr>
    </w:lvl>
    <w:lvl w:ilvl="3" w:tplc="9B767E3E" w:tentative="1">
      <w:start w:val="1"/>
      <w:numFmt w:val="decimal"/>
      <w:lvlText w:val="%4."/>
      <w:lvlJc w:val="left"/>
      <w:pPr>
        <w:tabs>
          <w:tab w:val="num" w:pos="2880"/>
        </w:tabs>
        <w:ind w:left="2880" w:hanging="360"/>
      </w:pPr>
    </w:lvl>
    <w:lvl w:ilvl="4" w:tplc="B40EF570" w:tentative="1">
      <w:start w:val="1"/>
      <w:numFmt w:val="lowerLetter"/>
      <w:lvlText w:val="%5."/>
      <w:lvlJc w:val="left"/>
      <w:pPr>
        <w:tabs>
          <w:tab w:val="num" w:pos="3600"/>
        </w:tabs>
        <w:ind w:left="3600" w:hanging="360"/>
      </w:pPr>
    </w:lvl>
    <w:lvl w:ilvl="5" w:tplc="71682E8C" w:tentative="1">
      <w:start w:val="1"/>
      <w:numFmt w:val="lowerRoman"/>
      <w:lvlText w:val="%6."/>
      <w:lvlJc w:val="right"/>
      <w:pPr>
        <w:tabs>
          <w:tab w:val="num" w:pos="4320"/>
        </w:tabs>
        <w:ind w:left="4320" w:hanging="180"/>
      </w:pPr>
    </w:lvl>
    <w:lvl w:ilvl="6" w:tplc="19B48C0A" w:tentative="1">
      <w:start w:val="1"/>
      <w:numFmt w:val="decimal"/>
      <w:lvlText w:val="%7."/>
      <w:lvlJc w:val="left"/>
      <w:pPr>
        <w:tabs>
          <w:tab w:val="num" w:pos="5040"/>
        </w:tabs>
        <w:ind w:left="5040" w:hanging="360"/>
      </w:pPr>
    </w:lvl>
    <w:lvl w:ilvl="7" w:tplc="F4981262" w:tentative="1">
      <w:start w:val="1"/>
      <w:numFmt w:val="lowerLetter"/>
      <w:lvlText w:val="%8."/>
      <w:lvlJc w:val="left"/>
      <w:pPr>
        <w:tabs>
          <w:tab w:val="num" w:pos="5760"/>
        </w:tabs>
        <w:ind w:left="5760" w:hanging="360"/>
      </w:pPr>
    </w:lvl>
    <w:lvl w:ilvl="8" w:tplc="A560EDD0"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C0A06FA8">
      <w:start w:val="1"/>
      <w:numFmt w:val="bullet"/>
      <w:lvlText w:val="•"/>
      <w:lvlJc w:val="left"/>
      <w:pPr>
        <w:tabs>
          <w:tab w:val="num" w:pos="2268"/>
        </w:tabs>
        <w:ind w:left="2268" w:hanging="170"/>
      </w:pPr>
      <w:rPr>
        <w:rFonts w:ascii="Times New Roman" w:hAnsi="Times New Roman" w:cs="Times New Roman" w:hint="default"/>
      </w:rPr>
    </w:lvl>
    <w:lvl w:ilvl="1" w:tplc="205CC6EC" w:tentative="1">
      <w:start w:val="1"/>
      <w:numFmt w:val="bullet"/>
      <w:lvlText w:val="o"/>
      <w:lvlJc w:val="left"/>
      <w:pPr>
        <w:tabs>
          <w:tab w:val="num" w:pos="3708"/>
        </w:tabs>
        <w:ind w:left="3708" w:hanging="360"/>
      </w:pPr>
      <w:rPr>
        <w:rFonts w:ascii="Courier New" w:hAnsi="Courier New" w:hint="default"/>
      </w:rPr>
    </w:lvl>
    <w:lvl w:ilvl="2" w:tplc="CE0661DE" w:tentative="1">
      <w:start w:val="1"/>
      <w:numFmt w:val="bullet"/>
      <w:lvlText w:val=""/>
      <w:lvlJc w:val="left"/>
      <w:pPr>
        <w:tabs>
          <w:tab w:val="num" w:pos="4428"/>
        </w:tabs>
        <w:ind w:left="4428" w:hanging="360"/>
      </w:pPr>
      <w:rPr>
        <w:rFonts w:ascii="Wingdings" w:hAnsi="Wingdings" w:hint="default"/>
      </w:rPr>
    </w:lvl>
    <w:lvl w:ilvl="3" w:tplc="E3921350" w:tentative="1">
      <w:start w:val="1"/>
      <w:numFmt w:val="bullet"/>
      <w:lvlText w:val=""/>
      <w:lvlJc w:val="left"/>
      <w:pPr>
        <w:tabs>
          <w:tab w:val="num" w:pos="5148"/>
        </w:tabs>
        <w:ind w:left="5148" w:hanging="360"/>
      </w:pPr>
      <w:rPr>
        <w:rFonts w:ascii="Symbol" w:hAnsi="Symbol" w:hint="default"/>
      </w:rPr>
    </w:lvl>
    <w:lvl w:ilvl="4" w:tplc="4AD4FFCE" w:tentative="1">
      <w:start w:val="1"/>
      <w:numFmt w:val="bullet"/>
      <w:lvlText w:val="o"/>
      <w:lvlJc w:val="left"/>
      <w:pPr>
        <w:tabs>
          <w:tab w:val="num" w:pos="5868"/>
        </w:tabs>
        <w:ind w:left="5868" w:hanging="360"/>
      </w:pPr>
      <w:rPr>
        <w:rFonts w:ascii="Courier New" w:hAnsi="Courier New" w:hint="default"/>
      </w:rPr>
    </w:lvl>
    <w:lvl w:ilvl="5" w:tplc="20188020" w:tentative="1">
      <w:start w:val="1"/>
      <w:numFmt w:val="bullet"/>
      <w:lvlText w:val=""/>
      <w:lvlJc w:val="left"/>
      <w:pPr>
        <w:tabs>
          <w:tab w:val="num" w:pos="6588"/>
        </w:tabs>
        <w:ind w:left="6588" w:hanging="360"/>
      </w:pPr>
      <w:rPr>
        <w:rFonts w:ascii="Wingdings" w:hAnsi="Wingdings" w:hint="default"/>
      </w:rPr>
    </w:lvl>
    <w:lvl w:ilvl="6" w:tplc="BB96FE12" w:tentative="1">
      <w:start w:val="1"/>
      <w:numFmt w:val="bullet"/>
      <w:lvlText w:val=""/>
      <w:lvlJc w:val="left"/>
      <w:pPr>
        <w:tabs>
          <w:tab w:val="num" w:pos="7308"/>
        </w:tabs>
        <w:ind w:left="7308" w:hanging="360"/>
      </w:pPr>
      <w:rPr>
        <w:rFonts w:ascii="Symbol" w:hAnsi="Symbol" w:hint="default"/>
      </w:rPr>
    </w:lvl>
    <w:lvl w:ilvl="7" w:tplc="995C07A8" w:tentative="1">
      <w:start w:val="1"/>
      <w:numFmt w:val="bullet"/>
      <w:lvlText w:val="o"/>
      <w:lvlJc w:val="left"/>
      <w:pPr>
        <w:tabs>
          <w:tab w:val="num" w:pos="8028"/>
        </w:tabs>
        <w:ind w:left="8028" w:hanging="360"/>
      </w:pPr>
      <w:rPr>
        <w:rFonts w:ascii="Courier New" w:hAnsi="Courier New" w:hint="default"/>
      </w:rPr>
    </w:lvl>
    <w:lvl w:ilvl="8" w:tplc="054A4BEE"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E161287"/>
    <w:multiLevelType w:val="multilevel"/>
    <w:tmpl w:val="F33C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51CFD"/>
    <w:multiLevelType w:val="hybridMultilevel"/>
    <w:tmpl w:val="710AEC4C"/>
    <w:lvl w:ilvl="0" w:tplc="F2F667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4080350"/>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BF247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B557CB"/>
    <w:multiLevelType w:val="multilevel"/>
    <w:tmpl w:val="84A8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7FEE3222"/>
    <w:lvl w:ilvl="0" w:tplc="63788E52">
      <w:start w:val="1"/>
      <w:numFmt w:val="bullet"/>
      <w:lvlText w:val="•"/>
      <w:lvlJc w:val="left"/>
      <w:pPr>
        <w:tabs>
          <w:tab w:val="num" w:pos="1701"/>
        </w:tabs>
        <w:ind w:left="1701" w:hanging="170"/>
      </w:pPr>
      <w:rPr>
        <w:rFonts w:ascii="Times New Roman" w:hAnsi="Times New Roman" w:cs="Times New Roman" w:hint="default"/>
      </w:rPr>
    </w:lvl>
    <w:lvl w:ilvl="1" w:tplc="4F2E0D42" w:tentative="1">
      <w:start w:val="1"/>
      <w:numFmt w:val="bullet"/>
      <w:lvlText w:val="o"/>
      <w:lvlJc w:val="left"/>
      <w:pPr>
        <w:tabs>
          <w:tab w:val="num" w:pos="3141"/>
        </w:tabs>
        <w:ind w:left="3141" w:hanging="360"/>
      </w:pPr>
      <w:rPr>
        <w:rFonts w:ascii="Courier New" w:hAnsi="Courier New" w:hint="default"/>
      </w:rPr>
    </w:lvl>
    <w:lvl w:ilvl="2" w:tplc="ECECADB0" w:tentative="1">
      <w:start w:val="1"/>
      <w:numFmt w:val="bullet"/>
      <w:lvlText w:val=""/>
      <w:lvlJc w:val="left"/>
      <w:pPr>
        <w:tabs>
          <w:tab w:val="num" w:pos="3861"/>
        </w:tabs>
        <w:ind w:left="3861" w:hanging="360"/>
      </w:pPr>
      <w:rPr>
        <w:rFonts w:ascii="Wingdings" w:hAnsi="Wingdings" w:hint="default"/>
      </w:rPr>
    </w:lvl>
    <w:lvl w:ilvl="3" w:tplc="E4B8034A" w:tentative="1">
      <w:start w:val="1"/>
      <w:numFmt w:val="bullet"/>
      <w:lvlText w:val=""/>
      <w:lvlJc w:val="left"/>
      <w:pPr>
        <w:tabs>
          <w:tab w:val="num" w:pos="4581"/>
        </w:tabs>
        <w:ind w:left="4581" w:hanging="360"/>
      </w:pPr>
      <w:rPr>
        <w:rFonts w:ascii="Symbol" w:hAnsi="Symbol" w:hint="default"/>
      </w:rPr>
    </w:lvl>
    <w:lvl w:ilvl="4" w:tplc="A87E8BE4" w:tentative="1">
      <w:start w:val="1"/>
      <w:numFmt w:val="bullet"/>
      <w:lvlText w:val="o"/>
      <w:lvlJc w:val="left"/>
      <w:pPr>
        <w:tabs>
          <w:tab w:val="num" w:pos="5301"/>
        </w:tabs>
        <w:ind w:left="5301" w:hanging="360"/>
      </w:pPr>
      <w:rPr>
        <w:rFonts w:ascii="Courier New" w:hAnsi="Courier New" w:hint="default"/>
      </w:rPr>
    </w:lvl>
    <w:lvl w:ilvl="5" w:tplc="27463058" w:tentative="1">
      <w:start w:val="1"/>
      <w:numFmt w:val="bullet"/>
      <w:lvlText w:val=""/>
      <w:lvlJc w:val="left"/>
      <w:pPr>
        <w:tabs>
          <w:tab w:val="num" w:pos="6021"/>
        </w:tabs>
        <w:ind w:left="6021" w:hanging="360"/>
      </w:pPr>
      <w:rPr>
        <w:rFonts w:ascii="Wingdings" w:hAnsi="Wingdings" w:hint="default"/>
      </w:rPr>
    </w:lvl>
    <w:lvl w:ilvl="6" w:tplc="04BABEA0" w:tentative="1">
      <w:start w:val="1"/>
      <w:numFmt w:val="bullet"/>
      <w:lvlText w:val=""/>
      <w:lvlJc w:val="left"/>
      <w:pPr>
        <w:tabs>
          <w:tab w:val="num" w:pos="6741"/>
        </w:tabs>
        <w:ind w:left="6741" w:hanging="360"/>
      </w:pPr>
      <w:rPr>
        <w:rFonts w:ascii="Symbol" w:hAnsi="Symbol" w:hint="default"/>
      </w:rPr>
    </w:lvl>
    <w:lvl w:ilvl="7" w:tplc="8EA4C586" w:tentative="1">
      <w:start w:val="1"/>
      <w:numFmt w:val="bullet"/>
      <w:lvlText w:val="o"/>
      <w:lvlJc w:val="left"/>
      <w:pPr>
        <w:tabs>
          <w:tab w:val="num" w:pos="7461"/>
        </w:tabs>
        <w:ind w:left="7461" w:hanging="360"/>
      </w:pPr>
      <w:rPr>
        <w:rFonts w:ascii="Courier New" w:hAnsi="Courier New" w:hint="default"/>
      </w:rPr>
    </w:lvl>
    <w:lvl w:ilvl="8" w:tplc="4AD67002"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6"/>
  </w:num>
  <w:num w:numId="3">
    <w:abstractNumId w:val="13"/>
  </w:num>
  <w:num w:numId="4">
    <w:abstractNumId w:val="33"/>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19"/>
  </w:num>
  <w:num w:numId="18">
    <w:abstractNumId w:val="25"/>
  </w:num>
  <w:num w:numId="19">
    <w:abstractNumId w:val="30"/>
  </w:num>
  <w:num w:numId="20">
    <w:abstractNumId w:val="19"/>
  </w:num>
  <w:num w:numId="21">
    <w:abstractNumId w:val="25"/>
  </w:num>
  <w:num w:numId="22">
    <w:abstractNumId w:val="30"/>
  </w:num>
  <w:num w:numId="23">
    <w:abstractNumId w:val="19"/>
  </w:num>
  <w:num w:numId="24">
    <w:abstractNumId w:val="25"/>
  </w:num>
  <w:num w:numId="25">
    <w:abstractNumId w:val="30"/>
  </w:num>
  <w:num w:numId="26">
    <w:abstractNumId w:val="19"/>
  </w:num>
  <w:num w:numId="27">
    <w:abstractNumId w:val="25"/>
  </w:num>
  <w:num w:numId="28">
    <w:abstractNumId w:val="15"/>
  </w:num>
  <w:num w:numId="29">
    <w:abstractNumId w:val="14"/>
  </w:num>
  <w:num w:numId="30">
    <w:abstractNumId w:val="10"/>
  </w:num>
  <w:num w:numId="31">
    <w:abstractNumId w:val="26"/>
  </w:num>
  <w:num w:numId="32">
    <w:abstractNumId w:val="28"/>
  </w:num>
  <w:num w:numId="33">
    <w:abstractNumId w:val="34"/>
  </w:num>
  <w:num w:numId="34">
    <w:abstractNumId w:val="12"/>
  </w:num>
  <w:num w:numId="35">
    <w:abstractNumId w:val="31"/>
  </w:num>
  <w:num w:numId="36">
    <w:abstractNumId w:val="17"/>
  </w:num>
  <w:num w:numId="37">
    <w:abstractNumId w:val="11"/>
  </w:num>
  <w:num w:numId="38">
    <w:abstractNumId w:val="27"/>
  </w:num>
  <w:num w:numId="39">
    <w:abstractNumId w:val="22"/>
  </w:num>
  <w:num w:numId="40">
    <w:abstractNumId w:val="23"/>
  </w:num>
  <w:num w:numId="41">
    <w:abstractNumId w:val="20"/>
  </w:num>
  <w:num w:numId="42">
    <w:abstractNumId w:val="21"/>
  </w:num>
  <w:num w:numId="43">
    <w:abstractNumId w:val="29"/>
  </w:num>
  <w:num w:numId="4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8"/>
    <w:rsid w:val="00033EE1"/>
    <w:rsid w:val="00042B72"/>
    <w:rsid w:val="00043B08"/>
    <w:rsid w:val="000558BD"/>
    <w:rsid w:val="000857D2"/>
    <w:rsid w:val="000B57E7"/>
    <w:rsid w:val="000B6373"/>
    <w:rsid w:val="000F09DF"/>
    <w:rsid w:val="000F61B2"/>
    <w:rsid w:val="001075E9"/>
    <w:rsid w:val="001253D8"/>
    <w:rsid w:val="001369CA"/>
    <w:rsid w:val="0014152F"/>
    <w:rsid w:val="00142F5E"/>
    <w:rsid w:val="00180183"/>
    <w:rsid w:val="0018024D"/>
    <w:rsid w:val="0018649F"/>
    <w:rsid w:val="00196389"/>
    <w:rsid w:val="001A7202"/>
    <w:rsid w:val="001B3EF6"/>
    <w:rsid w:val="001C7A89"/>
    <w:rsid w:val="001D5C5A"/>
    <w:rsid w:val="001E3194"/>
    <w:rsid w:val="001E44D8"/>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1830"/>
    <w:rsid w:val="003958D0"/>
    <w:rsid w:val="003A0D43"/>
    <w:rsid w:val="003B00E5"/>
    <w:rsid w:val="00407B78"/>
    <w:rsid w:val="00424203"/>
    <w:rsid w:val="0042551A"/>
    <w:rsid w:val="00432103"/>
    <w:rsid w:val="00452493"/>
    <w:rsid w:val="00453318"/>
    <w:rsid w:val="00454E07"/>
    <w:rsid w:val="00472C5C"/>
    <w:rsid w:val="0050108D"/>
    <w:rsid w:val="00513081"/>
    <w:rsid w:val="00517901"/>
    <w:rsid w:val="00526683"/>
    <w:rsid w:val="005709E0"/>
    <w:rsid w:val="00572E19"/>
    <w:rsid w:val="005961C8"/>
    <w:rsid w:val="005966F1"/>
    <w:rsid w:val="005B2F86"/>
    <w:rsid w:val="005D317D"/>
    <w:rsid w:val="005D7914"/>
    <w:rsid w:val="005E2B41"/>
    <w:rsid w:val="005F0B42"/>
    <w:rsid w:val="005F1707"/>
    <w:rsid w:val="00640F49"/>
    <w:rsid w:val="00681A10"/>
    <w:rsid w:val="006A16E3"/>
    <w:rsid w:val="006A1ED8"/>
    <w:rsid w:val="006C2031"/>
    <w:rsid w:val="006C5379"/>
    <w:rsid w:val="006D461A"/>
    <w:rsid w:val="006F35EE"/>
    <w:rsid w:val="007021FF"/>
    <w:rsid w:val="00712895"/>
    <w:rsid w:val="007265DD"/>
    <w:rsid w:val="00734ACB"/>
    <w:rsid w:val="00757357"/>
    <w:rsid w:val="00792497"/>
    <w:rsid w:val="00792E41"/>
    <w:rsid w:val="007C159B"/>
    <w:rsid w:val="00806737"/>
    <w:rsid w:val="00810ADB"/>
    <w:rsid w:val="00811570"/>
    <w:rsid w:val="00822272"/>
    <w:rsid w:val="00825F8D"/>
    <w:rsid w:val="00834B71"/>
    <w:rsid w:val="0086445C"/>
    <w:rsid w:val="00881771"/>
    <w:rsid w:val="00894693"/>
    <w:rsid w:val="00896BA2"/>
    <w:rsid w:val="008A08D7"/>
    <w:rsid w:val="008B6909"/>
    <w:rsid w:val="008C30BC"/>
    <w:rsid w:val="00906890"/>
    <w:rsid w:val="00911BE4"/>
    <w:rsid w:val="00951972"/>
    <w:rsid w:val="009608F3"/>
    <w:rsid w:val="009878F8"/>
    <w:rsid w:val="009A24AC"/>
    <w:rsid w:val="00A14DA8"/>
    <w:rsid w:val="00A21F00"/>
    <w:rsid w:val="00A24E2E"/>
    <w:rsid w:val="00A312BC"/>
    <w:rsid w:val="00A62E06"/>
    <w:rsid w:val="00A84021"/>
    <w:rsid w:val="00A84D35"/>
    <w:rsid w:val="00A917B3"/>
    <w:rsid w:val="00AB2DBD"/>
    <w:rsid w:val="00AB4B51"/>
    <w:rsid w:val="00AC3430"/>
    <w:rsid w:val="00B10CC7"/>
    <w:rsid w:val="00B36DF7"/>
    <w:rsid w:val="00B425D3"/>
    <w:rsid w:val="00B539E7"/>
    <w:rsid w:val="00B62458"/>
    <w:rsid w:val="00BC18B2"/>
    <w:rsid w:val="00BD33EE"/>
    <w:rsid w:val="00BF21E1"/>
    <w:rsid w:val="00C106D6"/>
    <w:rsid w:val="00C60F0C"/>
    <w:rsid w:val="00C805C9"/>
    <w:rsid w:val="00C92939"/>
    <w:rsid w:val="00CA1679"/>
    <w:rsid w:val="00CB151C"/>
    <w:rsid w:val="00CC0488"/>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A495D"/>
  <w15:docId w15:val="{46981BE3-AC4F-4258-B1A5-FB024795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811570"/>
    <w:pPr>
      <w:keepNext/>
      <w:outlineLvl w:val="1"/>
    </w:pPr>
    <w:rPr>
      <w:rFonts w:cs="Arial"/>
      <w:bCs/>
      <w:iCs/>
      <w:szCs w:val="28"/>
    </w:rPr>
  </w:style>
  <w:style w:type="paragraph" w:styleId="3">
    <w:name w:val="heading 3"/>
    <w:basedOn w:val="a"/>
    <w:next w:val="a"/>
    <w:link w:val="30"/>
    <w:semiHidden/>
    <w:qFormat/>
    <w:rsid w:val="00811570"/>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811570"/>
    <w:pPr>
      <w:keepNext/>
      <w:spacing w:before="240" w:after="60"/>
      <w:outlineLvl w:val="3"/>
    </w:pPr>
    <w:rPr>
      <w:b/>
      <w:bCs/>
      <w:sz w:val="28"/>
      <w:szCs w:val="28"/>
    </w:rPr>
  </w:style>
  <w:style w:type="paragraph" w:styleId="5">
    <w:name w:val="heading 5"/>
    <w:basedOn w:val="a"/>
    <w:next w:val="a"/>
    <w:link w:val="50"/>
    <w:semiHidden/>
    <w:qFormat/>
    <w:rsid w:val="00811570"/>
    <w:pPr>
      <w:spacing w:before="240" w:after="60"/>
      <w:outlineLvl w:val="4"/>
    </w:pPr>
    <w:rPr>
      <w:b/>
      <w:bCs/>
      <w:i/>
      <w:iCs/>
      <w:sz w:val="26"/>
      <w:szCs w:val="26"/>
    </w:rPr>
  </w:style>
  <w:style w:type="paragraph" w:styleId="6">
    <w:name w:val="heading 6"/>
    <w:basedOn w:val="a"/>
    <w:next w:val="a"/>
    <w:link w:val="60"/>
    <w:semiHidden/>
    <w:qFormat/>
    <w:rsid w:val="00811570"/>
    <w:pPr>
      <w:spacing w:before="240" w:after="60"/>
      <w:outlineLvl w:val="5"/>
    </w:pPr>
    <w:rPr>
      <w:b/>
      <w:bCs/>
      <w:sz w:val="22"/>
    </w:rPr>
  </w:style>
  <w:style w:type="paragraph" w:styleId="7">
    <w:name w:val="heading 7"/>
    <w:basedOn w:val="a"/>
    <w:next w:val="a"/>
    <w:link w:val="70"/>
    <w:semiHidden/>
    <w:qFormat/>
    <w:rsid w:val="00811570"/>
    <w:pPr>
      <w:spacing w:before="240" w:after="60"/>
      <w:outlineLvl w:val="6"/>
    </w:pPr>
    <w:rPr>
      <w:sz w:val="24"/>
      <w:szCs w:val="24"/>
    </w:rPr>
  </w:style>
  <w:style w:type="paragraph" w:styleId="8">
    <w:name w:val="heading 8"/>
    <w:basedOn w:val="a"/>
    <w:next w:val="a"/>
    <w:link w:val="80"/>
    <w:semiHidden/>
    <w:qFormat/>
    <w:rsid w:val="00811570"/>
    <w:pPr>
      <w:spacing w:before="240" w:after="60"/>
      <w:outlineLvl w:val="7"/>
    </w:pPr>
    <w:rPr>
      <w:i/>
      <w:iCs/>
      <w:sz w:val="24"/>
      <w:szCs w:val="24"/>
    </w:rPr>
  </w:style>
  <w:style w:type="paragraph" w:styleId="9">
    <w:name w:val="heading 9"/>
    <w:basedOn w:val="a"/>
    <w:next w:val="a"/>
    <w:link w:val="90"/>
    <w:semiHidden/>
    <w:qFormat/>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numbering" w:styleId="111111">
    <w:name w:val="Outline List 2"/>
    <w:basedOn w:val="a2"/>
    <w:semiHidden/>
    <w:rsid w:val="001E44D8"/>
    <w:pPr>
      <w:numPr>
        <w:numId w:val="32"/>
      </w:numPr>
    </w:pPr>
  </w:style>
  <w:style w:type="numbering" w:styleId="1ai">
    <w:name w:val="Outline List 1"/>
    <w:basedOn w:val="a2"/>
    <w:semiHidden/>
    <w:rsid w:val="001E44D8"/>
    <w:pPr>
      <w:numPr>
        <w:numId w:val="33"/>
      </w:numPr>
    </w:pPr>
  </w:style>
  <w:style w:type="character" w:customStyle="1" w:styleId="20">
    <w:name w:val="Заголовок 2 Знак"/>
    <w:basedOn w:val="a0"/>
    <w:link w:val="2"/>
    <w:semiHidden/>
    <w:rsid w:val="001E44D8"/>
    <w:rPr>
      <w:rFonts w:eastAsiaTheme="minorHAnsi" w:cs="Arial"/>
      <w:bCs/>
      <w:iCs/>
      <w:szCs w:val="28"/>
      <w:lang w:val="ru-RU" w:eastAsia="en-US"/>
    </w:rPr>
  </w:style>
  <w:style w:type="character" w:customStyle="1" w:styleId="30">
    <w:name w:val="Заголовок 3 Знак"/>
    <w:basedOn w:val="a0"/>
    <w:link w:val="3"/>
    <w:semiHidden/>
    <w:rsid w:val="001E44D8"/>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E44D8"/>
    <w:rPr>
      <w:rFonts w:eastAsiaTheme="minorHAnsi" w:cstheme="minorBidi"/>
      <w:b/>
      <w:bCs/>
      <w:sz w:val="28"/>
      <w:szCs w:val="28"/>
      <w:lang w:val="ru-RU" w:eastAsia="en-US"/>
    </w:rPr>
  </w:style>
  <w:style w:type="character" w:customStyle="1" w:styleId="50">
    <w:name w:val="Заголовок 5 Знак"/>
    <w:basedOn w:val="a0"/>
    <w:link w:val="5"/>
    <w:semiHidden/>
    <w:rsid w:val="001E44D8"/>
    <w:rPr>
      <w:rFonts w:eastAsiaTheme="minorHAnsi" w:cstheme="minorBidi"/>
      <w:b/>
      <w:bCs/>
      <w:i/>
      <w:iCs/>
      <w:sz w:val="26"/>
      <w:szCs w:val="26"/>
      <w:lang w:val="ru-RU" w:eastAsia="en-US"/>
    </w:rPr>
  </w:style>
  <w:style w:type="character" w:customStyle="1" w:styleId="60">
    <w:name w:val="Заголовок 6 Знак"/>
    <w:basedOn w:val="a0"/>
    <w:link w:val="6"/>
    <w:semiHidden/>
    <w:rsid w:val="001E44D8"/>
    <w:rPr>
      <w:rFonts w:eastAsiaTheme="minorHAnsi" w:cstheme="minorBidi"/>
      <w:b/>
      <w:bCs/>
      <w:sz w:val="22"/>
      <w:szCs w:val="22"/>
      <w:lang w:val="ru-RU" w:eastAsia="en-US"/>
    </w:rPr>
  </w:style>
  <w:style w:type="character" w:customStyle="1" w:styleId="70">
    <w:name w:val="Заголовок 7 Знак"/>
    <w:basedOn w:val="a0"/>
    <w:link w:val="7"/>
    <w:semiHidden/>
    <w:rsid w:val="001E44D8"/>
    <w:rPr>
      <w:rFonts w:eastAsiaTheme="minorHAnsi" w:cstheme="minorBidi"/>
      <w:sz w:val="24"/>
      <w:szCs w:val="24"/>
      <w:lang w:val="ru-RU" w:eastAsia="en-US"/>
    </w:rPr>
  </w:style>
  <w:style w:type="character" w:customStyle="1" w:styleId="80">
    <w:name w:val="Заголовок 8 Знак"/>
    <w:basedOn w:val="a0"/>
    <w:link w:val="8"/>
    <w:semiHidden/>
    <w:rsid w:val="001E44D8"/>
    <w:rPr>
      <w:rFonts w:eastAsiaTheme="minorHAnsi" w:cstheme="minorBidi"/>
      <w:i/>
      <w:iCs/>
      <w:sz w:val="24"/>
      <w:szCs w:val="24"/>
      <w:lang w:val="ru-RU" w:eastAsia="en-US"/>
    </w:rPr>
  </w:style>
  <w:style w:type="character" w:customStyle="1" w:styleId="90">
    <w:name w:val="Заголовок 9 Знак"/>
    <w:basedOn w:val="a0"/>
    <w:link w:val="9"/>
    <w:semiHidden/>
    <w:rsid w:val="001E44D8"/>
    <w:rPr>
      <w:rFonts w:ascii="Arial" w:eastAsiaTheme="minorHAnsi" w:hAnsi="Arial" w:cs="Arial"/>
      <w:sz w:val="22"/>
      <w:szCs w:val="22"/>
      <w:lang w:val="ru-RU" w:eastAsia="en-US"/>
    </w:rPr>
  </w:style>
  <w:style w:type="character" w:styleId="af3">
    <w:name w:val="Book Title"/>
    <w:basedOn w:val="a0"/>
    <w:uiPriority w:val="33"/>
    <w:rsid w:val="001E44D8"/>
    <w:rPr>
      <w:b/>
      <w:bCs/>
      <w:smallCaps/>
      <w:spacing w:val="5"/>
    </w:rPr>
  </w:style>
  <w:style w:type="character" w:customStyle="1" w:styleId="SingleTxtGChar">
    <w:name w:val="_ Single Txt_G Char"/>
    <w:basedOn w:val="a0"/>
    <w:link w:val="SingleTxtG"/>
    <w:rsid w:val="001E44D8"/>
    <w:rPr>
      <w:lang w:val="ru-RU" w:eastAsia="en-US"/>
    </w:rPr>
  </w:style>
  <w:style w:type="paragraph" w:customStyle="1" w:styleId="ParNoG">
    <w:name w:val="_ParNo_G"/>
    <w:basedOn w:val="a"/>
    <w:qFormat/>
    <w:rsid w:val="001E44D8"/>
    <w:pPr>
      <w:numPr>
        <w:numId w:val="37"/>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table" w:customStyle="1" w:styleId="TableGrid1">
    <w:name w:val="Table Grid1"/>
    <w:basedOn w:val="a1"/>
    <w:rsid w:val="001E44D8"/>
    <w:pPr>
      <w:suppressAutoHyphens/>
      <w:spacing w:line="240" w:lineRule="atLeast"/>
    </w:pPr>
    <w:rPr>
      <w:rFonts w:eastAsia="Batang"/>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4">
    <w:name w:val="List Paragraph"/>
    <w:basedOn w:val="a"/>
    <w:uiPriority w:val="34"/>
    <w:qFormat/>
    <w:rsid w:val="001E44D8"/>
    <w:pPr>
      <w:ind w:left="720"/>
      <w:contextualSpacing/>
    </w:pPr>
    <w:rPr>
      <w:rFonts w:eastAsia="Times New Roman" w:cs="Times New Roman"/>
      <w:szCs w:val="20"/>
      <w:lang w:val="en-GB"/>
    </w:rPr>
  </w:style>
  <w:style w:type="character" w:customStyle="1" w:styleId="highlight">
    <w:name w:val="highlight"/>
    <w:basedOn w:val="a0"/>
    <w:rsid w:val="001E44D8"/>
  </w:style>
  <w:style w:type="character" w:customStyle="1" w:styleId="success">
    <w:name w:val="success"/>
    <w:basedOn w:val="a0"/>
    <w:rsid w:val="001E44D8"/>
  </w:style>
  <w:style w:type="paragraph" w:customStyle="1" w:styleId="merged-reco">
    <w:name w:val="merged-reco"/>
    <w:basedOn w:val="a"/>
    <w:rsid w:val="001E44D8"/>
    <w:pPr>
      <w:suppressAutoHyphens w:val="0"/>
      <w:spacing w:before="100" w:beforeAutospacing="1" w:after="100" w:afterAutospacing="1" w:line="240" w:lineRule="auto"/>
    </w:pPr>
    <w:rPr>
      <w:rFonts w:eastAsia="Times New Roman" w:cs="Times New Roman"/>
      <w:sz w:val="24"/>
      <w:szCs w:val="24"/>
      <w:lang w:val="en-GB" w:eastAsia="ko-KR"/>
    </w:rPr>
  </w:style>
  <w:style w:type="paragraph" w:customStyle="1" w:styleId="Default">
    <w:name w:val="Default"/>
    <w:rsid w:val="001E44D8"/>
    <w:pPr>
      <w:autoSpaceDE w:val="0"/>
      <w:autoSpaceDN w:val="0"/>
      <w:adjustRightInd w:val="0"/>
    </w:pPr>
    <w:rPr>
      <w:rFonts w:eastAsia="Batang"/>
      <w:color w:val="000000"/>
      <w:sz w:val="24"/>
      <w:szCs w:val="24"/>
      <w:lang w:val="en-GB" w:eastAsia="en-US"/>
    </w:rPr>
  </w:style>
  <w:style w:type="paragraph" w:styleId="af5">
    <w:name w:val="Normal (Web)"/>
    <w:basedOn w:val="a"/>
    <w:uiPriority w:val="99"/>
    <w:unhideWhenUsed/>
    <w:rsid w:val="001E44D8"/>
    <w:pPr>
      <w:suppressAutoHyphens w:val="0"/>
      <w:spacing w:before="100" w:beforeAutospacing="1" w:after="100" w:afterAutospacing="1" w:line="240" w:lineRule="auto"/>
    </w:pPr>
    <w:rPr>
      <w:rFonts w:eastAsia="Times New Roman" w:cs="Times New Roman"/>
      <w:sz w:val="24"/>
      <w:szCs w:val="24"/>
      <w:lang w:val="en-GB" w:eastAsia="ko-KR"/>
    </w:rPr>
  </w:style>
  <w:style w:type="character" w:styleId="af6">
    <w:name w:val="annotation reference"/>
    <w:basedOn w:val="a0"/>
    <w:uiPriority w:val="99"/>
    <w:semiHidden/>
    <w:unhideWhenUsed/>
    <w:rsid w:val="001E44D8"/>
    <w:rPr>
      <w:sz w:val="16"/>
      <w:szCs w:val="16"/>
    </w:rPr>
  </w:style>
  <w:style w:type="paragraph" w:styleId="af7">
    <w:name w:val="annotation text"/>
    <w:basedOn w:val="a"/>
    <w:link w:val="af8"/>
    <w:uiPriority w:val="99"/>
    <w:unhideWhenUsed/>
    <w:rsid w:val="001E44D8"/>
    <w:pPr>
      <w:spacing w:line="240" w:lineRule="auto"/>
    </w:pPr>
    <w:rPr>
      <w:rFonts w:eastAsia="Times New Roman" w:cs="Times New Roman"/>
      <w:szCs w:val="20"/>
      <w:lang w:val="en-GB"/>
    </w:rPr>
  </w:style>
  <w:style w:type="character" w:customStyle="1" w:styleId="af8">
    <w:name w:val="Текст примечания Знак"/>
    <w:basedOn w:val="a0"/>
    <w:link w:val="af7"/>
    <w:uiPriority w:val="99"/>
    <w:rsid w:val="001E44D8"/>
    <w:rPr>
      <w:lang w:val="en-GB" w:eastAsia="en-US"/>
    </w:rPr>
  </w:style>
  <w:style w:type="paragraph" w:styleId="af9">
    <w:name w:val="annotation subject"/>
    <w:basedOn w:val="af7"/>
    <w:next w:val="af7"/>
    <w:link w:val="afa"/>
    <w:uiPriority w:val="99"/>
    <w:semiHidden/>
    <w:unhideWhenUsed/>
    <w:rsid w:val="001E44D8"/>
    <w:rPr>
      <w:b/>
      <w:bCs/>
    </w:rPr>
  </w:style>
  <w:style w:type="character" w:customStyle="1" w:styleId="afa">
    <w:name w:val="Тема примечания Знак"/>
    <w:basedOn w:val="af8"/>
    <w:link w:val="af9"/>
    <w:uiPriority w:val="99"/>
    <w:semiHidden/>
    <w:rsid w:val="001E44D8"/>
    <w:rPr>
      <w:b/>
      <w:bCs/>
      <w:lang w:val="en-GB" w:eastAsia="en-US"/>
    </w:rPr>
  </w:style>
  <w:style w:type="paragraph" w:styleId="afb">
    <w:name w:val="Revision"/>
    <w:hidden/>
    <w:uiPriority w:val="99"/>
    <w:semiHidden/>
    <w:rsid w:val="001E44D8"/>
    <w:rPr>
      <w:lang w:val="en-GB" w:eastAsia="en-US"/>
    </w:rPr>
  </w:style>
  <w:style w:type="character" w:styleId="afc">
    <w:name w:val="Strong"/>
    <w:basedOn w:val="a0"/>
    <w:uiPriority w:val="22"/>
    <w:qFormat/>
    <w:rsid w:val="001E44D8"/>
    <w:rPr>
      <w:b/>
      <w:bCs/>
    </w:rPr>
  </w:style>
  <w:style w:type="character" w:styleId="afd">
    <w:name w:val="Emphasis"/>
    <w:basedOn w:val="a0"/>
    <w:uiPriority w:val="20"/>
    <w:qFormat/>
    <w:rsid w:val="001E44D8"/>
    <w:rPr>
      <w:i/>
      <w:iCs/>
    </w:rPr>
  </w:style>
  <w:style w:type="character" w:styleId="afe">
    <w:name w:val="Unresolved Mention"/>
    <w:basedOn w:val="a0"/>
    <w:uiPriority w:val="99"/>
    <w:semiHidden/>
    <w:unhideWhenUsed/>
    <w:rsid w:val="001E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11</Pages>
  <Words>4431</Words>
  <Characters>31227</Characters>
  <Application>Microsoft Office Word</Application>
  <DocSecurity>0</DocSecurity>
  <Lines>554</Lines>
  <Paragraphs>126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E/C.12/NOR/CO/6</vt:lpstr>
      <vt:lpstr>A/</vt:lpstr>
      <vt:lpstr>A/</vt:lpstr>
    </vt:vector>
  </TitlesOfParts>
  <Company>DCM</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E/C.12/NOR/CO/6</dc:title>
  <dc:subject/>
  <dc:creator>Marina KOROTKOVA</dc:creator>
  <cp:keywords/>
  <cp:lastModifiedBy>Ioulia Goussarova</cp:lastModifiedBy>
  <cp:revision>3</cp:revision>
  <cp:lastPrinted>2020-04-29T07:16:00Z</cp:lastPrinted>
  <dcterms:created xsi:type="dcterms:W3CDTF">2020-04-29T07:16:00Z</dcterms:created>
  <dcterms:modified xsi:type="dcterms:W3CDTF">2020-04-29T07:17:00Z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