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1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1E74" w:rsidP="006A1E74">
            <w:pPr>
              <w:jc w:val="right"/>
            </w:pPr>
            <w:r w:rsidRPr="006A1E74">
              <w:rPr>
                <w:sz w:val="40"/>
              </w:rPr>
              <w:t>E</w:t>
            </w:r>
            <w:r>
              <w:t>/C.12/MLI/CO/1</w:t>
            </w:r>
          </w:p>
        </w:tc>
      </w:tr>
      <w:tr w:rsidR="002D5AAC" w:rsidRPr="00E9026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1E74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A1E74" w:rsidRDefault="006A1E74" w:rsidP="006A1E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November 2018</w:t>
            </w:r>
          </w:p>
          <w:p w:rsidR="006A1E74" w:rsidRDefault="006A1E74" w:rsidP="006A1E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A1E74" w:rsidRPr="00D62A45" w:rsidRDefault="006A1E74" w:rsidP="006A1E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6A1E74" w:rsidRPr="006A1E74" w:rsidRDefault="006A1E74" w:rsidP="004543DC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 w:rsidRPr="006A1E74">
        <w:rPr>
          <w:b/>
          <w:sz w:val="24"/>
          <w:szCs w:val="24"/>
        </w:rPr>
        <w:t xml:space="preserve">Комитет по экономическим, социальным </w:t>
      </w:r>
      <w:r w:rsidR="004543DC">
        <w:rPr>
          <w:b/>
          <w:sz w:val="24"/>
          <w:szCs w:val="24"/>
        </w:rPr>
        <w:br/>
      </w:r>
      <w:r w:rsidRPr="006A1E74">
        <w:rPr>
          <w:b/>
          <w:sz w:val="24"/>
          <w:szCs w:val="24"/>
        </w:rPr>
        <w:t>и культурным правам</w:t>
      </w:r>
    </w:p>
    <w:p w:rsidR="006A1E74" w:rsidRPr="006A1E74" w:rsidRDefault="006A1E74" w:rsidP="006A1E74">
      <w:pPr>
        <w:pStyle w:val="HChGR"/>
      </w:pPr>
      <w:r w:rsidRPr="006A1E74">
        <w:tab/>
      </w:r>
      <w:r w:rsidRPr="006A1E74">
        <w:tab/>
        <w:t>Заключительные замечания по первоначальному докладу Мали</w:t>
      </w:r>
      <w:r w:rsidRPr="006A1E74">
        <w:rPr>
          <w:b w:val="0"/>
          <w:sz w:val="20"/>
        </w:rPr>
        <w:footnoteReference w:customMarkFollows="1" w:id="1"/>
        <w:t>*</w:t>
      </w:r>
    </w:p>
    <w:p w:rsidR="006A1E74" w:rsidRPr="006A1E74" w:rsidRDefault="006A1E74" w:rsidP="006A1E74">
      <w:pPr>
        <w:pStyle w:val="SingleTxtGR"/>
      </w:pPr>
      <w:r w:rsidRPr="006A1E74">
        <w:t>1.</w:t>
      </w:r>
      <w:r w:rsidRPr="006A1E74">
        <w:tab/>
        <w:t xml:space="preserve">Комитет рассмотрел первоначальный доклад Мали (E/C.12/MLI/1) на своих </w:t>
      </w:r>
      <w:r w:rsidR="00E90267">
        <w:t>33</w:t>
      </w:r>
      <w:r w:rsidR="00E90267">
        <w:noBreakHyphen/>
      </w:r>
      <w:r w:rsidRPr="006A1E74">
        <w:t xml:space="preserve">м и </w:t>
      </w:r>
      <w:r w:rsidR="00E90267">
        <w:t>34-</w:t>
      </w:r>
      <w:r w:rsidRPr="006A1E74">
        <w:t>м заседаниях (см. E/C.12/2018/SR.33 и 34) 26 сентября 2018 года и принял настоящие заключительные замечания на своем пятьдесят восьмом заседании 12 октября 2018 года.</w:t>
      </w:r>
    </w:p>
    <w:p w:rsidR="006A1E74" w:rsidRPr="006A1E74" w:rsidRDefault="006A1E74" w:rsidP="006A1E74">
      <w:pPr>
        <w:pStyle w:val="H1GR"/>
      </w:pPr>
      <w:r w:rsidRPr="006A1E74">
        <w:tab/>
        <w:t>A.</w:t>
      </w:r>
      <w:r w:rsidRPr="006A1E74">
        <w:tab/>
        <w:t>Введение</w:t>
      </w:r>
    </w:p>
    <w:p w:rsidR="006A1E74" w:rsidRPr="006A1E74" w:rsidRDefault="006A1E74" w:rsidP="006A1E74">
      <w:pPr>
        <w:pStyle w:val="SingleTxtGR"/>
      </w:pPr>
      <w:r w:rsidRPr="006A1E74">
        <w:t>2.</w:t>
      </w:r>
      <w:r w:rsidRPr="006A1E74">
        <w:tab/>
        <w:t>Комитет приветствует первоначальный доклад государства-участника, хотя он был представлен с большой задержкой. Он выражает признательность за конструктивный диалог, состоявшийся у него с делегацией государства-участника, и</w:t>
      </w:r>
      <w:r>
        <w:rPr>
          <w:lang w:val="en-US"/>
        </w:rPr>
        <w:t> </w:t>
      </w:r>
      <w:r w:rsidRPr="006A1E74">
        <w:t>за информацию, предоставленную в ходе этого диалога. Комитет приветствует также усилия государства-участника по обеспечению присутствия делегации и началу диалога, тем более что на своей одиннадцатой сессии в ноябре 1994 года он рассмотрел вопрос об осуществлении Пакта Мали в условиях отсутствия доклада.</w:t>
      </w:r>
    </w:p>
    <w:p w:rsidR="006A1E74" w:rsidRPr="006A1E74" w:rsidRDefault="006A1E74" w:rsidP="006A1E74">
      <w:pPr>
        <w:pStyle w:val="H1GR"/>
      </w:pPr>
      <w:r w:rsidRPr="006A1E74">
        <w:tab/>
        <w:t>B.</w:t>
      </w:r>
      <w:r w:rsidRPr="006A1E74">
        <w:tab/>
        <w:t>Позитивные аспекты</w:t>
      </w:r>
    </w:p>
    <w:p w:rsidR="006A1E74" w:rsidRPr="006A1E74" w:rsidRDefault="006A1E74" w:rsidP="006A1E74">
      <w:pPr>
        <w:pStyle w:val="SingleTxtGR"/>
      </w:pPr>
      <w:r w:rsidRPr="006A1E74">
        <w:t>3.</w:t>
      </w:r>
      <w:r w:rsidRPr="006A1E74">
        <w:tab/>
        <w:t>Комитет приветствует принятые меры, которые способствуют осуществлению прав, закрепленных в Пакте, такие как: а) создание в 2016 году новой Национальной комиссии по правам человека, наделенной широким мандатом в области защиты и поощрения прав человека; b) закон 2014 года о противодействии незаконному обогащению; c) принятие Стратегических рамок для экономического подъема и устойчивого развития, а также принятие Национальной политики в области прав человека и ее Плана действий на 2017–2021 годы, в которых особое внимание уделяется борьбе с нищетой и доступу к медицинскому обслуживанию.</w:t>
      </w:r>
    </w:p>
    <w:p w:rsidR="006A1E74" w:rsidRPr="006A1E74" w:rsidRDefault="006A1E74" w:rsidP="006A1E74">
      <w:pPr>
        <w:pStyle w:val="H1GR"/>
      </w:pPr>
      <w:r w:rsidRPr="006A1E74">
        <w:tab/>
        <w:t>C.</w:t>
      </w:r>
      <w:r w:rsidRPr="006A1E74">
        <w:tab/>
      </w:r>
      <w:r w:rsidRPr="006A1E74">
        <w:tab/>
        <w:t>Основные вопросы, вызывающие обеспокоенность, и</w:t>
      </w:r>
      <w:r w:rsidR="004543DC">
        <w:t> </w:t>
      </w:r>
      <w:r w:rsidRPr="006A1E74">
        <w:t>рекомендации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Вооруженные конфликты и мирное соглашение</w:t>
      </w:r>
    </w:p>
    <w:p w:rsidR="006A1E74" w:rsidRPr="004543DC" w:rsidRDefault="006A1E74" w:rsidP="006A1E74">
      <w:pPr>
        <w:pStyle w:val="SingleTxtGR"/>
      </w:pPr>
      <w:r w:rsidRPr="006A1E74">
        <w:t>4.</w:t>
      </w:r>
      <w:r w:rsidRPr="006A1E74">
        <w:tab/>
      </w:r>
      <w:r w:rsidRPr="004543DC">
        <w:t xml:space="preserve">Комитет обеспокоен негативным воздействием вооруженных конфликтов и столкновений в северных и центральных районах страны на осуществление экономических, социальных и культурных прав. Комитет также обеспокоен большим </w:t>
      </w:r>
      <w:r w:rsidRPr="004543DC">
        <w:lastRenderedPageBreak/>
        <w:t>числом людей, перемещенных в результате этих конфликтов. Комитет сожалеет о том, что в осуществлении Соглашения о мире и примирении в Мали, подписанного в 2015 году, был достигнут очень небольшой прогресс.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5.</w:t>
      </w:r>
      <w:r w:rsidRPr="006A1E74">
        <w:tab/>
      </w:r>
      <w:r w:rsidRPr="006A1E74">
        <w:rPr>
          <w:b/>
        </w:rPr>
        <w:t>Признавая трудности, с которыми сталкивается государство-участник, Комитет рекомендует ему:</w:t>
      </w:r>
    </w:p>
    <w:p w:rsidR="006A1E74" w:rsidRPr="006A1E74" w:rsidRDefault="006A1E74" w:rsidP="006A1E74">
      <w:pPr>
        <w:pStyle w:val="SingleTxtGR"/>
        <w:rPr>
          <w:b/>
        </w:rPr>
      </w:pPr>
      <w:r>
        <w:rPr>
          <w:b/>
        </w:rPr>
        <w:tab/>
      </w:r>
      <w:r w:rsidRPr="006A1E74">
        <w:rPr>
          <w:b/>
        </w:rPr>
        <w:t>a)</w:t>
      </w:r>
      <w:r w:rsidRPr="006A1E74">
        <w:rPr>
          <w:b/>
        </w:rPr>
        <w:tab/>
        <w:t>удвоить усилия, направленные на обеспечение осуществления прав, закрепленных в Пакте, населением, проживающим в районах, затронутых вооруженными конфликтами, особенно на севере и в центре страны;</w:t>
      </w:r>
    </w:p>
    <w:p w:rsidR="006A1E74" w:rsidRPr="006A1E74" w:rsidRDefault="006A1E74" w:rsidP="006A1E74">
      <w:pPr>
        <w:pStyle w:val="SingleTxtGR"/>
        <w:rPr>
          <w:b/>
        </w:rPr>
      </w:pPr>
      <w:r>
        <w:rPr>
          <w:b/>
        </w:rPr>
        <w:tab/>
      </w:r>
      <w:r w:rsidRPr="006A1E74">
        <w:rPr>
          <w:b/>
        </w:rPr>
        <w:t>b)</w:t>
      </w:r>
      <w:r w:rsidRPr="006A1E74">
        <w:rPr>
          <w:b/>
        </w:rPr>
        <w:tab/>
        <w:t>стремиться к эффективному осуществлению Соглашения о мире и примирении, подписанного в 2015 году, обеспечивая защиту населения, а также активное, открытое и транспарентное участие общества, в частности жертв и групп населения, наиболее всего затронутых конфликтом, включая женщин, в</w:t>
      </w:r>
      <w:r>
        <w:rPr>
          <w:b/>
          <w:lang w:val="en-US"/>
        </w:rPr>
        <w:t> </w:t>
      </w:r>
      <w:r w:rsidRPr="006A1E74">
        <w:rPr>
          <w:b/>
        </w:rPr>
        <w:t>реализации мер по осуществлению;</w:t>
      </w:r>
    </w:p>
    <w:p w:rsidR="006A1E74" w:rsidRPr="006A1E74" w:rsidRDefault="006A1E74" w:rsidP="006A1E74">
      <w:pPr>
        <w:pStyle w:val="SingleTxtGR"/>
        <w:rPr>
          <w:b/>
        </w:rPr>
      </w:pPr>
      <w:r>
        <w:rPr>
          <w:b/>
        </w:rPr>
        <w:tab/>
      </w:r>
      <w:r w:rsidRPr="006A1E74">
        <w:rPr>
          <w:b/>
        </w:rPr>
        <w:t>c)</w:t>
      </w:r>
      <w:r w:rsidRPr="006A1E74">
        <w:rPr>
          <w:b/>
        </w:rPr>
        <w:tab/>
        <w:t>принимать разумные законодательные и административные меры для предотвращения принудительного перемещения населения и обеспечивать эффективную защиту перемещенных лиц, с тем чтобы они имели доступ к надлежащему жилью, здравоохранению, образованию и социальной защите;</w:t>
      </w:r>
    </w:p>
    <w:p w:rsidR="006A1E74" w:rsidRPr="006A1E74" w:rsidRDefault="006A1E74" w:rsidP="006A1E74">
      <w:pPr>
        <w:pStyle w:val="SingleTxtGR"/>
        <w:rPr>
          <w:b/>
        </w:rPr>
      </w:pPr>
      <w:r>
        <w:rPr>
          <w:b/>
        </w:rPr>
        <w:tab/>
      </w:r>
      <w:r w:rsidRPr="006A1E74">
        <w:rPr>
          <w:b/>
        </w:rPr>
        <w:t>d)</w:t>
      </w:r>
      <w:r w:rsidRPr="006A1E74">
        <w:rPr>
          <w:b/>
        </w:rPr>
        <w:tab/>
        <w:t>обеспечить, насколько это возможно, чтобы внутренне перемещенные лица могли вернуться в свои родные места в условиях безопасности и уважения их достоинства или предложить им соответствующие альтернативные решения.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Применимость Пакта</w:t>
      </w:r>
    </w:p>
    <w:p w:rsidR="006A1E74" w:rsidRPr="006A1E74" w:rsidRDefault="006A1E74" w:rsidP="006A1E74">
      <w:pPr>
        <w:pStyle w:val="SingleTxtGR"/>
      </w:pPr>
      <w:r w:rsidRPr="006A1E74">
        <w:t>6.</w:t>
      </w:r>
      <w:r w:rsidRPr="006A1E74">
        <w:tab/>
        <w:t xml:space="preserve">Комитет выражает сожаление по поводу того, что </w:t>
      </w:r>
      <w:r w:rsidR="004543DC">
        <w:t xml:space="preserve">в </w:t>
      </w:r>
      <w:r w:rsidRPr="006A1E74">
        <w:t>национальных судах никогда не делались ссылки на положения Пакта или никогда не применяли их, хотя в статье</w:t>
      </w:r>
      <w:r>
        <w:rPr>
          <w:lang w:val="en-US"/>
        </w:rPr>
        <w:t> </w:t>
      </w:r>
      <w:r w:rsidRPr="006A1E74">
        <w:t>116 Конституции предусматривается, что Пакт имеет преимущественную силу по отношению к национальному законодательству.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7.</w:t>
      </w:r>
      <w:r w:rsidRPr="006A1E74">
        <w:tab/>
      </w:r>
      <w:r w:rsidRPr="006A1E74">
        <w:rPr>
          <w:b/>
          <w:bCs/>
        </w:rPr>
        <w:t xml:space="preserve">Комитет рекомендует государству-участнику обеспечить, чтобы на экономические, социальные и культурные права можно было ссылаться на всех уровнях системы правосудия, и облегчать доступ жертв нарушения таких прав к эффективным средствам правовой защиты. </w:t>
      </w:r>
      <w:r w:rsidRPr="006A1E74">
        <w:rPr>
          <w:b/>
        </w:rPr>
        <w:t>Он, в частности, просит его организовывать регулярную подготовку, особенно судей, адвокатов, сотрудников правоохранительных органов, членов Национальной ассамблеи и других субъектов, с тем чтобы они знали о содержании прав, закрепленных в Пакте, и</w:t>
      </w:r>
      <w:r>
        <w:rPr>
          <w:b/>
          <w:lang w:val="en-US"/>
        </w:rPr>
        <w:t> </w:t>
      </w:r>
      <w:r w:rsidRPr="006A1E74">
        <w:rPr>
          <w:b/>
        </w:rPr>
        <w:t>о</w:t>
      </w:r>
      <w:r>
        <w:rPr>
          <w:b/>
          <w:lang w:val="en-US"/>
        </w:rPr>
        <w:t> </w:t>
      </w:r>
      <w:r w:rsidRPr="006A1E74">
        <w:rPr>
          <w:b/>
        </w:rPr>
        <w:t>возможности ссылаться на них в судах, а также проводить информационно-разъяснительные кампании среди правообладателей. В этой связи Комитет ссылается на свое замечание общего порядка № 9 (1998) о применении Пакта во внутреннем праве.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Правозащитники</w:t>
      </w:r>
    </w:p>
    <w:p w:rsidR="006A1E74" w:rsidRPr="006A1E74" w:rsidRDefault="006A1E74" w:rsidP="006A1E74">
      <w:pPr>
        <w:pStyle w:val="SingleTxtGR"/>
      </w:pPr>
      <w:r w:rsidRPr="006A1E74">
        <w:t>8.</w:t>
      </w:r>
      <w:r w:rsidRPr="006A1E74">
        <w:tab/>
        <w:t>Комитет приветствует принятие закона № 2018-003 от 12 января 2018 года о правозащитниках, но сожалеет о том, что указ о его осуществлении еще не принят и что предусмотренный механизм защиты еще не создан.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9.</w:t>
      </w:r>
      <w:r w:rsidRPr="006A1E74">
        <w:tab/>
      </w:r>
      <w:r w:rsidRPr="006A1E74">
        <w:rPr>
          <w:b/>
        </w:rPr>
        <w:t>Комитет рекомендует государству-участнику обеспечить эффективное осуществление Закона о правозащитниках, в том числе путем принятия указа, устанавливающего условия его осуществления, а также создать механизм защиты. Комитет призывает государство-участник проводить информационно-просветительские кампании по вопросу о важности работы защитников прав человека, включая экономические, социальные и культурные права, чтобы установить атмосферу терпимости, позволяющую им выполнять свою миссию, не опасаясь каких-либо форм запугивания, и предотвращать акты насилия против них. Комитет обращает внимание государства-участника на свое заявление 2016 года по вопросу о правозащитниках и экономических, социальных и культурных правах (E/C.12/2016/2).</w:t>
      </w:r>
    </w:p>
    <w:p w:rsidR="006A1E74" w:rsidRPr="006A1E74" w:rsidRDefault="006A1E74" w:rsidP="006A1E74">
      <w:pPr>
        <w:pStyle w:val="H23GR"/>
      </w:pPr>
      <w:r w:rsidRPr="006A1E74">
        <w:lastRenderedPageBreak/>
        <w:tab/>
      </w:r>
      <w:r w:rsidRPr="006A1E74">
        <w:tab/>
        <w:t>Коррупция</w:t>
      </w:r>
    </w:p>
    <w:p w:rsidR="006A1E74" w:rsidRPr="006A1E74" w:rsidRDefault="006A1E74" w:rsidP="006A1E74">
      <w:pPr>
        <w:pStyle w:val="SingleTxtGR"/>
      </w:pPr>
      <w:r w:rsidRPr="006A1E74">
        <w:t>10.</w:t>
      </w:r>
      <w:r w:rsidRPr="006A1E74">
        <w:tab/>
        <w:t>С удовлетворением отмечая принятие в 2014 году Закона о предупреждении и пресечении незаконного обогащения, Комитет обеспокоен сохранением коррупции в государстве-участнике и с обеспокоенностью отмечает отсутствие информации об эффективности мер, принимаемых в целях борьбы с коррупцией (статья 2, пункт 1).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11.</w:t>
      </w:r>
      <w:r w:rsidRPr="006A1E74">
        <w:tab/>
      </w:r>
      <w:r w:rsidRPr="006A1E74">
        <w:rPr>
          <w:b/>
        </w:rPr>
        <w:t>Комитет рекомендует государству-участнику в приоритетном порядке устранить коренные причины коррупции и принять все необходимые административно-правовые меры для обеспечения в законодательном порядке и на практике транспарентности в работе органов государственного управления, а</w:t>
      </w:r>
      <w:r w:rsidR="004543DC">
        <w:rPr>
          <w:b/>
        </w:rPr>
        <w:t> </w:t>
      </w:r>
      <w:r w:rsidRPr="006A1E74">
        <w:rPr>
          <w:b/>
        </w:rPr>
        <w:t>также для искоренения коррупции и эффективной борьбы с безнаказанностью в этой области.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Максимальные имеющиеся ресурсы</w:t>
      </w:r>
    </w:p>
    <w:p w:rsidR="006A1E74" w:rsidRPr="006A1E74" w:rsidRDefault="006A1E74" w:rsidP="006A1E74">
      <w:pPr>
        <w:pStyle w:val="SingleTxtGR"/>
      </w:pPr>
      <w:r w:rsidRPr="006A1E74">
        <w:t>12.</w:t>
      </w:r>
      <w:r w:rsidRPr="006A1E74">
        <w:tab/>
        <w:t>Признавая факторы и трудности в области безопасности, климата и бедности, с</w:t>
      </w:r>
      <w:r w:rsidR="004543DC">
        <w:t> </w:t>
      </w:r>
      <w:r w:rsidRPr="006A1E74">
        <w:t>которыми сталкивается государство-участник, Комитет обеспокоен ограниченной мобилизацией внутренних ресурсов на цели финансирования программ, направленных на реализацию экономических, социальных и культурных прав (статья 2, пункт 1).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13.</w:t>
      </w:r>
      <w:r w:rsidRPr="006A1E74">
        <w:tab/>
      </w:r>
      <w:r w:rsidRPr="006A1E74">
        <w:rPr>
          <w:b/>
        </w:rPr>
        <w:t xml:space="preserve">Комитет рекомендует государству-участнику обеспечить увеличение объема внутренних ресурсов, в том числе путем продолжения пересмотра предоставленных налоговых льгот, включая льготы, связанные с эксплуатацией природных ресурсов, в частности минеральных ресурсов, с целью повышения уровня государственных расходов, предназначенных для постепенного осуществления экономических, социальных и культурных прав. Комитет также рекомендует государству-участнику обеспечить, чтобы любой проект бюджета </w:t>
      </w:r>
      <w:r w:rsidRPr="006A1E74">
        <w:rPr>
          <w:b/>
          <w:bCs/>
        </w:rPr>
        <w:t>разрабатывался</w:t>
      </w:r>
      <w:r w:rsidRPr="006A1E74">
        <w:rPr>
          <w:b/>
        </w:rPr>
        <w:t xml:space="preserve"> транспарентно и </w:t>
      </w:r>
      <w:r w:rsidRPr="006A1E74">
        <w:rPr>
          <w:b/>
          <w:bCs/>
        </w:rPr>
        <w:t>на основе широкого участия заинтересованных сторон</w:t>
      </w:r>
      <w:r w:rsidRPr="006A1E74">
        <w:rPr>
          <w:b/>
        </w:rPr>
        <w:t xml:space="preserve"> с целью постепенной </w:t>
      </w:r>
      <w:r w:rsidRPr="006A1E74">
        <w:rPr>
          <w:b/>
          <w:bCs/>
        </w:rPr>
        <w:t xml:space="preserve">реализации прав, закрепленных </w:t>
      </w:r>
      <w:r w:rsidRPr="006A1E74">
        <w:rPr>
          <w:b/>
        </w:rPr>
        <w:t>в Пакте.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Недискриминация</w:t>
      </w:r>
    </w:p>
    <w:p w:rsidR="006A1E74" w:rsidRPr="006A1E74" w:rsidRDefault="006A1E74" w:rsidP="006A1E74">
      <w:pPr>
        <w:pStyle w:val="SingleTxtGR"/>
      </w:pPr>
      <w:r w:rsidRPr="006A1E74">
        <w:t>14.</w:t>
      </w:r>
      <w:r w:rsidRPr="006A1E74">
        <w:tab/>
        <w:t>Комитет обеспокоен отсутствием общего закона о борьбе с дискриминацией во всех областях, охватываемых Пактом (статья 2, пункт 2).</w:t>
      </w:r>
    </w:p>
    <w:p w:rsidR="006A1E74" w:rsidRPr="006A1E74" w:rsidRDefault="006A1E74" w:rsidP="006A1E74">
      <w:pPr>
        <w:pStyle w:val="SingleTxtGR"/>
        <w:rPr>
          <w:b/>
          <w:bCs/>
        </w:rPr>
      </w:pPr>
      <w:r w:rsidRPr="006A1E74">
        <w:t>15.</w:t>
      </w:r>
      <w:r w:rsidRPr="006A1E74">
        <w:tab/>
      </w:r>
      <w:r w:rsidRPr="006A1E74">
        <w:rPr>
          <w:b/>
          <w:bCs/>
        </w:rPr>
        <w:t>Комитет рекомендует государству-участнику:</w:t>
      </w:r>
    </w:p>
    <w:p w:rsidR="006A1E74" w:rsidRPr="006A1E74" w:rsidRDefault="006A1E74" w:rsidP="006A1E74">
      <w:pPr>
        <w:pStyle w:val="SingleTxtGR"/>
        <w:rPr>
          <w:b/>
        </w:rPr>
      </w:pPr>
      <w:r>
        <w:rPr>
          <w:bCs/>
        </w:rPr>
        <w:tab/>
      </w:r>
      <w:r w:rsidRPr="006A1E74">
        <w:rPr>
          <w:b/>
          <w:bCs/>
        </w:rPr>
        <w:t>a)</w:t>
      </w:r>
      <w:r w:rsidRPr="006A1E74">
        <w:rPr>
          <w:bCs/>
        </w:rPr>
        <w:tab/>
      </w:r>
      <w:r w:rsidRPr="006A1E74">
        <w:rPr>
          <w:b/>
        </w:rPr>
        <w:t>принять общий закон о борьбе с дискриминацией в соответствии с пунктом 2 статьи 2 Пакта и с учетом замечания общего порядка № 20 (2009) о недискриминации в области экономических, социальных и культурных прав с целью запрещения прямой и косвенной дискриминации по любым признакам во всех областях, охватываемых Пактом;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</w:rPr>
        <w:t>обеспечить эффективные средства правовой защиты жертвам дискриминации, включая возможность получения возмещения;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c)</w:t>
      </w:r>
      <w:r w:rsidRPr="006A1E74">
        <w:tab/>
      </w:r>
      <w:r w:rsidRPr="006A1E74">
        <w:rPr>
          <w:b/>
        </w:rPr>
        <w:t xml:space="preserve">эффективно предупреждать и пресекать дискриминацию в отношении </w:t>
      </w:r>
      <w:r w:rsidRPr="006A1E74">
        <w:rPr>
          <w:b/>
          <w:bCs/>
        </w:rPr>
        <w:t xml:space="preserve">находящихся в неблагоприятном положении и маргинализованных </w:t>
      </w:r>
      <w:r w:rsidRPr="006A1E74">
        <w:rPr>
          <w:b/>
        </w:rPr>
        <w:t xml:space="preserve">лиц или групп, таких как этнические меньшинства и инвалиды, в том числе путем проведения </w:t>
      </w:r>
      <w:r w:rsidRPr="006A1E74">
        <w:rPr>
          <w:b/>
          <w:bCs/>
        </w:rPr>
        <w:t xml:space="preserve">информационно-просветительских </w:t>
      </w:r>
      <w:r w:rsidRPr="006A1E74">
        <w:rPr>
          <w:b/>
        </w:rPr>
        <w:t xml:space="preserve">кампаний и использования временных специальных мер для обеспечения им эффективного осуществления всех прав, </w:t>
      </w:r>
      <w:r w:rsidRPr="006A1E74">
        <w:rPr>
          <w:b/>
          <w:bCs/>
        </w:rPr>
        <w:t xml:space="preserve">признаваемых </w:t>
      </w:r>
      <w:r w:rsidRPr="006A1E74">
        <w:rPr>
          <w:b/>
        </w:rPr>
        <w:t>в Пакте.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Равенство мужчин и женщин</w:t>
      </w:r>
    </w:p>
    <w:p w:rsidR="006A1E74" w:rsidRPr="006A1E74" w:rsidRDefault="006A1E74" w:rsidP="006A1E74">
      <w:pPr>
        <w:pStyle w:val="SingleTxtGR"/>
      </w:pPr>
      <w:r w:rsidRPr="006A1E74">
        <w:t>16.</w:t>
      </w:r>
      <w:r w:rsidRPr="006A1E74">
        <w:tab/>
        <w:t>Комитет сожалеет о том, что, несмотря на признание равенства мужчин и женщин Конституцией государства-участника, ряд законодательных положений по</w:t>
      </w:r>
      <w:r w:rsidR="004543DC">
        <w:noBreakHyphen/>
      </w:r>
      <w:r w:rsidRPr="006A1E74">
        <w:t>прежнему являются дискриминационными по отношению к женщинам. Комитет обеспокоен сохранением стереотипов, практики и традиций, которые усиливают эту дискриминацию во всех областях, особенно в отношении их доступа к земле и ресурсам (статья 3).</w:t>
      </w:r>
    </w:p>
    <w:p w:rsidR="006A1E74" w:rsidRPr="006A1E74" w:rsidRDefault="006A1E74" w:rsidP="006A1E74">
      <w:pPr>
        <w:pStyle w:val="SingleTxtGR"/>
        <w:pageBreakBefore/>
        <w:rPr>
          <w:b/>
        </w:rPr>
      </w:pPr>
      <w:r w:rsidRPr="006A1E74">
        <w:lastRenderedPageBreak/>
        <w:t>17.</w:t>
      </w:r>
      <w:r w:rsidRPr="006A1E74">
        <w:tab/>
      </w:r>
      <w:r w:rsidRPr="006A1E74">
        <w:rPr>
          <w:b/>
        </w:rPr>
        <w:t>Комитет рекомендует государству-участнику пересмотреть законодательные положения, которые носят дискриминационный характер по отношению к женщинам, и активизировать осуществление мер по борьбе с такой дискриминацией. Он также рекомендует ему принять необходимые законодательные и иные меры для устранения сохраняющегося неравенства между мужчинами и женщинами и способствовать предоставлению женщинам полного доступа к образованию, занятости, здравоохранению, социальному обеспечению. Комитет также рекомендует государству-участнику содействовать обеспечению равного доступа женщин к земле и ресурсам.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Право на труд</w:t>
      </w:r>
    </w:p>
    <w:p w:rsidR="006A1E74" w:rsidRPr="006A1E74" w:rsidRDefault="006A1E74" w:rsidP="006A1E74">
      <w:pPr>
        <w:pStyle w:val="SingleTxtGR"/>
      </w:pPr>
      <w:r w:rsidRPr="006A1E74">
        <w:t>18.</w:t>
      </w:r>
      <w:r w:rsidRPr="006A1E74">
        <w:tab/>
        <w:t>Комитет с обеспокоенностью отмечает, что, несмотря на усилия государства-участника, уровень безработицы остается высоким, особенно среди молодежи и женщин, и более заметен среди молодежи и женщин с более высоким уровнем образования (статьи 3 и 6).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19.</w:t>
      </w:r>
      <w:r w:rsidRPr="006A1E74">
        <w:tab/>
      </w:r>
      <w:r w:rsidRPr="006A1E74">
        <w:rPr>
          <w:b/>
        </w:rPr>
        <w:t>Комитет рекомендует государству-участнику активизировать осуществление своей национальной политики в области занятости путем включения в нее конкретных целей, сосредоточив свои усилия, в частности на молодежи и женщинах</w:t>
      </w:r>
      <w:r w:rsidR="004543DC">
        <w:rPr>
          <w:b/>
        </w:rPr>
        <w:t>,</w:t>
      </w:r>
      <w:r w:rsidRPr="006A1E74">
        <w:rPr>
          <w:b/>
        </w:rPr>
        <w:t xml:space="preserve"> и выделяя необходимые финансовые и технические ресурсы для обеспечения ее эффективного осуществления и ее устойчивости. Он</w:t>
      </w:r>
      <w:r>
        <w:rPr>
          <w:b/>
          <w:lang w:val="en-US"/>
        </w:rPr>
        <w:t> </w:t>
      </w:r>
      <w:r w:rsidRPr="006A1E74">
        <w:rPr>
          <w:b/>
        </w:rPr>
        <w:t>также рекомендует ему повысить качество школьных учебных программ и профессионально-технического обучения и адаптировать их для обеспечения доступа к занятости и включения в трудовую деятельность. В этой связи Комитет ссылается на свое замечание общего порядка № 18 (2005) о праве на труд.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Неформальный сектор</w:t>
      </w:r>
    </w:p>
    <w:p w:rsidR="006A1E74" w:rsidRPr="006A1E74" w:rsidRDefault="006A1E74" w:rsidP="006A1E74">
      <w:pPr>
        <w:pStyle w:val="SingleTxtGR"/>
      </w:pPr>
      <w:r w:rsidRPr="006A1E74">
        <w:t>20.</w:t>
      </w:r>
      <w:r w:rsidRPr="006A1E74">
        <w:tab/>
        <w:t>Комитет с обеспокоенностью отмечает, что около 96</w:t>
      </w:r>
      <w:r w:rsidR="00136201">
        <w:t>%</w:t>
      </w:r>
      <w:r w:rsidRPr="006A1E74">
        <w:t xml:space="preserve"> </w:t>
      </w:r>
      <w:bookmarkStart w:id="1" w:name="_Hlk530324286"/>
      <w:r w:rsidRPr="006A1E74">
        <w:t xml:space="preserve">трудящихся </w:t>
      </w:r>
      <w:bookmarkEnd w:id="1"/>
      <w:r w:rsidRPr="006A1E74">
        <w:t>заняты в неформальном секторе экономики и не охвачены трудовым законодательством или системой социальной защиты (статьи 6, 7 и 9).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21.</w:t>
      </w:r>
      <w:r w:rsidRPr="006A1E74">
        <w:tab/>
      </w:r>
      <w:r w:rsidRPr="006A1E74">
        <w:rPr>
          <w:b/>
        </w:rPr>
        <w:t>Комитет рекомендует государству-участнику обеспечить, чтобы трудящиеся, занятые в неформальном секторе</w:t>
      </w:r>
      <w:r w:rsidRPr="006A1E74">
        <w:t xml:space="preserve"> </w:t>
      </w:r>
      <w:r w:rsidRPr="006A1E74">
        <w:rPr>
          <w:b/>
        </w:rPr>
        <w:t>экономики, пользовались защитой трудового законодательства и доступом к социальной защите. Он также рекомендует ему продолжить свои усилия по постепенному сокращению числа работников в этом секторе экономики путем их интеграции в формальную экономику.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Минимальная заработная плата</w:t>
      </w:r>
    </w:p>
    <w:p w:rsidR="006A1E74" w:rsidRPr="006A1E74" w:rsidRDefault="006A1E74" w:rsidP="006A1E74">
      <w:pPr>
        <w:pStyle w:val="SingleTxtGR"/>
      </w:pPr>
      <w:r w:rsidRPr="006A1E74">
        <w:t>22.</w:t>
      </w:r>
      <w:r w:rsidRPr="006A1E74">
        <w:tab/>
        <w:t>Комитет обеспокоен тем, что минимальная заработная плата не является достаточной для обеспечения трудящимся и членам их семей достойных условий жизни, и сожалеет о том, что не было предоставлено никакой информации о существующих или планируемых механизмах ее пересмотра и корректировки (статья 7).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23.</w:t>
      </w:r>
      <w:r w:rsidRPr="006A1E74">
        <w:tab/>
      </w:r>
      <w:r w:rsidRPr="006A1E74">
        <w:rPr>
          <w:b/>
        </w:rPr>
        <w:t>Комитет рекомендует государству-участнику повысить уровень минимальной заработной платы в консультации с социальными партнерами и индексировать ее соответственно изменению стоимости жизни, с тем чтобы постепенно обеспечить всем работникам и их семьям достойный жизненный уровень.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Неравенство в оплате труда мужчин и женщин</w:t>
      </w:r>
    </w:p>
    <w:p w:rsidR="006A1E74" w:rsidRPr="006A1E74" w:rsidRDefault="006A1E74" w:rsidP="006A1E74">
      <w:pPr>
        <w:pStyle w:val="SingleTxtGR"/>
      </w:pPr>
      <w:r w:rsidRPr="006A1E74">
        <w:t>24.</w:t>
      </w:r>
      <w:r w:rsidRPr="006A1E74">
        <w:tab/>
        <w:t>Комитет с обеспокоенностью отмечает значительный разрыв в заработной плате между мужчинами и женщинами в государстве-участнике. Хотя Трудовой кодекс устанавливает принцип равного вознаграждения мужчин и женщин за труд равной ценности, Комитет с обеспокоенностью отмечает, что этот принцип не применяется эффективно (статья 7).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lastRenderedPageBreak/>
        <w:t>25.</w:t>
      </w:r>
      <w:r w:rsidRPr="006A1E74">
        <w:tab/>
      </w:r>
      <w:r w:rsidRPr="006A1E74">
        <w:rPr>
          <w:b/>
        </w:rPr>
        <w:t>Комитет рекомендует государству-участнику принять меры для устранения сохраняющегося разрыва в уровнях оплаты труда по признаку пола за счет противодействия сегрегации в трудовой сфере, в результате которой женщины выполняют низкооплачиваемую работу и сталкиваются с препятствиями в получении возможностей для профессионального роста на тех же условиях, что и мужчины. Он также рекомендует содействовать эффективному осуществлению принципа равного вознаграждения мужчин и женщин и принципа равного вознаграждения за труд равной ценности, особенно среди работодателей, служб инспекции труда, а также судей.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Принудительный труд</w:t>
      </w:r>
    </w:p>
    <w:p w:rsidR="006A1E74" w:rsidRPr="006A1E74" w:rsidRDefault="006A1E74" w:rsidP="006A1E74">
      <w:pPr>
        <w:pStyle w:val="SingleTxtGR"/>
      </w:pPr>
      <w:r w:rsidRPr="006A1E74">
        <w:t>26.</w:t>
      </w:r>
      <w:r w:rsidRPr="006A1E74">
        <w:tab/>
        <w:t>Комитет обеспокоен сообщениями о сохраняющейся практике принудительного труда, несмотря на ее запрет в законодательстве. Комитет обеспокоен тем, что в некоторых районах на севере страны по-прежнему практикуется долговая кабала (статья 7).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27.</w:t>
      </w:r>
      <w:r w:rsidRPr="006A1E74">
        <w:tab/>
      </w:r>
      <w:r w:rsidRPr="006A1E74">
        <w:rPr>
          <w:b/>
        </w:rPr>
        <w:t>Комитет настоятельно призывает государство-участник принять немедленные и конкретные меры для прекращения принудительного труда и долговой кабалы, в том числе путем проведения информационно-просветительских кампаний. Комитет просит государство-участник обеспечить, чтобы лица, виновные в этой практике, были привлечены к ответственности и приговорены к наказанию, соизмеримому с серьезностью их действий, а также обеспечить предоставление эффективной защиты и реабилитации жертвам.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Профсоюзные права</w:t>
      </w:r>
    </w:p>
    <w:p w:rsidR="006A1E74" w:rsidRPr="006A1E74" w:rsidRDefault="006A1E74" w:rsidP="006A1E74">
      <w:pPr>
        <w:pStyle w:val="SingleTxtGR"/>
      </w:pPr>
      <w:r w:rsidRPr="006A1E74">
        <w:t>28.</w:t>
      </w:r>
      <w:r w:rsidRPr="006A1E74">
        <w:tab/>
        <w:t>Комитет с обеспокоенностью отмечает, что осуществление профсоюзных прав, включая право на ведение коллективных переговоров и право на забастовку, не гарантируется в полном объеме в законодательстве и на практике. Комитет обеспокоен сообщениями о несправедливых увольнениях работников, которые занимаются профсоюзной деятельностью, а также о невыполнении судебных решений, предусматривающих их восстановление в должности (статья 8).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29.</w:t>
      </w:r>
      <w:r w:rsidRPr="006A1E74">
        <w:tab/>
      </w:r>
      <w:r w:rsidRPr="006A1E74">
        <w:rPr>
          <w:b/>
          <w:bCs/>
        </w:rPr>
        <w:t xml:space="preserve">Комитет настоятельно призывает государство-участник привести свое законодательство о профсоюзных правах в соответствие со статьей 8 Пакта, принимая во внимание Конвенцию 1948 года о свободе ассоциации и защите права на организацию (№ 87) Международной организации труда (МОТ) и Конвенцию 1949 года о праве на организацию и на ведение коллективных переговоров (№ 98) МОТ. В частности, он рекомендует государству-участнику определить перечень услуг, должностей и категорий персонала, которые абсолютно необходимы для предоставления минимальных услуг в случае забастовки на предприятиях общественного пользования, и четко определить критерии, необходимые для создания профессиональных союзов. </w:t>
      </w:r>
      <w:r w:rsidRPr="006A1E74">
        <w:rPr>
          <w:b/>
        </w:rPr>
        <w:t>Комитет, кроме того, рекомендует государству-участнику обеспечить полное уважение профсоюзных прав, провести тщательное и независимое расследование утверждений о несправедливых увольнениях, связанных с профсоюзной деятельностью, и выполнять решения суда о восстановлении в должности соответствующих работников.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</w:r>
      <w:r w:rsidRPr="006A1E74">
        <w:tab/>
        <w:t>Социальное обеспечение</w:t>
      </w:r>
    </w:p>
    <w:p w:rsidR="006A1E74" w:rsidRPr="006A1E74" w:rsidRDefault="006A1E74" w:rsidP="006A1E74">
      <w:pPr>
        <w:pStyle w:val="SingleTxtGR"/>
      </w:pPr>
      <w:r w:rsidRPr="006A1E74">
        <w:t>30.</w:t>
      </w:r>
      <w:r w:rsidRPr="006A1E74">
        <w:tab/>
        <w:t xml:space="preserve">Комитет с обеспокоенностью отмечает, что система социального обеспечения государства-участника охватывает лишь трудящихся, занятых в формальном секторе, что исключает из этой системы большое число людей, в частности работников, занятых в неформальном секторе, а также лиц и групп, находящихся в более неблагоприятном и маргинализованном положении. Кроме того, хотя закон, устанавливающий систему всеобщего медицинского страхования находится в процессе принятия, Комитет выражает обеспокоенность в связи с сообщениями о дисфункциях обязательного медицинского страхования и режима медицинской помощи действующей системы социального обеспечения, касающихся доступа к медицинским услугам, охвата ими и их предоставления, в результате чего остаются </w:t>
      </w:r>
      <w:r w:rsidRPr="006A1E74">
        <w:lastRenderedPageBreak/>
        <w:t>незастрахованными большое число людей, особенно те из них, которые находятся в наиболее неблагоприятном положении (статья 9)</w:t>
      </w:r>
      <w:r w:rsidR="004543DC">
        <w:t>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31.</w:t>
      </w:r>
      <w:r w:rsidRPr="006A1E74">
        <w:tab/>
      </w:r>
      <w:r w:rsidRPr="006A1E74">
        <w:rPr>
          <w:b/>
          <w:bCs/>
        </w:rPr>
        <w:t xml:space="preserve">Комитет рекомендует государству-участнику расширить охват населения системой социального обеспечения в целях обеспечения всеобщего социального охвата с целью гарантировать социальную защиту всего населения и предоставление надлежащих услуг всем лицам, в частности наиболее обездоленным и маргинализованным группам, с тем чтобы обеспечить им достойные условия жизни. Он настоятельно призывает его удвоить свои усилия по достижению уровня социальной защиты, обеспечивающего основные всеобщие социальные гарантии всем лицам, включая работников, занятых в неформальном секторе. </w:t>
      </w:r>
      <w:r w:rsidRPr="006A1E74">
        <w:rPr>
          <w:b/>
        </w:rPr>
        <w:t>Комитет также предлагает государству-участнику ускорить принятие закона о введении системы всеобщего медицинского страхования, гарантируя, что этот закон исправит дисфункции нынешней системы, и обращает внимание государства-участника на свое замечание общего порядка № 19 (2007) о праве на социальное обеспечение и свое заявление 2015 года «Минимальные уровни социальной защиты: важнейшая составляющая права на социальное обеспечение и целей в област</w:t>
      </w:r>
      <w:r w:rsidR="0050792D">
        <w:rPr>
          <w:b/>
        </w:rPr>
        <w:t>и устойчивого развития» (E/C.12</w:t>
      </w:r>
      <w:r w:rsidRPr="006A1E74">
        <w:rPr>
          <w:b/>
        </w:rPr>
        <w:t>/2015/1).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Вредные виды практики в отношении женщин и девочек</w:t>
      </w:r>
    </w:p>
    <w:p w:rsidR="006A1E74" w:rsidRPr="006A1E74" w:rsidRDefault="006A1E74" w:rsidP="006A1E74">
      <w:pPr>
        <w:pStyle w:val="SingleTxtGR"/>
      </w:pPr>
      <w:r w:rsidRPr="006A1E74">
        <w:t>32.</w:t>
      </w:r>
      <w:r w:rsidRPr="006A1E74">
        <w:tab/>
        <w:t>Комитет обеспокоен тем, что в государстве-участнике по-прежнему широко распространена вредная практика в отношении женщин и девочек, такая как многоженство, ранние браки и принудительные браки, а также калечащие операции на женских половых органах. Комитет с обеспокоенностью отмечает, что эти виды практики не запрещены законом и что усилия государства-участника по борьбе с ними остаются недостаточными (статьи 3 и 10).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33.</w:t>
      </w:r>
      <w:r w:rsidRPr="006A1E74">
        <w:tab/>
      </w:r>
      <w:r w:rsidRPr="006A1E74">
        <w:rPr>
          <w:b/>
        </w:rPr>
        <w:t>Комитет рекомендует государству-участнику уделять первоочередное внимание принятию комплексных мер по ликвидации всех видов вредной практики в отношении женщин и девочек. С этой целью он обязывает государство-участник: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a)</w:t>
      </w:r>
      <w:r w:rsidRPr="006A1E74">
        <w:rPr>
          <w:b/>
        </w:rPr>
        <w:tab/>
      </w:r>
      <w:r w:rsidRPr="006A1E74">
        <w:rPr>
          <w:b/>
          <w:bCs/>
        </w:rPr>
        <w:t>принять законы, прямо запрещающие проведение калечащих операций на женских половых органах, и предусмотреть эффективные механизмы контроля для обеспечения того, чтобы виновные привлекались к суду и несли наказание, соразмерное тяжести совершенных ими деяний, а также доступ пострадавших к эффективным средствам правовой защиты и возмещению ущерба;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</w:rPr>
        <w:t>принять эффективные меры для отмены практики многоженства, в</w:t>
      </w:r>
      <w:r w:rsidR="004543DC">
        <w:rPr>
          <w:b/>
        </w:rPr>
        <w:t> </w:t>
      </w:r>
      <w:r w:rsidRPr="006A1E74">
        <w:rPr>
          <w:b/>
        </w:rPr>
        <w:t xml:space="preserve">том числе путем организации в сотрудничестве с гражданским обществом национальных </w:t>
      </w:r>
      <w:r w:rsidRPr="006A1E74">
        <w:rPr>
          <w:b/>
          <w:bCs/>
        </w:rPr>
        <w:t xml:space="preserve">информационно-просветительских </w:t>
      </w:r>
      <w:r w:rsidRPr="006A1E74">
        <w:rPr>
          <w:b/>
        </w:rPr>
        <w:t xml:space="preserve">кампаний, предназначенных для всех слоев общества, в целях поощрения культуры равенства </w:t>
      </w:r>
      <w:r w:rsidRPr="006A1E74">
        <w:rPr>
          <w:b/>
          <w:bCs/>
        </w:rPr>
        <w:t>между мужчинами и женщинами</w:t>
      </w:r>
      <w:r w:rsidRPr="006A1E74">
        <w:rPr>
          <w:b/>
        </w:rPr>
        <w:t>, которая способна создать условия для принятия правового документа, запрещающего многоженство;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c)</w:t>
      </w:r>
      <w:r w:rsidRPr="006A1E74">
        <w:tab/>
      </w:r>
      <w:r w:rsidRPr="006A1E74">
        <w:rPr>
          <w:b/>
          <w:bCs/>
        </w:rPr>
        <w:t xml:space="preserve">повысить минимальный возраст вступления в брак до 18 лет, как для юношей, так и для девушек, для обеспечения того, чтобы все законы, включая </w:t>
      </w:r>
      <w:r w:rsidRPr="006A1E74">
        <w:rPr>
          <w:b/>
        </w:rPr>
        <w:t>законы, основанные на обычае,</w:t>
      </w:r>
      <w:r w:rsidRPr="006A1E74">
        <w:rPr>
          <w:b/>
          <w:bCs/>
        </w:rPr>
        <w:t xml:space="preserve"> </w:t>
      </w:r>
      <w:r w:rsidRPr="006A1E74">
        <w:rPr>
          <w:b/>
        </w:rPr>
        <w:t>соответствовали этим положениям</w:t>
      </w:r>
      <w:r w:rsidRPr="006A1E74">
        <w:rPr>
          <w:b/>
          <w:bCs/>
        </w:rPr>
        <w:t>, и</w:t>
      </w:r>
      <w:r>
        <w:rPr>
          <w:b/>
          <w:bCs/>
          <w:lang w:val="en-US"/>
        </w:rPr>
        <w:t> </w:t>
      </w:r>
      <w:r w:rsidRPr="006A1E74">
        <w:rPr>
          <w:b/>
          <w:bCs/>
        </w:rPr>
        <w:t>обеспечивать их эффективное осуществление;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d)</w:t>
      </w:r>
      <w:r w:rsidRPr="006A1E74">
        <w:tab/>
      </w:r>
      <w:r w:rsidRPr="006A1E74">
        <w:rPr>
          <w:b/>
        </w:rPr>
        <w:t>принять эффективные меры по предотвращению ранних браков, принудительных браков и калечащих операций на женских половых органах, в</w:t>
      </w:r>
      <w:r>
        <w:rPr>
          <w:b/>
          <w:lang w:val="en-US"/>
        </w:rPr>
        <w:t> </w:t>
      </w:r>
      <w:r w:rsidRPr="006A1E74">
        <w:rPr>
          <w:b/>
        </w:rPr>
        <w:t>том числе путем проведения широких просветительских кампаний по разъяснению их вредных последствий.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Защита детей</w:t>
      </w:r>
    </w:p>
    <w:p w:rsidR="006A1E74" w:rsidRPr="006A1E74" w:rsidRDefault="006A1E74" w:rsidP="006A1E74">
      <w:pPr>
        <w:pStyle w:val="SingleTxtGR"/>
      </w:pPr>
      <w:r w:rsidRPr="006A1E74">
        <w:t>34.</w:t>
      </w:r>
      <w:r w:rsidRPr="006A1E74">
        <w:tab/>
        <w:t xml:space="preserve">Комитет обеспокоен существованием в государстве-участнике большего числа работающих детей в возрасте от </w:t>
      </w:r>
      <w:r w:rsidR="004543DC">
        <w:t>5</w:t>
      </w:r>
      <w:r w:rsidRPr="006A1E74">
        <w:t xml:space="preserve"> до 14 лет. Он также обеспокоен тем, что, несмотря на меры, принятые государством-участником, дети по-прежнему используются и </w:t>
      </w:r>
      <w:r w:rsidRPr="006A1E74">
        <w:lastRenderedPageBreak/>
        <w:t>вербуются вооруженными группировками в районах конфликтов на севере и в центре страны. Комитет также с обеспокоенностью отмечает, что около 15</w:t>
      </w:r>
      <w:r w:rsidR="00136201">
        <w:t>%</w:t>
      </w:r>
      <w:r w:rsidRPr="006A1E74">
        <w:t xml:space="preserve"> детей в возрасте до пяти лет не имеют свидетельства о рождении (статья 10).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35.</w:t>
      </w:r>
      <w:r w:rsidRPr="006A1E74">
        <w:tab/>
      </w:r>
      <w:r w:rsidRPr="006A1E74">
        <w:rPr>
          <w:b/>
        </w:rPr>
        <w:t>Комитет рекомендует государству-участнику: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a)</w:t>
      </w:r>
      <w:r w:rsidRPr="006A1E74">
        <w:tab/>
      </w:r>
      <w:r w:rsidRPr="006A1E74">
        <w:rPr>
          <w:b/>
        </w:rPr>
        <w:t>создать систему всесторонней защиты детей, в частности тех, кто находится в особо уязвимом положении;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</w:rPr>
        <w:t>укреплять эффективное осуществление Национального плана действий по искоренению детского труда в Мали на 2011–2020 годы, уделяя особое внимание энергичному осуществлению правовых положений, касающихся детского труда, и укрепляя механизмы надзора за детским трудом, а</w:t>
      </w:r>
      <w:r>
        <w:rPr>
          <w:b/>
          <w:lang w:val="en-US"/>
        </w:rPr>
        <w:t> </w:t>
      </w:r>
      <w:r w:rsidRPr="006A1E74">
        <w:rPr>
          <w:b/>
        </w:rPr>
        <w:t>также оказывая поддержку бедным семьям для гарантии продолжения посещения детьми школы;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c)</w:t>
      </w:r>
      <w:r w:rsidRPr="006A1E74">
        <w:tab/>
      </w:r>
      <w:r w:rsidRPr="006A1E74">
        <w:rPr>
          <w:b/>
        </w:rPr>
        <w:t>активизировать свои усилия для эффективного предупреждения случаев использования детей незаконными вооруженными группировками и принять надлежащие меры для обеспечения того, чтобы все демобилизованные дети рассматривались в качестве жертв и получали доступ к образованию, здравоохранению, социальному обеспечению и психосоциальной помощи;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d)</w:t>
      </w:r>
      <w:r w:rsidRPr="006A1E74">
        <w:tab/>
      </w:r>
      <w:r w:rsidRPr="006A1E74">
        <w:rPr>
          <w:b/>
        </w:rPr>
        <w:t>обеспечить проведение тщательных расследований всех случаев экономической эксплуатации детей и их вербовки незаконными вооруженными группировками и должное наказание виновных;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e)</w:t>
      </w:r>
      <w:r w:rsidRPr="006A1E74">
        <w:tab/>
      </w:r>
      <w:r w:rsidRPr="006A1E74">
        <w:rPr>
          <w:b/>
        </w:rPr>
        <w:t>активизировать свои усилия, направленные на обеспечение всеобщей регистрации рождений, в том числе путем принятия национальной стратегии модернизации системы регистрации актов гражданского состояния, а</w:t>
      </w:r>
      <w:r>
        <w:rPr>
          <w:b/>
          <w:lang w:val="en-US"/>
        </w:rPr>
        <w:t> </w:t>
      </w:r>
      <w:r w:rsidRPr="006A1E74">
        <w:rPr>
          <w:b/>
        </w:rPr>
        <w:t>также на облегчение регистрации детей, особенно в регионах, затронутых внутренними вооруженными конфликтами.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Нищета</w:t>
      </w:r>
    </w:p>
    <w:p w:rsidR="006A1E74" w:rsidRPr="006A1E74" w:rsidRDefault="006A1E74" w:rsidP="006A1E74">
      <w:pPr>
        <w:pStyle w:val="SingleTxtGR"/>
        <w:rPr>
          <w:bCs/>
        </w:rPr>
      </w:pPr>
      <w:r w:rsidRPr="006A1E74">
        <w:rPr>
          <w:bCs/>
        </w:rPr>
        <w:t>36.</w:t>
      </w:r>
      <w:r w:rsidRPr="006A1E74">
        <w:rPr>
          <w:bCs/>
        </w:rPr>
        <w:tab/>
        <w:t>Комитет обеспокоен тем, что, несмотря на осуществление стратегий сокращения масштабов нищеты, показатели нищеты по-прежнему весьма высоки и оказывают непропорционально большое воздействие на лиц, проживающих в сельских и отдаленных районах, особенно тех, которые наиболее затронуты вооруженными конфликтами (статья 11)</w:t>
      </w:r>
      <w:r w:rsidR="00C3742F">
        <w:rPr>
          <w:bCs/>
        </w:rPr>
        <w:t>.</w:t>
      </w:r>
    </w:p>
    <w:p w:rsidR="006A1E74" w:rsidRPr="006A1E74" w:rsidRDefault="006A1E74" w:rsidP="006A1E74">
      <w:pPr>
        <w:pStyle w:val="SingleTxtGR"/>
        <w:rPr>
          <w:b/>
          <w:bCs/>
        </w:rPr>
      </w:pPr>
      <w:r w:rsidRPr="006A1E74">
        <w:rPr>
          <w:bCs/>
        </w:rPr>
        <w:t>37.</w:t>
      </w:r>
      <w:r w:rsidRPr="006A1E74">
        <w:rPr>
          <w:bCs/>
        </w:rPr>
        <w:tab/>
      </w:r>
      <w:r w:rsidRPr="006A1E74">
        <w:rPr>
          <w:b/>
          <w:bCs/>
        </w:rPr>
        <w:t>Комитет рекомендует государству-участнику удвоить свои усилия по борьбе с нищетой, особенно крайней нищетой, в том числе путем разработки и осуществления новой стратегии сокращения масштабов нищеты, которая должна предусматривать конкретные и измеримые цели и необходимые ресурсы, и обеспечивать, в новом контексте децентрализации, создание эффективных механизмов координации между различными субъектами. Комитет призывает государство-участник обеспечить, чтобы эта стратегия осуществлялась в соответствии с нормами и принципами прав человека и должным образом учитывала существующие региональные различия и реальные потребности населения, включая наиболее уязвимые и маргинализованные группы населения и жертв вооруженных конфликтов. Комитет обращает внимание государства-участника на свое заявление 2001 года по вопросу о нищете и Международном пакте об экономических, социальных и культурных правах (E/C.12/2001/10).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Право на питание</w:t>
      </w:r>
    </w:p>
    <w:p w:rsidR="006A1E74" w:rsidRPr="006A1E74" w:rsidRDefault="006A1E74" w:rsidP="006A1E74">
      <w:pPr>
        <w:pStyle w:val="SingleTxtGR"/>
        <w:rPr>
          <w:bCs/>
        </w:rPr>
      </w:pPr>
      <w:r w:rsidRPr="006A1E74">
        <w:rPr>
          <w:bCs/>
        </w:rPr>
        <w:t>38.</w:t>
      </w:r>
      <w:r w:rsidRPr="006A1E74">
        <w:rPr>
          <w:bCs/>
        </w:rPr>
        <w:tab/>
        <w:t>Комитет отмечает, что, несмотря на принятие закона о сельскохозяйственных руководящих указаниях и меры, принятые в этой области, сохраняются серьезные опасения по поводу отсутствия продовольственной безопасности и питания населения в государстве-участнике: 25,6</w:t>
      </w:r>
      <w:r w:rsidR="00136201">
        <w:rPr>
          <w:bCs/>
        </w:rPr>
        <w:t>%</w:t>
      </w:r>
      <w:r w:rsidRPr="006A1E74">
        <w:rPr>
          <w:bCs/>
        </w:rPr>
        <w:t xml:space="preserve"> домашних хозяйств Мали подвержены риску отсутствия продовольственной безопасности, из которых 3,6% очень серьезному риску, по данным национального обследования продовольственной и пищевой безопасности, проведенного в феврале 2017 года, а распространенность хронического недоедания в стране составляет около 38% (статья 11).</w:t>
      </w:r>
    </w:p>
    <w:p w:rsidR="006A1E74" w:rsidRPr="006A1E74" w:rsidRDefault="006A1E74" w:rsidP="006A1E74">
      <w:pPr>
        <w:pStyle w:val="SingleTxtGR"/>
        <w:rPr>
          <w:b/>
          <w:bCs/>
        </w:rPr>
      </w:pPr>
      <w:r w:rsidRPr="006A1E74">
        <w:lastRenderedPageBreak/>
        <w:t>39.</w:t>
      </w:r>
      <w:r w:rsidRPr="006A1E74">
        <w:tab/>
      </w:r>
      <w:r w:rsidRPr="006A1E74">
        <w:rPr>
          <w:b/>
          <w:bCs/>
        </w:rPr>
        <w:t>Комитет настоятельно призывает государство-участник: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a)</w:t>
      </w:r>
      <w:r w:rsidRPr="006A1E74">
        <w:tab/>
      </w:r>
      <w:r w:rsidRPr="006A1E74">
        <w:rPr>
          <w:b/>
        </w:rPr>
        <w:t>принять всеобъемлющую стратегию, гарантирующую право на достаточное питание и борьбу с голодом и хроническим недоеданием, особенно в сельских районах, в том числе путем рассмотрения возможности включения права на питание в Конституцию и обеспечения эффективного функционирования Национального фонда сельскохозяйственных рисков и бедствий;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</w:rPr>
        <w:t>активизировать усилия по повышению производительности мелких фермеров путем содействия их доступу к соответствующим технологиям в соответствии с их правом на пользование результатами научного прогресса и расширения их доступа к местным рынкам в целях повышения доходов в сельских районах;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c)</w:t>
      </w:r>
      <w:r w:rsidRPr="006A1E74">
        <w:tab/>
      </w:r>
      <w:r w:rsidRPr="006A1E74">
        <w:rPr>
          <w:b/>
        </w:rPr>
        <w:t>рассмотреть вопрос о проведении информационных кампаний, направленных на предотвращение использования в сельском хозяйстве вредных для здоровья пестицидов и химических веществ.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40.</w:t>
      </w:r>
      <w:r w:rsidRPr="006A1E74">
        <w:tab/>
      </w:r>
      <w:r w:rsidRPr="006A1E74">
        <w:rPr>
          <w:b/>
        </w:rPr>
        <w:t>Комитет обращает внимание государства-участника на свое замечание общего порядка № 12 (1999) о праве на достаточное питание и на добровольные руководящие принципы поддержки постепенной реализации права на достаточное питание в контексте национальной продовольственной безопасности, принятые в 2004 году Советом Продовольственной и сельскохозяйственной организаци</w:t>
      </w:r>
      <w:r w:rsidR="00C3742F">
        <w:rPr>
          <w:b/>
        </w:rPr>
        <w:t>и</w:t>
      </w:r>
      <w:r w:rsidRPr="006A1E74">
        <w:rPr>
          <w:b/>
        </w:rPr>
        <w:t xml:space="preserve"> Объединенных Наций.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Право на жилье</w:t>
      </w:r>
    </w:p>
    <w:p w:rsidR="006A1E74" w:rsidRPr="006A1E74" w:rsidRDefault="006A1E74" w:rsidP="006A1E74">
      <w:pPr>
        <w:pStyle w:val="SingleTxtGR"/>
      </w:pPr>
      <w:r w:rsidRPr="006A1E74">
        <w:t>41.</w:t>
      </w:r>
      <w:r w:rsidRPr="006A1E74">
        <w:tab/>
        <w:t xml:space="preserve">Комитет с обеспокоенностью отмечает, что значительная часть населения живет в жилищах, находящих в неудовлетворительном состоянии, в </w:t>
      </w:r>
      <w:r w:rsidR="00C3742F">
        <w:t>не</w:t>
      </w:r>
      <w:r w:rsidRPr="006A1E74">
        <w:t>надлежащих условиях, без доступа к электричеству, питьевой воде и санитарии. Комитет отмечает усилия, предпринятые государством-участником в целях расширения предоставления социального жилья; однако он обеспокоен тем, что, согласно полученной информации, эти жилища часто недоступны лицам и семьям, находящимся в наиболее неблагоприятном и маргинализованном положении (статья 11).</w:t>
      </w:r>
    </w:p>
    <w:p w:rsidR="006A1E74" w:rsidRPr="006A1E74" w:rsidRDefault="006A1E74" w:rsidP="006A1E74">
      <w:pPr>
        <w:pStyle w:val="SingleTxtGR"/>
        <w:rPr>
          <w:b/>
          <w:bCs/>
        </w:rPr>
      </w:pPr>
      <w:r w:rsidRPr="006A1E74">
        <w:rPr>
          <w:bCs/>
        </w:rPr>
        <w:t>42.</w:t>
      </w:r>
      <w:r w:rsidRPr="006A1E74">
        <w:rPr>
          <w:bCs/>
        </w:rPr>
        <w:tab/>
      </w:r>
      <w:r w:rsidRPr="006A1E74">
        <w:rPr>
          <w:b/>
          <w:bCs/>
        </w:rPr>
        <w:t>Комитет рекомендует государству-участнику принять всеобъемлющую стратегию в области жилья в целях увеличения предложения доступного жилья, особенно для лиц и семей, находящихся в неблагоприятном и маргинальном положении. Он рекомендует государству-участнику обеспечить, чтобы каждый человек пользовался безопасным и недорогим предоставлени</w:t>
      </w:r>
      <w:r w:rsidR="00C3742F">
        <w:rPr>
          <w:b/>
          <w:bCs/>
        </w:rPr>
        <w:t>ем</w:t>
      </w:r>
      <w:r w:rsidRPr="006A1E74">
        <w:rPr>
          <w:b/>
          <w:bCs/>
        </w:rPr>
        <w:t xml:space="preserve"> услуг в области электричества, питьевой воды и санитарии. Комитет обращает внимание государства-участника на свое замечание общего порядка № 4 (1991) о праве на достаточное жилище и на свое замечание общего порядка № 15 (2002) о праве на воду, а также на заявление о праве на санитарные услуги, принятое им в 2010 году (E/C.12/2010/1).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Горнодобывающие операции</w:t>
      </w:r>
    </w:p>
    <w:p w:rsidR="006A1E74" w:rsidRPr="006A1E74" w:rsidRDefault="006A1E74" w:rsidP="006A1E74">
      <w:pPr>
        <w:pStyle w:val="SingleTxtGR"/>
      </w:pPr>
      <w:r w:rsidRPr="006A1E74">
        <w:t>43.</w:t>
      </w:r>
      <w:r w:rsidRPr="006A1E74">
        <w:tab/>
        <w:t>Комитет с обеспокоенностью принимает к сведению сообщения о негативных последствиях горнодобывающих операций, которые наносят непоправимый ущерб окружающей среде и ущемляют право на здоровье и право на удовлетворительный уровень жизни затрагиваемых общин (статьи 11 и 12).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44.</w:t>
      </w:r>
      <w:r w:rsidRPr="006A1E74">
        <w:tab/>
      </w:r>
      <w:r w:rsidRPr="006A1E74">
        <w:rPr>
          <w:b/>
        </w:rPr>
        <w:t>Комитет рекомендует государству-участнику: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a)</w:t>
      </w:r>
      <w:r w:rsidRPr="006A1E74">
        <w:tab/>
      </w:r>
      <w:r w:rsidRPr="006A1E74">
        <w:rPr>
          <w:b/>
        </w:rPr>
        <w:t>разработать четкие руководящие принципы и правила, позволяющие оценить потенциальное воздействие проектов по добыче полезных ископаемых на права человека и на окружающую среду на всей территории государства-участника;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</w:rPr>
        <w:t xml:space="preserve">обеспечить, чтобы общины, </w:t>
      </w:r>
      <w:r w:rsidRPr="006A1E74">
        <w:rPr>
          <w:b/>
          <w:bCs/>
        </w:rPr>
        <w:t>затронуты</w:t>
      </w:r>
      <w:r w:rsidR="00C3742F">
        <w:rPr>
          <w:b/>
          <w:bCs/>
        </w:rPr>
        <w:t>е</w:t>
      </w:r>
      <w:r w:rsidRPr="006A1E74">
        <w:rPr>
          <w:b/>
          <w:bCs/>
        </w:rPr>
        <w:t xml:space="preserve"> </w:t>
      </w:r>
      <w:r w:rsidRPr="006A1E74">
        <w:rPr>
          <w:b/>
        </w:rPr>
        <w:t xml:space="preserve">деятельностью, связанной с добычей полезных ископаемых, получали компенсацию за </w:t>
      </w:r>
      <w:r w:rsidRPr="006A1E74">
        <w:rPr>
          <w:b/>
          <w:bCs/>
        </w:rPr>
        <w:t xml:space="preserve">причиненный </w:t>
      </w:r>
      <w:r w:rsidRPr="006A1E74">
        <w:rPr>
          <w:b/>
        </w:rPr>
        <w:t xml:space="preserve">ущерб или убытки </w:t>
      </w:r>
      <w:r w:rsidRPr="006A1E74">
        <w:rPr>
          <w:b/>
          <w:bCs/>
        </w:rPr>
        <w:t>и долю доходов от указанной деятельности</w:t>
      </w:r>
      <w:r w:rsidRPr="006A1E74">
        <w:rPr>
          <w:b/>
        </w:rPr>
        <w:t>;</w:t>
      </w:r>
    </w:p>
    <w:p w:rsidR="006A1E74" w:rsidRPr="006A1E74" w:rsidRDefault="006A1E74" w:rsidP="006A1E74">
      <w:pPr>
        <w:pStyle w:val="SingleTxtGR"/>
        <w:rPr>
          <w:b/>
        </w:rPr>
      </w:pPr>
      <w:r>
        <w:lastRenderedPageBreak/>
        <w:tab/>
      </w:r>
      <w:r w:rsidRPr="006A1E74">
        <w:rPr>
          <w:b/>
        </w:rPr>
        <w:t>c)</w:t>
      </w:r>
      <w:r w:rsidRPr="006A1E74">
        <w:tab/>
        <w:t>т</w:t>
      </w:r>
      <w:r w:rsidRPr="006A1E74">
        <w:rPr>
          <w:b/>
        </w:rPr>
        <w:t>ребовать от горнодобывающих компаний принятия эффективных мер для предотвращения загрязнения воздуха и воды и деградации земель в результате их деятельности и для восстановления районов, пострадавших от их деятельности.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</w:r>
      <w:r w:rsidRPr="006A1E74">
        <w:tab/>
        <w:t>Право на здоровье</w:t>
      </w:r>
    </w:p>
    <w:p w:rsidR="006A1E74" w:rsidRPr="006A1E74" w:rsidRDefault="006A1E74" w:rsidP="006A1E74">
      <w:pPr>
        <w:pStyle w:val="SingleTxtGR"/>
      </w:pPr>
      <w:r w:rsidRPr="006A1E74">
        <w:t>45.</w:t>
      </w:r>
      <w:r w:rsidRPr="006A1E74">
        <w:tab/>
        <w:t>Признавая усилия государства-участника по улучшению доступа к медицинскому обслуживанию, Комитет по-прежнему обеспокоен большим числом людей, не имеющих доступа к доступным медицинским услугам. Он также обеспокоен существенными ограничениями в плане доступности, наличия и качества услуг в области физического и психического здоровья в государстве-участнике, обусловленными, в частности, отсутствием надлежащей медицинской инфраструктуры и оборудования, нехваткой лекарств и медицинского персонала. Комитет отмечает, что эти проблемы становятся более серьезными в отдаленных сельских районах и районах, затронутых вооруженными конфликтами (статья 12).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46.</w:t>
      </w:r>
      <w:r w:rsidRPr="006A1E74">
        <w:tab/>
      </w:r>
      <w:r w:rsidRPr="006A1E74">
        <w:rPr>
          <w:b/>
        </w:rPr>
        <w:t xml:space="preserve">Комитет рекомендует государству-участнику: </w:t>
      </w:r>
    </w:p>
    <w:p w:rsidR="006A1E74" w:rsidRPr="006A1E74" w:rsidRDefault="006A1E74" w:rsidP="006A1E74">
      <w:pPr>
        <w:pStyle w:val="SingleTxtGR"/>
        <w:rPr>
          <w:b/>
          <w:bCs/>
        </w:rPr>
      </w:pPr>
      <w:r>
        <w:tab/>
      </w:r>
      <w:r w:rsidRPr="00C3742F">
        <w:rPr>
          <w:b/>
        </w:rPr>
        <w:t>a)</w:t>
      </w:r>
      <w:r w:rsidRPr="006A1E74">
        <w:tab/>
      </w:r>
      <w:r w:rsidRPr="006A1E74">
        <w:rPr>
          <w:b/>
          <w:bCs/>
        </w:rPr>
        <w:t>принять необходимые меры для введения всеобщего медицинского страхования;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C3742F">
        <w:rPr>
          <w:b/>
        </w:rPr>
        <w:t>b)</w:t>
      </w:r>
      <w:r w:rsidRPr="006A1E74">
        <w:tab/>
      </w:r>
      <w:r w:rsidRPr="006A1E74">
        <w:rPr>
          <w:b/>
        </w:rPr>
        <w:t>выделять достаточные ресурсы для сектора здравоохранения с целью осуществления своей национальной политики укрепления здоровья;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C3742F">
        <w:rPr>
          <w:b/>
        </w:rPr>
        <w:t>c)</w:t>
      </w:r>
      <w:r w:rsidRPr="006A1E74">
        <w:tab/>
      </w:r>
      <w:r w:rsidRPr="006A1E74">
        <w:rPr>
          <w:b/>
          <w:bCs/>
        </w:rPr>
        <w:t>продолжать предпринимать усилия в целях обеспечения доступности, наличия и качества медицинского обслуживания во всех регионах, в частности в сельских и отдаленных районах, в том числе посредством улучшения инфраструктуры системы первичной медико-санитарной помощи, и</w:t>
      </w:r>
      <w:r>
        <w:rPr>
          <w:b/>
          <w:bCs/>
          <w:lang w:val="en-US"/>
        </w:rPr>
        <w:t> </w:t>
      </w:r>
      <w:r w:rsidRPr="006A1E74">
        <w:rPr>
          <w:b/>
          <w:bCs/>
        </w:rPr>
        <w:t xml:space="preserve">обеспечить, чтобы больницы располагали надлежащим и достаточным медицинским персоналом, инфраструктурой и препаратами, а также </w:t>
      </w:r>
      <w:r w:rsidRPr="006A1E74">
        <w:rPr>
          <w:b/>
        </w:rPr>
        <w:t>регулярными поставками медикаментов</w:t>
      </w:r>
      <w:r w:rsidRPr="006A1E74">
        <w:rPr>
          <w:b/>
          <w:bCs/>
        </w:rPr>
        <w:t>;</w:t>
      </w:r>
    </w:p>
    <w:p w:rsidR="006A1E74" w:rsidRPr="006A1E74" w:rsidRDefault="006A1E74" w:rsidP="006A1E74">
      <w:pPr>
        <w:pStyle w:val="SingleTxtGR"/>
        <w:rPr>
          <w:b/>
          <w:bCs/>
        </w:rPr>
      </w:pPr>
      <w:r>
        <w:tab/>
      </w:r>
      <w:r w:rsidRPr="00C3742F">
        <w:rPr>
          <w:b/>
        </w:rPr>
        <w:t>d)</w:t>
      </w:r>
      <w:r w:rsidRPr="006A1E74">
        <w:tab/>
      </w:r>
      <w:r w:rsidRPr="006A1E74">
        <w:rPr>
          <w:b/>
          <w:bCs/>
        </w:rPr>
        <w:t>принять законодательство и комплексную политику в области психического здоровья, а также меры, направленные на повышение эффективности оказания услуг в области охраны психического здоровья, в том числе на уровне общин, и увеличить число подготовленных специалистов, работающих в этой области.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47.</w:t>
      </w:r>
      <w:r w:rsidRPr="006A1E74">
        <w:tab/>
      </w:r>
      <w:r w:rsidRPr="006A1E74">
        <w:rPr>
          <w:b/>
        </w:rPr>
        <w:t>Комитет обращает внимание государства-участника на свое замечание общего порядка № 14 (2000) о праве на наивысший достижимый уровень здоровья.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Сексуальное и репродуктивное здоровье</w:t>
      </w:r>
    </w:p>
    <w:p w:rsidR="006A1E74" w:rsidRPr="006A1E74" w:rsidRDefault="006A1E74" w:rsidP="006A1E74">
      <w:pPr>
        <w:pStyle w:val="SingleTxtGR"/>
      </w:pPr>
      <w:r w:rsidRPr="006A1E74">
        <w:t>48.</w:t>
      </w:r>
      <w:r w:rsidRPr="006A1E74">
        <w:tab/>
        <w:t>Комитет обеспокоен тем, что: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a)</w:t>
      </w:r>
      <w:r w:rsidRPr="006A1E74">
        <w:tab/>
        <w:t>показатели материнской и младенческой смертности остаются весьма высокими в государстве-участнике;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b</w:t>
      </w:r>
      <w:r w:rsidRPr="006A1E74">
        <w:rPr>
          <w:b/>
        </w:rPr>
        <w:t>)</w:t>
      </w:r>
      <w:r w:rsidRPr="006A1E74">
        <w:rPr>
          <w:b/>
        </w:rPr>
        <w:tab/>
      </w:r>
      <w:r w:rsidRPr="006A1E74">
        <w:t>надлежащие услуги в области сексуального и репродуктивного здоровья зачастую недоступны и отсутствуют;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c)</w:t>
      </w:r>
      <w:r w:rsidRPr="006A1E74">
        <w:tab/>
        <w:t>доступ к информации по вопросам сексуального и репродуктивного здоровья, включая планирование семьи и использование противозачаточных средств, весьма ограничен (статья 12).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49.</w:t>
      </w:r>
      <w:r w:rsidRPr="006A1E74">
        <w:tab/>
      </w:r>
      <w:r w:rsidRPr="006A1E74">
        <w:rPr>
          <w:b/>
        </w:rPr>
        <w:t xml:space="preserve">Комитет рекомендует государству-участнику: 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a)</w:t>
      </w:r>
      <w:r w:rsidRPr="006A1E74">
        <w:tab/>
      </w:r>
      <w:r w:rsidRPr="00C3742F">
        <w:rPr>
          <w:b/>
        </w:rPr>
        <w:t>а</w:t>
      </w:r>
      <w:r w:rsidRPr="006A1E74">
        <w:rPr>
          <w:b/>
        </w:rPr>
        <w:t>ктивизировать усилия по сокращению материнской и младенческой смертности посредством улучшения ухода во время беременности и родов в учреждениях первичной медико-санитарной помощи, принимая во внимание Техническо</w:t>
      </w:r>
      <w:r w:rsidR="00C3742F">
        <w:rPr>
          <w:b/>
        </w:rPr>
        <w:t>е</w:t>
      </w:r>
      <w:r w:rsidRPr="006A1E74">
        <w:rPr>
          <w:b/>
        </w:rPr>
        <w:t xml:space="preserve"> руководств</w:t>
      </w:r>
      <w:r w:rsidR="00C3742F">
        <w:rPr>
          <w:b/>
        </w:rPr>
        <w:t>о</w:t>
      </w:r>
      <w:r w:rsidRPr="006A1E74">
        <w:rPr>
          <w:b/>
        </w:rPr>
        <w:t xml:space="preserve"> по вопросам применения правозащитного подхода при осуществлении политики и программ, направленных на сокращение масштабов предотвратимой материнской смертности и заболеваемости (A/HRC/21/22);</w:t>
      </w:r>
    </w:p>
    <w:p w:rsidR="006A1E74" w:rsidRPr="006A1E74" w:rsidRDefault="006A1E74" w:rsidP="006A1E74">
      <w:pPr>
        <w:pStyle w:val="SingleTxtGR"/>
        <w:rPr>
          <w:b/>
        </w:rPr>
      </w:pPr>
      <w:r>
        <w:lastRenderedPageBreak/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  <w:bCs/>
        </w:rPr>
        <w:t>активизировать усилия с целью обеспечить, на основе равенства между мужчинами и женщинами, наличие и доступность услуг в области сексуального и репродуктивного здоровья, включая доступ к доступным по цене, безопасным и эффективным противозачаточным средствам, а также к средствам экстренной контрацепции, в том числе для подростков, особенно в сельских районах;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c)</w:t>
      </w:r>
      <w:r w:rsidRPr="006A1E74">
        <w:tab/>
      </w:r>
      <w:r w:rsidRPr="006A1E74">
        <w:rPr>
          <w:b/>
        </w:rPr>
        <w:t>расширить доступ к информации о сексуальном и репродуктивном здоровье, включая планирование семьи, и разработать предназначенные для девочек и мальчиков программы просвещения по вопросам сексуального и репродуктивного здоровья, адаптированные к каждой возрастной группе.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50.</w:t>
      </w:r>
      <w:r w:rsidRPr="006A1E74">
        <w:tab/>
      </w:r>
      <w:r w:rsidRPr="006A1E74">
        <w:rPr>
          <w:b/>
        </w:rPr>
        <w:t>Комитет обращает внимание государства-участника на свое замечание общего порядка № 22 (2016) о праве на сексуальное и репродуктивное здоровье.</w:t>
      </w:r>
    </w:p>
    <w:p w:rsidR="006A1E74" w:rsidRPr="006A1E74" w:rsidRDefault="006A1E74" w:rsidP="006A1E74">
      <w:pPr>
        <w:pStyle w:val="H23GR"/>
      </w:pPr>
      <w:r w:rsidRPr="006A1E74">
        <w:tab/>
      </w:r>
      <w:r w:rsidRPr="006A1E74">
        <w:tab/>
        <w:t>Право на образование</w:t>
      </w:r>
    </w:p>
    <w:p w:rsidR="006A1E74" w:rsidRPr="006A1E74" w:rsidRDefault="006A1E74" w:rsidP="006A1E74">
      <w:pPr>
        <w:pStyle w:val="SingleTxtGR"/>
      </w:pPr>
      <w:r w:rsidRPr="006A1E74">
        <w:t>51.</w:t>
      </w:r>
      <w:r w:rsidRPr="006A1E74">
        <w:tab/>
        <w:t>Комитет отмечает усилия, предпринятые государством-участником в целях повышения коэффициента охвата школьным образованием и обеспечения гендерного равенства в начальной школе. Тем не менее он по-прежнему обеспокоен: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a)</w:t>
      </w:r>
      <w:r w:rsidRPr="006A1E74">
        <w:tab/>
        <w:t>большим числом детей, которые не имеют доступа к образованию, особенно на севере и в центре страны из-за нестабильности и отсутствия безопасности в этих районах;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b)</w:t>
      </w:r>
      <w:r w:rsidRPr="006A1E74">
        <w:tab/>
        <w:t>низким качеством государственного школьного образования, отсутствием достаточных ресурсов, недостаточным числом учителей;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c)</w:t>
      </w:r>
      <w:r w:rsidRPr="006A1E74">
        <w:tab/>
        <w:t>растущим неравенством в доступе к качественному образованию, обусловленным отчасти скрытыми расходами и высокой платой за частное образование, – ситуация, которая в несоразмерно большой степени затрагивает детей из малообеспеченных семей;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d)</w:t>
      </w:r>
      <w:r w:rsidRPr="006A1E74">
        <w:tab/>
        <w:t>высоким процентом отсева в системе начального и среднего образования, особенно среди девочек;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e)</w:t>
      </w:r>
      <w:r w:rsidRPr="006A1E74">
        <w:tab/>
        <w:t>большим количеством медресе или коранических школ, которые не находятся в ведении Министерства образования и деятельность которых им не регулируется;</w:t>
      </w:r>
    </w:p>
    <w:p w:rsidR="006A1E74" w:rsidRPr="006A1E74" w:rsidRDefault="006A1E74" w:rsidP="006A1E74">
      <w:pPr>
        <w:pStyle w:val="SingleTxtGR"/>
      </w:pPr>
      <w:r>
        <w:tab/>
      </w:r>
      <w:r w:rsidRPr="006A1E74">
        <w:t>f)</w:t>
      </w:r>
      <w:r w:rsidRPr="006A1E74">
        <w:tab/>
        <w:t>отсутствием доступа детей-инвалидов к инклюзивному образованию (статьи 13 и 14).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52.</w:t>
      </w:r>
      <w:r w:rsidRPr="006A1E74">
        <w:tab/>
      </w:r>
      <w:r w:rsidRPr="006A1E74">
        <w:rPr>
          <w:b/>
        </w:rPr>
        <w:t>Комитет рекомендует государству-участнику взять на себя основную ответственность за обеспечение качественного образования для всех детей и с этой целью: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a)</w:t>
      </w:r>
      <w:r w:rsidRPr="006A1E74">
        <w:tab/>
      </w:r>
      <w:r w:rsidRPr="006A1E74">
        <w:rPr>
          <w:b/>
        </w:rPr>
        <w:t>принять срочные меры для обеспечения доступа детей на севере и в центральной части страны к образованию;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b)</w:t>
      </w:r>
      <w:r w:rsidRPr="006A1E74">
        <w:tab/>
      </w:r>
      <w:r w:rsidRPr="006A1E74">
        <w:rPr>
          <w:b/>
          <w:bCs/>
        </w:rPr>
        <w:t>улучшить качество обучения, в частности посредством выделения достаточных ресурсов на образование, увеличения числа квалифицированных преподавателей и повышения их заработной платы, а также улучшения инфраструктуры и учебных материалов;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c)</w:t>
      </w:r>
      <w:r w:rsidRPr="006A1E74">
        <w:tab/>
      </w:r>
      <w:r w:rsidRPr="006A1E74">
        <w:rPr>
          <w:b/>
        </w:rPr>
        <w:t>обеспечить эффективное применение принципа бесплатного начального образования и укрепить правила и механизмы контроля и надзора за частными учебными заведениями;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d)</w:t>
      </w:r>
      <w:r w:rsidRPr="006A1E74">
        <w:tab/>
      </w:r>
      <w:r w:rsidRPr="006A1E74">
        <w:rPr>
          <w:b/>
        </w:rPr>
        <w:t xml:space="preserve">разработать и эффективно осуществлять меры </w:t>
      </w:r>
      <w:r w:rsidRPr="006A1E74">
        <w:rPr>
          <w:b/>
          <w:bCs/>
        </w:rPr>
        <w:t>по недопущению того, чтобы дети, особенно девочки, бросали школу</w:t>
      </w:r>
      <w:r w:rsidRPr="006A1E74">
        <w:rPr>
          <w:b/>
        </w:rPr>
        <w:t>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e)</w:t>
      </w:r>
      <w:r w:rsidRPr="006A1E74">
        <w:tab/>
      </w:r>
      <w:r w:rsidRPr="006A1E74">
        <w:rPr>
          <w:b/>
        </w:rPr>
        <w:t>перевести медресе или коранические школы в ведение Министерства образования</w:t>
      </w:r>
      <w:r w:rsidR="00C3742F">
        <w:rPr>
          <w:b/>
        </w:rPr>
        <w:t>;</w:t>
      </w:r>
    </w:p>
    <w:p w:rsidR="006A1E74" w:rsidRPr="006A1E74" w:rsidRDefault="006A1E74" w:rsidP="006A1E74">
      <w:pPr>
        <w:pStyle w:val="SingleTxtGR"/>
        <w:rPr>
          <w:b/>
        </w:rPr>
      </w:pPr>
      <w:r>
        <w:tab/>
      </w:r>
      <w:r w:rsidRPr="006A1E74">
        <w:rPr>
          <w:b/>
        </w:rPr>
        <w:t>f)</w:t>
      </w:r>
      <w:r w:rsidRPr="006A1E74">
        <w:tab/>
      </w:r>
      <w:r w:rsidRPr="006A1E74">
        <w:rPr>
          <w:b/>
          <w:bCs/>
        </w:rPr>
        <w:t>обеспечить интеграцию детей-инвалидов в общую систему образования.</w:t>
      </w:r>
    </w:p>
    <w:p w:rsidR="006A1E74" w:rsidRPr="006A1E74" w:rsidRDefault="006A1E74" w:rsidP="006A1E74">
      <w:pPr>
        <w:pStyle w:val="H23GR"/>
      </w:pPr>
      <w:r w:rsidRPr="006A1E74">
        <w:lastRenderedPageBreak/>
        <w:tab/>
      </w:r>
      <w:r w:rsidRPr="006A1E74">
        <w:tab/>
        <w:t xml:space="preserve">Культурные права </w:t>
      </w:r>
    </w:p>
    <w:p w:rsidR="006A1E74" w:rsidRPr="006A1E74" w:rsidRDefault="006A1E74" w:rsidP="006A1E74">
      <w:pPr>
        <w:pStyle w:val="SingleTxtGR"/>
      </w:pPr>
      <w:r w:rsidRPr="006A1E74">
        <w:t>53.</w:t>
      </w:r>
      <w:r w:rsidRPr="006A1E74">
        <w:tab/>
        <w:t>Комитет с обеспокоенностью отмечает отсутствие достаточных мер, направленных на поощрение культурного разнообразия и содействие распространению культуры, языков и традиций различных этнических групп в государстве-участнике. Комитет также сожалеет о том, что правовая база еще не была пересмотрена в целях усилить защиту жертв посягательств на культурное наследие и самовыражение (статья 15).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54.</w:t>
      </w:r>
      <w:r w:rsidRPr="006A1E74">
        <w:tab/>
      </w:r>
      <w:r w:rsidRPr="006A1E74">
        <w:rPr>
          <w:b/>
        </w:rPr>
        <w:t xml:space="preserve">Комитет рекомендует государству-участнику повышать осведомленность населения о культурном наследии различных этнических групп и создать благоприятные условия для защиты, развития, выражения и распространения их истории, культуры, языков, традиций и обычаев. Комитет настоятельно призывает государство-участник укрепить свою правовую базу для обеспечения лучшей защиты жертв </w:t>
      </w:r>
      <w:bookmarkStart w:id="2" w:name="_Hlk530426554"/>
      <w:r w:rsidRPr="006A1E74">
        <w:rPr>
          <w:b/>
        </w:rPr>
        <w:t>посягательств на культурное наследие и самовыражение</w:t>
      </w:r>
      <w:bookmarkEnd w:id="2"/>
      <w:r w:rsidRPr="006A1E74">
        <w:rPr>
          <w:b/>
        </w:rPr>
        <w:t>.</w:t>
      </w:r>
    </w:p>
    <w:p w:rsidR="006A1E74" w:rsidRPr="006A1E74" w:rsidRDefault="006A1E74" w:rsidP="006A1E74">
      <w:pPr>
        <w:pStyle w:val="H1GR"/>
      </w:pPr>
      <w:r w:rsidRPr="006A1E74">
        <w:tab/>
        <w:t>D.</w:t>
      </w:r>
      <w:r w:rsidRPr="006A1E74">
        <w:tab/>
        <w:t>Другие рекомендации</w:t>
      </w:r>
    </w:p>
    <w:p w:rsidR="006A1E74" w:rsidRPr="006A1E74" w:rsidRDefault="006A1E74" w:rsidP="006A1E74">
      <w:pPr>
        <w:pStyle w:val="SingleTxtGR"/>
        <w:rPr>
          <w:b/>
          <w:bCs/>
        </w:rPr>
      </w:pPr>
      <w:r w:rsidRPr="006A1E74">
        <w:rPr>
          <w:bCs/>
        </w:rPr>
        <w:t>55.</w:t>
      </w:r>
      <w:r w:rsidRPr="006A1E74">
        <w:rPr>
          <w:bCs/>
        </w:rPr>
        <w:tab/>
      </w:r>
      <w:r w:rsidRPr="006A1E74"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56.</w:t>
      </w:r>
      <w:r w:rsidRPr="006A1E74">
        <w:tab/>
      </w:r>
      <w:r w:rsidRPr="006A1E74">
        <w:rPr>
          <w:b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 Достижение целей на основе принципов участия, подотчетности и недискриминации будет способствовать обеспечению того, чтобы никто не остался без внимания.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57.</w:t>
      </w:r>
      <w:r w:rsidRPr="006A1E74">
        <w:tab/>
      </w:r>
      <w:r w:rsidRPr="006A1E74">
        <w:rPr>
          <w:b/>
        </w:rPr>
        <w:t xml:space="preserve"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 </w:t>
      </w:r>
      <w:r w:rsidRPr="006A1E74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 HRI/MC/2008/3).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58.</w:t>
      </w:r>
      <w:r w:rsidRPr="006A1E74">
        <w:tab/>
      </w:r>
      <w:r w:rsidRPr="006A1E74">
        <w:rPr>
          <w:b/>
        </w:rPr>
        <w:t xml:space="preserve">Комитет просит государство-участник широко распространить настоящие заключительные замечания среди всех слоев общества на национальном и региональном уровнях, особенно среди членов Национальной ассамблеи, государственных должностных лиц и судебных органов, и информировать Комитет в своем следующем периодическом докладе о шагах, предпринятых с целью выполнения содержащихся в них рекомендаций. </w:t>
      </w:r>
      <w:r w:rsidRPr="006A1E74">
        <w:rPr>
          <w:b/>
          <w:bCs/>
        </w:rPr>
        <w:t>Комитет рекомендует государству-участнику привлечь Национальную комиссию по правам человека,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 перед представлением своего следующего периодического доклада.</w:t>
      </w:r>
    </w:p>
    <w:p w:rsidR="006A1E74" w:rsidRPr="006A1E74" w:rsidRDefault="006A1E74" w:rsidP="006A1E74">
      <w:pPr>
        <w:pStyle w:val="SingleTxtGR"/>
        <w:rPr>
          <w:b/>
        </w:rPr>
      </w:pPr>
      <w:r w:rsidRPr="006A1E74">
        <w:t>59.</w:t>
      </w:r>
      <w:r w:rsidRPr="006A1E74">
        <w:tab/>
      </w:r>
      <w:r w:rsidRPr="006A1E74">
        <w:rPr>
          <w:b/>
          <w:bCs/>
        </w:rPr>
        <w:t xml:space="preserve">В соответствии с процедурой осуществления последующих мер по выполнению принятых Комитетом заключительных замечаний Комитет просит государство-участник в течение 24 месяцев с момента принятия настоящих </w:t>
      </w:r>
      <w:r w:rsidRPr="006A1E74">
        <w:rPr>
          <w:b/>
          <w:bCs/>
        </w:rPr>
        <w:lastRenderedPageBreak/>
        <w:t>заключительных замечаний предоставить информацию о выполнении рекомендаций, вынесенных Комитетом в пунктах </w:t>
      </w:r>
      <w:r w:rsidRPr="006A1E74">
        <w:rPr>
          <w:b/>
        </w:rPr>
        <w:t>5 (Вооруженные конфликты и мирное соглашение), 9 (Правозащитники) и 44 (Горнодобывающие операции)</w:t>
      </w:r>
      <w:r w:rsidRPr="006A1E74">
        <w:rPr>
          <w:b/>
          <w:bCs/>
        </w:rPr>
        <w:t xml:space="preserve"> выше.</w:t>
      </w:r>
    </w:p>
    <w:p w:rsidR="006A1E74" w:rsidRDefault="006A1E74" w:rsidP="006A1E74">
      <w:pPr>
        <w:pStyle w:val="SingleTxtGR"/>
        <w:rPr>
          <w:b/>
          <w:bCs/>
        </w:rPr>
      </w:pPr>
      <w:r w:rsidRPr="006A1E74">
        <w:t>60.</w:t>
      </w:r>
      <w:r w:rsidRPr="006A1E74">
        <w:tab/>
      </w:r>
      <w:r w:rsidRPr="006A1E74">
        <w:rPr>
          <w:b/>
        </w:rPr>
        <w:t xml:space="preserve">Комитет просит государство-участник представить свой второй периодический доклад, подготовленный в соответствии с руководящими принципами составления докладов, принятыми Комитетом в 2008 году (E/C.12/2008/2), к 31 октября 2023 года. </w:t>
      </w:r>
      <w:r w:rsidRPr="006A1E74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(см. HRI/</w:t>
      </w:r>
      <w:r w:rsidR="00F31123">
        <w:rPr>
          <w:b/>
          <w:bCs/>
        </w:rPr>
        <w:br/>
      </w:r>
      <w:r w:rsidRPr="006A1E74">
        <w:rPr>
          <w:b/>
          <w:bCs/>
        </w:rPr>
        <w:t>GEN/2/Rev.6, глава I).</w:t>
      </w:r>
    </w:p>
    <w:p w:rsidR="00381C24" w:rsidRPr="00BC18B2" w:rsidRDefault="006A1E74" w:rsidP="006A1E74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6A1E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53" w:rsidRPr="00A312BC" w:rsidRDefault="00660253" w:rsidP="00A312BC"/>
  </w:endnote>
  <w:endnote w:type="continuationSeparator" w:id="0">
    <w:p w:rsidR="00660253" w:rsidRPr="00A312BC" w:rsidRDefault="006602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74" w:rsidRPr="006A1E74" w:rsidRDefault="006A1E74">
    <w:pPr>
      <w:pStyle w:val="aa"/>
    </w:pPr>
    <w:r w:rsidRPr="006A1E74">
      <w:rPr>
        <w:b/>
        <w:sz w:val="18"/>
      </w:rPr>
      <w:fldChar w:fldCharType="begin"/>
    </w:r>
    <w:r w:rsidRPr="006A1E74">
      <w:rPr>
        <w:b/>
        <w:sz w:val="18"/>
      </w:rPr>
      <w:instrText xml:space="preserve"> PAGE  \* MERGEFORMAT </w:instrText>
    </w:r>
    <w:r w:rsidRPr="006A1E74">
      <w:rPr>
        <w:b/>
        <w:sz w:val="18"/>
      </w:rPr>
      <w:fldChar w:fldCharType="separate"/>
    </w:r>
    <w:r w:rsidR="005608EA">
      <w:rPr>
        <w:b/>
        <w:noProof/>
        <w:sz w:val="18"/>
      </w:rPr>
      <w:t>12</w:t>
    </w:r>
    <w:r w:rsidRPr="006A1E74">
      <w:rPr>
        <w:b/>
        <w:sz w:val="18"/>
      </w:rPr>
      <w:fldChar w:fldCharType="end"/>
    </w:r>
    <w:r>
      <w:rPr>
        <w:b/>
        <w:sz w:val="18"/>
      </w:rPr>
      <w:tab/>
    </w:r>
    <w:r>
      <w:t>GE.18-18650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74" w:rsidRPr="006A1E74" w:rsidRDefault="006A1E74" w:rsidP="006A1E74">
    <w:pPr>
      <w:pStyle w:val="aa"/>
      <w:tabs>
        <w:tab w:val="clear" w:pos="9639"/>
        <w:tab w:val="right" w:pos="9638"/>
      </w:tabs>
      <w:rPr>
        <w:b/>
        <w:sz w:val="18"/>
      </w:rPr>
    </w:pPr>
    <w:r>
      <w:t>GE.18-18650</w:t>
    </w:r>
    <w:r>
      <w:tab/>
    </w:r>
    <w:r w:rsidRPr="006A1E74">
      <w:rPr>
        <w:b/>
        <w:sz w:val="18"/>
      </w:rPr>
      <w:fldChar w:fldCharType="begin"/>
    </w:r>
    <w:r w:rsidRPr="006A1E74">
      <w:rPr>
        <w:b/>
        <w:sz w:val="18"/>
      </w:rPr>
      <w:instrText xml:space="preserve"> PAGE  \* MERGEFORMAT </w:instrText>
    </w:r>
    <w:r w:rsidRPr="006A1E74">
      <w:rPr>
        <w:b/>
        <w:sz w:val="18"/>
      </w:rPr>
      <w:fldChar w:fldCharType="separate"/>
    </w:r>
    <w:r w:rsidR="005608EA">
      <w:rPr>
        <w:b/>
        <w:noProof/>
        <w:sz w:val="18"/>
      </w:rPr>
      <w:t>11</w:t>
    </w:r>
    <w:r w:rsidRPr="006A1E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A1E74" w:rsidRDefault="006A1E74" w:rsidP="006A1E7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18650  (</w:t>
    </w:r>
    <w:proofErr w:type="gramEnd"/>
    <w:r>
      <w:t>R)</w:t>
    </w:r>
    <w:r w:rsidR="00E90267">
      <w:rPr>
        <w:lang w:val="en-US"/>
      </w:rPr>
      <w:t xml:space="preserve">  201118  21</w:t>
    </w:r>
    <w:r>
      <w:rPr>
        <w:lang w:val="en-US"/>
      </w:rPr>
      <w:t>1118</w:t>
    </w:r>
    <w:r>
      <w:br/>
    </w:r>
    <w:r w:rsidRPr="006A1E74">
      <w:rPr>
        <w:rFonts w:ascii="C39T30Lfz" w:hAnsi="C39T30Lfz"/>
        <w:kern w:val="14"/>
        <w:sz w:val="56"/>
      </w:rPr>
      <w:t></w:t>
    </w:r>
    <w:r w:rsidRPr="006A1E74">
      <w:rPr>
        <w:rFonts w:ascii="C39T30Lfz" w:hAnsi="C39T30Lfz"/>
        <w:kern w:val="14"/>
        <w:sz w:val="56"/>
      </w:rPr>
      <w:t></w:t>
    </w:r>
    <w:r w:rsidRPr="006A1E74">
      <w:rPr>
        <w:rFonts w:ascii="C39T30Lfz" w:hAnsi="C39T30Lfz"/>
        <w:kern w:val="14"/>
        <w:sz w:val="56"/>
      </w:rPr>
      <w:t></w:t>
    </w:r>
    <w:r w:rsidRPr="006A1E74">
      <w:rPr>
        <w:rFonts w:ascii="C39T30Lfz" w:hAnsi="C39T30Lfz"/>
        <w:kern w:val="14"/>
        <w:sz w:val="56"/>
      </w:rPr>
      <w:t></w:t>
    </w:r>
    <w:r w:rsidRPr="006A1E74">
      <w:rPr>
        <w:rFonts w:ascii="C39T30Lfz" w:hAnsi="C39T30Lfz"/>
        <w:kern w:val="14"/>
        <w:sz w:val="56"/>
      </w:rPr>
      <w:t></w:t>
    </w:r>
    <w:r w:rsidRPr="006A1E74">
      <w:rPr>
        <w:rFonts w:ascii="C39T30Lfz" w:hAnsi="C39T30Lfz"/>
        <w:kern w:val="14"/>
        <w:sz w:val="56"/>
      </w:rPr>
      <w:t></w:t>
    </w:r>
    <w:r w:rsidRPr="006A1E74">
      <w:rPr>
        <w:rFonts w:ascii="C39T30Lfz" w:hAnsi="C39T30Lfz"/>
        <w:kern w:val="14"/>
        <w:sz w:val="56"/>
      </w:rPr>
      <w:t></w:t>
    </w:r>
    <w:r w:rsidRPr="006A1E74">
      <w:rPr>
        <w:rFonts w:ascii="C39T30Lfz" w:hAnsi="C39T30Lfz"/>
        <w:kern w:val="14"/>
        <w:sz w:val="56"/>
      </w:rPr>
      <w:t></w:t>
    </w:r>
    <w:r w:rsidRPr="006A1E7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MLI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MLI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53" w:rsidRPr="001075E9" w:rsidRDefault="006602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0253" w:rsidRDefault="006602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1E74" w:rsidRPr="004A3D06" w:rsidRDefault="006A1E74" w:rsidP="006A1E74">
      <w:pPr>
        <w:pStyle w:val="af"/>
        <w:spacing w:after="240"/>
      </w:pPr>
      <w:r>
        <w:tab/>
      </w:r>
      <w:r w:rsidRPr="006A1E74">
        <w:rPr>
          <w:rStyle w:val="a8"/>
          <w:sz w:val="20"/>
          <w:vertAlign w:val="baseline"/>
        </w:rPr>
        <w:t>*</w:t>
      </w:r>
      <w:r w:rsidRPr="00C22CD4">
        <w:rPr>
          <w:sz w:val="20"/>
        </w:rPr>
        <w:tab/>
      </w:r>
      <w:r w:rsidRPr="004A3D06">
        <w:t>Принят</w:t>
      </w:r>
      <w:r>
        <w:t>ы</w:t>
      </w:r>
      <w:r w:rsidRPr="004A3D06">
        <w:t xml:space="preserve"> Комитетом на его </w:t>
      </w:r>
      <w:r>
        <w:t>шестьдесят четвертой сессии (24 </w:t>
      </w:r>
      <w:r w:rsidRPr="004A3D06">
        <w:t>сентября</w:t>
      </w:r>
      <w:r w:rsidR="000667D4">
        <w:t xml:space="preserve"> </w:t>
      </w:r>
      <w:r w:rsidRPr="006A1E74">
        <w:t>–</w:t>
      </w:r>
      <w:r w:rsidR="000667D4">
        <w:t xml:space="preserve"> </w:t>
      </w:r>
      <w:r>
        <w:t>12 октября 2018 </w:t>
      </w:r>
      <w:r w:rsidRPr="004A3D06">
        <w:t>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74" w:rsidRPr="006A1E74" w:rsidRDefault="005608E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E/C.12/MLI/CO/1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74" w:rsidRPr="006A1E74" w:rsidRDefault="005608EA" w:rsidP="006A1E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E/C.12/MLI/CO/1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53"/>
    <w:rsid w:val="00033EE1"/>
    <w:rsid w:val="00042B72"/>
    <w:rsid w:val="00043B08"/>
    <w:rsid w:val="000558BD"/>
    <w:rsid w:val="000667D4"/>
    <w:rsid w:val="000857D2"/>
    <w:rsid w:val="000B57E7"/>
    <w:rsid w:val="000B6373"/>
    <w:rsid w:val="000F09DF"/>
    <w:rsid w:val="000F61B2"/>
    <w:rsid w:val="001075E9"/>
    <w:rsid w:val="001253D8"/>
    <w:rsid w:val="00136201"/>
    <w:rsid w:val="0014152F"/>
    <w:rsid w:val="00142F5E"/>
    <w:rsid w:val="00147FA8"/>
    <w:rsid w:val="00180183"/>
    <w:rsid w:val="0018024D"/>
    <w:rsid w:val="0018649F"/>
    <w:rsid w:val="00196389"/>
    <w:rsid w:val="001A56FF"/>
    <w:rsid w:val="001B3EF6"/>
    <w:rsid w:val="001C66EA"/>
    <w:rsid w:val="001C7A89"/>
    <w:rsid w:val="001D5C5A"/>
    <w:rsid w:val="00203065"/>
    <w:rsid w:val="00246C8F"/>
    <w:rsid w:val="002979E2"/>
    <w:rsid w:val="002A2EFC"/>
    <w:rsid w:val="002A6158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5594B"/>
    <w:rsid w:val="00381C24"/>
    <w:rsid w:val="003958D0"/>
    <w:rsid w:val="003A0D43"/>
    <w:rsid w:val="003B00E5"/>
    <w:rsid w:val="003B1D80"/>
    <w:rsid w:val="00407B78"/>
    <w:rsid w:val="00424203"/>
    <w:rsid w:val="0042551A"/>
    <w:rsid w:val="00452493"/>
    <w:rsid w:val="00453318"/>
    <w:rsid w:val="004543DC"/>
    <w:rsid w:val="00454E07"/>
    <w:rsid w:val="00472C5C"/>
    <w:rsid w:val="0050108D"/>
    <w:rsid w:val="0050792D"/>
    <w:rsid w:val="00513081"/>
    <w:rsid w:val="00517901"/>
    <w:rsid w:val="00526683"/>
    <w:rsid w:val="005341F8"/>
    <w:rsid w:val="005608EA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076E3"/>
    <w:rsid w:val="00640F49"/>
    <w:rsid w:val="00660253"/>
    <w:rsid w:val="00680680"/>
    <w:rsid w:val="00681A10"/>
    <w:rsid w:val="006A16E3"/>
    <w:rsid w:val="006A1E74"/>
    <w:rsid w:val="006A1ED8"/>
    <w:rsid w:val="006C2031"/>
    <w:rsid w:val="006D461A"/>
    <w:rsid w:val="006E1D36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9B075C"/>
    <w:rsid w:val="00A14DA8"/>
    <w:rsid w:val="00A21F00"/>
    <w:rsid w:val="00A2468D"/>
    <w:rsid w:val="00A312BC"/>
    <w:rsid w:val="00A44B2F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111F1"/>
    <w:rsid w:val="00C3742F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267"/>
    <w:rsid w:val="00E90403"/>
    <w:rsid w:val="00EA2C9F"/>
    <w:rsid w:val="00EA420E"/>
    <w:rsid w:val="00ED0BDA"/>
    <w:rsid w:val="00EE142A"/>
    <w:rsid w:val="00EF1360"/>
    <w:rsid w:val="00EF3220"/>
    <w:rsid w:val="00F31123"/>
    <w:rsid w:val="00F43903"/>
    <w:rsid w:val="00F5249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F9B4D"/>
  <w15:docId w15:val="{33D2D87F-6B61-41BA-96EC-86047C7D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tabs>
        <w:tab w:val="clear" w:pos="1701"/>
      </w:tabs>
      <w:spacing w:after="120"/>
      <w:ind w:left="1854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12</Pages>
  <Words>4339</Words>
  <Characters>30808</Characters>
  <Application>Microsoft Office Word</Application>
  <DocSecurity>0</DocSecurity>
  <Lines>581</Lines>
  <Paragraphs>161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E/C.12/MLI/CO/1</vt:lpstr>
      <vt:lpstr>A/</vt:lpstr>
      <vt:lpstr>A/</vt:lpstr>
    </vt:vector>
  </TitlesOfParts>
  <Company>DCM</Company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E/C.12/MLI/CO/1</dc:title>
  <dc:subject/>
  <dc:creator>Olga OVTCHINNIKOVA</dc:creator>
  <cp:keywords/>
  <cp:lastModifiedBy>Natalia Shuvalova</cp:lastModifiedBy>
  <cp:revision>3</cp:revision>
  <cp:lastPrinted>2018-11-21T13:17:00Z</cp:lastPrinted>
  <dcterms:created xsi:type="dcterms:W3CDTF">2018-11-21T13:17:00Z</dcterms:created>
  <dcterms:modified xsi:type="dcterms:W3CDTF">2018-11-21T13:18:00Z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