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495482" w:rsidTr="00F01516">
        <w:trPr>
          <w:trHeight w:hRule="exact" w:val="851"/>
        </w:trPr>
        <w:tc>
          <w:tcPr>
            <w:tcW w:w="1277" w:type="dxa"/>
            <w:tcBorders>
              <w:bottom w:val="single" w:sz="4" w:space="0" w:color="auto"/>
            </w:tcBorders>
          </w:tcPr>
          <w:p w:rsidR="003D1DF3" w:rsidRPr="00495482" w:rsidRDefault="003D1DF3" w:rsidP="00F01516"/>
        </w:tc>
        <w:tc>
          <w:tcPr>
            <w:tcW w:w="2268" w:type="dxa"/>
            <w:tcBorders>
              <w:bottom w:val="single" w:sz="4" w:space="0" w:color="auto"/>
            </w:tcBorders>
            <w:vAlign w:val="bottom"/>
          </w:tcPr>
          <w:p w:rsidR="003D1DF3" w:rsidRPr="00495482" w:rsidRDefault="003D1DF3" w:rsidP="00F01516">
            <w:pPr>
              <w:spacing w:after="80" w:line="300" w:lineRule="exact"/>
              <w:rPr>
                <w:sz w:val="28"/>
              </w:rPr>
            </w:pPr>
            <w:r w:rsidRPr="00495482">
              <w:rPr>
                <w:sz w:val="28"/>
              </w:rPr>
              <w:t>Nations Unies</w:t>
            </w:r>
          </w:p>
        </w:tc>
        <w:tc>
          <w:tcPr>
            <w:tcW w:w="6094" w:type="dxa"/>
            <w:gridSpan w:val="2"/>
            <w:tcBorders>
              <w:bottom w:val="single" w:sz="4" w:space="0" w:color="auto"/>
            </w:tcBorders>
            <w:vAlign w:val="bottom"/>
          </w:tcPr>
          <w:p w:rsidR="003D1DF3" w:rsidRPr="00495482" w:rsidRDefault="008C38D2" w:rsidP="00F01516">
            <w:pPr>
              <w:jc w:val="right"/>
            </w:pPr>
            <w:r w:rsidRPr="00495482">
              <w:rPr>
                <w:sz w:val="40"/>
                <w:lang w:val="fr-FR"/>
              </w:rPr>
              <w:t>E</w:t>
            </w:r>
            <w:r w:rsidRPr="00495482">
              <w:rPr>
                <w:lang w:val="fr-FR"/>
              </w:rPr>
              <w:t>/C.12/SVN/2</w:t>
            </w:r>
          </w:p>
        </w:tc>
      </w:tr>
      <w:tr w:rsidR="003D1DF3" w:rsidRPr="00495482" w:rsidTr="00F01516">
        <w:trPr>
          <w:trHeight w:hRule="exact" w:val="2835"/>
        </w:trPr>
        <w:tc>
          <w:tcPr>
            <w:tcW w:w="1276" w:type="dxa"/>
            <w:tcBorders>
              <w:top w:val="single" w:sz="4" w:space="0" w:color="auto"/>
              <w:bottom w:val="single" w:sz="12" w:space="0" w:color="auto"/>
            </w:tcBorders>
          </w:tcPr>
          <w:p w:rsidR="003D1DF3" w:rsidRPr="00495482" w:rsidRDefault="003D1DF3" w:rsidP="00F01516">
            <w:pPr>
              <w:spacing w:before="120"/>
              <w:jc w:val="center"/>
            </w:pPr>
            <w:r w:rsidRPr="004954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495482" w:rsidRDefault="003D1DF3" w:rsidP="00F01516">
            <w:pPr>
              <w:spacing w:before="120" w:line="420" w:lineRule="exact"/>
              <w:rPr>
                <w:b/>
                <w:sz w:val="40"/>
                <w:szCs w:val="40"/>
              </w:rPr>
            </w:pPr>
            <w:r w:rsidRPr="00495482">
              <w:rPr>
                <w:b/>
                <w:sz w:val="40"/>
                <w:szCs w:val="40"/>
              </w:rPr>
              <w:t>Conseil économique et social</w:t>
            </w:r>
          </w:p>
        </w:tc>
        <w:tc>
          <w:tcPr>
            <w:tcW w:w="2835" w:type="dxa"/>
            <w:tcBorders>
              <w:top w:val="single" w:sz="4" w:space="0" w:color="auto"/>
              <w:bottom w:val="single" w:sz="12" w:space="0" w:color="auto"/>
            </w:tcBorders>
          </w:tcPr>
          <w:p w:rsidR="008C38D2" w:rsidRPr="00495482" w:rsidRDefault="008C38D2" w:rsidP="008C38D2">
            <w:pPr>
              <w:spacing w:before="240" w:line="240" w:lineRule="exact"/>
              <w:rPr>
                <w:lang w:val="fr-FR"/>
              </w:rPr>
            </w:pPr>
            <w:r w:rsidRPr="00495482">
              <w:rPr>
                <w:lang w:val="fr-FR"/>
              </w:rPr>
              <w:t>Distr. générale</w:t>
            </w:r>
          </w:p>
          <w:p w:rsidR="008C38D2" w:rsidRPr="00495482" w:rsidRDefault="008C38D2" w:rsidP="008C38D2">
            <w:pPr>
              <w:spacing w:line="240" w:lineRule="exact"/>
              <w:rPr>
                <w:lang w:val="fr-FR"/>
              </w:rPr>
            </w:pPr>
            <w:r w:rsidRPr="00495482">
              <w:rPr>
                <w:lang w:val="fr-FR"/>
              </w:rPr>
              <w:t>26 juin 2013</w:t>
            </w:r>
          </w:p>
          <w:p w:rsidR="003D1DF3" w:rsidRPr="00495482" w:rsidRDefault="008C38D2" w:rsidP="0053755B">
            <w:pPr>
              <w:spacing w:line="240" w:lineRule="exact"/>
            </w:pPr>
            <w:r w:rsidRPr="00495482">
              <w:rPr>
                <w:lang w:val="fr-FR"/>
              </w:rPr>
              <w:t>Français</w:t>
            </w:r>
            <w:r w:rsidR="0053755B" w:rsidRPr="00495482">
              <w:rPr>
                <w:lang w:val="fr-FR"/>
              </w:rPr>
              <w:br/>
            </w:r>
            <w:r w:rsidRPr="00495482">
              <w:rPr>
                <w:lang w:val="fr-FR"/>
              </w:rPr>
              <w:t>Original: anglais</w:t>
            </w:r>
          </w:p>
        </w:tc>
      </w:tr>
    </w:tbl>
    <w:p w:rsidR="00317603" w:rsidRPr="00495482" w:rsidRDefault="00317603" w:rsidP="00317603">
      <w:pPr>
        <w:spacing w:before="120"/>
        <w:rPr>
          <w:b/>
          <w:sz w:val="24"/>
          <w:szCs w:val="24"/>
          <w:lang w:val="fr-FR"/>
        </w:rPr>
      </w:pPr>
      <w:r w:rsidRPr="00495482">
        <w:rPr>
          <w:b/>
          <w:sz w:val="24"/>
          <w:szCs w:val="24"/>
          <w:lang w:val="fr-FR"/>
        </w:rPr>
        <w:t>Comité des droits économiques</w:t>
      </w:r>
      <w:r w:rsidR="005D0F0F" w:rsidRPr="00495482">
        <w:rPr>
          <w:b/>
          <w:sz w:val="24"/>
          <w:szCs w:val="24"/>
          <w:lang w:val="fr-FR"/>
        </w:rPr>
        <w:t>,</w:t>
      </w:r>
      <w:r w:rsidRPr="00495482">
        <w:rPr>
          <w:b/>
          <w:sz w:val="24"/>
          <w:szCs w:val="24"/>
          <w:lang w:val="fr-FR"/>
        </w:rPr>
        <w:t xml:space="preserve"> sociaux et culturels</w:t>
      </w:r>
    </w:p>
    <w:p w:rsidR="00317603" w:rsidRPr="00495482" w:rsidRDefault="00317603" w:rsidP="00317603">
      <w:pPr>
        <w:keepNext/>
        <w:keepLines/>
        <w:tabs>
          <w:tab w:val="right" w:pos="851"/>
        </w:tabs>
        <w:spacing w:before="240" w:after="240" w:line="360" w:lineRule="exact"/>
        <w:ind w:left="1134" w:right="1134" w:hanging="1134"/>
        <w:rPr>
          <w:b/>
          <w:sz w:val="34"/>
          <w:lang w:val="fr-FR"/>
        </w:rPr>
      </w:pPr>
      <w:r w:rsidRPr="00495482">
        <w:rPr>
          <w:b/>
          <w:sz w:val="34"/>
          <w:lang w:val="fr-FR"/>
        </w:rPr>
        <w:tab/>
      </w:r>
      <w:r w:rsidRPr="00495482">
        <w:rPr>
          <w:b/>
          <w:sz w:val="34"/>
          <w:lang w:val="fr-FR"/>
        </w:rPr>
        <w:tab/>
        <w:t xml:space="preserve">Examen des rapports présentés par les États parties conformément aux </w:t>
      </w:r>
      <w:r w:rsidR="00A32D09" w:rsidRPr="00495482">
        <w:rPr>
          <w:b/>
          <w:sz w:val="34"/>
          <w:lang w:val="fr-FR"/>
        </w:rPr>
        <w:t xml:space="preserve">articles </w:t>
      </w:r>
      <w:r w:rsidRPr="00495482">
        <w:rPr>
          <w:b/>
          <w:sz w:val="34"/>
          <w:lang w:val="fr-FR"/>
        </w:rPr>
        <w:t xml:space="preserve">16 et 17 du Pacte </w:t>
      </w:r>
    </w:p>
    <w:p w:rsidR="00317603" w:rsidRPr="00495482" w:rsidRDefault="00317603" w:rsidP="00317603">
      <w:pPr>
        <w:keepNext/>
        <w:keepLines/>
        <w:tabs>
          <w:tab w:val="right" w:pos="851"/>
        </w:tabs>
        <w:spacing w:before="360" w:after="240" w:line="300" w:lineRule="exact"/>
        <w:ind w:left="1134" w:right="1134" w:hanging="1134"/>
        <w:rPr>
          <w:b/>
          <w:sz w:val="28"/>
          <w:lang w:val="fr-FR"/>
        </w:rPr>
      </w:pPr>
      <w:r w:rsidRPr="00495482">
        <w:rPr>
          <w:b/>
          <w:sz w:val="28"/>
          <w:lang w:val="fr-FR"/>
        </w:rPr>
        <w:tab/>
      </w:r>
      <w:r w:rsidRPr="00495482">
        <w:rPr>
          <w:b/>
          <w:sz w:val="28"/>
          <w:lang w:val="fr-FR"/>
        </w:rPr>
        <w:tab/>
        <w:t>Deuxièmes rapports périodiques des États parties attendus en</w:t>
      </w:r>
      <w:r w:rsidR="00A32D09" w:rsidRPr="00495482">
        <w:rPr>
          <w:b/>
          <w:sz w:val="28"/>
          <w:lang w:val="fr-FR"/>
        </w:rPr>
        <w:t> </w:t>
      </w:r>
      <w:r w:rsidRPr="00495482">
        <w:rPr>
          <w:b/>
          <w:sz w:val="28"/>
          <w:lang w:val="fr-FR"/>
        </w:rPr>
        <w:t>2010</w:t>
      </w:r>
    </w:p>
    <w:p w:rsidR="00317603" w:rsidRPr="00495482" w:rsidRDefault="00317603" w:rsidP="00317603">
      <w:pPr>
        <w:keepNext/>
        <w:keepLines/>
        <w:tabs>
          <w:tab w:val="right" w:pos="851"/>
        </w:tabs>
        <w:spacing w:before="240" w:after="240" w:line="360" w:lineRule="exact"/>
        <w:ind w:left="1134" w:right="1134" w:hanging="1134"/>
        <w:rPr>
          <w:b/>
          <w:sz w:val="34"/>
          <w:lang w:val="fr-FR"/>
        </w:rPr>
      </w:pPr>
      <w:r w:rsidRPr="00495482">
        <w:rPr>
          <w:b/>
          <w:sz w:val="34"/>
          <w:lang w:val="fr-FR"/>
        </w:rPr>
        <w:tab/>
      </w:r>
      <w:r w:rsidRPr="00495482">
        <w:rPr>
          <w:b/>
          <w:sz w:val="34"/>
          <w:lang w:val="fr-FR"/>
        </w:rPr>
        <w:tab/>
        <w:t>Slovénie</w:t>
      </w:r>
      <w:r w:rsidRPr="00495482">
        <w:rPr>
          <w:lang w:val="fr-FR"/>
        </w:rPr>
        <w:footnoteReference w:customMarkFollows="1" w:id="2"/>
        <w:t>*</w:t>
      </w:r>
    </w:p>
    <w:p w:rsidR="00317603" w:rsidRPr="00495482" w:rsidRDefault="00317603" w:rsidP="00317603">
      <w:pPr>
        <w:spacing w:after="120"/>
        <w:ind w:left="1134" w:right="1134"/>
        <w:jc w:val="right"/>
        <w:rPr>
          <w:lang w:val="fr-FR"/>
        </w:rPr>
      </w:pPr>
      <w:r w:rsidRPr="00495482">
        <w:rPr>
          <w:lang w:val="fr-FR"/>
        </w:rPr>
        <w:t>[22 juin 2011]</w:t>
      </w:r>
    </w:p>
    <w:p w:rsidR="00317603" w:rsidRPr="00495482" w:rsidRDefault="00317603" w:rsidP="00317603">
      <w:pPr>
        <w:spacing w:after="120"/>
        <w:rPr>
          <w:sz w:val="28"/>
          <w:lang w:val="fr-FR"/>
        </w:rPr>
      </w:pPr>
      <w:r w:rsidRPr="00495482">
        <w:rPr>
          <w:lang w:val="fr-FR"/>
        </w:rPr>
        <w:br w:type="page"/>
      </w:r>
      <w:r w:rsidRPr="00495482">
        <w:rPr>
          <w:sz w:val="28"/>
          <w:lang w:val="fr-FR"/>
        </w:rPr>
        <w:t>Sommaire</w:t>
      </w:r>
    </w:p>
    <w:p w:rsidR="00317603" w:rsidRPr="00495482" w:rsidRDefault="00317603" w:rsidP="00317603">
      <w:pPr>
        <w:tabs>
          <w:tab w:val="right" w:pos="8929"/>
          <w:tab w:val="right" w:pos="9638"/>
        </w:tabs>
        <w:spacing w:after="120"/>
        <w:ind w:left="283"/>
        <w:rPr>
          <w:lang w:val="fr-FR"/>
        </w:rPr>
      </w:pPr>
      <w:r w:rsidRPr="00495482">
        <w:rPr>
          <w:i/>
          <w:sz w:val="18"/>
          <w:lang w:val="fr-FR"/>
        </w:rPr>
        <w:tab/>
        <w:t>Paragraphes</w:t>
      </w:r>
      <w:r w:rsidRPr="00495482">
        <w:rPr>
          <w:i/>
          <w:sz w:val="18"/>
          <w:lang w:val="fr-FR"/>
        </w:rPr>
        <w:tab/>
        <w:t>Page</w:t>
      </w:r>
    </w:p>
    <w:p w:rsidR="00185DB0" w:rsidRPr="00495482" w:rsidRDefault="00317603" w:rsidP="00185DB0">
      <w:pPr>
        <w:tabs>
          <w:tab w:val="right" w:pos="850"/>
          <w:tab w:val="left" w:pos="1134"/>
          <w:tab w:val="left" w:pos="1559"/>
          <w:tab w:val="left" w:pos="1984"/>
          <w:tab w:val="left" w:leader="dot" w:pos="7654"/>
          <w:tab w:val="right" w:pos="8929"/>
          <w:tab w:val="right" w:pos="9638"/>
        </w:tabs>
        <w:spacing w:after="120"/>
        <w:rPr>
          <w:lang w:val="fr-FR"/>
        </w:rPr>
      </w:pPr>
      <w:r w:rsidRPr="00495482">
        <w:rPr>
          <w:lang w:val="fr-FR"/>
        </w:rPr>
        <w:tab/>
        <w:t>I.</w:t>
      </w:r>
      <w:r w:rsidRPr="00495482">
        <w:rPr>
          <w:lang w:val="fr-FR"/>
        </w:rPr>
        <w:tab/>
        <w:t>Introduction</w:t>
      </w:r>
      <w:r w:rsidRPr="00495482">
        <w:rPr>
          <w:lang w:val="fr-FR"/>
        </w:rPr>
        <w:tab/>
      </w:r>
      <w:r w:rsidRPr="00495482">
        <w:rPr>
          <w:lang w:val="fr-FR"/>
        </w:rPr>
        <w:tab/>
        <w:t>1</w:t>
      </w:r>
      <w:r w:rsidR="001E14AC" w:rsidRPr="00495482">
        <w:rPr>
          <w:lang w:val="fr-FR"/>
        </w:rPr>
        <w:t>–</w:t>
      </w:r>
      <w:r w:rsidRPr="00495482">
        <w:rPr>
          <w:lang w:val="fr-FR"/>
        </w:rPr>
        <w:t>3</w:t>
      </w:r>
      <w:r w:rsidRPr="00495482">
        <w:rPr>
          <w:lang w:val="fr-FR"/>
        </w:rPr>
        <w:tab/>
        <w:t>3</w:t>
      </w:r>
    </w:p>
    <w:p w:rsidR="00317603" w:rsidRPr="00495482" w:rsidRDefault="00317603" w:rsidP="00185DB0">
      <w:pPr>
        <w:tabs>
          <w:tab w:val="right" w:pos="850"/>
          <w:tab w:val="left" w:pos="1134"/>
          <w:tab w:val="left" w:pos="1559"/>
          <w:tab w:val="left" w:pos="1984"/>
          <w:tab w:val="left" w:leader="dot" w:pos="7654"/>
          <w:tab w:val="right" w:pos="8929"/>
          <w:tab w:val="right" w:pos="9638"/>
        </w:tabs>
        <w:spacing w:after="120"/>
        <w:rPr>
          <w:lang w:val="fr-FR"/>
        </w:rPr>
      </w:pPr>
      <w:r w:rsidRPr="00495482">
        <w:rPr>
          <w:lang w:val="fr-FR"/>
        </w:rPr>
        <w:tab/>
        <w:t>II.</w:t>
      </w:r>
      <w:r w:rsidRPr="00495482">
        <w:rPr>
          <w:lang w:val="fr-FR"/>
        </w:rPr>
        <w:tab/>
        <w:t xml:space="preserve">Dispositions générales du Pacte </w:t>
      </w:r>
      <w:r w:rsidRPr="00495482">
        <w:rPr>
          <w:lang w:val="fr-FR"/>
        </w:rPr>
        <w:tab/>
      </w:r>
      <w:r w:rsidRPr="00495482">
        <w:rPr>
          <w:lang w:val="fr-FR"/>
        </w:rPr>
        <w:tab/>
        <w:t>4</w:t>
      </w:r>
      <w:r w:rsidR="001E14AC" w:rsidRPr="00495482">
        <w:rPr>
          <w:lang w:val="fr-FR"/>
        </w:rPr>
        <w:t>–</w:t>
      </w:r>
      <w:r w:rsidRPr="00495482">
        <w:rPr>
          <w:lang w:val="fr-FR"/>
        </w:rPr>
        <w:t>46</w:t>
      </w:r>
      <w:r w:rsidRPr="00495482">
        <w:rPr>
          <w:lang w:val="fr-FR"/>
        </w:rPr>
        <w:tab/>
        <w:t>3</w:t>
      </w:r>
    </w:p>
    <w:p w:rsidR="00317603" w:rsidRPr="00495482" w:rsidRDefault="00317603" w:rsidP="001E14AC">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premier</w:t>
      </w:r>
      <w:r w:rsidR="00185DB0" w:rsidRPr="00495482">
        <w:tab/>
      </w:r>
      <w:r w:rsidRPr="00495482">
        <w:t>Droit à l</w:t>
      </w:r>
      <w:r w:rsidR="005D0F0F" w:rsidRPr="00495482">
        <w:t>’</w:t>
      </w:r>
      <w:r w:rsidRPr="00495482">
        <w:t>autodétermination</w:t>
      </w:r>
      <w:r w:rsidRPr="00495482">
        <w:tab/>
      </w:r>
      <w:r w:rsidRPr="00495482">
        <w:tab/>
        <w:t>4</w:t>
      </w:r>
      <w:r w:rsidRPr="00495482">
        <w:tab/>
        <w:t>3</w:t>
      </w:r>
    </w:p>
    <w:p w:rsidR="00317603" w:rsidRPr="00495482" w:rsidRDefault="00185DB0"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r>
      <w:r w:rsidR="00317603" w:rsidRPr="00495482">
        <w:t>Article 2</w:t>
      </w:r>
      <w:r w:rsidRPr="00495482">
        <w:tab/>
      </w:r>
      <w:r w:rsidR="001E14AC" w:rsidRPr="00495482">
        <w:tab/>
      </w:r>
      <w:r w:rsidR="00317603" w:rsidRPr="00495482">
        <w:t>Réalisation des droits reconnus par le Pacte</w:t>
      </w:r>
      <w:r w:rsidR="00317603" w:rsidRPr="00495482">
        <w:tab/>
      </w:r>
      <w:r w:rsidR="00317603" w:rsidRPr="00495482">
        <w:tab/>
        <w:t>5</w:t>
      </w:r>
      <w:r w:rsidR="001E14AC" w:rsidRPr="00495482">
        <w:t>–</w:t>
      </w:r>
      <w:r w:rsidR="00317603" w:rsidRPr="00495482">
        <w:t>22</w:t>
      </w:r>
      <w:r w:rsidR="00317603" w:rsidRPr="00495482">
        <w:tab/>
        <w:t>4</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3</w:t>
      </w:r>
      <w:r w:rsidR="00185DB0" w:rsidRPr="00495482">
        <w:tab/>
      </w:r>
      <w:r w:rsidR="00185DB0" w:rsidRPr="00495482">
        <w:tab/>
      </w:r>
      <w:r w:rsidRPr="00495482">
        <w:t>Principe de l</w:t>
      </w:r>
      <w:r w:rsidR="005D0F0F" w:rsidRPr="00495482">
        <w:t>’</w:t>
      </w:r>
      <w:r w:rsidRPr="00495482">
        <w:t>égalité des chances entre hommes et femmes</w:t>
      </w:r>
      <w:r w:rsidRPr="00495482">
        <w:tab/>
      </w:r>
      <w:r w:rsidRPr="00495482">
        <w:tab/>
        <w:t>23</w:t>
      </w:r>
      <w:r w:rsidR="001E14AC" w:rsidRPr="00495482">
        <w:t>–</w:t>
      </w:r>
      <w:r w:rsidRPr="00495482">
        <w:t>45</w:t>
      </w:r>
      <w:r w:rsidRPr="00495482">
        <w:tab/>
        <w:t>10</w:t>
      </w:r>
    </w:p>
    <w:p w:rsidR="00317603" w:rsidRPr="00495482" w:rsidRDefault="00317603" w:rsidP="001E14AC">
      <w:pPr>
        <w:tabs>
          <w:tab w:val="right" w:pos="850"/>
          <w:tab w:val="left" w:pos="1134"/>
          <w:tab w:val="left" w:pos="1559"/>
          <w:tab w:val="left" w:pos="2552"/>
          <w:tab w:val="left" w:leader="dot" w:pos="7654"/>
          <w:tab w:val="right" w:pos="8929"/>
          <w:tab w:val="right" w:pos="9638"/>
        </w:tabs>
        <w:spacing w:after="120"/>
        <w:ind w:left="2552" w:hanging="2552"/>
      </w:pPr>
      <w:r w:rsidRPr="00495482">
        <w:tab/>
      </w:r>
      <w:r w:rsidRPr="00495482">
        <w:tab/>
        <w:t>Articles 4 et 5</w:t>
      </w:r>
      <w:r w:rsidR="00185DB0" w:rsidRPr="00495482">
        <w:tab/>
      </w:r>
      <w:r w:rsidRPr="00495482">
        <w:t>Limitations apportées à la jouissance des droits</w:t>
      </w:r>
      <w:r w:rsidR="005D0F0F" w:rsidRPr="00495482">
        <w:t>,</w:t>
      </w:r>
      <w:r w:rsidRPr="00495482">
        <w:t xml:space="preserve"> </w:t>
      </w:r>
      <w:r w:rsidR="00185DB0" w:rsidRPr="00495482">
        <w:t>i</w:t>
      </w:r>
      <w:r w:rsidRPr="00495482">
        <w:t xml:space="preserve">nterdiction </w:t>
      </w:r>
      <w:r w:rsidR="00185DB0" w:rsidRPr="00495482">
        <w:br/>
      </w:r>
      <w:r w:rsidRPr="00495482">
        <w:t>de l</w:t>
      </w:r>
      <w:r w:rsidR="005D0F0F" w:rsidRPr="00495482">
        <w:t>’</w:t>
      </w:r>
      <w:r w:rsidRPr="00495482">
        <w:t xml:space="preserve">abus de droits et principe de la primauté des droits les </w:t>
      </w:r>
      <w:r w:rsidR="001E14AC" w:rsidRPr="00495482">
        <w:br/>
      </w:r>
      <w:r w:rsidRPr="00495482">
        <w:t>plus favorables</w:t>
      </w:r>
      <w:r w:rsidRPr="00495482">
        <w:tab/>
      </w:r>
      <w:r w:rsidR="001E14AC" w:rsidRPr="00495482">
        <w:tab/>
      </w:r>
      <w:r w:rsidRPr="00495482">
        <w:t>46</w:t>
      </w:r>
      <w:r w:rsidRPr="00495482">
        <w:tab/>
        <w:t>1</w:t>
      </w:r>
      <w:r w:rsidR="003759D0">
        <w:t>5</w:t>
      </w:r>
    </w:p>
    <w:p w:rsidR="00317603" w:rsidRPr="00495482" w:rsidRDefault="00317603" w:rsidP="00317603">
      <w:pPr>
        <w:tabs>
          <w:tab w:val="right" w:pos="850"/>
          <w:tab w:val="left" w:pos="1134"/>
          <w:tab w:val="left" w:pos="1559"/>
          <w:tab w:val="left" w:pos="1984"/>
          <w:tab w:val="left" w:leader="dot" w:pos="7654"/>
          <w:tab w:val="right" w:pos="8929"/>
          <w:tab w:val="right" w:pos="9638"/>
        </w:tabs>
        <w:spacing w:before="120" w:after="120"/>
        <w:rPr>
          <w:lang w:val="fr-FR"/>
        </w:rPr>
      </w:pPr>
      <w:r w:rsidRPr="00495482">
        <w:rPr>
          <w:lang w:val="fr-FR"/>
        </w:rPr>
        <w:tab/>
        <w:t>III.</w:t>
      </w:r>
      <w:r w:rsidRPr="00495482">
        <w:rPr>
          <w:lang w:val="fr-FR"/>
        </w:rPr>
        <w:tab/>
        <w:t>Droits spéciaux</w:t>
      </w:r>
      <w:r w:rsidRPr="00495482">
        <w:rPr>
          <w:lang w:val="fr-FR"/>
        </w:rPr>
        <w:tab/>
      </w:r>
      <w:r w:rsidRPr="00495482">
        <w:rPr>
          <w:lang w:val="fr-FR"/>
        </w:rPr>
        <w:tab/>
        <w:t>47</w:t>
      </w:r>
      <w:r w:rsidR="001E14AC" w:rsidRPr="00495482">
        <w:rPr>
          <w:lang w:val="fr-FR"/>
        </w:rPr>
        <w:t>–</w:t>
      </w:r>
      <w:r w:rsidRPr="00495482">
        <w:rPr>
          <w:lang w:val="fr-FR"/>
        </w:rPr>
        <w:t>212</w:t>
      </w:r>
      <w:r w:rsidRPr="00495482">
        <w:rPr>
          <w:lang w:val="fr-FR"/>
        </w:rPr>
        <w:tab/>
        <w:t>15</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6</w:t>
      </w:r>
      <w:r w:rsidR="001E14AC" w:rsidRPr="00495482">
        <w:tab/>
      </w:r>
      <w:r w:rsidR="001E14AC" w:rsidRPr="00495482">
        <w:tab/>
      </w:r>
      <w:r w:rsidRPr="00495482">
        <w:t>Droit au travail</w:t>
      </w:r>
      <w:r w:rsidRPr="00495482">
        <w:tab/>
      </w:r>
      <w:r w:rsidRPr="00495482">
        <w:tab/>
        <w:t>47</w:t>
      </w:r>
      <w:r w:rsidR="001E14AC" w:rsidRPr="00495482">
        <w:t>–</w:t>
      </w:r>
      <w:r w:rsidRPr="00495482">
        <w:t>78</w:t>
      </w:r>
      <w:r w:rsidRPr="00495482">
        <w:tab/>
        <w:t>15</w:t>
      </w:r>
    </w:p>
    <w:p w:rsidR="00317603" w:rsidRPr="00495482" w:rsidRDefault="001E14AC" w:rsidP="001E14AC">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r>
      <w:r w:rsidR="00317603" w:rsidRPr="00495482">
        <w:t>Article 7</w:t>
      </w:r>
      <w:r w:rsidRPr="00495482">
        <w:tab/>
      </w:r>
      <w:r w:rsidRPr="00495482">
        <w:tab/>
      </w:r>
      <w:r w:rsidR="00317603" w:rsidRPr="00495482">
        <w:t>Droit à des conditions de travail justes et favorables</w:t>
      </w:r>
      <w:r w:rsidR="00317603" w:rsidRPr="00495482">
        <w:tab/>
      </w:r>
      <w:r w:rsidR="00317603" w:rsidRPr="00495482">
        <w:tab/>
        <w:t>79</w:t>
      </w:r>
      <w:r w:rsidRPr="00495482">
        <w:t>–</w:t>
      </w:r>
      <w:r w:rsidR="00317603" w:rsidRPr="00495482">
        <w:t>89</w:t>
      </w:r>
      <w:r w:rsidR="00317603" w:rsidRPr="00495482">
        <w:tab/>
        <w:t>22</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8</w:t>
      </w:r>
      <w:r w:rsidR="001E14AC" w:rsidRPr="00495482">
        <w:tab/>
      </w:r>
      <w:r w:rsidR="001E14AC" w:rsidRPr="00495482">
        <w:tab/>
      </w:r>
      <w:r w:rsidRPr="00495482">
        <w:t>Droits syndicaux</w:t>
      </w:r>
      <w:r w:rsidRPr="00495482">
        <w:tab/>
      </w:r>
      <w:r w:rsidRPr="00495482">
        <w:tab/>
        <w:t>90</w:t>
      </w:r>
      <w:r w:rsidR="001E14AC" w:rsidRPr="00495482">
        <w:t>–</w:t>
      </w:r>
      <w:r w:rsidRPr="00495482">
        <w:t>93</w:t>
      </w:r>
      <w:r w:rsidRPr="00495482">
        <w:tab/>
        <w:t>24</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9</w:t>
      </w:r>
      <w:r w:rsidR="001E14AC" w:rsidRPr="00495482">
        <w:tab/>
      </w:r>
      <w:r w:rsidR="001E14AC" w:rsidRPr="00495482">
        <w:tab/>
      </w:r>
      <w:r w:rsidRPr="00495482">
        <w:t>Droit à la sécurité sociale</w:t>
      </w:r>
      <w:r w:rsidRPr="00495482">
        <w:tab/>
      </w:r>
      <w:r w:rsidRPr="00495482">
        <w:tab/>
        <w:t>94</w:t>
      </w:r>
      <w:r w:rsidR="001E14AC" w:rsidRPr="00495482">
        <w:t>–</w:t>
      </w:r>
      <w:r w:rsidRPr="00495482">
        <w:t>107</w:t>
      </w:r>
      <w:r w:rsidRPr="00495482">
        <w:tab/>
        <w:t>25</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10</w:t>
      </w:r>
      <w:r w:rsidR="001E14AC" w:rsidRPr="00495482">
        <w:tab/>
      </w:r>
      <w:r w:rsidR="001E14AC" w:rsidRPr="00495482">
        <w:tab/>
      </w:r>
      <w:r w:rsidRPr="00495482">
        <w:t>Protection de la famille</w:t>
      </w:r>
      <w:r w:rsidR="005D0F0F" w:rsidRPr="00495482">
        <w:t>,</w:t>
      </w:r>
      <w:r w:rsidRPr="00495482">
        <w:t xml:space="preserve"> des mères et des enfants</w:t>
      </w:r>
      <w:r w:rsidRPr="00495482">
        <w:tab/>
      </w:r>
      <w:r w:rsidRPr="00495482">
        <w:tab/>
        <w:t>108</w:t>
      </w:r>
      <w:r w:rsidR="001E14AC" w:rsidRPr="00495482">
        <w:t>–</w:t>
      </w:r>
      <w:r w:rsidRPr="00495482">
        <w:t>146</w:t>
      </w:r>
      <w:r w:rsidRPr="00495482">
        <w:tab/>
        <w:t>29</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 11</w:t>
      </w:r>
      <w:r w:rsidR="001E14AC" w:rsidRPr="00495482">
        <w:tab/>
      </w:r>
      <w:r w:rsidR="001E14AC" w:rsidRPr="00495482">
        <w:tab/>
      </w:r>
      <w:r w:rsidRPr="00495482">
        <w:t>Droit à un niveau de vie suffisant</w:t>
      </w:r>
      <w:r w:rsidRPr="00495482">
        <w:tab/>
      </w:r>
      <w:r w:rsidRPr="00495482">
        <w:tab/>
        <w:t>147</w:t>
      </w:r>
      <w:r w:rsidR="001E14AC" w:rsidRPr="00495482">
        <w:t>–</w:t>
      </w:r>
      <w:r w:rsidRPr="00495482">
        <w:t>165</w:t>
      </w:r>
      <w:r w:rsidRPr="00495482">
        <w:tab/>
        <w:t>36</w:t>
      </w:r>
    </w:p>
    <w:p w:rsidR="00317603" w:rsidRPr="00495482" w:rsidRDefault="00317603" w:rsidP="001E14AC">
      <w:pPr>
        <w:tabs>
          <w:tab w:val="right" w:pos="850"/>
          <w:tab w:val="left" w:pos="1134"/>
          <w:tab w:val="left" w:pos="1559"/>
          <w:tab w:val="left" w:pos="2552"/>
          <w:tab w:val="left" w:leader="dot" w:pos="7654"/>
          <w:tab w:val="right" w:pos="8929"/>
          <w:tab w:val="right" w:pos="9638"/>
        </w:tabs>
        <w:spacing w:after="120"/>
        <w:ind w:left="2552" w:hanging="2552"/>
      </w:pPr>
      <w:r w:rsidRPr="00495482">
        <w:tab/>
      </w:r>
      <w:r w:rsidRPr="00495482">
        <w:tab/>
        <w:t>Article 12</w:t>
      </w:r>
      <w:r w:rsidR="001E14AC" w:rsidRPr="00495482">
        <w:tab/>
      </w:r>
      <w:r w:rsidRPr="00495482">
        <w:t>Droit qu</w:t>
      </w:r>
      <w:r w:rsidR="005D0F0F" w:rsidRPr="00495482">
        <w:t>’</w:t>
      </w:r>
      <w:r w:rsidRPr="00495482">
        <w:t xml:space="preserve">a toute personne de jouir du meilleur état de santé </w:t>
      </w:r>
      <w:r w:rsidR="00185DB0" w:rsidRPr="00495482">
        <w:br/>
      </w:r>
      <w:r w:rsidRPr="00495482">
        <w:t>physique</w:t>
      </w:r>
      <w:r w:rsidR="00185DB0" w:rsidRPr="00495482">
        <w:t xml:space="preserve"> </w:t>
      </w:r>
      <w:r w:rsidRPr="00495482">
        <w:t>et mentale qu</w:t>
      </w:r>
      <w:r w:rsidR="005D0F0F" w:rsidRPr="00495482">
        <w:t>’</w:t>
      </w:r>
      <w:r w:rsidRPr="00495482">
        <w:t>elle soit capable d</w:t>
      </w:r>
      <w:r w:rsidR="005D0F0F" w:rsidRPr="00495482">
        <w:t>’</w:t>
      </w:r>
      <w:r w:rsidRPr="00495482">
        <w:t>atteindre</w:t>
      </w:r>
      <w:r w:rsidRPr="00495482">
        <w:tab/>
      </w:r>
      <w:r w:rsidRPr="00495482">
        <w:tab/>
        <w:t>166</w:t>
      </w:r>
      <w:r w:rsidR="001E14AC" w:rsidRPr="00495482">
        <w:t>–</w:t>
      </w:r>
      <w:r w:rsidRPr="00495482">
        <w:t>174</w:t>
      </w:r>
      <w:r w:rsidRPr="00495482">
        <w:tab/>
        <w:t>40</w:t>
      </w:r>
    </w:p>
    <w:p w:rsidR="00317603" w:rsidRPr="00495482" w:rsidRDefault="00317603" w:rsidP="00185DB0">
      <w:pPr>
        <w:tabs>
          <w:tab w:val="right" w:pos="850"/>
          <w:tab w:val="left" w:pos="1134"/>
          <w:tab w:val="left" w:pos="1559"/>
          <w:tab w:val="left" w:pos="2552"/>
          <w:tab w:val="left" w:leader="dot" w:pos="7654"/>
          <w:tab w:val="right" w:pos="8929"/>
          <w:tab w:val="right" w:pos="9638"/>
        </w:tabs>
        <w:spacing w:after="120"/>
        <w:ind w:left="2302" w:hanging="2302"/>
      </w:pPr>
      <w:r w:rsidRPr="00495482">
        <w:tab/>
      </w:r>
      <w:r w:rsidRPr="00495482">
        <w:tab/>
        <w:t>Articles 13 et 14</w:t>
      </w:r>
      <w:r w:rsidR="001E14AC" w:rsidRPr="00495482">
        <w:tab/>
      </w:r>
      <w:r w:rsidRPr="00495482">
        <w:t>Droit à l</w:t>
      </w:r>
      <w:r w:rsidR="005D0F0F" w:rsidRPr="00495482">
        <w:t>’</w:t>
      </w:r>
      <w:r w:rsidRPr="00495482">
        <w:t>éducation</w:t>
      </w:r>
      <w:r w:rsidRPr="00495482">
        <w:tab/>
      </w:r>
      <w:r w:rsidRPr="00495482">
        <w:tab/>
        <w:t>175</w:t>
      </w:r>
      <w:r w:rsidR="001E14AC" w:rsidRPr="00495482">
        <w:t>–</w:t>
      </w:r>
      <w:r w:rsidRPr="00495482">
        <w:t>183</w:t>
      </w:r>
      <w:r w:rsidRPr="00495482">
        <w:tab/>
        <w:t>42</w:t>
      </w:r>
    </w:p>
    <w:p w:rsidR="00317603" w:rsidRPr="00495482" w:rsidRDefault="00317603" w:rsidP="001E14AC">
      <w:pPr>
        <w:tabs>
          <w:tab w:val="right" w:pos="850"/>
          <w:tab w:val="left" w:pos="1134"/>
          <w:tab w:val="left" w:pos="1559"/>
          <w:tab w:val="left" w:pos="2552"/>
          <w:tab w:val="left" w:leader="dot" w:pos="7654"/>
          <w:tab w:val="right" w:pos="8929"/>
          <w:tab w:val="right" w:pos="9638"/>
        </w:tabs>
        <w:spacing w:after="120"/>
        <w:ind w:left="2552" w:hanging="2552"/>
      </w:pPr>
      <w:r w:rsidRPr="00495482">
        <w:tab/>
      </w:r>
      <w:r w:rsidRPr="00495482">
        <w:tab/>
        <w:t>Article 15</w:t>
      </w:r>
      <w:r w:rsidR="001E14AC" w:rsidRPr="00495482">
        <w:tab/>
      </w:r>
      <w:r w:rsidRPr="00495482">
        <w:t>Droit de chacun de participer à la vie culturelle</w:t>
      </w:r>
      <w:r w:rsidR="005D0F0F" w:rsidRPr="00495482">
        <w:t>,</w:t>
      </w:r>
      <w:r w:rsidRPr="00495482">
        <w:t xml:space="preserve"> de bénéficier </w:t>
      </w:r>
      <w:r w:rsidR="001E14AC" w:rsidRPr="00495482">
        <w:br/>
      </w:r>
      <w:r w:rsidRPr="00495482">
        <w:t>du progrès</w:t>
      </w:r>
      <w:r w:rsidR="001E14AC" w:rsidRPr="00495482">
        <w:t xml:space="preserve"> </w:t>
      </w:r>
      <w:r w:rsidRPr="00495482">
        <w:t>scientifique et de ses applications</w:t>
      </w:r>
      <w:r w:rsidR="005D0F0F" w:rsidRPr="00495482">
        <w:t>,</w:t>
      </w:r>
      <w:r w:rsidRPr="00495482">
        <w:t xml:space="preserve"> et de bénéficier </w:t>
      </w:r>
      <w:r w:rsidR="001E14AC" w:rsidRPr="00495482">
        <w:br/>
      </w:r>
      <w:r w:rsidRPr="00495482">
        <w:t xml:space="preserve">de la protection des intérêts moraux et matériels découlant de </w:t>
      </w:r>
      <w:r w:rsidR="001E14AC" w:rsidRPr="00495482">
        <w:br/>
      </w:r>
      <w:r w:rsidRPr="00495482">
        <w:t>toute production dont il est l</w:t>
      </w:r>
      <w:r w:rsidR="005D0F0F" w:rsidRPr="00495482">
        <w:t>’</w:t>
      </w:r>
      <w:r w:rsidRPr="00495482">
        <w:t xml:space="preserve">auteur </w:t>
      </w:r>
      <w:r w:rsidRPr="00495482">
        <w:tab/>
      </w:r>
      <w:r w:rsidRPr="00495482">
        <w:tab/>
        <w:t>184</w:t>
      </w:r>
      <w:r w:rsidR="001E14AC" w:rsidRPr="00495482">
        <w:t>–</w:t>
      </w:r>
      <w:r w:rsidRPr="00495482">
        <w:t>212</w:t>
      </w:r>
      <w:r w:rsidRPr="00495482">
        <w:tab/>
        <w:t>44</w:t>
      </w:r>
    </w:p>
    <w:p w:rsidR="00317603" w:rsidRPr="00495482" w:rsidRDefault="001E14AC" w:rsidP="006B50E4">
      <w:pPr>
        <w:pStyle w:val="H56G"/>
        <w:keepNext w:val="0"/>
        <w:keepLines w:val="0"/>
        <w:tabs>
          <w:tab w:val="clear" w:pos="851"/>
          <w:tab w:val="left" w:pos="142"/>
        </w:tabs>
        <w:rPr>
          <w:lang w:eastAsia="es-ES"/>
        </w:rPr>
      </w:pPr>
      <w:r w:rsidRPr="00495482">
        <w:rPr>
          <w:lang w:eastAsia="es-ES"/>
        </w:rPr>
        <w:tab/>
      </w:r>
      <w:r w:rsidR="00317603" w:rsidRPr="00495482">
        <w:rPr>
          <w:lang w:eastAsia="es-ES"/>
        </w:rPr>
        <w:t>Annexes</w:t>
      </w:r>
      <w:r w:rsidR="00317603" w:rsidRPr="00495482">
        <w:rPr>
          <w:lang w:eastAsia="es-ES"/>
        </w:rPr>
        <w:footnoteReference w:customMarkFollows="1" w:id="3"/>
        <w:t>**</w:t>
      </w:r>
    </w:p>
    <w:p w:rsidR="00317603" w:rsidRPr="00495482" w:rsidRDefault="00317603" w:rsidP="0031340A">
      <w:pPr>
        <w:pStyle w:val="HChG"/>
        <w:rPr>
          <w:lang w:val="fr-FR" w:eastAsia="sl-SI"/>
        </w:rPr>
      </w:pPr>
      <w:r w:rsidRPr="00495482">
        <w:rPr>
          <w:lang w:val="fr-FR"/>
        </w:rPr>
        <w:br w:type="page"/>
      </w:r>
      <w:r w:rsidRPr="00495482">
        <w:rPr>
          <w:lang w:val="fr-FR"/>
        </w:rPr>
        <w:tab/>
        <w:t>I.</w:t>
      </w:r>
      <w:r w:rsidRPr="00495482">
        <w:rPr>
          <w:lang w:val="fr-FR"/>
        </w:rPr>
        <w:tab/>
      </w:r>
      <w:r w:rsidRPr="00495482">
        <w:rPr>
          <w:rFonts w:eastAsia="Cambria"/>
          <w:lang w:val="fr-FR" w:eastAsia="sl-SI"/>
        </w:rPr>
        <w:t>Introduction</w:t>
      </w:r>
    </w:p>
    <w:p w:rsidR="00317603" w:rsidRPr="00495482" w:rsidRDefault="00317603" w:rsidP="0031340A">
      <w:pPr>
        <w:pStyle w:val="SingleTxtG"/>
        <w:rPr>
          <w:lang w:val="fr-FR" w:eastAsia="sl-SI"/>
        </w:rPr>
      </w:pPr>
      <w:r w:rsidRPr="00495482">
        <w:rPr>
          <w:lang w:val="fr-FR" w:eastAsia="sl-SI"/>
        </w:rPr>
        <w:t>1.</w:t>
      </w:r>
      <w:r w:rsidRPr="00495482">
        <w:rPr>
          <w:lang w:val="fr-FR" w:eastAsia="sl-SI"/>
        </w:rPr>
        <w:tab/>
        <w:t xml:space="preserve">En vertu des </w:t>
      </w:r>
      <w:r w:rsidR="003D1A4F" w:rsidRPr="00495482">
        <w:rPr>
          <w:lang w:val="fr-FR" w:eastAsia="sl-SI"/>
        </w:rPr>
        <w:t>articles </w:t>
      </w:r>
      <w:r w:rsidRPr="00495482">
        <w:rPr>
          <w:lang w:val="fr-FR" w:eastAsia="sl-SI"/>
        </w:rPr>
        <w:t>16 et 17 du Pacte international relatif aux droits civils et politiques dont la République de Slovénie est signataire par succession (loi sur la notification de succession concernant les conventions des Nations Unies et les conventions adoptées dans le cadre de l</w:t>
      </w:r>
      <w:r w:rsidR="005D0F0F" w:rsidRPr="00495482">
        <w:rPr>
          <w:lang w:val="fr-FR" w:eastAsia="sl-SI"/>
        </w:rPr>
        <w:t>’</w:t>
      </w:r>
      <w:r w:rsidRPr="00495482">
        <w:rPr>
          <w:lang w:val="fr-FR" w:eastAsia="sl-SI"/>
        </w:rPr>
        <w:t>Agence internationale à l</w:t>
      </w:r>
      <w:r w:rsidR="005D0F0F" w:rsidRPr="00495482">
        <w:rPr>
          <w:lang w:val="fr-FR" w:eastAsia="sl-SI"/>
        </w:rPr>
        <w:t>’</w:t>
      </w:r>
      <w:r w:rsidRPr="00495482">
        <w:rPr>
          <w:lang w:val="fr-FR" w:eastAsia="sl-SI"/>
        </w:rPr>
        <w:t>énergie atomique</w:t>
      </w:r>
      <w:r w:rsidR="005D0F0F" w:rsidRPr="00495482">
        <w:rPr>
          <w:lang w:val="fr-FR" w:eastAsia="sl-SI"/>
        </w:rPr>
        <w:t>,</w:t>
      </w:r>
      <w:r w:rsidR="003D1A4F" w:rsidRPr="00495482">
        <w:rPr>
          <w:lang w:val="fr-FR" w:eastAsia="sl-SI"/>
        </w:rPr>
        <w:t xml:space="preserve"> </w:t>
      </w:r>
      <w:r w:rsidRPr="00495482">
        <w:rPr>
          <w:i/>
          <w:lang w:val="fr-FR" w:eastAsia="sl-SI"/>
        </w:rPr>
        <w:t>Journal officiel de la République de Slovénie</w:t>
      </w:r>
      <w:r w:rsidR="005D0F0F" w:rsidRPr="00495482">
        <w:rPr>
          <w:i/>
          <w:lang w:val="fr-FR" w:eastAsia="sl-SI"/>
        </w:rPr>
        <w:t>,</w:t>
      </w:r>
      <w:r w:rsidRPr="00495482">
        <w:rPr>
          <w:lang w:val="fr-FR" w:eastAsia="sl-SI"/>
        </w:rPr>
        <w:t xml:space="preserve"> </w:t>
      </w:r>
      <w:r w:rsidR="00EB1CF6">
        <w:rPr>
          <w:szCs w:val="18"/>
        </w:rPr>
        <w:t>n</w:t>
      </w:r>
      <w:r w:rsidR="00EB1CF6" w:rsidRPr="001B12ED">
        <w:rPr>
          <w:szCs w:val="18"/>
          <w:vertAlign w:val="superscript"/>
          <w:lang w:val="fr-FR"/>
        </w:rPr>
        <w:t>o</w:t>
      </w:r>
      <w:r w:rsidR="00EB1CF6">
        <w:rPr>
          <w:szCs w:val="18"/>
        </w:rPr>
        <w:t> </w:t>
      </w:r>
      <w:r w:rsidRPr="00495482">
        <w:rPr>
          <w:lang w:val="fr-FR" w:eastAsia="sl-SI"/>
        </w:rPr>
        <w:t>35/92)</w:t>
      </w:r>
      <w:r w:rsidR="005D0F0F" w:rsidRPr="00495482">
        <w:rPr>
          <w:lang w:val="fr-FR" w:eastAsia="sl-SI"/>
        </w:rPr>
        <w:t>,</w:t>
      </w:r>
      <w:r w:rsidRPr="00495482">
        <w:rPr>
          <w:lang w:val="fr-FR" w:eastAsia="sl-SI"/>
        </w:rPr>
        <w:t xml:space="preserve"> le Gouvernement de la République de Slovénie a établi son deuxième rapport périodique sur la mise en </w:t>
      </w:r>
      <w:r w:rsidR="002328BD" w:rsidRPr="00495482">
        <w:rPr>
          <w:lang w:val="fr-FR" w:eastAsia="sl-SI"/>
        </w:rPr>
        <w:t>œuvre</w:t>
      </w:r>
      <w:r w:rsidRPr="00495482">
        <w:rPr>
          <w:lang w:val="fr-FR" w:eastAsia="sl-SI"/>
        </w:rPr>
        <w:t xml:space="preserve"> du Pacte international relatif aux droits économiques</w:t>
      </w:r>
      <w:r w:rsidR="005D0F0F" w:rsidRPr="00495482">
        <w:rPr>
          <w:lang w:val="fr-FR" w:eastAsia="sl-SI"/>
        </w:rPr>
        <w:t>,</w:t>
      </w:r>
      <w:r w:rsidRPr="00495482">
        <w:rPr>
          <w:lang w:val="fr-FR" w:eastAsia="sl-SI"/>
        </w:rPr>
        <w:t xml:space="preserve"> sociaux et culturels. </w:t>
      </w:r>
    </w:p>
    <w:p w:rsidR="00317603" w:rsidRPr="00495482" w:rsidRDefault="00317603" w:rsidP="0031340A">
      <w:pPr>
        <w:pStyle w:val="SingleTxtG"/>
        <w:rPr>
          <w:lang w:val="fr-FR" w:eastAsia="sl-SI"/>
        </w:rPr>
      </w:pPr>
      <w:r w:rsidRPr="00495482">
        <w:rPr>
          <w:lang w:val="fr-FR" w:eastAsia="sl-SI"/>
        </w:rPr>
        <w:t>2.</w:t>
      </w:r>
      <w:r w:rsidRPr="00495482">
        <w:rPr>
          <w:lang w:val="fr-FR" w:eastAsia="sl-SI"/>
        </w:rPr>
        <w:tab/>
        <w:t>Le rapport a été rédigé conformément aux directives (HRI/GEN/2/Rev.6 du 3</w:t>
      </w:r>
      <w:r w:rsidR="00870BDE">
        <w:rPr>
          <w:lang w:val="fr-FR" w:eastAsia="sl-SI"/>
        </w:rPr>
        <w:t> </w:t>
      </w:r>
      <w:r w:rsidRPr="00495482">
        <w:rPr>
          <w:lang w:val="fr-FR" w:eastAsia="sl-SI"/>
        </w:rPr>
        <w:t>juin</w:t>
      </w:r>
      <w:r w:rsidR="00870BDE">
        <w:rPr>
          <w:lang w:val="fr-FR" w:eastAsia="sl-SI"/>
        </w:rPr>
        <w:t> </w:t>
      </w:r>
      <w:r w:rsidRPr="00495482">
        <w:rPr>
          <w:lang w:val="fr-FR" w:eastAsia="sl-SI"/>
        </w:rPr>
        <w:t>2009) recommandées par l</w:t>
      </w:r>
      <w:r w:rsidR="005D0F0F" w:rsidRPr="00495482">
        <w:rPr>
          <w:lang w:val="fr-FR" w:eastAsia="sl-SI"/>
        </w:rPr>
        <w:t>’</w:t>
      </w:r>
      <w:r w:rsidRPr="00495482">
        <w:rPr>
          <w:lang w:val="fr-FR" w:eastAsia="sl-SI"/>
        </w:rPr>
        <w:t>Assemblée générale des Nations Unies dans les résolutions</w:t>
      </w:r>
      <w:r w:rsidR="00481E96">
        <w:rPr>
          <w:lang w:val="fr-FR" w:eastAsia="sl-SI"/>
        </w:rPr>
        <w:t> </w:t>
      </w:r>
      <w:r w:rsidRPr="00495482">
        <w:rPr>
          <w:lang w:val="fr-FR" w:eastAsia="sl-SI"/>
        </w:rPr>
        <w:t>52/118 et 53/138</w:t>
      </w:r>
      <w:r w:rsidR="005D0F0F" w:rsidRPr="00495482">
        <w:rPr>
          <w:lang w:val="fr-FR" w:eastAsia="sl-SI"/>
        </w:rPr>
        <w:t>,</w:t>
      </w:r>
      <w:r w:rsidRPr="00495482">
        <w:rPr>
          <w:lang w:val="fr-FR" w:eastAsia="sl-SI"/>
        </w:rPr>
        <w:t xml:space="preserve"> et porte sur la période allant de 2003 à 2010. Il y est question des mesures adoptées par le Gouvernement de la République de Slovénie concernant l</w:t>
      </w:r>
      <w:r w:rsidR="005D0F0F" w:rsidRPr="00495482">
        <w:rPr>
          <w:lang w:val="fr-FR" w:eastAsia="sl-SI"/>
        </w:rPr>
        <w:t>’</w:t>
      </w:r>
      <w:r w:rsidRPr="00495482">
        <w:rPr>
          <w:lang w:val="fr-FR" w:eastAsia="sl-SI"/>
        </w:rPr>
        <w:t>application du Pacte international relatif aux droits économiques</w:t>
      </w:r>
      <w:r w:rsidR="005D0F0F" w:rsidRPr="00495482">
        <w:rPr>
          <w:lang w:val="fr-FR" w:eastAsia="sl-SI"/>
        </w:rPr>
        <w:t>,</w:t>
      </w:r>
      <w:r w:rsidRPr="00495482">
        <w:rPr>
          <w:lang w:val="fr-FR" w:eastAsia="sl-SI"/>
        </w:rPr>
        <w:t xml:space="preserve"> sociaux et culturels et des réponses apportées aux recommandations formulées par le Comité des droits économiques</w:t>
      </w:r>
      <w:r w:rsidR="005D0F0F" w:rsidRPr="00495482">
        <w:rPr>
          <w:lang w:val="fr-FR" w:eastAsia="sl-SI"/>
        </w:rPr>
        <w:t>,</w:t>
      </w:r>
      <w:r w:rsidRPr="00495482">
        <w:rPr>
          <w:lang w:val="fr-FR" w:eastAsia="sl-SI"/>
        </w:rPr>
        <w:t xml:space="preserve"> sociaux et culturels (E/C.12/SVN/CO/1).</w:t>
      </w:r>
      <w:r w:rsidR="003D1A4F" w:rsidRPr="00495482">
        <w:rPr>
          <w:lang w:val="fr-FR" w:eastAsia="sl-SI"/>
        </w:rPr>
        <w:t xml:space="preserve"> </w:t>
      </w:r>
      <w:r w:rsidRPr="00495482">
        <w:rPr>
          <w:lang w:val="fr-FR" w:eastAsia="sl-SI"/>
        </w:rPr>
        <w:t>Il y est aussi tenu compte du rapport initial établi au titre de ce même Pacte</w:t>
      </w:r>
      <w:r w:rsidR="003D1A4F" w:rsidRPr="00495482">
        <w:rPr>
          <w:lang w:val="fr-FR" w:eastAsia="sl-SI"/>
        </w:rPr>
        <w:t xml:space="preserve"> </w:t>
      </w:r>
      <w:r w:rsidRPr="00495482">
        <w:rPr>
          <w:lang w:val="fr-FR" w:eastAsia="sl-SI"/>
        </w:rPr>
        <w:t xml:space="preserve">(E/1990/5/Add.62). </w:t>
      </w:r>
    </w:p>
    <w:p w:rsidR="00317603" w:rsidRPr="00495482" w:rsidRDefault="00317603" w:rsidP="0031340A">
      <w:pPr>
        <w:pStyle w:val="SingleTxtG"/>
        <w:rPr>
          <w:szCs w:val="22"/>
          <w:lang w:val="fr-FR" w:eastAsia="sl-SI"/>
        </w:rPr>
      </w:pPr>
      <w:r w:rsidRPr="00495482">
        <w:rPr>
          <w:lang w:val="fr-FR" w:eastAsia="sl-SI"/>
        </w:rPr>
        <w:t>3.</w:t>
      </w:r>
      <w:r w:rsidRPr="00495482">
        <w:rPr>
          <w:lang w:val="fr-FR" w:eastAsia="sl-SI"/>
        </w:rPr>
        <w:tab/>
        <w:t>Le Ministère du travail</w:t>
      </w:r>
      <w:r w:rsidR="005D0F0F" w:rsidRPr="00495482">
        <w:rPr>
          <w:lang w:val="fr-FR" w:eastAsia="sl-SI"/>
        </w:rPr>
        <w:t>,</w:t>
      </w:r>
      <w:r w:rsidRPr="00495482">
        <w:rPr>
          <w:lang w:val="fr-FR" w:eastAsia="sl-SI"/>
        </w:rPr>
        <w:t xml:space="preserve"> de la famille et des affaires sociales a coordonné l</w:t>
      </w:r>
      <w:r w:rsidR="005D0F0F" w:rsidRPr="00495482">
        <w:rPr>
          <w:lang w:val="fr-FR" w:eastAsia="sl-SI"/>
        </w:rPr>
        <w:t>’</w:t>
      </w:r>
      <w:r w:rsidRPr="00495482">
        <w:rPr>
          <w:lang w:val="fr-FR" w:eastAsia="sl-SI"/>
        </w:rPr>
        <w:t>élaboration du deuxième rapport périodique. Ont également coopéré à sa rédaction le Ministère des affaires étrangères</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intérieur</w:t>
      </w:r>
      <w:r w:rsidR="005D0F0F" w:rsidRPr="00495482">
        <w:rPr>
          <w:lang w:val="fr-FR" w:eastAsia="sl-SI"/>
        </w:rPr>
        <w:t>,</w:t>
      </w:r>
      <w:r w:rsidRPr="00495482">
        <w:rPr>
          <w:lang w:val="fr-FR" w:eastAsia="sl-SI"/>
        </w:rPr>
        <w:t xml:space="preserve"> le Ministère de la justice</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éducation et des sports</w:t>
      </w:r>
      <w:r w:rsidR="005D0F0F" w:rsidRPr="00495482">
        <w:rPr>
          <w:lang w:val="fr-FR" w:eastAsia="sl-SI"/>
        </w:rPr>
        <w:t>,</w:t>
      </w:r>
      <w:r w:rsidRPr="00495482">
        <w:rPr>
          <w:lang w:val="fr-FR" w:eastAsia="sl-SI"/>
        </w:rPr>
        <w:t xml:space="preserve"> le Ministère de la santé</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enseignement supérieur</w:t>
      </w:r>
      <w:r w:rsidR="005D0F0F" w:rsidRPr="00495482">
        <w:rPr>
          <w:lang w:val="fr-FR" w:eastAsia="sl-SI"/>
        </w:rPr>
        <w:t>,</w:t>
      </w:r>
      <w:r w:rsidRPr="00495482">
        <w:rPr>
          <w:lang w:val="fr-FR" w:eastAsia="sl-SI"/>
        </w:rPr>
        <w:t xml:space="preserve"> de la science et de la technologie</w:t>
      </w:r>
      <w:r w:rsidR="005D0F0F" w:rsidRPr="00495482">
        <w:rPr>
          <w:lang w:val="fr-FR" w:eastAsia="sl-SI"/>
        </w:rPr>
        <w:t>,</w:t>
      </w:r>
      <w:r w:rsidRPr="00495482">
        <w:rPr>
          <w:lang w:val="fr-FR" w:eastAsia="sl-SI"/>
        </w:rPr>
        <w:t xml:space="preserve"> le Ministère de la culture</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environnement et de l</w:t>
      </w:r>
      <w:r w:rsidR="005D0F0F" w:rsidRPr="00495482">
        <w:rPr>
          <w:lang w:val="fr-FR" w:eastAsia="sl-SI"/>
        </w:rPr>
        <w:t>’</w:t>
      </w:r>
      <w:r w:rsidRPr="00495482">
        <w:rPr>
          <w:lang w:val="fr-FR" w:eastAsia="sl-SI"/>
        </w:rPr>
        <w:t>aménagement du territoire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Office gouvernemental chargé de l</w:t>
      </w:r>
      <w:r w:rsidR="005D0F0F" w:rsidRPr="00495482">
        <w:rPr>
          <w:lang w:val="fr-FR" w:eastAsia="sl-SI"/>
        </w:rPr>
        <w:t>’</w:t>
      </w:r>
      <w:r w:rsidRPr="00495482">
        <w:rPr>
          <w:lang w:val="fr-FR" w:eastAsia="sl-SI"/>
        </w:rPr>
        <w:t>autonomie locale et de la politique régionale</w:t>
      </w:r>
      <w:r w:rsidR="005D0F0F" w:rsidRPr="00495482">
        <w:rPr>
          <w:lang w:val="fr-FR" w:eastAsia="sl-SI"/>
        </w:rPr>
        <w:t>,</w:t>
      </w:r>
      <w:r w:rsidRPr="00495482">
        <w:rPr>
          <w:lang w:val="fr-FR" w:eastAsia="sl-SI"/>
        </w:rPr>
        <w:t xml:space="preserve"> le Bureau chargé des minorités nationales et le Bureau pour l</w:t>
      </w:r>
      <w:r w:rsidR="005D0F0F" w:rsidRPr="00495482">
        <w:rPr>
          <w:lang w:val="fr-FR" w:eastAsia="sl-SI"/>
        </w:rPr>
        <w:t>’</w:t>
      </w:r>
      <w:r w:rsidRPr="00495482">
        <w:rPr>
          <w:lang w:val="fr-FR" w:eastAsia="sl-SI"/>
        </w:rPr>
        <w:t>égalité des chances. Le rapport a été publié sur le site Web du Ministère du travail</w:t>
      </w:r>
      <w:r w:rsidR="005D0F0F" w:rsidRPr="00495482">
        <w:rPr>
          <w:lang w:val="fr-FR" w:eastAsia="sl-SI"/>
        </w:rPr>
        <w:t>,</w:t>
      </w:r>
      <w:r w:rsidRPr="00495482">
        <w:rPr>
          <w:lang w:val="fr-FR" w:eastAsia="sl-SI"/>
        </w:rPr>
        <w:t xml:space="preserve"> de la famille et des affaires sociales. Conformément aux recommandations du Comité des droits économiques</w:t>
      </w:r>
      <w:r w:rsidR="005D0F0F" w:rsidRPr="00495482">
        <w:rPr>
          <w:lang w:val="fr-FR" w:eastAsia="sl-SI"/>
        </w:rPr>
        <w:t>,</w:t>
      </w:r>
      <w:r w:rsidRPr="00495482">
        <w:rPr>
          <w:lang w:val="fr-FR" w:eastAsia="sl-SI"/>
        </w:rPr>
        <w:t xml:space="preserve"> sociaux et culturels</w:t>
      </w:r>
      <w:r w:rsidR="005D0F0F" w:rsidRPr="00495482">
        <w:rPr>
          <w:lang w:val="fr-FR" w:eastAsia="sl-SI"/>
        </w:rPr>
        <w:t>,</w:t>
      </w:r>
      <w:r w:rsidRPr="00495482">
        <w:rPr>
          <w:lang w:val="fr-FR" w:eastAsia="sl-SI"/>
        </w:rPr>
        <w:t xml:space="preserve"> les organisations non gouvernementales ont été informées de cette publication sur le site Web et invitées à faire part de leurs observations. Le rapport a également été examiné lors de la deux centième session du Conseil économique et social.</w:t>
      </w:r>
      <w:r w:rsidR="003D1A4F" w:rsidRPr="00495482">
        <w:rPr>
          <w:lang w:val="fr-FR" w:eastAsia="sl-SI"/>
        </w:rPr>
        <w:t xml:space="preserve"> </w:t>
      </w:r>
    </w:p>
    <w:p w:rsidR="00317603" w:rsidRPr="00495482" w:rsidRDefault="00317603" w:rsidP="0031340A">
      <w:pPr>
        <w:pStyle w:val="HChG"/>
        <w:rPr>
          <w:lang w:val="fr-FR" w:eastAsia="ar-SA"/>
        </w:rPr>
      </w:pPr>
      <w:r w:rsidRPr="00495482">
        <w:rPr>
          <w:lang w:val="fr-FR" w:eastAsia="ar-SA"/>
        </w:rPr>
        <w:tab/>
        <w:t>II.</w:t>
      </w:r>
      <w:r w:rsidRPr="00495482">
        <w:rPr>
          <w:lang w:val="fr-FR" w:eastAsia="ar-SA"/>
        </w:rPr>
        <w:tab/>
        <w:t>Dispositions générales du Pacte</w:t>
      </w:r>
    </w:p>
    <w:p w:rsidR="00317603" w:rsidRPr="00495482" w:rsidRDefault="00317603" w:rsidP="0031340A">
      <w:pPr>
        <w:pStyle w:val="H1G"/>
        <w:rPr>
          <w:bCs/>
          <w:lang w:val="fr-FR" w:eastAsia="sl-SI"/>
        </w:rPr>
      </w:pPr>
      <w:r w:rsidRPr="00495482">
        <w:rPr>
          <w:lang w:val="fr-FR" w:eastAsia="sl-SI"/>
        </w:rPr>
        <w:tab/>
      </w:r>
      <w:r w:rsidRPr="00495482">
        <w:rPr>
          <w:lang w:val="fr-FR" w:eastAsia="sl-SI"/>
        </w:rPr>
        <w:tab/>
        <w:t>Article premier</w:t>
      </w:r>
      <w:r w:rsidR="00657B60" w:rsidRPr="00495482">
        <w:rPr>
          <w:lang w:val="fr-FR" w:eastAsia="sl-SI"/>
        </w:rPr>
        <w:br/>
      </w:r>
      <w:r w:rsidRPr="00495482">
        <w:rPr>
          <w:lang w:val="fr-FR" w:eastAsia="sl-SI"/>
        </w:rPr>
        <w:t>Droit à l</w:t>
      </w:r>
      <w:r w:rsidR="005D0F0F" w:rsidRPr="00495482">
        <w:rPr>
          <w:lang w:val="fr-FR" w:eastAsia="sl-SI"/>
        </w:rPr>
        <w:t>’</w:t>
      </w:r>
      <w:r w:rsidRPr="00495482">
        <w:rPr>
          <w:lang w:val="fr-FR" w:eastAsia="sl-SI"/>
        </w:rPr>
        <w:t>autodétermination</w:t>
      </w:r>
    </w:p>
    <w:p w:rsidR="00317603" w:rsidRPr="00495482" w:rsidRDefault="00317603" w:rsidP="0031340A">
      <w:pPr>
        <w:pStyle w:val="SingleTxtG"/>
        <w:rPr>
          <w:szCs w:val="22"/>
          <w:lang w:val="fr-FR" w:eastAsia="sl-SI"/>
        </w:rPr>
      </w:pPr>
      <w:r w:rsidRPr="00495482">
        <w:rPr>
          <w:lang w:val="fr-FR" w:eastAsia="sl-SI"/>
        </w:rPr>
        <w:t>4.</w:t>
      </w:r>
      <w:r w:rsidRPr="00495482">
        <w:rPr>
          <w:lang w:val="fr-FR" w:eastAsia="sl-SI"/>
        </w:rPr>
        <w:tab/>
        <w:t>Le droit à l</w:t>
      </w:r>
      <w:r w:rsidR="005D0F0F" w:rsidRPr="00495482">
        <w:rPr>
          <w:lang w:val="fr-FR" w:eastAsia="sl-SI"/>
        </w:rPr>
        <w:t>’</w:t>
      </w:r>
      <w:r w:rsidRPr="00495482">
        <w:rPr>
          <w:lang w:val="fr-FR" w:eastAsia="sl-SI"/>
        </w:rPr>
        <w:t xml:space="preserve">autodétermination est garanti dans le préambule et au premier </w:t>
      </w:r>
      <w:r w:rsidR="00855472">
        <w:rPr>
          <w:lang w:val="fr-FR" w:eastAsia="sl-SI"/>
        </w:rPr>
        <w:t>paragraphe de</w:t>
      </w:r>
      <w:r w:rsidRPr="00495482">
        <w:rPr>
          <w:lang w:val="fr-FR" w:eastAsia="sl-SI"/>
        </w:rPr>
        <w:t xml:space="preserve"> </w:t>
      </w:r>
      <w:r w:rsidR="00657B60" w:rsidRPr="00495482">
        <w:rPr>
          <w:lang w:val="fr-FR" w:eastAsia="sl-SI"/>
        </w:rPr>
        <w:t>l’</w:t>
      </w:r>
      <w:r w:rsidR="003C4F70">
        <w:rPr>
          <w:lang w:val="fr-FR" w:eastAsia="sl-SI"/>
        </w:rPr>
        <w:t>article </w:t>
      </w:r>
      <w:r w:rsidRPr="00495482">
        <w:rPr>
          <w:lang w:val="fr-FR" w:eastAsia="sl-SI"/>
        </w:rPr>
        <w:t xml:space="preserve">3 de la Constitution de la République de Slovénie. Il a été explicité dans le rapport initial. </w:t>
      </w:r>
    </w:p>
    <w:p w:rsidR="00317603" w:rsidRPr="00495482" w:rsidRDefault="00317603" w:rsidP="0031340A">
      <w:pPr>
        <w:pStyle w:val="H1G"/>
        <w:rPr>
          <w:bCs/>
          <w:lang w:val="fr-FR" w:eastAsia="sl-SI"/>
        </w:rPr>
      </w:pPr>
      <w:r w:rsidRPr="00495482">
        <w:rPr>
          <w:lang w:val="fr-FR" w:eastAsia="sl-SI"/>
        </w:rPr>
        <w:tab/>
      </w:r>
      <w:r w:rsidRPr="00495482">
        <w:rPr>
          <w:lang w:val="fr-FR" w:eastAsia="sl-SI"/>
        </w:rPr>
        <w:tab/>
        <w:t>Article 2</w:t>
      </w:r>
      <w:r w:rsidR="00657B60" w:rsidRPr="00495482">
        <w:rPr>
          <w:lang w:val="fr-FR" w:eastAsia="sl-SI"/>
        </w:rPr>
        <w:br/>
      </w:r>
      <w:r w:rsidRPr="00495482">
        <w:rPr>
          <w:lang w:val="fr-FR" w:eastAsia="sl-SI"/>
        </w:rPr>
        <w:t>Réalisation des droits reconnus par le Pacte</w:t>
      </w:r>
    </w:p>
    <w:p w:rsidR="00317603" w:rsidRPr="00495482" w:rsidRDefault="00317603" w:rsidP="00317603">
      <w:pPr>
        <w:keepNext/>
        <w:keepLines/>
        <w:tabs>
          <w:tab w:val="right" w:pos="851"/>
        </w:tabs>
        <w:spacing w:before="240" w:after="120" w:line="240" w:lineRule="exact"/>
        <w:ind w:left="1134" w:right="1134" w:hanging="1134"/>
        <w:rPr>
          <w:b/>
          <w:bCs/>
          <w:lang w:val="fr-FR" w:eastAsia="sl-SI"/>
        </w:rPr>
      </w:pPr>
      <w:r w:rsidRPr="00495482">
        <w:rPr>
          <w:b/>
          <w:lang w:val="fr-FR" w:eastAsia="sl-SI"/>
        </w:rPr>
        <w:tab/>
      </w:r>
      <w:r w:rsidRPr="00495482">
        <w:rPr>
          <w:b/>
          <w:lang w:val="fr-FR" w:eastAsia="sl-SI"/>
        </w:rPr>
        <w:tab/>
        <w:t>Interdiction de la discrimination</w:t>
      </w:r>
    </w:p>
    <w:p w:rsidR="00317603" w:rsidRPr="00495482" w:rsidRDefault="00317603" w:rsidP="00317603">
      <w:pPr>
        <w:keepNext/>
        <w:keepLines/>
        <w:tabs>
          <w:tab w:val="right" w:pos="851"/>
        </w:tabs>
        <w:spacing w:before="240" w:after="120" w:line="240" w:lineRule="exact"/>
        <w:ind w:left="1134" w:right="1134" w:hanging="1134"/>
        <w:rPr>
          <w:sz w:val="24"/>
          <w:szCs w:val="24"/>
          <w:u w:val="single"/>
          <w:lang w:val="fr-FR" w:eastAsia="sl-SI"/>
        </w:rPr>
      </w:pPr>
      <w:r w:rsidRPr="00495482">
        <w:rPr>
          <w:b/>
          <w:lang w:val="fr-FR" w:eastAsia="sl-SI"/>
        </w:rPr>
        <w:tab/>
      </w:r>
      <w:r w:rsidRPr="00495482">
        <w:rPr>
          <w:b/>
          <w:lang w:val="fr-FR" w:eastAsia="sl-SI"/>
        </w:rPr>
        <w:tab/>
        <w:t xml:space="preserve">Réponse aux recommandations figurant au </w:t>
      </w:r>
      <w:r w:rsidR="00FB11E8">
        <w:rPr>
          <w:b/>
          <w:lang w:val="fr-FR" w:eastAsia="sl-SI"/>
        </w:rPr>
        <w:t>paragraphe </w:t>
      </w:r>
      <w:r w:rsidRPr="00495482">
        <w:rPr>
          <w:b/>
          <w:lang w:val="fr-FR" w:eastAsia="sl-SI"/>
        </w:rPr>
        <w:t>21 des observations finales (E/C.12/SVN/CO/1)</w:t>
      </w:r>
      <w:r w:rsidRPr="00495482">
        <w:rPr>
          <w:sz w:val="24"/>
          <w:szCs w:val="24"/>
          <w:u w:val="single"/>
          <w:lang w:val="fr-FR" w:eastAsia="sl-SI"/>
        </w:rPr>
        <w:t xml:space="preserve"> </w:t>
      </w:r>
    </w:p>
    <w:p w:rsidR="00317603" w:rsidRPr="00495482" w:rsidRDefault="00317603" w:rsidP="0031340A">
      <w:pPr>
        <w:pStyle w:val="SingleTxtG"/>
        <w:rPr>
          <w:szCs w:val="22"/>
          <w:lang w:val="fr-FR" w:eastAsia="sl-SI"/>
        </w:rPr>
      </w:pPr>
      <w:r w:rsidRPr="00495482">
        <w:rPr>
          <w:lang w:val="fr-FR" w:eastAsia="sl-SI"/>
        </w:rPr>
        <w:t>5.</w:t>
      </w:r>
      <w:r w:rsidRPr="00495482">
        <w:rPr>
          <w:lang w:val="fr-FR" w:eastAsia="sl-SI"/>
        </w:rPr>
        <w:tab/>
        <w:t xml:space="preserve">En se fondant sur le cinquième alinéa du premier </w:t>
      </w:r>
      <w:r w:rsidR="00855472">
        <w:rPr>
          <w:lang w:val="fr-FR" w:eastAsia="sl-SI"/>
        </w:rPr>
        <w:t>paragraphe de</w:t>
      </w:r>
      <w:r w:rsidRPr="00495482">
        <w:rPr>
          <w:lang w:val="fr-FR" w:eastAsia="sl-SI"/>
        </w:rPr>
        <w:t xml:space="preserve"> </w:t>
      </w:r>
      <w:r w:rsidR="00657B60" w:rsidRPr="00495482">
        <w:rPr>
          <w:lang w:val="fr-FR" w:eastAsia="sl-SI"/>
        </w:rPr>
        <w:t>l’</w:t>
      </w:r>
      <w:r w:rsidR="003C4F70">
        <w:rPr>
          <w:lang w:val="fr-FR" w:eastAsia="sl-SI"/>
        </w:rPr>
        <w:t>article </w:t>
      </w:r>
      <w:r w:rsidRPr="00495482">
        <w:rPr>
          <w:lang w:val="fr-FR" w:eastAsia="sl-SI"/>
        </w:rPr>
        <w:t>23 de la loi portant création de la Cour constitutionnelle</w:t>
      </w:r>
      <w:r w:rsidRPr="00495482">
        <w:rPr>
          <w:rStyle w:val="FootnoteReference"/>
        </w:rPr>
        <w:footnoteReference w:id="4"/>
      </w:r>
      <w:r w:rsidR="005D0F0F" w:rsidRPr="00495482">
        <w:rPr>
          <w:lang w:val="fr-FR" w:eastAsia="sl-SI"/>
        </w:rPr>
        <w:t>,</w:t>
      </w:r>
      <w:r w:rsidRPr="00495482">
        <w:rPr>
          <w:lang w:val="fr-FR" w:eastAsia="sl-SI"/>
        </w:rPr>
        <w:t xml:space="preserve"> le Médiateur des droits de l</w:t>
      </w:r>
      <w:r w:rsidR="005D0F0F" w:rsidRPr="00495482">
        <w:rPr>
          <w:lang w:val="fr-FR" w:eastAsia="sl-SI"/>
        </w:rPr>
        <w:t>’</w:t>
      </w:r>
      <w:r w:rsidRPr="00495482">
        <w:rPr>
          <w:lang w:val="fr-FR" w:eastAsia="sl-SI"/>
        </w:rPr>
        <w:t xml:space="preserve">homme de la République de Slovénie (ci-après </w:t>
      </w:r>
      <w:r w:rsidR="005D0F0F" w:rsidRPr="00495482">
        <w:rPr>
          <w:lang w:val="fr-FR" w:eastAsia="sl-SI"/>
        </w:rPr>
        <w:t>«</w:t>
      </w:r>
      <w:r w:rsidRPr="00495482">
        <w:rPr>
          <w:lang w:val="fr-FR" w:eastAsia="sl-SI"/>
        </w:rPr>
        <w:t>le Médiateur</w:t>
      </w:r>
      <w:r w:rsidR="005D0F0F" w:rsidRPr="00495482">
        <w:rPr>
          <w:lang w:val="fr-FR" w:eastAsia="sl-SI"/>
        </w:rPr>
        <w:t>»</w:t>
      </w:r>
      <w:r w:rsidRPr="00495482">
        <w:rPr>
          <w:lang w:val="fr-FR" w:eastAsia="sl-SI"/>
        </w:rPr>
        <w:t>) a soumis les cas suivants à la Cour constitutionnelle slovène à des fins d</w:t>
      </w:r>
      <w:r w:rsidR="005D0F0F" w:rsidRPr="00495482">
        <w:rPr>
          <w:lang w:val="fr-FR" w:eastAsia="sl-SI"/>
        </w:rPr>
        <w:t>’</w:t>
      </w:r>
      <w:r w:rsidRPr="00495482">
        <w:rPr>
          <w:lang w:val="fr-FR" w:eastAsia="sl-SI"/>
        </w:rPr>
        <w:t>e</w:t>
      </w:r>
      <w:r w:rsidR="00657B60" w:rsidRPr="00495482">
        <w:rPr>
          <w:lang w:val="fr-FR" w:eastAsia="sl-SI"/>
        </w:rPr>
        <w:t>xamen de la constitutionnalité:</w:t>
      </w:r>
    </w:p>
    <w:p w:rsidR="00317603" w:rsidRPr="00495482" w:rsidRDefault="00317603" w:rsidP="0031340A">
      <w:pPr>
        <w:pStyle w:val="Bullet1G"/>
        <w:rPr>
          <w:lang w:val="fr-FR"/>
        </w:rPr>
      </w:pPr>
      <w:r w:rsidRPr="00495482">
        <w:rPr>
          <w:lang w:val="fr-FR"/>
        </w:rPr>
        <w:t>10 juin 2008: Une demande d</w:t>
      </w:r>
      <w:r w:rsidR="005D0F0F" w:rsidRPr="00495482">
        <w:rPr>
          <w:lang w:val="fr-FR"/>
        </w:rPr>
        <w:t>’</w:t>
      </w:r>
      <w:r w:rsidRPr="00495482">
        <w:rPr>
          <w:lang w:val="fr-FR"/>
        </w:rPr>
        <w:t xml:space="preserve">examen de la constitutionnalité du premier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30 de la loi sur les soins de santé et l</w:t>
      </w:r>
      <w:r w:rsidR="005D0F0F" w:rsidRPr="00495482">
        <w:rPr>
          <w:lang w:val="fr-FR"/>
        </w:rPr>
        <w:t>’</w:t>
      </w:r>
      <w:r w:rsidRPr="00495482">
        <w:rPr>
          <w:lang w:val="fr-FR"/>
        </w:rPr>
        <w:t>assurance maladie</w:t>
      </w:r>
      <w:r w:rsidRPr="00495482">
        <w:rPr>
          <w:rStyle w:val="FootnoteReference"/>
        </w:rPr>
        <w:footnoteReference w:id="5"/>
      </w:r>
      <w:r w:rsidRPr="00495482">
        <w:rPr>
          <w:lang w:val="fr-FR"/>
        </w:rPr>
        <w:t xml:space="preserve"> et du premier point du deuxième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138 du Régime de l</w:t>
      </w:r>
      <w:r w:rsidR="005D0F0F" w:rsidRPr="00495482">
        <w:rPr>
          <w:lang w:val="fr-FR"/>
        </w:rPr>
        <w:t>’</w:t>
      </w:r>
      <w:r w:rsidRPr="00495482">
        <w:rPr>
          <w:lang w:val="fr-FR"/>
        </w:rPr>
        <w:t>assurance maladie obligatoire</w:t>
      </w:r>
      <w:r w:rsidRPr="00495482">
        <w:rPr>
          <w:rStyle w:val="FootnoteReference"/>
        </w:rPr>
        <w:footnoteReference w:id="6"/>
      </w:r>
      <w:r w:rsidR="005D0F0F" w:rsidRPr="00495482">
        <w:rPr>
          <w:lang w:val="fr-FR"/>
        </w:rPr>
        <w:t>,</w:t>
      </w:r>
      <w:r w:rsidRPr="00495482">
        <w:rPr>
          <w:lang w:val="fr-FR"/>
        </w:rPr>
        <w:t xml:space="preserve"> qui de l</w:t>
      </w:r>
      <w:r w:rsidR="005D0F0F" w:rsidRPr="00495482">
        <w:rPr>
          <w:lang w:val="fr-FR"/>
        </w:rPr>
        <w:t>’</w:t>
      </w:r>
      <w:r w:rsidRPr="00495482">
        <w:rPr>
          <w:lang w:val="fr-FR"/>
        </w:rPr>
        <w:t>avis du Médiateur</w:t>
      </w:r>
      <w:r w:rsidR="005D0F0F" w:rsidRPr="00495482">
        <w:rPr>
          <w:lang w:val="fr-FR"/>
        </w:rPr>
        <w:t>,</w:t>
      </w:r>
      <w:r w:rsidRPr="00495482">
        <w:rPr>
          <w:lang w:val="fr-FR"/>
        </w:rPr>
        <w:t xml:space="preserve"> ne sont pas conformes aux </w:t>
      </w:r>
      <w:r w:rsidR="003D1A4F" w:rsidRPr="00495482">
        <w:rPr>
          <w:lang w:val="fr-FR"/>
        </w:rPr>
        <w:t>articles </w:t>
      </w:r>
      <w:r w:rsidRPr="00495482">
        <w:rPr>
          <w:lang w:val="fr-FR"/>
        </w:rPr>
        <w:t>2</w:t>
      </w:r>
      <w:r w:rsidR="005D0F0F" w:rsidRPr="00495482">
        <w:rPr>
          <w:lang w:val="fr-FR"/>
        </w:rPr>
        <w:t>,</w:t>
      </w:r>
      <w:r w:rsidRPr="00495482">
        <w:rPr>
          <w:lang w:val="fr-FR"/>
        </w:rPr>
        <w:t xml:space="preserve"> 14</w:t>
      </w:r>
      <w:r w:rsidR="005D0F0F" w:rsidRPr="00495482">
        <w:rPr>
          <w:lang w:val="fr-FR"/>
        </w:rPr>
        <w:t>,</w:t>
      </w:r>
      <w:r w:rsidRPr="00495482">
        <w:rPr>
          <w:lang w:val="fr-FR"/>
        </w:rPr>
        <w:t xml:space="preserve"> 53</w:t>
      </w:r>
      <w:r w:rsidR="005D0F0F" w:rsidRPr="00495482">
        <w:rPr>
          <w:lang w:val="fr-FR"/>
        </w:rPr>
        <w:t>,</w:t>
      </w:r>
      <w:r w:rsidRPr="00495482">
        <w:rPr>
          <w:lang w:val="fr-FR"/>
        </w:rPr>
        <w:t xml:space="preserve"> 54 et 56 de la Constitution de la République de Slovénie (ci-après </w:t>
      </w:r>
      <w:r w:rsidR="00274387" w:rsidRPr="00495482">
        <w:rPr>
          <w:lang w:val="fr-FR"/>
        </w:rPr>
        <w:t>«</w:t>
      </w:r>
      <w:r w:rsidRPr="00495482">
        <w:rPr>
          <w:lang w:val="fr-FR"/>
        </w:rPr>
        <w:t>la Constitution</w:t>
      </w:r>
      <w:r w:rsidR="005D0F0F" w:rsidRPr="00495482">
        <w:rPr>
          <w:lang w:val="fr-FR"/>
        </w:rPr>
        <w:t>»</w:t>
      </w:r>
      <w:r w:rsidRPr="00495482">
        <w:rPr>
          <w:lang w:val="fr-FR"/>
        </w:rPr>
        <w:t>)</w:t>
      </w:r>
      <w:r w:rsidR="005D0F0F" w:rsidRPr="00495482">
        <w:rPr>
          <w:lang w:val="fr-FR"/>
        </w:rPr>
        <w:t>,</w:t>
      </w:r>
      <w:r w:rsidRPr="00495482">
        <w:rPr>
          <w:lang w:val="fr-FR"/>
        </w:rPr>
        <w:t xml:space="preserve"> ni compatibles avec le premier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18 de la Convention des Nations Unies relative aux droits de l</w:t>
      </w:r>
      <w:r w:rsidR="005D0F0F" w:rsidRPr="00495482">
        <w:rPr>
          <w:lang w:val="fr-FR"/>
        </w:rPr>
        <w:t>’</w:t>
      </w:r>
      <w:r w:rsidRPr="00495482">
        <w:rPr>
          <w:lang w:val="fr-FR"/>
        </w:rPr>
        <w:t>enfant</w:t>
      </w:r>
      <w:r w:rsidRPr="00495482">
        <w:rPr>
          <w:rStyle w:val="FootnoteReference"/>
        </w:rPr>
        <w:footnoteReference w:id="7"/>
      </w:r>
      <w:r w:rsidR="00657B60" w:rsidRPr="00495482">
        <w:rPr>
          <w:lang w:val="fr-FR"/>
        </w:rPr>
        <w:t>.</w:t>
      </w:r>
      <w:r w:rsidRPr="00495482">
        <w:rPr>
          <w:lang w:val="fr-FR"/>
        </w:rPr>
        <w:t xml:space="preserve"> Parallèlement à la demande d</w:t>
      </w:r>
      <w:r w:rsidR="005D0F0F" w:rsidRPr="00495482">
        <w:rPr>
          <w:lang w:val="fr-FR"/>
        </w:rPr>
        <w:t>’</w:t>
      </w:r>
      <w:r w:rsidRPr="00495482">
        <w:rPr>
          <w:lang w:val="fr-FR"/>
        </w:rPr>
        <w:t>examen de la constitutionnalité</w:t>
      </w:r>
      <w:r w:rsidR="005D0F0F" w:rsidRPr="00495482">
        <w:rPr>
          <w:lang w:val="fr-FR"/>
        </w:rPr>
        <w:t>,</w:t>
      </w:r>
      <w:r w:rsidRPr="00495482">
        <w:rPr>
          <w:lang w:val="fr-FR"/>
        </w:rPr>
        <w:t xml:space="preserve"> le Médiateur a également déposé une requête de suspension temporaire de l</w:t>
      </w:r>
      <w:r w:rsidR="005D0F0F" w:rsidRPr="00495482">
        <w:rPr>
          <w:lang w:val="fr-FR"/>
        </w:rPr>
        <w:t>’</w:t>
      </w:r>
      <w:r w:rsidRPr="00495482">
        <w:rPr>
          <w:lang w:val="fr-FR"/>
        </w:rPr>
        <w:t xml:space="preserve">application des dispositions contestées de la loi. Il a proposé à la Cour constitutionnelle que les dispositions contestées de </w:t>
      </w:r>
      <w:r w:rsidR="00657B60" w:rsidRPr="00495482">
        <w:rPr>
          <w:lang w:val="fr-FR"/>
        </w:rPr>
        <w:t>l’</w:t>
      </w:r>
      <w:r w:rsidR="003C4F70">
        <w:rPr>
          <w:lang w:val="fr-FR"/>
        </w:rPr>
        <w:t>article </w:t>
      </w:r>
      <w:r w:rsidRPr="00495482">
        <w:rPr>
          <w:lang w:val="fr-FR"/>
        </w:rPr>
        <w:t>30</w:t>
      </w:r>
      <w:r w:rsidR="005D0F0F" w:rsidRPr="00495482">
        <w:rPr>
          <w:lang w:val="fr-FR"/>
        </w:rPr>
        <w:t>,</w:t>
      </w:r>
      <w:r w:rsidRPr="00495482">
        <w:rPr>
          <w:lang w:val="fr-FR"/>
        </w:rPr>
        <w:t xml:space="preserve"> dès lors qu</w:t>
      </w:r>
      <w:r w:rsidR="005D0F0F" w:rsidRPr="00495482">
        <w:rPr>
          <w:lang w:val="fr-FR"/>
        </w:rPr>
        <w:t>’</w:t>
      </w:r>
      <w:r w:rsidRPr="00495482">
        <w:rPr>
          <w:lang w:val="fr-FR"/>
        </w:rPr>
        <w:t>elles concernent les enfants</w:t>
      </w:r>
      <w:r w:rsidR="005D0F0F" w:rsidRPr="00495482">
        <w:rPr>
          <w:lang w:val="fr-FR"/>
        </w:rPr>
        <w:t>,</w:t>
      </w:r>
      <w:r w:rsidRPr="00495482">
        <w:rPr>
          <w:lang w:val="fr-FR"/>
        </w:rPr>
        <w:t xml:space="preserve"> soient annulées et leur mise en œuvre suspendue en attendant la décision de la Cour. L</w:t>
      </w:r>
      <w:r w:rsidR="005D0F0F" w:rsidRPr="00495482">
        <w:rPr>
          <w:lang w:val="fr-FR"/>
        </w:rPr>
        <w:t>’</w:t>
      </w:r>
      <w:r w:rsidRPr="00495482">
        <w:rPr>
          <w:lang w:val="fr-FR"/>
        </w:rPr>
        <w:t>application de la disposition exigeant qu</w:t>
      </w:r>
      <w:r w:rsidR="005D0F0F" w:rsidRPr="00495482">
        <w:rPr>
          <w:lang w:val="fr-FR"/>
        </w:rPr>
        <w:t>’</w:t>
      </w:r>
      <w:r w:rsidRPr="00495482">
        <w:rPr>
          <w:lang w:val="fr-FR"/>
        </w:rPr>
        <w:t>un enfant et la personne assurée vivent dans le même foyer aurait des conséquences néfastes irréparables pour les parents et leurs enfants. Les parents dont l</w:t>
      </w:r>
      <w:r w:rsidR="005D0F0F" w:rsidRPr="00495482">
        <w:rPr>
          <w:lang w:val="fr-FR"/>
        </w:rPr>
        <w:t>’</w:t>
      </w:r>
      <w:r w:rsidRPr="00495482">
        <w:rPr>
          <w:lang w:val="fr-FR"/>
        </w:rPr>
        <w:t>arrêt de travail pour cause de soins à prodiguer à un enfant malade a été rejeté en vertu des dispositions contestées</w:t>
      </w:r>
      <w:r w:rsidR="005D0F0F" w:rsidRPr="00495482">
        <w:rPr>
          <w:lang w:val="fr-FR"/>
        </w:rPr>
        <w:t>,</w:t>
      </w:r>
      <w:r w:rsidRPr="00495482">
        <w:rPr>
          <w:lang w:val="fr-FR"/>
        </w:rPr>
        <w:t xml:space="preserve"> ne seraient plus en mesure d</w:t>
      </w:r>
      <w:r w:rsidR="005D0F0F" w:rsidRPr="00495482">
        <w:rPr>
          <w:lang w:val="fr-FR"/>
        </w:rPr>
        <w:t>’</w:t>
      </w:r>
      <w:r w:rsidRPr="00495482">
        <w:rPr>
          <w:lang w:val="fr-FR"/>
        </w:rPr>
        <w:t>exercer ce droit</w:t>
      </w:r>
      <w:r w:rsidR="005D0F0F" w:rsidRPr="00495482">
        <w:rPr>
          <w:lang w:val="fr-FR"/>
        </w:rPr>
        <w:t>,</w:t>
      </w:r>
      <w:r w:rsidRPr="00495482">
        <w:rPr>
          <w:lang w:val="fr-FR"/>
        </w:rPr>
        <w:t xml:space="preserve"> car</w:t>
      </w:r>
      <w:r w:rsidR="005D0F0F" w:rsidRPr="00495482">
        <w:rPr>
          <w:lang w:val="fr-FR"/>
        </w:rPr>
        <w:t>,</w:t>
      </w:r>
      <w:r w:rsidRPr="00495482">
        <w:rPr>
          <w:lang w:val="fr-FR"/>
        </w:rPr>
        <w:t xml:space="preserve"> avec le temps</w:t>
      </w:r>
      <w:r w:rsidR="005D0F0F" w:rsidRPr="00495482">
        <w:rPr>
          <w:lang w:val="fr-FR"/>
        </w:rPr>
        <w:t>,</w:t>
      </w:r>
      <w:r w:rsidRPr="00495482">
        <w:rPr>
          <w:lang w:val="fr-FR"/>
        </w:rPr>
        <w:t xml:space="preserve"> elle serait infondée. Un tel rejet violerait également le droit de l</w:t>
      </w:r>
      <w:r w:rsidR="005D0F0F" w:rsidRPr="00495482">
        <w:rPr>
          <w:lang w:val="fr-FR"/>
        </w:rPr>
        <w:t>’</w:t>
      </w:r>
      <w:r w:rsidRPr="00495482">
        <w:rPr>
          <w:lang w:val="fr-FR"/>
        </w:rPr>
        <w:t xml:space="preserve">enfant aux soins de santé qui incluent les soins parentaux en cas de maladie. </w:t>
      </w:r>
    </w:p>
    <w:p w:rsidR="00317603" w:rsidRPr="00495482" w:rsidRDefault="00317603" w:rsidP="00657B60">
      <w:pPr>
        <w:pStyle w:val="Bullet1G"/>
        <w:rPr>
          <w:lang w:val="fr-FR"/>
        </w:rPr>
      </w:pPr>
      <w:r w:rsidRPr="00495482">
        <w:rPr>
          <w:lang w:val="fr-FR"/>
        </w:rPr>
        <w:t>La Cour constitutionnelle de la République de Slovénie a temporairement suspendu la requête du Médiateur. Le Gouvernement slovène a également tenu compte des raisons avancées par ce dernier sur l</w:t>
      </w:r>
      <w:r w:rsidR="005D0F0F" w:rsidRPr="00495482">
        <w:rPr>
          <w:lang w:val="fr-FR"/>
        </w:rPr>
        <w:t>’</w:t>
      </w:r>
      <w:r w:rsidRPr="00495482">
        <w:rPr>
          <w:lang w:val="fr-FR"/>
        </w:rPr>
        <w:t>inconstitutionnalité de la disposition en question</w:t>
      </w:r>
      <w:r w:rsidR="00813156" w:rsidRPr="00495482">
        <w:rPr>
          <w:lang w:val="fr-FR"/>
        </w:rPr>
        <w:t xml:space="preserve">, </w:t>
      </w:r>
      <w:r w:rsidRPr="00495482">
        <w:rPr>
          <w:lang w:val="fr-FR"/>
        </w:rPr>
        <w:t>et a supprimé les dispositions contestées dans les modifications proposées à la loi sur les soins de santé et l</w:t>
      </w:r>
      <w:r w:rsidR="005D0F0F" w:rsidRPr="00495482">
        <w:rPr>
          <w:lang w:val="fr-FR"/>
        </w:rPr>
        <w:t>’</w:t>
      </w:r>
      <w:r w:rsidRPr="00495482">
        <w:rPr>
          <w:lang w:val="fr-FR"/>
        </w:rPr>
        <w:t>assurance maladie.</w:t>
      </w:r>
      <w:r w:rsidR="003D1A4F" w:rsidRPr="00495482">
        <w:rPr>
          <w:lang w:val="fr-FR"/>
        </w:rPr>
        <w:t xml:space="preserve"> </w:t>
      </w:r>
    </w:p>
    <w:p w:rsidR="00317603" w:rsidRPr="00495482" w:rsidRDefault="00317603" w:rsidP="00657B60">
      <w:pPr>
        <w:pStyle w:val="Bullet1G"/>
        <w:rPr>
          <w:lang w:val="fr-FR"/>
        </w:rPr>
      </w:pPr>
      <w:r w:rsidRPr="00495482">
        <w:rPr>
          <w:lang w:val="fr-FR"/>
        </w:rPr>
        <w:t>16 juin 2008: Une demande d</w:t>
      </w:r>
      <w:r w:rsidR="005D0F0F" w:rsidRPr="00495482">
        <w:rPr>
          <w:lang w:val="fr-FR"/>
        </w:rPr>
        <w:t>’</w:t>
      </w:r>
      <w:r w:rsidRPr="00495482">
        <w:rPr>
          <w:lang w:val="fr-FR"/>
        </w:rPr>
        <w:t xml:space="preserve">examen de la constitutionnalité des cinquième et sixième paragraphes de </w:t>
      </w:r>
      <w:r w:rsidR="00657B60" w:rsidRPr="00495482">
        <w:rPr>
          <w:lang w:val="fr-FR"/>
        </w:rPr>
        <w:t>l’</w:t>
      </w:r>
      <w:r w:rsidR="003C4F70">
        <w:rPr>
          <w:lang w:val="fr-FR"/>
        </w:rPr>
        <w:t>article </w:t>
      </w:r>
      <w:r w:rsidRPr="00495482">
        <w:rPr>
          <w:lang w:val="fr-FR"/>
        </w:rPr>
        <w:t>39 de la loi sur les administrations locales autonomes</w:t>
      </w:r>
      <w:r w:rsidRPr="00495482">
        <w:rPr>
          <w:rStyle w:val="FootnoteReference"/>
        </w:rPr>
        <w:footnoteReference w:id="8"/>
      </w:r>
      <w:r w:rsidRPr="00495482">
        <w:rPr>
          <w:lang w:val="fr-FR"/>
        </w:rPr>
        <w:t xml:space="preserve"> car de l</w:t>
      </w:r>
      <w:r w:rsidR="005D0F0F" w:rsidRPr="00495482">
        <w:rPr>
          <w:lang w:val="fr-FR"/>
        </w:rPr>
        <w:t>’</w:t>
      </w:r>
      <w:r w:rsidRPr="00495482">
        <w:rPr>
          <w:lang w:val="fr-FR"/>
        </w:rPr>
        <w:t>avis du Médiateur</w:t>
      </w:r>
      <w:r w:rsidR="005D0F0F" w:rsidRPr="00495482">
        <w:rPr>
          <w:lang w:val="fr-FR"/>
        </w:rPr>
        <w:t>,</w:t>
      </w:r>
      <w:r w:rsidRPr="00495482">
        <w:rPr>
          <w:lang w:val="fr-FR"/>
        </w:rPr>
        <w:t xml:space="preserve"> la disposition contestée du sixième </w:t>
      </w:r>
      <w:r w:rsidR="00FB11E8">
        <w:rPr>
          <w:lang w:val="fr-FR"/>
        </w:rPr>
        <w:t>paragraphe </w:t>
      </w:r>
      <w:r w:rsidRPr="00495482">
        <w:rPr>
          <w:lang w:val="fr-FR"/>
        </w:rPr>
        <w:t xml:space="preserve">est non conforme aux </w:t>
      </w:r>
      <w:r w:rsidR="003D1A4F" w:rsidRPr="00495482">
        <w:rPr>
          <w:lang w:val="fr-FR"/>
        </w:rPr>
        <w:t>articles </w:t>
      </w:r>
      <w:r w:rsidRPr="00495482">
        <w:rPr>
          <w:lang w:val="fr-FR"/>
        </w:rPr>
        <w:t>2</w:t>
      </w:r>
      <w:r w:rsidR="005D0F0F" w:rsidRPr="00495482">
        <w:rPr>
          <w:lang w:val="fr-FR"/>
        </w:rPr>
        <w:t>,</w:t>
      </w:r>
      <w:r w:rsidRPr="00495482">
        <w:rPr>
          <w:lang w:val="fr-FR"/>
        </w:rPr>
        <w:t xml:space="preserve"> 3</w:t>
      </w:r>
      <w:r w:rsidR="005D0F0F" w:rsidRPr="00495482">
        <w:rPr>
          <w:lang w:val="fr-FR"/>
        </w:rPr>
        <w:t>,</w:t>
      </w:r>
      <w:r w:rsidRPr="00495482">
        <w:rPr>
          <w:lang w:val="fr-FR"/>
        </w:rPr>
        <w:t xml:space="preserve"> 65</w:t>
      </w:r>
      <w:r w:rsidR="005D0F0F" w:rsidRPr="00495482">
        <w:rPr>
          <w:lang w:val="fr-FR"/>
        </w:rPr>
        <w:t>,</w:t>
      </w:r>
      <w:r w:rsidRPr="00495482">
        <w:rPr>
          <w:lang w:val="fr-FR"/>
        </w:rPr>
        <w:t xml:space="preserve"> 87 et 153</w:t>
      </w:r>
      <w:r w:rsidR="003D1A4F" w:rsidRPr="00495482">
        <w:rPr>
          <w:lang w:val="fr-FR"/>
        </w:rPr>
        <w:t xml:space="preserve"> </w:t>
      </w:r>
      <w:r w:rsidRPr="00495482">
        <w:rPr>
          <w:lang w:val="fr-FR"/>
        </w:rPr>
        <w:t xml:space="preserve">de la Constitution et compromet gravement la réalisation et la protection des droits spéciaux de la communauté rom; et la disposition du cinquième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 xml:space="preserve">39 de la dite loi prête à discrimination et est donc contraire à </w:t>
      </w:r>
      <w:r w:rsidR="00657B60" w:rsidRPr="00495482">
        <w:rPr>
          <w:lang w:val="fr-FR"/>
        </w:rPr>
        <w:t>l’</w:t>
      </w:r>
      <w:r w:rsidR="003C4F70">
        <w:rPr>
          <w:lang w:val="fr-FR"/>
        </w:rPr>
        <w:t>article </w:t>
      </w:r>
      <w:r w:rsidRPr="00495482">
        <w:rPr>
          <w:lang w:val="fr-FR"/>
        </w:rPr>
        <w:t>14 de la Constitution</w:t>
      </w:r>
      <w:r w:rsidR="005D0F0F" w:rsidRPr="00495482">
        <w:rPr>
          <w:lang w:val="fr-FR"/>
        </w:rPr>
        <w:t>,</w:t>
      </w:r>
      <w:r w:rsidRPr="00495482">
        <w:rPr>
          <w:lang w:val="fr-FR"/>
        </w:rPr>
        <w:t xml:space="preserve"> à l</w:t>
      </w:r>
      <w:r w:rsidR="005D0F0F" w:rsidRPr="00495482">
        <w:rPr>
          <w:lang w:val="fr-FR"/>
        </w:rPr>
        <w:t>’</w:t>
      </w:r>
      <w:r w:rsidRPr="00495482">
        <w:rPr>
          <w:lang w:val="fr-FR"/>
        </w:rPr>
        <w:t xml:space="preserve">obligation de prévenir la discrimination raciale en vertu de </w:t>
      </w:r>
      <w:r w:rsidR="00657B60" w:rsidRPr="00495482">
        <w:rPr>
          <w:lang w:val="fr-FR"/>
        </w:rPr>
        <w:t>l’</w:t>
      </w:r>
      <w:r w:rsidR="003C4F70">
        <w:rPr>
          <w:lang w:val="fr-FR"/>
        </w:rPr>
        <w:t>article </w:t>
      </w:r>
      <w:r w:rsidRPr="00495482">
        <w:rPr>
          <w:lang w:val="fr-FR"/>
        </w:rPr>
        <w:t>26 du Pacte international relatif aux droits civils et politiques</w:t>
      </w:r>
      <w:r w:rsidR="005D0F0F" w:rsidRPr="00495482">
        <w:rPr>
          <w:lang w:val="fr-FR"/>
        </w:rPr>
        <w:t>,</w:t>
      </w:r>
      <w:r w:rsidRPr="00495482">
        <w:rPr>
          <w:lang w:val="fr-FR"/>
        </w:rPr>
        <w:t xml:space="preserve"> et de </w:t>
      </w:r>
      <w:r w:rsidR="00657B60" w:rsidRPr="00495482">
        <w:rPr>
          <w:lang w:val="fr-FR"/>
        </w:rPr>
        <w:t>l’</w:t>
      </w:r>
      <w:r w:rsidR="003C4F70">
        <w:rPr>
          <w:lang w:val="fr-FR"/>
        </w:rPr>
        <w:t>article </w:t>
      </w:r>
      <w:r w:rsidRPr="00495482">
        <w:rPr>
          <w:lang w:val="fr-FR"/>
        </w:rPr>
        <w:t>2 de la Convention internationale sur l</w:t>
      </w:r>
      <w:r w:rsidR="005D0F0F" w:rsidRPr="00495482">
        <w:rPr>
          <w:lang w:val="fr-FR"/>
        </w:rPr>
        <w:t>’</w:t>
      </w:r>
      <w:r w:rsidRPr="00495482">
        <w:rPr>
          <w:lang w:val="fr-FR"/>
        </w:rPr>
        <w:t>élimination de toutes les formes de discrimination raciale</w:t>
      </w:r>
      <w:r w:rsidR="005D0F0F" w:rsidRPr="00495482">
        <w:rPr>
          <w:lang w:val="fr-FR"/>
        </w:rPr>
        <w:t>;</w:t>
      </w:r>
      <w:r w:rsidRPr="00495482">
        <w:rPr>
          <w:lang w:val="fr-FR"/>
        </w:rPr>
        <w:t xml:space="preserve"> elle est en outre contraire aux </w:t>
      </w:r>
      <w:r w:rsidR="003D1A4F" w:rsidRPr="00495482">
        <w:rPr>
          <w:lang w:val="fr-FR"/>
        </w:rPr>
        <w:t>articles </w:t>
      </w:r>
      <w:r w:rsidRPr="00495482">
        <w:rPr>
          <w:lang w:val="fr-FR"/>
        </w:rPr>
        <w:t>15 et 65 de la Constitution</w:t>
      </w:r>
      <w:r w:rsidR="005D0F0F" w:rsidRPr="00495482">
        <w:rPr>
          <w:lang w:val="fr-FR"/>
        </w:rPr>
        <w:t>,</w:t>
      </w:r>
      <w:r w:rsidRPr="00495482">
        <w:rPr>
          <w:lang w:val="fr-FR"/>
        </w:rPr>
        <w:t xml:space="preserve"> car elle traite moins favorablement les Roms à titre individuel et les communautés roms locales en matière d</w:t>
      </w:r>
      <w:r w:rsidR="005D0F0F" w:rsidRPr="00495482">
        <w:rPr>
          <w:lang w:val="fr-FR"/>
        </w:rPr>
        <w:t>’</w:t>
      </w:r>
      <w:r w:rsidRPr="00495482">
        <w:rPr>
          <w:lang w:val="fr-FR"/>
        </w:rPr>
        <w:t>octroi et d</w:t>
      </w:r>
      <w:r w:rsidR="005D0F0F" w:rsidRPr="00495482">
        <w:rPr>
          <w:lang w:val="fr-FR"/>
        </w:rPr>
        <w:t>’</w:t>
      </w:r>
      <w:r w:rsidRPr="00495482">
        <w:rPr>
          <w:lang w:val="fr-FR"/>
        </w:rPr>
        <w:t xml:space="preserve">exercice des droits spéciaux. Par sa décision </w:t>
      </w:r>
      <w:r w:rsidR="00EB1CF6">
        <w:rPr>
          <w:szCs w:val="18"/>
        </w:rPr>
        <w:t>n</w:t>
      </w:r>
      <w:r w:rsidR="00EB1CF6" w:rsidRPr="001B12ED">
        <w:rPr>
          <w:szCs w:val="18"/>
          <w:vertAlign w:val="superscript"/>
          <w:lang w:val="fr-FR"/>
        </w:rPr>
        <w:t>o</w:t>
      </w:r>
      <w:r w:rsidR="00EB1CF6">
        <w:rPr>
          <w:szCs w:val="18"/>
        </w:rPr>
        <w:t> </w:t>
      </w:r>
      <w:r w:rsidRPr="00495482">
        <w:rPr>
          <w:lang w:val="fr-FR"/>
        </w:rPr>
        <w:t>U-l-176/08-10 du 7</w:t>
      </w:r>
      <w:r w:rsidR="00CF5C7F" w:rsidRPr="00495482">
        <w:rPr>
          <w:lang w:val="fr-FR"/>
        </w:rPr>
        <w:t> octobre</w:t>
      </w:r>
      <w:r w:rsidRPr="00495482">
        <w:rPr>
          <w:lang w:val="fr-FR"/>
        </w:rPr>
        <w:t xml:space="preserve"> 2010</w:t>
      </w:r>
      <w:r w:rsidR="005D0F0F" w:rsidRPr="00495482">
        <w:rPr>
          <w:lang w:val="fr-FR"/>
        </w:rPr>
        <w:t>,</w:t>
      </w:r>
      <w:r w:rsidRPr="00495482">
        <w:rPr>
          <w:lang w:val="fr-FR"/>
        </w:rPr>
        <w:t xml:space="preserve"> la Cour constitutionnelle slovène a jugé que le cinquième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39 de la loi sur les administrations locales autonomes</w:t>
      </w:r>
      <w:r w:rsidRPr="00495482">
        <w:rPr>
          <w:rStyle w:val="FootnoteReference"/>
        </w:rPr>
        <w:footnoteReference w:id="9"/>
      </w:r>
      <w:r w:rsidRPr="00495482">
        <w:rPr>
          <w:lang w:val="fr-FR"/>
        </w:rPr>
        <w:t xml:space="preserve"> n</w:t>
      </w:r>
      <w:r w:rsidR="005D0F0F" w:rsidRPr="00495482">
        <w:rPr>
          <w:lang w:val="fr-FR"/>
        </w:rPr>
        <w:t>’</w:t>
      </w:r>
      <w:r w:rsidRPr="00495482">
        <w:rPr>
          <w:lang w:val="fr-FR"/>
        </w:rPr>
        <w:t xml:space="preserve">était </w:t>
      </w:r>
      <w:r w:rsidR="003F365C">
        <w:rPr>
          <w:lang w:val="fr-FR"/>
        </w:rPr>
        <w:t xml:space="preserve">pas anticonstitutionnel </w:t>
      </w:r>
      <w:r w:rsidRPr="00495482">
        <w:rPr>
          <w:lang w:val="fr-FR"/>
        </w:rPr>
        <w:t>et la demande d</w:t>
      </w:r>
      <w:r w:rsidR="005D0F0F" w:rsidRPr="00495482">
        <w:rPr>
          <w:lang w:val="fr-FR"/>
        </w:rPr>
        <w:t>’</w:t>
      </w:r>
      <w:r w:rsidRPr="00495482">
        <w:rPr>
          <w:lang w:val="fr-FR"/>
        </w:rPr>
        <w:t xml:space="preserve">examen de la constitutionnalité du sixième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39 de la dite loi</w:t>
      </w:r>
      <w:r w:rsidRPr="00495482">
        <w:rPr>
          <w:rStyle w:val="FootnoteReference"/>
        </w:rPr>
        <w:footnoteReference w:id="10"/>
      </w:r>
      <w:r w:rsidRPr="00495482">
        <w:rPr>
          <w:lang w:val="fr-FR"/>
        </w:rPr>
        <w:t xml:space="preserve"> a été rejetée. </w:t>
      </w:r>
    </w:p>
    <w:p w:rsidR="00317603" w:rsidRPr="00495482" w:rsidRDefault="00317603" w:rsidP="00657B60">
      <w:pPr>
        <w:pStyle w:val="Bullet1G"/>
        <w:rPr>
          <w:lang w:val="fr-FR"/>
        </w:rPr>
      </w:pPr>
      <w:r w:rsidRPr="00495482">
        <w:rPr>
          <w:lang w:val="fr-FR"/>
        </w:rPr>
        <w:t>15 janvier 2010: Une demande d</w:t>
      </w:r>
      <w:r w:rsidR="005D0F0F" w:rsidRPr="00495482">
        <w:rPr>
          <w:lang w:val="fr-FR"/>
        </w:rPr>
        <w:t>’</w:t>
      </w:r>
      <w:r w:rsidRPr="00495482">
        <w:rPr>
          <w:lang w:val="fr-FR"/>
        </w:rPr>
        <w:t xml:space="preserve">examen de la constitutionnalité du premier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10 de la loi relative à la communauté rom de la République de Slovénie</w:t>
      </w:r>
      <w:r w:rsidRPr="00495482">
        <w:rPr>
          <w:rStyle w:val="FootnoteReference"/>
        </w:rPr>
        <w:footnoteReference w:id="11"/>
      </w:r>
      <w:r w:rsidR="005D0F0F" w:rsidRPr="00495482">
        <w:rPr>
          <w:lang w:val="fr-FR"/>
        </w:rPr>
        <w:t>,</w:t>
      </w:r>
      <w:r w:rsidRPr="00495482">
        <w:rPr>
          <w:lang w:val="fr-FR"/>
        </w:rPr>
        <w:t xml:space="preserve"> qui définit la composition du Conseil de la communauté rom</w:t>
      </w:r>
      <w:r w:rsidR="005D0F0F" w:rsidRPr="00495482">
        <w:rPr>
          <w:lang w:val="fr-FR"/>
        </w:rPr>
        <w:t>,</w:t>
      </w:r>
      <w:r w:rsidRPr="00495482">
        <w:rPr>
          <w:lang w:val="fr-FR"/>
        </w:rPr>
        <w:t xml:space="preserve"> car selon le Médiateur</w:t>
      </w:r>
      <w:r w:rsidR="005D0F0F" w:rsidRPr="00495482">
        <w:rPr>
          <w:lang w:val="fr-FR"/>
        </w:rPr>
        <w:t>,</w:t>
      </w:r>
      <w:r w:rsidRPr="00495482">
        <w:rPr>
          <w:lang w:val="fr-FR"/>
        </w:rPr>
        <w:t xml:space="preserve"> cette disposition discrimine de manière abusive des membres de la communauté rom</w:t>
      </w:r>
      <w:r w:rsidR="005D0F0F" w:rsidRPr="00495482">
        <w:rPr>
          <w:lang w:val="fr-FR"/>
        </w:rPr>
        <w:t>,</w:t>
      </w:r>
      <w:r w:rsidRPr="00495482">
        <w:rPr>
          <w:lang w:val="fr-FR"/>
        </w:rPr>
        <w:t xml:space="preserve"> les communautés roms locales et les organisations de droit civil roms quant à leur possibilité de participer au Conseil de la communauté rom de la République de Slovénie. De l</w:t>
      </w:r>
      <w:r w:rsidR="005D0F0F" w:rsidRPr="00495482">
        <w:rPr>
          <w:lang w:val="fr-FR"/>
        </w:rPr>
        <w:t>’</w:t>
      </w:r>
      <w:r w:rsidRPr="00495482">
        <w:rPr>
          <w:lang w:val="fr-FR"/>
        </w:rPr>
        <w:t>avis du Médiateur</w:t>
      </w:r>
      <w:r w:rsidR="005D0F0F" w:rsidRPr="00495482">
        <w:rPr>
          <w:lang w:val="fr-FR"/>
        </w:rPr>
        <w:t>,</w:t>
      </w:r>
      <w:r w:rsidRPr="00495482">
        <w:rPr>
          <w:lang w:val="fr-FR"/>
        </w:rPr>
        <w:t xml:space="preserve"> elle est donc contraire à </w:t>
      </w:r>
      <w:r w:rsidR="00657B60" w:rsidRPr="00495482">
        <w:rPr>
          <w:lang w:val="fr-FR"/>
        </w:rPr>
        <w:t>l’</w:t>
      </w:r>
      <w:r w:rsidR="003C4F70">
        <w:rPr>
          <w:lang w:val="fr-FR"/>
        </w:rPr>
        <w:t>article </w:t>
      </w:r>
      <w:r w:rsidRPr="00495482">
        <w:rPr>
          <w:lang w:val="fr-FR"/>
        </w:rPr>
        <w:t>14 de la Constitution</w:t>
      </w:r>
      <w:r w:rsidR="005D0F0F" w:rsidRPr="00495482">
        <w:rPr>
          <w:lang w:val="fr-FR"/>
        </w:rPr>
        <w:t>,</w:t>
      </w:r>
      <w:r w:rsidRPr="00495482">
        <w:rPr>
          <w:lang w:val="fr-FR"/>
        </w:rPr>
        <w:t xml:space="preserve"> à l</w:t>
      </w:r>
      <w:r w:rsidR="005D0F0F" w:rsidRPr="00495482">
        <w:rPr>
          <w:lang w:val="fr-FR"/>
        </w:rPr>
        <w:t>’</w:t>
      </w:r>
      <w:r w:rsidRPr="00495482">
        <w:rPr>
          <w:lang w:val="fr-FR"/>
        </w:rPr>
        <w:t>obligation de l</w:t>
      </w:r>
      <w:r w:rsidR="005D0F0F" w:rsidRPr="00495482">
        <w:rPr>
          <w:lang w:val="fr-FR"/>
        </w:rPr>
        <w:t>’</w:t>
      </w:r>
      <w:r w:rsidRPr="00495482">
        <w:rPr>
          <w:lang w:val="fr-FR"/>
        </w:rPr>
        <w:t>État d</w:t>
      </w:r>
      <w:r w:rsidR="005D0F0F" w:rsidRPr="00495482">
        <w:rPr>
          <w:lang w:val="fr-FR"/>
        </w:rPr>
        <w:t>’</w:t>
      </w:r>
      <w:r w:rsidRPr="00495482">
        <w:rPr>
          <w:lang w:val="fr-FR"/>
        </w:rPr>
        <w:t xml:space="preserve">interdire la discrimination raciale en vertu de </w:t>
      </w:r>
      <w:r w:rsidR="00657B60" w:rsidRPr="00495482">
        <w:rPr>
          <w:lang w:val="fr-FR"/>
        </w:rPr>
        <w:t>l’</w:t>
      </w:r>
      <w:r w:rsidR="003C4F70">
        <w:rPr>
          <w:lang w:val="fr-FR"/>
        </w:rPr>
        <w:t>article </w:t>
      </w:r>
      <w:r w:rsidRPr="00495482">
        <w:rPr>
          <w:lang w:val="fr-FR"/>
        </w:rPr>
        <w:t>26 du Pacte international relatif aux droits civils et politiques</w:t>
      </w:r>
      <w:r w:rsidR="005D0F0F" w:rsidRPr="00495482">
        <w:rPr>
          <w:lang w:val="fr-FR"/>
        </w:rPr>
        <w:t>,</w:t>
      </w:r>
      <w:r w:rsidRPr="00495482">
        <w:rPr>
          <w:lang w:val="fr-FR"/>
        </w:rPr>
        <w:t xml:space="preserve"> et de </w:t>
      </w:r>
      <w:r w:rsidR="00657B60" w:rsidRPr="00495482">
        <w:rPr>
          <w:lang w:val="fr-FR"/>
        </w:rPr>
        <w:t>l’</w:t>
      </w:r>
      <w:r w:rsidR="003C4F70">
        <w:rPr>
          <w:lang w:val="fr-FR"/>
        </w:rPr>
        <w:t>article </w:t>
      </w:r>
      <w:r w:rsidRPr="00495482">
        <w:rPr>
          <w:lang w:val="fr-FR"/>
        </w:rPr>
        <w:t>2 de la Convention internationale sur l</w:t>
      </w:r>
      <w:r w:rsidR="005D0F0F" w:rsidRPr="00495482">
        <w:rPr>
          <w:lang w:val="fr-FR"/>
        </w:rPr>
        <w:t>’</w:t>
      </w:r>
      <w:r w:rsidRPr="00495482">
        <w:rPr>
          <w:lang w:val="fr-FR"/>
        </w:rPr>
        <w:t>élimination de toutes les formes de discrimination raciale</w:t>
      </w:r>
      <w:r w:rsidR="005D0F0F" w:rsidRPr="00495482">
        <w:rPr>
          <w:lang w:val="fr-FR"/>
        </w:rPr>
        <w:t>,</w:t>
      </w:r>
      <w:r w:rsidRPr="00495482">
        <w:rPr>
          <w:lang w:val="fr-FR"/>
        </w:rPr>
        <w:t xml:space="preserve"> et contraire aux </w:t>
      </w:r>
      <w:r w:rsidR="003D1A4F" w:rsidRPr="00495482">
        <w:rPr>
          <w:lang w:val="fr-FR"/>
        </w:rPr>
        <w:t>articles </w:t>
      </w:r>
      <w:r w:rsidRPr="00495482">
        <w:rPr>
          <w:lang w:val="fr-FR"/>
        </w:rPr>
        <w:t>15 et 65 de la Constitution</w:t>
      </w:r>
      <w:r w:rsidR="005D0F0F" w:rsidRPr="00495482">
        <w:rPr>
          <w:lang w:val="fr-FR"/>
        </w:rPr>
        <w:t>,</w:t>
      </w:r>
      <w:r w:rsidRPr="00495482">
        <w:rPr>
          <w:lang w:val="fr-FR"/>
        </w:rPr>
        <w:t xml:space="preserve"> en ce qu</w:t>
      </w:r>
      <w:r w:rsidR="005D0F0F" w:rsidRPr="00495482">
        <w:rPr>
          <w:lang w:val="fr-FR"/>
        </w:rPr>
        <w:t>’</w:t>
      </w:r>
      <w:r w:rsidRPr="00495482">
        <w:rPr>
          <w:lang w:val="fr-FR"/>
        </w:rPr>
        <w:t>elle traite les communautés roms locales et les Roms à titre individuel de manière moins favorable en matière d</w:t>
      </w:r>
      <w:r w:rsidR="005D0F0F" w:rsidRPr="00495482">
        <w:rPr>
          <w:lang w:val="fr-FR"/>
        </w:rPr>
        <w:t>’</w:t>
      </w:r>
      <w:r w:rsidRPr="00495482">
        <w:rPr>
          <w:lang w:val="fr-FR"/>
        </w:rPr>
        <w:t>octroi et d</w:t>
      </w:r>
      <w:r w:rsidR="005D0F0F" w:rsidRPr="00495482">
        <w:rPr>
          <w:lang w:val="fr-FR"/>
        </w:rPr>
        <w:t>’</w:t>
      </w:r>
      <w:r w:rsidRPr="00495482">
        <w:rPr>
          <w:lang w:val="fr-FR"/>
        </w:rPr>
        <w:t>exercice des droits spéciaux. Le 16 juin 2010</w:t>
      </w:r>
      <w:r w:rsidR="005D0F0F" w:rsidRPr="00495482">
        <w:rPr>
          <w:lang w:val="fr-FR"/>
        </w:rPr>
        <w:t>,</w:t>
      </w:r>
      <w:r w:rsidRPr="00495482">
        <w:rPr>
          <w:lang w:val="fr-FR"/>
        </w:rPr>
        <w:t xml:space="preserve"> la Cour constitutionnelle a statué sur l</w:t>
      </w:r>
      <w:r w:rsidR="005D0F0F" w:rsidRPr="00495482">
        <w:rPr>
          <w:lang w:val="fr-FR"/>
        </w:rPr>
        <w:t>’</w:t>
      </w:r>
      <w:r w:rsidRPr="00495482">
        <w:rPr>
          <w:lang w:val="fr-FR"/>
        </w:rPr>
        <w:t xml:space="preserve">affaire par la décision </w:t>
      </w:r>
      <w:r w:rsidR="00EB1CF6">
        <w:rPr>
          <w:szCs w:val="18"/>
        </w:rPr>
        <w:t>n</w:t>
      </w:r>
      <w:r w:rsidR="00EB1CF6" w:rsidRPr="001B12ED">
        <w:rPr>
          <w:szCs w:val="18"/>
          <w:vertAlign w:val="superscript"/>
          <w:lang w:val="fr-FR"/>
        </w:rPr>
        <w:t>o</w:t>
      </w:r>
      <w:r w:rsidR="00EB1CF6">
        <w:rPr>
          <w:szCs w:val="18"/>
        </w:rPr>
        <w:t> </w:t>
      </w:r>
      <w:r w:rsidRPr="00495482">
        <w:rPr>
          <w:lang w:val="fr-FR"/>
        </w:rPr>
        <w:t>U-I-15/10-13</w:t>
      </w:r>
      <w:r w:rsidR="005D0F0F" w:rsidRPr="00495482">
        <w:rPr>
          <w:lang w:val="fr-FR"/>
        </w:rPr>
        <w:t>,</w:t>
      </w:r>
      <w:r w:rsidRPr="00495482">
        <w:rPr>
          <w:lang w:val="fr-FR"/>
        </w:rPr>
        <w:t xml:space="preserve"> d</w:t>
      </w:r>
      <w:r w:rsidR="005D0F0F" w:rsidRPr="00495482">
        <w:rPr>
          <w:lang w:val="fr-FR"/>
        </w:rPr>
        <w:t>’</w:t>
      </w:r>
      <w:r w:rsidRPr="00495482">
        <w:rPr>
          <w:lang w:val="fr-FR"/>
        </w:rPr>
        <w:t xml:space="preserve">où il ressort que le premier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10 de la loi relative à la communauté rom de la République de Slovénie n</w:t>
      </w:r>
      <w:r w:rsidR="005D0F0F" w:rsidRPr="00495482">
        <w:rPr>
          <w:lang w:val="fr-FR"/>
        </w:rPr>
        <w:t>’</w:t>
      </w:r>
      <w:r w:rsidRPr="00495482">
        <w:rPr>
          <w:lang w:val="fr-FR"/>
        </w:rPr>
        <w:t xml:space="preserve">est pas anticonstitutionnel. </w:t>
      </w:r>
    </w:p>
    <w:p w:rsidR="00317603" w:rsidRPr="00495482" w:rsidRDefault="00317603" w:rsidP="0031340A">
      <w:pPr>
        <w:pStyle w:val="H23G"/>
        <w:rPr>
          <w:iCs/>
          <w:lang w:val="fr-FR" w:eastAsia="sl-SI"/>
        </w:rPr>
      </w:pPr>
      <w:r w:rsidRPr="00495482">
        <w:rPr>
          <w:lang w:val="fr-FR" w:eastAsia="sl-SI"/>
        </w:rPr>
        <w:tab/>
      </w:r>
      <w:r w:rsidRPr="00495482">
        <w:rPr>
          <w:lang w:val="fr-FR" w:eastAsia="sl-SI"/>
        </w:rPr>
        <w:tab/>
        <w:t xml:space="preserve">Développement international et aide humanitaire </w:t>
      </w:r>
    </w:p>
    <w:p w:rsidR="00317603" w:rsidRPr="00495482" w:rsidRDefault="00317603" w:rsidP="0031340A">
      <w:pPr>
        <w:pStyle w:val="SingleTxtG"/>
        <w:rPr>
          <w:lang w:val="fr-FR" w:eastAsia="sl-SI"/>
        </w:rPr>
      </w:pPr>
      <w:r w:rsidRPr="00495482">
        <w:rPr>
          <w:lang w:val="fr-FR" w:eastAsia="sl-SI"/>
        </w:rPr>
        <w:t>6.</w:t>
      </w:r>
      <w:r w:rsidRPr="00495482">
        <w:rPr>
          <w:lang w:val="fr-FR" w:eastAsia="sl-SI"/>
        </w:rPr>
        <w:tab/>
        <w:t>Dans le domaine de la coopération internationale en faveur du développement</w:t>
      </w:r>
      <w:r w:rsidR="005D0F0F" w:rsidRPr="00495482">
        <w:rPr>
          <w:lang w:val="fr-FR" w:eastAsia="sl-SI"/>
        </w:rPr>
        <w:t>,</w:t>
      </w:r>
      <w:r w:rsidRPr="00495482">
        <w:rPr>
          <w:lang w:val="fr-FR" w:eastAsia="sl-SI"/>
        </w:rPr>
        <w:t xml:space="preserve"> la République de Slovénie s</w:t>
      </w:r>
      <w:r w:rsidR="005D0F0F" w:rsidRPr="00495482">
        <w:rPr>
          <w:lang w:val="fr-FR" w:eastAsia="sl-SI"/>
        </w:rPr>
        <w:t>’</w:t>
      </w:r>
      <w:r w:rsidRPr="00495482">
        <w:rPr>
          <w:lang w:val="fr-FR" w:eastAsia="sl-SI"/>
        </w:rPr>
        <w:t>efforce d</w:t>
      </w:r>
      <w:r w:rsidR="005D0F0F" w:rsidRPr="00495482">
        <w:rPr>
          <w:lang w:val="fr-FR" w:eastAsia="sl-SI"/>
        </w:rPr>
        <w:t>’</w:t>
      </w:r>
      <w:r w:rsidRPr="00495482">
        <w:rPr>
          <w:lang w:val="fr-FR" w:eastAsia="sl-SI"/>
        </w:rPr>
        <w:t>atteindre progressivement les objectifs convenus au plan international par les pays développés et qui consistent à accroître les ressources destinées à l</w:t>
      </w:r>
      <w:r w:rsidR="005D0F0F" w:rsidRPr="00495482">
        <w:rPr>
          <w:lang w:val="fr-FR" w:eastAsia="sl-SI"/>
        </w:rPr>
        <w:t>’</w:t>
      </w:r>
      <w:r w:rsidRPr="00495482">
        <w:rPr>
          <w:lang w:val="fr-FR" w:eastAsia="sl-SI"/>
        </w:rPr>
        <w:t>aide au développement des pays les moins avancés</w:t>
      </w:r>
      <w:r w:rsidR="005D0F0F" w:rsidRPr="00495482">
        <w:rPr>
          <w:lang w:val="fr-FR" w:eastAsia="sl-SI"/>
        </w:rPr>
        <w:t>,</w:t>
      </w:r>
      <w:r w:rsidRPr="00495482">
        <w:rPr>
          <w:lang w:val="fr-FR" w:eastAsia="sl-SI"/>
        </w:rPr>
        <w:t xml:space="preserve"> et à réduire la pauvreté partout dans le monde.</w:t>
      </w:r>
      <w:r w:rsidR="003D1A4F" w:rsidRPr="00495482">
        <w:rPr>
          <w:lang w:val="fr-FR" w:eastAsia="sl-SI"/>
        </w:rPr>
        <w:t xml:space="preserve"> </w:t>
      </w:r>
    </w:p>
    <w:p w:rsidR="00317603" w:rsidRPr="00495482" w:rsidRDefault="00317603" w:rsidP="0031340A">
      <w:pPr>
        <w:pStyle w:val="SingleTxtG"/>
        <w:rPr>
          <w:lang w:val="fr-FR" w:eastAsia="sl-SI"/>
        </w:rPr>
      </w:pPr>
      <w:r w:rsidRPr="00495482">
        <w:rPr>
          <w:lang w:val="fr-FR" w:eastAsia="sl-SI"/>
        </w:rPr>
        <w:t>7.</w:t>
      </w:r>
      <w:r w:rsidRPr="00495482">
        <w:rPr>
          <w:lang w:val="fr-FR" w:eastAsia="sl-SI"/>
        </w:rPr>
        <w:tab/>
        <w:t>La République de Slovénie vise également à long terme à atteindre l</w:t>
      </w:r>
      <w:r w:rsidR="005D0F0F" w:rsidRPr="00495482">
        <w:rPr>
          <w:lang w:val="fr-FR" w:eastAsia="sl-SI"/>
        </w:rPr>
        <w:t>’</w:t>
      </w:r>
      <w:r w:rsidRPr="00495482">
        <w:rPr>
          <w:lang w:val="fr-FR" w:eastAsia="sl-SI"/>
        </w:rPr>
        <w:t>objectif recommandé par l</w:t>
      </w:r>
      <w:r w:rsidR="005D0F0F" w:rsidRPr="00495482">
        <w:rPr>
          <w:lang w:val="fr-FR" w:eastAsia="sl-SI"/>
        </w:rPr>
        <w:t>’</w:t>
      </w:r>
      <w:r w:rsidRPr="00495482">
        <w:rPr>
          <w:lang w:val="fr-FR" w:eastAsia="sl-SI"/>
        </w:rPr>
        <w:t>Organisation des Nations Unies – à savoir consacrer 0</w:t>
      </w:r>
      <w:r w:rsidR="005D0F0F" w:rsidRPr="00495482">
        <w:rPr>
          <w:lang w:val="fr-FR" w:eastAsia="sl-SI"/>
        </w:rPr>
        <w:t>,</w:t>
      </w:r>
      <w:r w:rsidRPr="00495482">
        <w:rPr>
          <w:lang w:val="fr-FR" w:eastAsia="sl-SI"/>
        </w:rPr>
        <w:t>7% de son PIB à l</w:t>
      </w:r>
      <w:r w:rsidR="005D0F0F" w:rsidRPr="00495482">
        <w:rPr>
          <w:lang w:val="fr-FR" w:eastAsia="sl-SI"/>
        </w:rPr>
        <w:t>’</w:t>
      </w:r>
      <w:r w:rsidRPr="00495482">
        <w:rPr>
          <w:lang w:val="fr-FR" w:eastAsia="sl-SI"/>
        </w:rPr>
        <w:t>aide publique au développement</w:t>
      </w:r>
      <w:r w:rsidR="005D0F0F" w:rsidRPr="00495482">
        <w:rPr>
          <w:lang w:val="fr-FR" w:eastAsia="sl-SI"/>
        </w:rPr>
        <w:t>,</w:t>
      </w:r>
      <w:r w:rsidRPr="00495482">
        <w:rPr>
          <w:lang w:val="fr-FR" w:eastAsia="sl-SI"/>
        </w:rPr>
        <w:t xml:space="preserve"> pourcentage que tout</w:t>
      </w:r>
      <w:r w:rsidR="003D1A4F" w:rsidRPr="00495482">
        <w:rPr>
          <w:lang w:val="fr-FR" w:eastAsia="sl-SI"/>
        </w:rPr>
        <w:t xml:space="preserve"> </w:t>
      </w:r>
      <w:r w:rsidRPr="00495482">
        <w:rPr>
          <w:lang w:val="fr-FR" w:eastAsia="sl-SI"/>
        </w:rPr>
        <w:t>pays développé devrait allouer aux pays les moins avancés. Conformément aux engagements internationaux pris de relever l</w:t>
      </w:r>
      <w:r w:rsidR="005D0F0F" w:rsidRPr="00495482">
        <w:rPr>
          <w:lang w:val="fr-FR" w:eastAsia="sl-SI"/>
        </w:rPr>
        <w:t>’</w:t>
      </w:r>
      <w:r w:rsidRPr="00495482">
        <w:rPr>
          <w:lang w:val="fr-FR" w:eastAsia="sl-SI"/>
        </w:rPr>
        <w:t>aide au développement à 0</w:t>
      </w:r>
      <w:r w:rsidR="005D0F0F" w:rsidRPr="00495482">
        <w:rPr>
          <w:lang w:val="fr-FR" w:eastAsia="sl-SI"/>
        </w:rPr>
        <w:t>,</w:t>
      </w:r>
      <w:r w:rsidRPr="00495482">
        <w:rPr>
          <w:lang w:val="fr-FR" w:eastAsia="sl-SI"/>
        </w:rPr>
        <w:t>17% du PIB d</w:t>
      </w:r>
      <w:r w:rsidR="005D0F0F" w:rsidRPr="00495482">
        <w:rPr>
          <w:lang w:val="fr-FR" w:eastAsia="sl-SI"/>
        </w:rPr>
        <w:t>’</w:t>
      </w:r>
      <w:r w:rsidRPr="00495482">
        <w:rPr>
          <w:lang w:val="fr-FR" w:eastAsia="sl-SI"/>
        </w:rPr>
        <w:t>ici à 2010 et à 0</w:t>
      </w:r>
      <w:r w:rsidR="005D0F0F" w:rsidRPr="00495482">
        <w:rPr>
          <w:lang w:val="fr-FR" w:eastAsia="sl-SI"/>
        </w:rPr>
        <w:t>,</w:t>
      </w:r>
      <w:r w:rsidRPr="00495482">
        <w:rPr>
          <w:lang w:val="fr-FR" w:eastAsia="sl-SI"/>
        </w:rPr>
        <w:t>33% d</w:t>
      </w:r>
      <w:r w:rsidR="005D0F0F" w:rsidRPr="00495482">
        <w:rPr>
          <w:lang w:val="fr-FR" w:eastAsia="sl-SI"/>
        </w:rPr>
        <w:t>’</w:t>
      </w:r>
      <w:r w:rsidRPr="00495482">
        <w:rPr>
          <w:lang w:val="fr-FR" w:eastAsia="sl-SI"/>
        </w:rPr>
        <w:t>ici à 2015</w:t>
      </w:r>
      <w:r w:rsidR="005D0F0F" w:rsidRPr="00495482">
        <w:rPr>
          <w:lang w:val="fr-FR" w:eastAsia="sl-SI"/>
        </w:rPr>
        <w:t>,</w:t>
      </w:r>
      <w:r w:rsidRPr="00495482">
        <w:rPr>
          <w:lang w:val="fr-FR" w:eastAsia="sl-SI"/>
        </w:rPr>
        <w:t xml:space="preserve"> depuis 2004</w:t>
      </w:r>
      <w:r w:rsidR="005D0F0F" w:rsidRPr="00495482">
        <w:rPr>
          <w:lang w:val="fr-FR" w:eastAsia="sl-SI"/>
        </w:rPr>
        <w:t>,</w:t>
      </w:r>
      <w:r w:rsidRPr="00495482">
        <w:rPr>
          <w:lang w:val="fr-FR" w:eastAsia="sl-SI"/>
        </w:rPr>
        <w:t xml:space="preserve"> date à laquelle elle est devenue officiellement pays donateur</w:t>
      </w:r>
      <w:r w:rsidR="005D0F0F" w:rsidRPr="00495482">
        <w:rPr>
          <w:lang w:val="fr-FR" w:eastAsia="sl-SI"/>
        </w:rPr>
        <w:t>,</w:t>
      </w:r>
      <w:r w:rsidRPr="00495482">
        <w:rPr>
          <w:lang w:val="fr-FR" w:eastAsia="sl-SI"/>
        </w:rPr>
        <w:t xml:space="preserve"> la Slovénie a progressivement augmenté la part du PIB consacrée aux pays en développement et</w:t>
      </w:r>
      <w:r w:rsidR="005D0F0F" w:rsidRPr="00495482">
        <w:rPr>
          <w:lang w:val="fr-FR" w:eastAsia="sl-SI"/>
        </w:rPr>
        <w:t>,</w:t>
      </w:r>
      <w:r w:rsidRPr="00495482">
        <w:rPr>
          <w:lang w:val="fr-FR" w:eastAsia="sl-SI"/>
        </w:rPr>
        <w:t xml:space="preserve"> en 2008</w:t>
      </w:r>
      <w:r w:rsidR="005D0F0F" w:rsidRPr="00495482">
        <w:rPr>
          <w:lang w:val="fr-FR" w:eastAsia="sl-SI"/>
        </w:rPr>
        <w:t>,</w:t>
      </w:r>
      <w:r w:rsidRPr="00495482">
        <w:rPr>
          <w:lang w:val="fr-FR" w:eastAsia="sl-SI"/>
        </w:rPr>
        <w:t xml:space="preserve"> cette part a atteint 0</w:t>
      </w:r>
      <w:r w:rsidR="005D0F0F" w:rsidRPr="00495482">
        <w:rPr>
          <w:lang w:val="fr-FR" w:eastAsia="sl-SI"/>
        </w:rPr>
        <w:t>,</w:t>
      </w:r>
      <w:r w:rsidRPr="00495482">
        <w:rPr>
          <w:lang w:val="fr-FR" w:eastAsia="sl-SI"/>
        </w:rPr>
        <w:t>13</w:t>
      </w:r>
      <w:r w:rsidR="005D0F0F" w:rsidRPr="00495482">
        <w:rPr>
          <w:lang w:val="fr-FR" w:eastAsia="sl-SI"/>
        </w:rPr>
        <w:t>%</w:t>
      </w:r>
      <w:r w:rsidRPr="00495482">
        <w:rPr>
          <w:lang w:val="fr-FR" w:eastAsia="sl-SI"/>
        </w:rPr>
        <w:t>. En application de la résolution sur la coopération pour le développement international de la République de Slovénie pour la période allant jusqu</w:t>
      </w:r>
      <w:r w:rsidR="005D0F0F" w:rsidRPr="00495482">
        <w:rPr>
          <w:lang w:val="fr-FR" w:eastAsia="sl-SI"/>
        </w:rPr>
        <w:t>’</w:t>
      </w:r>
      <w:r w:rsidRPr="00495482">
        <w:rPr>
          <w:lang w:val="fr-FR" w:eastAsia="sl-SI"/>
        </w:rPr>
        <w:t>à 2015</w:t>
      </w:r>
      <w:r w:rsidRPr="00495482">
        <w:rPr>
          <w:rStyle w:val="FootnoteReference"/>
        </w:rPr>
        <w:footnoteReference w:id="12"/>
      </w:r>
      <w:r w:rsidR="005D0F0F" w:rsidRPr="00495482">
        <w:rPr>
          <w:lang w:val="fr-FR" w:eastAsia="sl-SI"/>
        </w:rPr>
        <w:t>,</w:t>
      </w:r>
      <w:r w:rsidRPr="00495482">
        <w:rPr>
          <w:lang w:val="fr-FR" w:eastAsia="sl-SI"/>
        </w:rPr>
        <w:t xml:space="preserve"> la Slovénie oriente l</w:t>
      </w:r>
      <w:r w:rsidR="005D0F0F" w:rsidRPr="00495482">
        <w:rPr>
          <w:lang w:val="fr-FR" w:eastAsia="sl-SI"/>
        </w:rPr>
        <w:t>’</w:t>
      </w:r>
      <w:r w:rsidRPr="00495482">
        <w:rPr>
          <w:lang w:val="fr-FR" w:eastAsia="sl-SI"/>
        </w:rPr>
        <w:t>aide humanitaire et l</w:t>
      </w:r>
      <w:r w:rsidR="005D0F0F" w:rsidRPr="00495482">
        <w:rPr>
          <w:lang w:val="fr-FR" w:eastAsia="sl-SI"/>
        </w:rPr>
        <w:t>’</w:t>
      </w:r>
      <w:r w:rsidRPr="00495482">
        <w:rPr>
          <w:lang w:val="fr-FR" w:eastAsia="sl-SI"/>
        </w:rPr>
        <w:t>aide aux pays sortant d</w:t>
      </w:r>
      <w:r w:rsidR="005D0F0F" w:rsidRPr="00495482">
        <w:rPr>
          <w:lang w:val="fr-FR" w:eastAsia="sl-SI"/>
        </w:rPr>
        <w:t>’</w:t>
      </w:r>
      <w:r w:rsidRPr="00495482">
        <w:rPr>
          <w:lang w:val="fr-FR" w:eastAsia="sl-SI"/>
        </w:rPr>
        <w:t>un conflit essentiellement vers la réduction de la pauvreté et de la famine</w:t>
      </w:r>
      <w:r w:rsidR="005D0F0F" w:rsidRPr="00495482">
        <w:rPr>
          <w:lang w:val="fr-FR" w:eastAsia="sl-SI"/>
        </w:rPr>
        <w:t>,</w:t>
      </w:r>
      <w:r w:rsidRPr="00495482">
        <w:rPr>
          <w:lang w:val="fr-FR" w:eastAsia="sl-SI"/>
        </w:rPr>
        <w:t xml:space="preserve"> les activités de lutte contre les mines et l</w:t>
      </w:r>
      <w:r w:rsidR="005D0F0F" w:rsidRPr="00495482">
        <w:rPr>
          <w:lang w:val="fr-FR" w:eastAsia="sl-SI"/>
        </w:rPr>
        <w:t>’</w:t>
      </w:r>
      <w:r w:rsidRPr="00495482">
        <w:rPr>
          <w:lang w:val="fr-FR" w:eastAsia="sl-SI"/>
        </w:rPr>
        <w:t>assistance aux enfants au sortir des conflits. Elle applique la résolution avec l</w:t>
      </w:r>
      <w:r w:rsidR="005D0F0F" w:rsidRPr="00495482">
        <w:rPr>
          <w:lang w:val="fr-FR" w:eastAsia="sl-SI"/>
        </w:rPr>
        <w:t>’</w:t>
      </w:r>
      <w:r w:rsidRPr="00495482">
        <w:rPr>
          <w:lang w:val="fr-FR" w:eastAsia="sl-SI"/>
        </w:rPr>
        <w:t>aide d</w:t>
      </w:r>
      <w:r w:rsidR="005D0F0F" w:rsidRPr="00495482">
        <w:rPr>
          <w:lang w:val="fr-FR" w:eastAsia="sl-SI"/>
        </w:rPr>
        <w:t>’</w:t>
      </w:r>
      <w:r w:rsidRPr="00495482">
        <w:rPr>
          <w:lang w:val="fr-FR" w:eastAsia="sl-SI"/>
        </w:rPr>
        <w:t>organisations internationales</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organisations gouvernementales et d</w:t>
      </w:r>
      <w:r w:rsidR="005D0F0F" w:rsidRPr="00495482">
        <w:rPr>
          <w:lang w:val="fr-FR" w:eastAsia="sl-SI"/>
        </w:rPr>
        <w:t>’</w:t>
      </w:r>
      <w:r w:rsidRPr="00495482">
        <w:rPr>
          <w:lang w:val="fr-FR" w:eastAsia="sl-SI"/>
        </w:rPr>
        <w:t xml:space="preserve">organisations non gouvernementales actives dans ce domaine. </w:t>
      </w:r>
    </w:p>
    <w:p w:rsidR="00317603" w:rsidRPr="00495482" w:rsidRDefault="00317603" w:rsidP="0031340A">
      <w:pPr>
        <w:pStyle w:val="H23G"/>
        <w:rPr>
          <w:iCs/>
          <w:lang w:val="fr-FR" w:eastAsia="sl-SI"/>
        </w:rPr>
      </w:pPr>
      <w:r w:rsidRPr="00495482">
        <w:rPr>
          <w:rFonts w:eastAsia="Cambria"/>
          <w:lang w:val="fr-FR" w:eastAsia="sl-SI"/>
        </w:rPr>
        <w:tab/>
      </w:r>
      <w:r w:rsidRPr="00495482">
        <w:rPr>
          <w:rFonts w:eastAsia="Cambria"/>
          <w:lang w:val="fr-FR" w:eastAsia="sl-SI"/>
        </w:rPr>
        <w:tab/>
        <w:t>Plan d</w:t>
      </w:r>
      <w:r w:rsidR="005D0F0F" w:rsidRPr="00495482">
        <w:rPr>
          <w:rFonts w:eastAsia="Cambria"/>
          <w:lang w:val="fr-FR" w:eastAsia="sl-SI"/>
        </w:rPr>
        <w:t>’</w:t>
      </w:r>
      <w:r w:rsidRPr="00495482">
        <w:rPr>
          <w:rFonts w:eastAsia="Cambria"/>
          <w:lang w:val="fr-FR" w:eastAsia="sl-SI"/>
        </w:rPr>
        <w:t>action national dans le domaine des droits de l</w:t>
      </w:r>
      <w:r w:rsidR="005D0F0F" w:rsidRPr="00495482">
        <w:rPr>
          <w:rFonts w:eastAsia="Cambria"/>
          <w:lang w:val="fr-FR" w:eastAsia="sl-SI"/>
        </w:rPr>
        <w:t>’</w:t>
      </w:r>
      <w:r w:rsidRPr="00495482">
        <w:rPr>
          <w:rFonts w:eastAsia="Cambria"/>
          <w:lang w:val="fr-FR" w:eastAsia="sl-SI"/>
        </w:rPr>
        <w:t xml:space="preserve">homme </w:t>
      </w:r>
    </w:p>
    <w:p w:rsidR="00317603" w:rsidRPr="00495482" w:rsidRDefault="00317603" w:rsidP="0031340A">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 xml:space="preserve">22 des observations finales </w:t>
      </w:r>
    </w:p>
    <w:p w:rsidR="00317603" w:rsidRPr="00495482" w:rsidRDefault="00317603" w:rsidP="0031340A">
      <w:pPr>
        <w:pStyle w:val="SingleTxtG"/>
        <w:rPr>
          <w:szCs w:val="22"/>
          <w:lang w:val="fr-FR" w:eastAsia="sl-SI"/>
        </w:rPr>
      </w:pPr>
      <w:r w:rsidRPr="00495482">
        <w:rPr>
          <w:lang w:val="fr-FR" w:eastAsia="sl-SI"/>
        </w:rPr>
        <w:t>8.</w:t>
      </w:r>
      <w:r w:rsidRPr="00495482">
        <w:rPr>
          <w:lang w:val="fr-FR" w:eastAsia="sl-SI"/>
        </w:rPr>
        <w:tab/>
        <w:t>La Slovénie ne dispose pas véritablement d</w:t>
      </w:r>
      <w:r w:rsidR="005D0F0F" w:rsidRPr="00495482">
        <w:rPr>
          <w:lang w:val="fr-FR" w:eastAsia="sl-SI"/>
        </w:rPr>
        <w:t>’</w:t>
      </w:r>
      <w:r w:rsidRPr="00495482">
        <w:rPr>
          <w:lang w:val="fr-FR" w:eastAsia="sl-SI"/>
        </w:rPr>
        <w:t>un plan d</w:t>
      </w:r>
      <w:r w:rsidR="005D0F0F" w:rsidRPr="00495482">
        <w:rPr>
          <w:lang w:val="fr-FR" w:eastAsia="sl-SI"/>
        </w:rPr>
        <w:t>’</w:t>
      </w:r>
      <w:r w:rsidRPr="00495482">
        <w:rPr>
          <w:lang w:val="fr-FR" w:eastAsia="sl-SI"/>
        </w:rPr>
        <w:t>action particulier dans le domaine des droits de l</w:t>
      </w:r>
      <w:r w:rsidR="005D0F0F" w:rsidRPr="00495482">
        <w:rPr>
          <w:lang w:val="fr-FR" w:eastAsia="sl-SI"/>
        </w:rPr>
        <w:t>’</w:t>
      </w:r>
      <w:r w:rsidRPr="00495482">
        <w:rPr>
          <w:lang w:val="fr-FR" w:eastAsia="sl-SI"/>
        </w:rPr>
        <w:t>homme</w:t>
      </w:r>
      <w:r w:rsidR="005D0F0F" w:rsidRPr="00495482">
        <w:rPr>
          <w:lang w:val="fr-FR" w:eastAsia="sl-SI"/>
        </w:rPr>
        <w:t>,</w:t>
      </w:r>
      <w:r w:rsidRPr="00495482">
        <w:rPr>
          <w:lang w:val="fr-FR" w:eastAsia="sl-SI"/>
        </w:rPr>
        <w:t xml:space="preserve"> mais un groupe de travail inter-ministériel y afférent agit sous la houlette du Gouvernement slovène et observe le droit international en matière de réalisation et de protection des droits de l</w:t>
      </w:r>
      <w:r w:rsidR="005D0F0F" w:rsidRPr="00495482">
        <w:rPr>
          <w:lang w:val="fr-FR" w:eastAsia="sl-SI"/>
        </w:rPr>
        <w:t>’</w:t>
      </w:r>
      <w:r w:rsidRPr="00495482">
        <w:rPr>
          <w:lang w:val="fr-FR" w:eastAsia="sl-SI"/>
        </w:rPr>
        <w:t>homme et des libertés</w:t>
      </w:r>
      <w:r w:rsidR="005D0F0F" w:rsidRPr="00495482">
        <w:rPr>
          <w:lang w:val="fr-FR" w:eastAsia="sl-SI"/>
        </w:rPr>
        <w:t>,</w:t>
      </w:r>
      <w:r w:rsidRPr="00495482">
        <w:rPr>
          <w:lang w:val="fr-FR" w:eastAsia="sl-SI"/>
        </w:rPr>
        <w:t xml:space="preserve"> en s</w:t>
      </w:r>
      <w:r w:rsidR="005D0F0F" w:rsidRPr="00495482">
        <w:rPr>
          <w:lang w:val="fr-FR" w:eastAsia="sl-SI"/>
        </w:rPr>
        <w:t>’</w:t>
      </w:r>
      <w:r w:rsidRPr="00495482">
        <w:rPr>
          <w:lang w:val="fr-FR" w:eastAsia="sl-SI"/>
        </w:rPr>
        <w:t>appuyant sur les instruments internationaux par lesquels la Slovénie est liée. De même</w:t>
      </w:r>
      <w:r w:rsidR="005D0F0F" w:rsidRPr="00495482">
        <w:rPr>
          <w:lang w:val="fr-FR" w:eastAsia="sl-SI"/>
        </w:rPr>
        <w:t>,</w:t>
      </w:r>
      <w:r w:rsidRPr="00495482">
        <w:rPr>
          <w:lang w:val="fr-FR" w:eastAsia="sl-SI"/>
        </w:rPr>
        <w:t xml:space="preserve"> ce groupe de travail examine et adopte les rapports soumis par la Slovénie ayant trait aux droits de l</w:t>
      </w:r>
      <w:r w:rsidR="005D0F0F" w:rsidRPr="00495482">
        <w:rPr>
          <w:lang w:val="fr-FR" w:eastAsia="sl-SI"/>
        </w:rPr>
        <w:t>’</w:t>
      </w:r>
      <w:r w:rsidRPr="00495482">
        <w:rPr>
          <w:lang w:val="fr-FR" w:eastAsia="sl-SI"/>
        </w:rPr>
        <w:t>homme</w:t>
      </w:r>
      <w:r w:rsidR="005D0F0F" w:rsidRPr="00495482">
        <w:rPr>
          <w:lang w:val="fr-FR" w:eastAsia="sl-SI"/>
        </w:rPr>
        <w:t>,</w:t>
      </w:r>
      <w:r w:rsidRPr="00495482">
        <w:rPr>
          <w:lang w:val="fr-FR" w:eastAsia="sl-SI"/>
        </w:rPr>
        <w:t xml:space="preserve"> et mène des initiatives dans ce domaine. Ces dernières années</w:t>
      </w:r>
      <w:r w:rsidR="005D0F0F" w:rsidRPr="00495482">
        <w:rPr>
          <w:lang w:val="fr-FR" w:eastAsia="sl-SI"/>
        </w:rPr>
        <w:t>,</w:t>
      </w:r>
      <w:r w:rsidRPr="00495482">
        <w:rPr>
          <w:lang w:val="fr-FR" w:eastAsia="sl-SI"/>
        </w:rPr>
        <w:t xml:space="preserve"> il a agi dans le cadre des directives relatives à l</w:t>
      </w:r>
      <w:r w:rsidR="005D0F0F" w:rsidRPr="00495482">
        <w:rPr>
          <w:lang w:val="fr-FR" w:eastAsia="sl-SI"/>
        </w:rPr>
        <w:t>’</w:t>
      </w:r>
      <w:r w:rsidRPr="00495482">
        <w:rPr>
          <w:lang w:val="fr-FR" w:eastAsia="sl-SI"/>
        </w:rPr>
        <w:t>établissement des rapports</w:t>
      </w:r>
      <w:r w:rsidR="005D0F0F" w:rsidRPr="00495482">
        <w:rPr>
          <w:lang w:val="fr-FR" w:eastAsia="sl-SI"/>
        </w:rPr>
        <w:t>,</w:t>
      </w:r>
      <w:r w:rsidRPr="00495482">
        <w:rPr>
          <w:lang w:val="fr-FR" w:eastAsia="sl-SI"/>
        </w:rPr>
        <w:t xml:space="preserve"> lesquelles précisent également son champ d</w:t>
      </w:r>
      <w:r w:rsidR="005D0F0F" w:rsidRPr="00495482">
        <w:rPr>
          <w:lang w:val="fr-FR" w:eastAsia="sl-SI"/>
        </w:rPr>
        <w:t>’</w:t>
      </w:r>
      <w:r w:rsidRPr="00495482">
        <w:rPr>
          <w:lang w:val="fr-FR" w:eastAsia="sl-SI"/>
        </w:rPr>
        <w:t>activités. En outre</w:t>
      </w:r>
      <w:r w:rsidR="005D0F0F" w:rsidRPr="00495482">
        <w:rPr>
          <w:lang w:val="fr-FR" w:eastAsia="sl-SI"/>
        </w:rPr>
        <w:t>,</w:t>
      </w:r>
      <w:r w:rsidRPr="00495482">
        <w:rPr>
          <w:lang w:val="fr-FR" w:eastAsia="sl-SI"/>
        </w:rPr>
        <w:t xml:space="preserve"> le 24 juin 2010</w:t>
      </w:r>
      <w:r w:rsidR="005D0F0F" w:rsidRPr="00495482">
        <w:rPr>
          <w:lang w:val="fr-FR" w:eastAsia="sl-SI"/>
        </w:rPr>
        <w:t>,</w:t>
      </w:r>
      <w:r w:rsidRPr="00495482">
        <w:rPr>
          <w:lang w:val="fr-FR" w:eastAsia="sl-SI"/>
        </w:rPr>
        <w:t xml:space="preserve"> le Gouvernement slovène a mis en place un groupe de travail interministériel chargé d</w:t>
      </w:r>
      <w:r w:rsidR="005D0F0F" w:rsidRPr="00495482">
        <w:rPr>
          <w:lang w:val="fr-FR" w:eastAsia="sl-SI"/>
        </w:rPr>
        <w:t>’</w:t>
      </w:r>
      <w:r w:rsidRPr="00495482">
        <w:rPr>
          <w:lang w:val="fr-FR" w:eastAsia="sl-SI"/>
        </w:rPr>
        <w:t>élaborer un mécanisme institutionnel se rapportant à l</w:t>
      </w:r>
      <w:r w:rsidR="005D0F0F" w:rsidRPr="00495482">
        <w:rPr>
          <w:lang w:val="fr-FR" w:eastAsia="sl-SI"/>
        </w:rPr>
        <w:t>’</w:t>
      </w:r>
      <w:r w:rsidRPr="00495482">
        <w:rPr>
          <w:lang w:val="fr-FR" w:eastAsia="sl-SI"/>
        </w:rPr>
        <w:t xml:space="preserve">égalité et à la protection contre la discrimination. </w:t>
      </w:r>
    </w:p>
    <w:p w:rsidR="00317603" w:rsidRPr="00495482" w:rsidRDefault="00317603" w:rsidP="0031340A">
      <w:pPr>
        <w:pStyle w:val="H23G"/>
        <w:rPr>
          <w:lang w:val="fr-FR" w:eastAsia="sl-SI"/>
        </w:rPr>
      </w:pPr>
      <w:r w:rsidRPr="00495482">
        <w:rPr>
          <w:lang w:val="fr-FR" w:eastAsia="sl-SI"/>
        </w:rPr>
        <w:tab/>
      </w:r>
      <w:r w:rsidRPr="00495482">
        <w:rPr>
          <w:lang w:val="fr-FR" w:eastAsia="sl-SI"/>
        </w:rPr>
        <w:tab/>
        <w:t>Site Web slovène consacré aux droits de l</w:t>
      </w:r>
      <w:r w:rsidR="005D0F0F" w:rsidRPr="00495482">
        <w:rPr>
          <w:lang w:val="fr-FR" w:eastAsia="sl-SI"/>
        </w:rPr>
        <w:t>’</w:t>
      </w:r>
      <w:r w:rsidRPr="00495482">
        <w:rPr>
          <w:lang w:val="fr-FR" w:eastAsia="sl-SI"/>
        </w:rPr>
        <w:t xml:space="preserve">homme </w:t>
      </w:r>
    </w:p>
    <w:p w:rsidR="00317603" w:rsidRPr="00495482" w:rsidRDefault="00317603" w:rsidP="0031340A">
      <w:pPr>
        <w:pStyle w:val="SingleTxtG"/>
        <w:rPr>
          <w:lang w:val="fr-FR"/>
        </w:rPr>
      </w:pPr>
      <w:r w:rsidRPr="00495482">
        <w:rPr>
          <w:lang w:val="fr-FR"/>
        </w:rPr>
        <w:t>9.</w:t>
      </w:r>
      <w:r w:rsidRPr="00495482">
        <w:rPr>
          <w:lang w:val="fr-FR"/>
        </w:rPr>
        <w:tab/>
        <w:t>Le Ministère des affaires étrangères a créé un site Web consacré aux droits de l</w:t>
      </w:r>
      <w:r w:rsidR="005D0F0F" w:rsidRPr="00495482">
        <w:rPr>
          <w:lang w:val="fr-FR"/>
        </w:rPr>
        <w:t>’</w:t>
      </w:r>
      <w:r w:rsidRPr="00495482">
        <w:rPr>
          <w:lang w:val="fr-FR"/>
        </w:rPr>
        <w:t>homme sur lequel sont publiés l</w:t>
      </w:r>
      <w:r w:rsidR="005D0F0F" w:rsidRPr="00495482">
        <w:rPr>
          <w:lang w:val="fr-FR"/>
        </w:rPr>
        <w:t>’</w:t>
      </w:r>
      <w:r w:rsidRPr="00495482">
        <w:rPr>
          <w:lang w:val="fr-FR"/>
        </w:rPr>
        <w:t>ensemble des instruments internationaux et des rapports des États concernant les droits de l</w:t>
      </w:r>
      <w:r w:rsidR="005D0F0F" w:rsidRPr="00495482">
        <w:rPr>
          <w:lang w:val="fr-FR"/>
        </w:rPr>
        <w:t>’</w:t>
      </w:r>
      <w:r w:rsidRPr="00495482">
        <w:rPr>
          <w:lang w:val="fr-FR"/>
        </w:rPr>
        <w:t>homme</w:t>
      </w:r>
      <w:r w:rsidR="005D0F0F" w:rsidRPr="00495482">
        <w:rPr>
          <w:lang w:val="fr-FR"/>
        </w:rPr>
        <w:t>,</w:t>
      </w:r>
      <w:r w:rsidRPr="00495482">
        <w:rPr>
          <w:lang w:val="fr-FR"/>
        </w:rPr>
        <w:t xml:space="preserve"> outre les recommandations des comités s</w:t>
      </w:r>
      <w:r w:rsidR="005D0F0F" w:rsidRPr="00495482">
        <w:rPr>
          <w:lang w:val="fr-FR"/>
        </w:rPr>
        <w:t>’</w:t>
      </w:r>
      <w:r w:rsidRPr="00495482">
        <w:rPr>
          <w:lang w:val="fr-FR"/>
        </w:rPr>
        <w:t>occupant des droits de l</w:t>
      </w:r>
      <w:r w:rsidR="005D0F0F" w:rsidRPr="00495482">
        <w:rPr>
          <w:lang w:val="fr-FR"/>
        </w:rPr>
        <w:t>’</w:t>
      </w:r>
      <w:r w:rsidRPr="00495482">
        <w:rPr>
          <w:lang w:val="fr-FR"/>
        </w:rPr>
        <w:t>homme. Un ouvrage spécial ou recueil des rapports soumis par la Slovénie en application des instruments internationaux de l</w:t>
      </w:r>
      <w:r w:rsidR="005D0F0F" w:rsidRPr="00495482">
        <w:rPr>
          <w:lang w:val="fr-FR"/>
        </w:rPr>
        <w:t>’</w:t>
      </w:r>
      <w:r w:rsidRPr="00495482">
        <w:rPr>
          <w:lang w:val="fr-FR"/>
        </w:rPr>
        <w:t>ONU relatifs aux droits de l</w:t>
      </w:r>
      <w:r w:rsidR="005D0F0F" w:rsidRPr="00495482">
        <w:rPr>
          <w:lang w:val="fr-FR"/>
        </w:rPr>
        <w:t>’</w:t>
      </w:r>
      <w:r w:rsidRPr="00495482">
        <w:rPr>
          <w:lang w:val="fr-FR"/>
        </w:rPr>
        <w:t>homme a aussi été publié sur le site Web</w:t>
      </w:r>
      <w:r w:rsidR="005D0F0F" w:rsidRPr="00495482">
        <w:rPr>
          <w:lang w:val="fr-FR"/>
        </w:rPr>
        <w:t>,</w:t>
      </w:r>
      <w:r w:rsidRPr="00495482">
        <w:rPr>
          <w:lang w:val="fr-FR"/>
        </w:rPr>
        <w:t xml:space="preserve"> à l</w:t>
      </w:r>
      <w:r w:rsidR="005D0F0F" w:rsidRPr="00495482">
        <w:rPr>
          <w:lang w:val="fr-FR"/>
        </w:rPr>
        <w:t>’</w:t>
      </w:r>
      <w:r w:rsidRPr="00495482">
        <w:rPr>
          <w:lang w:val="fr-FR"/>
        </w:rPr>
        <w:t xml:space="preserve">adresse: </w:t>
      </w:r>
      <w:hyperlink r:id="rId8" w:history="1">
        <w:r w:rsidR="00813156" w:rsidRPr="00495482">
          <w:rPr>
            <w:rStyle w:val="Hyperlink"/>
            <w:lang w:val="fr-FR"/>
          </w:rPr>
          <w:t>http://www.mzz.gov.si/</w:t>
        </w:r>
      </w:hyperlink>
      <w:r w:rsidR="00813156" w:rsidRPr="00495482">
        <w:rPr>
          <w:lang w:val="fr-FR"/>
        </w:rPr>
        <w:t xml:space="preserve"> </w:t>
      </w:r>
      <w:r w:rsidRPr="00495482">
        <w:rPr>
          <w:lang w:val="fr-FR"/>
        </w:rPr>
        <w:t>si/zunanja_politika/clovekove_pravice/60_let_splosne_deklaracije_o človekovih_pravicah/</w:t>
      </w:r>
      <w:r w:rsidR="00813156" w:rsidRPr="00495482">
        <w:rPr>
          <w:lang w:val="fr-FR"/>
        </w:rPr>
        <w:t xml:space="preserve"> </w:t>
      </w:r>
      <w:r w:rsidRPr="00495482">
        <w:rPr>
          <w:lang w:val="fr-FR"/>
        </w:rPr>
        <w:t>zbornik/.</w:t>
      </w:r>
    </w:p>
    <w:p w:rsidR="00317603" w:rsidRPr="00495482" w:rsidRDefault="00317603" w:rsidP="0031340A">
      <w:pPr>
        <w:pStyle w:val="H23G"/>
        <w:rPr>
          <w:iCs/>
          <w:lang w:val="fr-FR" w:eastAsia="sl-SI"/>
        </w:rPr>
      </w:pPr>
      <w:r w:rsidRPr="00495482">
        <w:rPr>
          <w:lang w:val="fr-FR" w:eastAsia="sl-SI"/>
        </w:rPr>
        <w:tab/>
      </w:r>
      <w:r w:rsidRPr="00495482">
        <w:rPr>
          <w:lang w:val="fr-FR" w:eastAsia="sl-SI"/>
        </w:rPr>
        <w:tab/>
        <w:t xml:space="preserve">Situation de la communauté rom en République de Slovénie </w:t>
      </w:r>
    </w:p>
    <w:p w:rsidR="00317603" w:rsidRPr="00495482" w:rsidRDefault="00317603" w:rsidP="0031340A">
      <w:pPr>
        <w:pStyle w:val="SingleTxtG"/>
        <w:rPr>
          <w:lang w:val="fr-FR"/>
        </w:rPr>
      </w:pPr>
      <w:r w:rsidRPr="00495482">
        <w:rPr>
          <w:lang w:val="fr-FR"/>
        </w:rPr>
        <w:t>10.</w:t>
      </w:r>
      <w:r w:rsidRPr="00495482">
        <w:rPr>
          <w:lang w:val="fr-FR"/>
        </w:rPr>
        <w:tab/>
        <w:t>Une innovation importante dans ce domaine est l</w:t>
      </w:r>
      <w:r w:rsidR="005D0F0F" w:rsidRPr="00495482">
        <w:rPr>
          <w:lang w:val="fr-FR"/>
        </w:rPr>
        <w:t>’</w:t>
      </w:r>
      <w:r w:rsidRPr="00495482">
        <w:rPr>
          <w:lang w:val="fr-FR"/>
        </w:rPr>
        <w:t>adoption de la loi relative à la communauté rom de la République de Slovénie</w:t>
      </w:r>
      <w:r w:rsidRPr="00495482">
        <w:rPr>
          <w:rStyle w:val="FootnoteReference"/>
        </w:rPr>
        <w:footnoteReference w:id="13"/>
      </w:r>
      <w:r w:rsidR="00813156" w:rsidRPr="00495482">
        <w:rPr>
          <w:lang w:val="fr-FR"/>
        </w:rPr>
        <w:t>,</w:t>
      </w:r>
      <w:r w:rsidRPr="00495482">
        <w:rPr>
          <w:lang w:val="fr-FR"/>
        </w:rPr>
        <w:t xml:space="preserve"> qui réglemente de manière globale la situation de cette communauté dans le pays</w:t>
      </w:r>
      <w:r w:rsidR="005D0F0F" w:rsidRPr="00495482">
        <w:rPr>
          <w:lang w:val="fr-FR"/>
        </w:rPr>
        <w:t>;</w:t>
      </w:r>
      <w:r w:rsidRPr="00495482">
        <w:rPr>
          <w:lang w:val="fr-FR"/>
        </w:rPr>
        <w:t xml:space="preserve"> précise les compétences des pouvoirs publics et celles des autorités locales en ce qui concerne l</w:t>
      </w:r>
      <w:r w:rsidR="005D0F0F" w:rsidRPr="00495482">
        <w:rPr>
          <w:lang w:val="fr-FR"/>
        </w:rPr>
        <w:t>’</w:t>
      </w:r>
      <w:r w:rsidRPr="00495482">
        <w:rPr>
          <w:lang w:val="fr-FR"/>
        </w:rPr>
        <w:t>exercice des droits spéciaux de la communauté rom</w:t>
      </w:r>
      <w:r w:rsidR="005D0F0F" w:rsidRPr="00495482">
        <w:rPr>
          <w:lang w:val="fr-FR"/>
        </w:rPr>
        <w:t>,</w:t>
      </w:r>
      <w:r w:rsidRPr="00495482">
        <w:rPr>
          <w:lang w:val="fr-FR"/>
        </w:rPr>
        <w:t xml:space="preserve"> touchant en particulier aux conditions de vie</w:t>
      </w:r>
      <w:r w:rsidR="005D0F0F" w:rsidRPr="00495482">
        <w:rPr>
          <w:lang w:val="fr-FR"/>
        </w:rPr>
        <w:t>,</w:t>
      </w:r>
      <w:r w:rsidRPr="00495482">
        <w:rPr>
          <w:lang w:val="fr-FR"/>
        </w:rPr>
        <w:t xml:space="preserve"> aux soins et à l</w:t>
      </w:r>
      <w:r w:rsidR="005D0F0F" w:rsidRPr="00495482">
        <w:rPr>
          <w:lang w:val="fr-FR"/>
        </w:rPr>
        <w:t>’</w:t>
      </w:r>
      <w:r w:rsidRPr="00495482">
        <w:rPr>
          <w:lang w:val="fr-FR"/>
        </w:rPr>
        <w:t>éducation</w:t>
      </w:r>
      <w:r w:rsidR="005D0F0F" w:rsidRPr="00495482">
        <w:rPr>
          <w:lang w:val="fr-FR"/>
        </w:rPr>
        <w:t>,</w:t>
      </w:r>
      <w:r w:rsidRPr="00495482">
        <w:rPr>
          <w:lang w:val="fr-FR"/>
        </w:rPr>
        <w:t xml:space="preserve"> à l</w:t>
      </w:r>
      <w:r w:rsidR="005D0F0F" w:rsidRPr="00495482">
        <w:rPr>
          <w:lang w:val="fr-FR"/>
        </w:rPr>
        <w:t>’</w:t>
      </w:r>
      <w:r w:rsidRPr="00495482">
        <w:rPr>
          <w:lang w:val="fr-FR"/>
        </w:rPr>
        <w:t>emploi et à la préservation de la langue et de la culture roms</w:t>
      </w:r>
      <w:r w:rsidR="005D0F0F" w:rsidRPr="00495482">
        <w:rPr>
          <w:lang w:val="fr-FR"/>
        </w:rPr>
        <w:t>;</w:t>
      </w:r>
      <w:r w:rsidRPr="00495482">
        <w:rPr>
          <w:lang w:val="fr-FR"/>
        </w:rPr>
        <w:t xml:space="preserve"> régit également l</w:t>
      </w:r>
      <w:r w:rsidR="005D0F0F" w:rsidRPr="00495482">
        <w:rPr>
          <w:lang w:val="fr-FR"/>
        </w:rPr>
        <w:t>’</w:t>
      </w:r>
      <w:r w:rsidRPr="00495482">
        <w:rPr>
          <w:lang w:val="fr-FR"/>
        </w:rPr>
        <w:t>organisation et le financement de la communauté aux niveaux national et local. En application de la loi</w:t>
      </w:r>
      <w:r w:rsidR="005D0F0F" w:rsidRPr="00495482">
        <w:rPr>
          <w:lang w:val="fr-FR"/>
        </w:rPr>
        <w:t>,</w:t>
      </w:r>
      <w:r w:rsidRPr="00495482">
        <w:rPr>
          <w:lang w:val="fr-FR"/>
        </w:rPr>
        <w:t xml:space="preserve"> un Conseil de la communauté rom de la République de Slovénie a été fondé le 20 juin 2007; il représente la communauté rom auprès des pouvoirs publics et remplit d</w:t>
      </w:r>
      <w:r w:rsidR="005D0F0F" w:rsidRPr="00495482">
        <w:rPr>
          <w:lang w:val="fr-FR"/>
        </w:rPr>
        <w:t>’</w:t>
      </w:r>
      <w:r w:rsidRPr="00495482">
        <w:rPr>
          <w:lang w:val="fr-FR"/>
        </w:rPr>
        <w:t>autres tâches importantes concernant les intérêts</w:t>
      </w:r>
      <w:r w:rsidR="005D0F0F" w:rsidRPr="00495482">
        <w:rPr>
          <w:lang w:val="fr-FR"/>
        </w:rPr>
        <w:t>,</w:t>
      </w:r>
      <w:r w:rsidRPr="00495482">
        <w:rPr>
          <w:lang w:val="fr-FR"/>
        </w:rPr>
        <w:t xml:space="preserve"> la situation et les droits de cette communauté. </w:t>
      </w:r>
    </w:p>
    <w:p w:rsidR="00317603" w:rsidRPr="00495482" w:rsidRDefault="00317603" w:rsidP="0031340A">
      <w:pPr>
        <w:pStyle w:val="SingleTxtG"/>
        <w:rPr>
          <w:lang w:val="fr-FR"/>
        </w:rPr>
      </w:pPr>
      <w:r w:rsidRPr="00495482">
        <w:rPr>
          <w:lang w:val="fr-FR"/>
        </w:rPr>
        <w:t>11.</w:t>
      </w:r>
      <w:r w:rsidRPr="00495482">
        <w:rPr>
          <w:lang w:val="fr-FR"/>
        </w:rPr>
        <w:tab/>
        <w:t>En se fondant sur la loi relative à la communauté rom</w:t>
      </w:r>
      <w:r w:rsidR="005D0F0F" w:rsidRPr="00495482">
        <w:rPr>
          <w:lang w:val="fr-FR"/>
        </w:rPr>
        <w:t>,</w:t>
      </w:r>
      <w:r w:rsidRPr="00495482">
        <w:rPr>
          <w:lang w:val="fr-FR"/>
        </w:rPr>
        <w:t xml:space="preserve"> le Gouvernement slovène a adopté en mars 2010 le programme national sur les mesures en faveur des Roms</w:t>
      </w:r>
      <w:r w:rsidR="005D0F0F" w:rsidRPr="00495482">
        <w:rPr>
          <w:lang w:val="fr-FR"/>
        </w:rPr>
        <w:t>,</w:t>
      </w:r>
      <w:r w:rsidRPr="00495482">
        <w:rPr>
          <w:lang w:val="fr-FR"/>
        </w:rPr>
        <w:t xml:space="preserve"> pour la période 2010</w:t>
      </w:r>
      <w:r w:rsidR="00274387" w:rsidRPr="00495482">
        <w:rPr>
          <w:lang w:val="fr-FR"/>
        </w:rPr>
        <w:t>-</w:t>
      </w:r>
      <w:r w:rsidRPr="00495482">
        <w:rPr>
          <w:lang w:val="fr-FR"/>
        </w:rPr>
        <w:t>2015</w:t>
      </w:r>
      <w:r w:rsidR="005D0F0F" w:rsidRPr="00495482">
        <w:rPr>
          <w:lang w:val="fr-FR"/>
        </w:rPr>
        <w:t>,</w:t>
      </w:r>
      <w:r w:rsidRPr="00495482">
        <w:rPr>
          <w:lang w:val="fr-FR"/>
        </w:rPr>
        <w:t xml:space="preserve"> dont les objectifs stratégiques fondamentaux</w:t>
      </w:r>
      <w:r w:rsidR="005D0F0F" w:rsidRPr="00495482">
        <w:rPr>
          <w:lang w:val="fr-FR"/>
        </w:rPr>
        <w:t>,</w:t>
      </w:r>
      <w:r w:rsidRPr="00495482">
        <w:rPr>
          <w:lang w:val="fr-FR"/>
        </w:rPr>
        <w:t xml:space="preserve"> établis sur la base des besoins exprimés par la communauté rom et de la perception des conditions sur le terrain</w:t>
      </w:r>
      <w:r w:rsidR="005D0F0F" w:rsidRPr="00495482">
        <w:rPr>
          <w:lang w:val="fr-FR"/>
        </w:rPr>
        <w:t>,</w:t>
      </w:r>
      <w:r w:rsidRPr="00495482">
        <w:rPr>
          <w:lang w:val="fr-FR"/>
        </w:rPr>
        <w:t xml:space="preserve"> sont les suivants: améliorer les conditions de vie et le profil éducatif des membres de la communauté rom</w:t>
      </w:r>
      <w:r w:rsidR="005D0F0F" w:rsidRPr="00495482">
        <w:rPr>
          <w:lang w:val="fr-FR"/>
        </w:rPr>
        <w:t>,</w:t>
      </w:r>
      <w:r w:rsidRPr="00495482">
        <w:rPr>
          <w:lang w:val="fr-FR"/>
        </w:rPr>
        <w:t xml:space="preserve"> accroître leur taux d</w:t>
      </w:r>
      <w:r w:rsidR="005D0F0F" w:rsidRPr="00495482">
        <w:rPr>
          <w:lang w:val="fr-FR"/>
        </w:rPr>
        <w:t>’</w:t>
      </w:r>
      <w:r w:rsidRPr="00495482">
        <w:rPr>
          <w:lang w:val="fr-FR"/>
        </w:rPr>
        <w:t>emploi</w:t>
      </w:r>
      <w:r w:rsidR="005D0F0F" w:rsidRPr="00495482">
        <w:rPr>
          <w:lang w:val="fr-FR"/>
        </w:rPr>
        <w:t>,</w:t>
      </w:r>
      <w:r w:rsidRPr="00495482">
        <w:rPr>
          <w:lang w:val="fr-FR"/>
        </w:rPr>
        <w:t xml:space="preserve"> améliorer leurs soins de santé</w:t>
      </w:r>
      <w:r w:rsidR="005D0F0F" w:rsidRPr="00495482">
        <w:rPr>
          <w:lang w:val="fr-FR"/>
        </w:rPr>
        <w:t>,</w:t>
      </w:r>
      <w:r w:rsidRPr="00495482">
        <w:rPr>
          <w:lang w:val="fr-FR"/>
        </w:rPr>
        <w:t xml:space="preserve"> préserver et développer les activités des Roms touchant à la culture</w:t>
      </w:r>
      <w:r w:rsidR="005D0F0F" w:rsidRPr="00495482">
        <w:rPr>
          <w:lang w:val="fr-FR"/>
        </w:rPr>
        <w:t>,</w:t>
      </w:r>
      <w:r w:rsidRPr="00495482">
        <w:rPr>
          <w:lang w:val="fr-FR"/>
        </w:rPr>
        <w:t xml:space="preserve"> à l</w:t>
      </w:r>
      <w:r w:rsidR="005D0F0F" w:rsidRPr="00495482">
        <w:rPr>
          <w:lang w:val="fr-FR"/>
        </w:rPr>
        <w:t>’</w:t>
      </w:r>
      <w:r w:rsidRPr="00495482">
        <w:rPr>
          <w:lang w:val="fr-FR"/>
        </w:rPr>
        <w:t>information et aux publications</w:t>
      </w:r>
      <w:r w:rsidR="005D0F0F" w:rsidRPr="00495482">
        <w:rPr>
          <w:lang w:val="fr-FR"/>
        </w:rPr>
        <w:t>,</w:t>
      </w:r>
      <w:r w:rsidRPr="00495482">
        <w:rPr>
          <w:lang w:val="fr-FR"/>
        </w:rPr>
        <w:t xml:space="preserve"> et sensibiliser davantage la population dans son ensemble à l</w:t>
      </w:r>
      <w:r w:rsidR="005D0F0F" w:rsidRPr="00495482">
        <w:rPr>
          <w:lang w:val="fr-FR"/>
        </w:rPr>
        <w:t>’</w:t>
      </w:r>
      <w:r w:rsidRPr="00495482">
        <w:rPr>
          <w:lang w:val="fr-FR"/>
        </w:rPr>
        <w:t xml:space="preserve">existence et à la culture de la communauté rom. </w:t>
      </w:r>
    </w:p>
    <w:p w:rsidR="00317603" w:rsidRPr="00495482" w:rsidRDefault="00317603" w:rsidP="0031340A">
      <w:pPr>
        <w:pStyle w:val="SingleTxtG"/>
        <w:rPr>
          <w:lang w:val="fr-FR"/>
        </w:rPr>
      </w:pPr>
      <w:r w:rsidRPr="00495482">
        <w:rPr>
          <w:lang w:val="fr-FR"/>
        </w:rPr>
        <w:t>12.</w:t>
      </w:r>
      <w:r w:rsidRPr="00495482">
        <w:rPr>
          <w:lang w:val="fr-FR"/>
        </w:rPr>
        <w:tab/>
        <w:t>À l</w:t>
      </w:r>
      <w:r w:rsidR="005D0F0F" w:rsidRPr="00495482">
        <w:rPr>
          <w:lang w:val="fr-FR"/>
        </w:rPr>
        <w:t>’</w:t>
      </w:r>
      <w:r w:rsidRPr="00495482">
        <w:rPr>
          <w:lang w:val="fr-FR"/>
        </w:rPr>
        <w:t>automne 2008</w:t>
      </w:r>
      <w:r w:rsidR="005D0F0F" w:rsidRPr="00495482">
        <w:rPr>
          <w:lang w:val="fr-FR"/>
        </w:rPr>
        <w:t>,</w:t>
      </w:r>
      <w:r w:rsidRPr="00495482">
        <w:rPr>
          <w:lang w:val="fr-FR"/>
        </w:rPr>
        <w:t xml:space="preserve"> dans le cadre d</w:t>
      </w:r>
      <w:r w:rsidR="005D0F0F" w:rsidRPr="00495482">
        <w:rPr>
          <w:lang w:val="fr-FR"/>
        </w:rPr>
        <w:t>’</w:t>
      </w:r>
      <w:r w:rsidRPr="00495482">
        <w:rPr>
          <w:lang w:val="fr-FR"/>
        </w:rPr>
        <w:t>un programme conjoint du Conseil de l</w:t>
      </w:r>
      <w:r w:rsidR="005D0F0F" w:rsidRPr="00495482">
        <w:rPr>
          <w:lang w:val="fr-FR"/>
        </w:rPr>
        <w:t>’</w:t>
      </w:r>
      <w:r w:rsidRPr="00495482">
        <w:rPr>
          <w:lang w:val="fr-FR"/>
        </w:rPr>
        <w:t>Europe et de la Commission européenne</w:t>
      </w:r>
      <w:r w:rsidR="005D0F0F" w:rsidRPr="00495482">
        <w:rPr>
          <w:lang w:val="fr-FR"/>
        </w:rPr>
        <w:t>,</w:t>
      </w:r>
      <w:r w:rsidRPr="00495482">
        <w:rPr>
          <w:lang w:val="fr-FR"/>
        </w:rPr>
        <w:t xml:space="preserve"> la République de Slovénie a été le premier pays membre de l</w:t>
      </w:r>
      <w:r w:rsidR="005D0F0F" w:rsidRPr="00495482">
        <w:rPr>
          <w:lang w:val="fr-FR"/>
        </w:rPr>
        <w:t>’</w:t>
      </w:r>
      <w:r w:rsidRPr="00495482">
        <w:rPr>
          <w:lang w:val="fr-FR"/>
        </w:rPr>
        <w:t>Union européenn</w:t>
      </w:r>
      <w:r w:rsidR="00274387" w:rsidRPr="00495482">
        <w:rPr>
          <w:lang w:val="fr-FR"/>
        </w:rPr>
        <w:t xml:space="preserve">e à mettre en œuvre la campagne </w:t>
      </w:r>
      <w:r w:rsidRPr="00495482">
        <w:rPr>
          <w:lang w:val="fr-FR"/>
        </w:rPr>
        <w:t xml:space="preserve">intitulée </w:t>
      </w:r>
      <w:r w:rsidR="005D0F0F" w:rsidRPr="00495482">
        <w:rPr>
          <w:lang w:val="fr-FR"/>
        </w:rPr>
        <w:t>«</w:t>
      </w:r>
      <w:r w:rsidRPr="00495482">
        <w:rPr>
          <w:lang w:val="fr-FR"/>
        </w:rPr>
        <w:t>Dosta!</w:t>
      </w:r>
      <w:r w:rsidR="005D0F0F" w:rsidRPr="00495482">
        <w:rPr>
          <w:lang w:val="fr-FR"/>
        </w:rPr>
        <w:t>»</w:t>
      </w:r>
      <w:r w:rsidRPr="00495482">
        <w:rPr>
          <w:lang w:val="fr-FR"/>
        </w:rPr>
        <w:t xml:space="preserve"> (terme romani signifiant </w:t>
      </w:r>
      <w:r w:rsidR="005D0F0F" w:rsidRPr="00495482">
        <w:rPr>
          <w:lang w:val="fr-FR"/>
        </w:rPr>
        <w:t>«</w:t>
      </w:r>
      <w:r w:rsidR="00855472" w:rsidRPr="00495482">
        <w:rPr>
          <w:lang w:val="fr-FR"/>
        </w:rPr>
        <w:t xml:space="preserve">Ça </w:t>
      </w:r>
      <w:r w:rsidRPr="00495482">
        <w:rPr>
          <w:lang w:val="fr-FR"/>
        </w:rPr>
        <w:t>suffit!</w:t>
      </w:r>
      <w:r w:rsidR="005D0F0F" w:rsidRPr="00495482">
        <w:rPr>
          <w:lang w:val="fr-FR"/>
        </w:rPr>
        <w:t>»</w:t>
      </w:r>
      <w:r w:rsidRPr="00495482">
        <w:rPr>
          <w:lang w:val="fr-FR"/>
        </w:rPr>
        <w:t xml:space="preserve">) sur le thème </w:t>
      </w:r>
      <w:r w:rsidR="005D0F0F" w:rsidRPr="00495482">
        <w:rPr>
          <w:lang w:val="fr-FR"/>
        </w:rPr>
        <w:t>«</w:t>
      </w:r>
      <w:r w:rsidRPr="00495482">
        <w:rPr>
          <w:lang w:val="fr-FR"/>
        </w:rPr>
        <w:t>Dépassons les préjugés</w:t>
      </w:r>
      <w:r w:rsidR="005D0F0F" w:rsidRPr="00495482">
        <w:rPr>
          <w:lang w:val="fr-FR"/>
        </w:rPr>
        <w:t>,</w:t>
      </w:r>
      <w:r w:rsidRPr="00495482">
        <w:rPr>
          <w:lang w:val="fr-FR"/>
        </w:rPr>
        <w:t xml:space="preserve"> allons à la rencontre des Roms</w:t>
      </w:r>
      <w:r w:rsidR="005D0F0F" w:rsidRPr="00495482">
        <w:rPr>
          <w:lang w:val="fr-FR"/>
        </w:rPr>
        <w:t>»</w:t>
      </w:r>
      <w:r w:rsidRPr="00495482">
        <w:rPr>
          <w:lang w:val="fr-FR"/>
        </w:rPr>
        <w:t>. Le Conseil de l</w:t>
      </w:r>
      <w:r w:rsidR="005D0F0F" w:rsidRPr="00495482">
        <w:rPr>
          <w:lang w:val="fr-FR"/>
        </w:rPr>
        <w:t>’</w:t>
      </w:r>
      <w:r w:rsidRPr="00495482">
        <w:rPr>
          <w:lang w:val="fr-FR"/>
        </w:rPr>
        <w:t xml:space="preserve">Europe a considéré cette campagne comme un exemple de bonne pratique. </w:t>
      </w:r>
    </w:p>
    <w:p w:rsidR="00317603" w:rsidRPr="00495482" w:rsidRDefault="00317603" w:rsidP="0031340A">
      <w:pPr>
        <w:pStyle w:val="H23G"/>
        <w:rPr>
          <w:lang w:val="fr-FR" w:eastAsia="sl-SI"/>
        </w:rPr>
      </w:pPr>
      <w:r w:rsidRPr="00495482">
        <w:rPr>
          <w:lang w:val="fr-FR" w:eastAsia="sl-SI"/>
        </w:rPr>
        <w:tab/>
      </w:r>
      <w:r w:rsidRPr="00495482">
        <w:rPr>
          <w:lang w:val="fr-FR" w:eastAsia="sl-SI"/>
        </w:rPr>
        <w:tab/>
        <w:t xml:space="preserve">Roms autochtones et non-autochtones </w:t>
      </w:r>
    </w:p>
    <w:p w:rsidR="00317603" w:rsidRPr="00495482" w:rsidRDefault="00317603" w:rsidP="0031340A">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 xml:space="preserve">24 des observations finales </w:t>
      </w:r>
    </w:p>
    <w:p w:rsidR="00317603" w:rsidRPr="00495482" w:rsidRDefault="00317603" w:rsidP="0031340A">
      <w:pPr>
        <w:pStyle w:val="SingleTxtG"/>
        <w:rPr>
          <w:lang w:val="fr-FR" w:eastAsia="sl-SI"/>
        </w:rPr>
      </w:pPr>
      <w:r w:rsidRPr="00495482">
        <w:rPr>
          <w:lang w:val="fr-FR" w:eastAsia="sl-SI"/>
        </w:rPr>
        <w:t>13.</w:t>
      </w:r>
      <w:r w:rsidRPr="00495482">
        <w:rPr>
          <w:lang w:val="fr-FR" w:eastAsia="sl-SI"/>
        </w:rPr>
        <w:tab/>
        <w:t>La notion d</w:t>
      </w:r>
      <w:r w:rsidR="005D0F0F" w:rsidRPr="00495482">
        <w:rPr>
          <w:lang w:val="fr-FR" w:eastAsia="sl-SI"/>
        </w:rPr>
        <w:t>’</w:t>
      </w:r>
      <w:r w:rsidRPr="00495482">
        <w:rPr>
          <w:lang w:val="fr-FR" w:eastAsia="sl-SI"/>
        </w:rPr>
        <w:t>autochtone est juridiquement et techniquement difficile à définir</w:t>
      </w:r>
      <w:r w:rsidR="005D0F0F" w:rsidRPr="00495482">
        <w:rPr>
          <w:lang w:val="fr-FR" w:eastAsia="sl-SI"/>
        </w:rPr>
        <w:t>,</w:t>
      </w:r>
      <w:r w:rsidRPr="00495482">
        <w:rPr>
          <w:lang w:val="fr-FR" w:eastAsia="sl-SI"/>
        </w:rPr>
        <w:t xml:space="preserve"> de sorte que les États recourent à divers critères. En Slovénie</w:t>
      </w:r>
      <w:r w:rsidR="005D0F0F" w:rsidRPr="00495482">
        <w:rPr>
          <w:lang w:val="fr-FR" w:eastAsia="sl-SI"/>
        </w:rPr>
        <w:t>,</w:t>
      </w:r>
      <w:r w:rsidRPr="00495482">
        <w:rPr>
          <w:lang w:val="fr-FR" w:eastAsia="sl-SI"/>
        </w:rPr>
        <w:t xml:space="preserve"> elle découle uniquement du droit d</w:t>
      </w:r>
      <w:r w:rsidR="005D0F0F" w:rsidRPr="00495482">
        <w:rPr>
          <w:lang w:val="fr-FR" w:eastAsia="sl-SI"/>
        </w:rPr>
        <w:t>’</w:t>
      </w:r>
      <w:r w:rsidRPr="00495482">
        <w:rPr>
          <w:lang w:val="fr-FR" w:eastAsia="sl-SI"/>
        </w:rPr>
        <w:t>accès d</w:t>
      </w:r>
      <w:r w:rsidR="005D0F0F" w:rsidRPr="00495482">
        <w:rPr>
          <w:lang w:val="fr-FR" w:eastAsia="sl-SI"/>
        </w:rPr>
        <w:t>’</w:t>
      </w:r>
      <w:r w:rsidRPr="00495482">
        <w:rPr>
          <w:lang w:val="fr-FR" w:eastAsia="sl-SI"/>
        </w:rPr>
        <w:t>un représentant de la communauté rom au conseil municipal des municipalités dans lesquelles des Roms sont établis depuis longtemps. La Cour constitutionnelle a jusqu</w:t>
      </w:r>
      <w:r w:rsidR="005D0F0F" w:rsidRPr="00495482">
        <w:rPr>
          <w:lang w:val="fr-FR" w:eastAsia="sl-SI"/>
        </w:rPr>
        <w:t>’</w:t>
      </w:r>
      <w:r w:rsidRPr="00495482">
        <w:rPr>
          <w:lang w:val="fr-FR" w:eastAsia="sl-SI"/>
        </w:rPr>
        <w:t>à ce jour</w:t>
      </w:r>
      <w:r w:rsidR="005D0F0F" w:rsidRPr="00495482">
        <w:rPr>
          <w:lang w:val="fr-FR" w:eastAsia="sl-SI"/>
        </w:rPr>
        <w:t>,</w:t>
      </w:r>
      <w:r w:rsidRPr="00495482">
        <w:rPr>
          <w:lang w:val="fr-FR" w:eastAsia="sl-SI"/>
        </w:rPr>
        <w:t xml:space="preserve"> plusieurs fois exprimé sa position sur divers aspects de la situation de la communauté rom au regard du droit constitutionnel</w:t>
      </w:r>
      <w:r w:rsidR="005D0F0F" w:rsidRPr="00495482">
        <w:rPr>
          <w:lang w:val="fr-FR" w:eastAsia="sl-SI"/>
        </w:rPr>
        <w:t>,</w:t>
      </w:r>
      <w:r w:rsidRPr="00495482">
        <w:rPr>
          <w:lang w:val="fr-FR" w:eastAsia="sl-SI"/>
        </w:rPr>
        <w:t xml:space="preserve"> et elle a déjà à plusieurs reprises examiné la disposition de la loi relative aux administrations locales autonomes qui impose l</w:t>
      </w:r>
      <w:r w:rsidR="005D0F0F" w:rsidRPr="00495482">
        <w:rPr>
          <w:lang w:val="fr-FR" w:eastAsia="sl-SI"/>
        </w:rPr>
        <w:t>’</w:t>
      </w:r>
      <w:r w:rsidRPr="00495482">
        <w:rPr>
          <w:lang w:val="fr-FR" w:eastAsia="sl-SI"/>
        </w:rPr>
        <w:t>obligation de garantir une représentation rom aux conseils municipaux dans les régions où vivent des communautés roms autochtones sédentarisées (</w:t>
      </w:r>
      <w:r w:rsidR="00274387" w:rsidRPr="00495482">
        <w:rPr>
          <w:lang w:val="fr-FR" w:eastAsia="sl-SI"/>
        </w:rPr>
        <w:t>art. </w:t>
      </w:r>
      <w:r w:rsidRPr="00495482">
        <w:rPr>
          <w:lang w:val="fr-FR" w:eastAsia="sl-SI"/>
        </w:rPr>
        <w:t>39 de la loi susmentionnée). En</w:t>
      </w:r>
      <w:r w:rsidR="00CF5C7F" w:rsidRPr="00495482">
        <w:rPr>
          <w:lang w:val="fr-FR" w:eastAsia="sl-SI"/>
        </w:rPr>
        <w:t> octobre</w:t>
      </w:r>
      <w:r w:rsidRPr="00495482">
        <w:rPr>
          <w:lang w:val="fr-FR" w:eastAsia="sl-SI"/>
        </w:rPr>
        <w:t xml:space="preserve"> 2010</w:t>
      </w:r>
      <w:r w:rsidR="005D0F0F" w:rsidRPr="00495482">
        <w:rPr>
          <w:lang w:val="fr-FR" w:eastAsia="sl-SI"/>
        </w:rPr>
        <w:t>,</w:t>
      </w:r>
      <w:r w:rsidRPr="00495482">
        <w:rPr>
          <w:lang w:val="fr-FR" w:eastAsia="sl-SI"/>
        </w:rPr>
        <w:t xml:space="preserve"> la Cour constitutionnelle</w:t>
      </w:r>
      <w:r w:rsidR="005D0F0F" w:rsidRPr="00495482">
        <w:rPr>
          <w:lang w:val="fr-FR" w:eastAsia="sl-SI"/>
        </w:rPr>
        <w:t>,</w:t>
      </w:r>
      <w:r w:rsidRPr="00495482">
        <w:rPr>
          <w:lang w:val="fr-FR" w:eastAsia="sl-SI"/>
        </w:rPr>
        <w:t xml:space="preserve"> dans son arrêt </w:t>
      </w:r>
      <w:r w:rsidR="00EB1CF6">
        <w:rPr>
          <w:szCs w:val="18"/>
        </w:rPr>
        <w:t>n</w:t>
      </w:r>
      <w:r w:rsidR="00EB1CF6" w:rsidRPr="001B12ED">
        <w:rPr>
          <w:szCs w:val="18"/>
          <w:vertAlign w:val="superscript"/>
          <w:lang w:val="fr-FR"/>
        </w:rPr>
        <w:t>o</w:t>
      </w:r>
      <w:r w:rsidR="00EB1CF6">
        <w:rPr>
          <w:szCs w:val="18"/>
        </w:rPr>
        <w:t> </w:t>
      </w:r>
      <w:r w:rsidRPr="00495482">
        <w:rPr>
          <w:lang w:val="fr-FR" w:eastAsia="sl-SI"/>
        </w:rPr>
        <w:t>U-1-176-08-10</w:t>
      </w:r>
      <w:r w:rsidR="005D0F0F" w:rsidRPr="00495482">
        <w:rPr>
          <w:lang w:val="fr-FR" w:eastAsia="sl-SI"/>
        </w:rPr>
        <w:t>,</w:t>
      </w:r>
      <w:r w:rsidRPr="00495482">
        <w:rPr>
          <w:lang w:val="fr-FR" w:eastAsia="sl-SI"/>
        </w:rPr>
        <w:t xml:space="preserve"> a une nouvelle fois considéré que le cinquième alinéa de </w:t>
      </w:r>
      <w:r w:rsidR="00657B60" w:rsidRPr="00495482">
        <w:rPr>
          <w:lang w:val="fr-FR" w:eastAsia="sl-SI"/>
        </w:rPr>
        <w:t>l’</w:t>
      </w:r>
      <w:r w:rsidR="003C4F70">
        <w:rPr>
          <w:lang w:val="fr-FR" w:eastAsia="sl-SI"/>
        </w:rPr>
        <w:t>article </w:t>
      </w:r>
      <w:r w:rsidRPr="00495482">
        <w:rPr>
          <w:lang w:val="fr-FR" w:eastAsia="sl-SI"/>
        </w:rPr>
        <w:t>39 de la loi sur les administrations locales autonomes</w:t>
      </w:r>
      <w:r w:rsidRPr="00495482">
        <w:rPr>
          <w:rStyle w:val="FootnoteReference"/>
        </w:rPr>
        <w:footnoteReference w:id="14"/>
      </w:r>
      <w:r w:rsidRPr="00495482">
        <w:rPr>
          <w:lang w:val="fr-FR" w:eastAsia="sl-SI"/>
        </w:rPr>
        <w:t xml:space="preserve"> n</w:t>
      </w:r>
      <w:r w:rsidR="005D0F0F" w:rsidRPr="00495482">
        <w:rPr>
          <w:lang w:val="fr-FR" w:eastAsia="sl-SI"/>
        </w:rPr>
        <w:t>’</w:t>
      </w:r>
      <w:r w:rsidRPr="00495482">
        <w:rPr>
          <w:lang w:val="fr-FR" w:eastAsia="sl-SI"/>
        </w:rPr>
        <w:t>était pas anticonstitutionnel.</w:t>
      </w:r>
    </w:p>
    <w:p w:rsidR="00317603" w:rsidRPr="00495482" w:rsidRDefault="00317603" w:rsidP="0031340A">
      <w:pPr>
        <w:pStyle w:val="SingleTxtG"/>
        <w:rPr>
          <w:lang w:val="fr-FR" w:eastAsia="sl-SI"/>
        </w:rPr>
      </w:pPr>
      <w:r w:rsidRPr="00495482">
        <w:rPr>
          <w:lang w:val="fr-FR" w:eastAsia="sl-SI"/>
        </w:rPr>
        <w:t>14.</w:t>
      </w:r>
      <w:r w:rsidR="006B515A">
        <w:rPr>
          <w:lang w:val="fr-FR" w:eastAsia="sl-SI"/>
        </w:rPr>
        <w:tab/>
      </w:r>
      <w:r w:rsidRPr="00495482">
        <w:rPr>
          <w:lang w:val="fr-FR" w:eastAsia="sl-SI"/>
        </w:rPr>
        <w:t>Dans le domaine de l</w:t>
      </w:r>
      <w:r w:rsidR="005D0F0F" w:rsidRPr="00495482">
        <w:rPr>
          <w:lang w:val="fr-FR" w:eastAsia="sl-SI"/>
        </w:rPr>
        <w:t>’</w:t>
      </w:r>
      <w:r w:rsidRPr="00495482">
        <w:rPr>
          <w:lang w:val="fr-FR" w:eastAsia="sl-SI"/>
        </w:rPr>
        <w:t>éducation</w:t>
      </w:r>
      <w:r w:rsidR="005D0F0F" w:rsidRPr="00495482">
        <w:rPr>
          <w:lang w:val="fr-FR" w:eastAsia="sl-SI"/>
        </w:rPr>
        <w:t>,</w:t>
      </w:r>
      <w:r w:rsidRPr="00495482">
        <w:rPr>
          <w:lang w:val="fr-FR" w:eastAsia="sl-SI"/>
        </w:rPr>
        <w:t xml:space="preserve"> en 2004 trois conseils d</w:t>
      </w:r>
      <w:r w:rsidR="005D0F0F" w:rsidRPr="00495482">
        <w:rPr>
          <w:lang w:val="fr-FR" w:eastAsia="sl-SI"/>
        </w:rPr>
        <w:t>’</w:t>
      </w:r>
      <w:r w:rsidRPr="00495482">
        <w:rPr>
          <w:lang w:val="fr-FR" w:eastAsia="sl-SI"/>
        </w:rPr>
        <w:t xml:space="preserve">experts ont adopté le document intitulé </w:t>
      </w:r>
      <w:r w:rsidR="00274387" w:rsidRPr="00495482">
        <w:rPr>
          <w:lang w:val="fr-FR" w:eastAsia="sl-SI"/>
        </w:rPr>
        <w:t>«</w:t>
      </w:r>
      <w:r w:rsidRPr="00495482">
        <w:rPr>
          <w:i/>
          <w:lang w:val="fr-FR" w:eastAsia="sl-SI"/>
        </w:rPr>
        <w:t>Stratégie pour l</w:t>
      </w:r>
      <w:r w:rsidR="005D0F0F" w:rsidRPr="00495482">
        <w:rPr>
          <w:i/>
          <w:lang w:val="fr-FR" w:eastAsia="sl-SI"/>
        </w:rPr>
        <w:t>’</w:t>
      </w:r>
      <w:r w:rsidRPr="00495482">
        <w:rPr>
          <w:i/>
          <w:lang w:val="fr-FR" w:eastAsia="sl-SI"/>
        </w:rPr>
        <w:t>éducation des Roms de Slovénie</w:t>
      </w:r>
      <w:r w:rsidR="00274387" w:rsidRPr="00495482">
        <w:rPr>
          <w:i/>
          <w:lang w:val="fr-FR" w:eastAsia="sl-SI"/>
        </w:rPr>
        <w:t>»</w:t>
      </w:r>
      <w:r w:rsidRPr="00495482">
        <w:rPr>
          <w:i/>
          <w:lang w:val="fr-FR" w:eastAsia="sl-SI"/>
        </w:rPr>
        <w:t xml:space="preserve"> </w:t>
      </w:r>
      <w:r w:rsidRPr="00495482">
        <w:rPr>
          <w:lang w:val="fr-FR" w:eastAsia="sl-SI"/>
        </w:rPr>
        <w:t>(appelée ci-après: la stratégie</w:t>
      </w:r>
      <w:r w:rsidRPr="00495482">
        <w:rPr>
          <w:b/>
          <w:lang w:val="fr-FR" w:eastAsia="sl-SI"/>
        </w:rPr>
        <w:t>)</w:t>
      </w:r>
      <w:r w:rsidR="005D0F0F" w:rsidRPr="00495482">
        <w:rPr>
          <w:lang w:val="fr-FR" w:eastAsia="sl-SI"/>
        </w:rPr>
        <w:t>,</w:t>
      </w:r>
      <w:r w:rsidRPr="00495482">
        <w:rPr>
          <w:lang w:val="fr-FR" w:eastAsia="sl-SI"/>
        </w:rPr>
        <w:t xml:space="preserve"> qui indique les conditions à remplir</w:t>
      </w:r>
      <w:r w:rsidR="005D0F0F" w:rsidRPr="00495482">
        <w:rPr>
          <w:lang w:val="fr-FR" w:eastAsia="sl-SI"/>
        </w:rPr>
        <w:t>,</w:t>
      </w:r>
      <w:r w:rsidRPr="00495482">
        <w:rPr>
          <w:lang w:val="fr-FR" w:eastAsia="sl-SI"/>
        </w:rPr>
        <w:t xml:space="preserve"> les objectifs à atteindre et les solutions élémentaires à trouver pour une meilleure intégration des Roms dans le système éducatif à tous les niveaux. En 2005</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éducation et des sports a créé un groupe spécial</w:t>
      </w:r>
      <w:r w:rsidR="005D0F0F" w:rsidRPr="00495482">
        <w:rPr>
          <w:lang w:val="fr-FR" w:eastAsia="sl-SI"/>
        </w:rPr>
        <w:t>,</w:t>
      </w:r>
      <w:r w:rsidRPr="00495482">
        <w:rPr>
          <w:lang w:val="fr-FR" w:eastAsia="sl-SI"/>
        </w:rPr>
        <w:t xml:space="preserve"> présidé par un représentant de la communauté rom</w:t>
      </w:r>
      <w:r w:rsidR="005D0F0F" w:rsidRPr="00495482">
        <w:rPr>
          <w:lang w:val="fr-FR" w:eastAsia="sl-SI"/>
        </w:rPr>
        <w:t>,</w:t>
      </w:r>
      <w:r w:rsidRPr="00495482">
        <w:rPr>
          <w:lang w:val="fr-FR" w:eastAsia="sl-SI"/>
        </w:rPr>
        <w:t xml:space="preserve"> pour contrôler la mise en œuvre des mesures de la stratégie et préparer à cette fin les plans d</w:t>
      </w:r>
      <w:r w:rsidR="005D0F0F" w:rsidRPr="00495482">
        <w:rPr>
          <w:lang w:val="fr-FR" w:eastAsia="sl-SI"/>
        </w:rPr>
        <w:t>’</w:t>
      </w:r>
      <w:r w:rsidR="0031340A" w:rsidRPr="00495482">
        <w:rPr>
          <w:lang w:val="fr-FR" w:eastAsia="sl-SI"/>
        </w:rPr>
        <w:t>action annuels. En février </w:t>
      </w:r>
      <w:r w:rsidRPr="00495482">
        <w:rPr>
          <w:lang w:val="fr-FR" w:eastAsia="sl-SI"/>
        </w:rPr>
        <w:t>2009</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éducation et des sports a également créé un groupe chargé de développer la stratégie adoptée en 2004. Les mesures complémentaires adjointes en 2011 portent notamment sur la poursuite des activités dans le domaine de l</w:t>
      </w:r>
      <w:r w:rsidR="005D0F0F" w:rsidRPr="00495482">
        <w:rPr>
          <w:lang w:val="fr-FR" w:eastAsia="sl-SI"/>
        </w:rPr>
        <w:t>’</w:t>
      </w:r>
      <w:r w:rsidRPr="00495482">
        <w:rPr>
          <w:lang w:val="fr-FR" w:eastAsia="sl-SI"/>
        </w:rPr>
        <w:t>enseignement préscolaire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individualisation et la différenciation au niveau de l</w:t>
      </w:r>
      <w:r w:rsidR="005D0F0F" w:rsidRPr="00495482">
        <w:rPr>
          <w:lang w:val="fr-FR" w:eastAsia="sl-SI"/>
        </w:rPr>
        <w:t>’</w:t>
      </w:r>
      <w:r w:rsidRPr="00495482">
        <w:rPr>
          <w:lang w:val="fr-FR" w:eastAsia="sl-SI"/>
        </w:rPr>
        <w:t>école primaire. En 2010</w:t>
      </w:r>
      <w:r w:rsidR="005D0F0F" w:rsidRPr="00495482">
        <w:rPr>
          <w:lang w:val="fr-FR" w:eastAsia="sl-SI"/>
        </w:rPr>
        <w:t>,</w:t>
      </w:r>
      <w:r w:rsidRPr="00495482">
        <w:rPr>
          <w:lang w:val="fr-FR" w:eastAsia="sl-SI"/>
        </w:rPr>
        <w:t xml:space="preserve"> un appel d</w:t>
      </w:r>
      <w:r w:rsidR="005D0F0F" w:rsidRPr="00495482">
        <w:rPr>
          <w:lang w:val="fr-FR" w:eastAsia="sl-SI"/>
        </w:rPr>
        <w:t>’</w:t>
      </w:r>
      <w:r w:rsidRPr="00495482">
        <w:rPr>
          <w:lang w:val="fr-FR" w:eastAsia="sl-SI"/>
        </w:rPr>
        <w:t xml:space="preserve">offres lancé par le Fonds social européen et intitulé </w:t>
      </w:r>
      <w:r w:rsidR="00274387" w:rsidRPr="00495482">
        <w:rPr>
          <w:lang w:val="fr-FR" w:eastAsia="sl-SI"/>
        </w:rPr>
        <w:t>«</w:t>
      </w:r>
      <w:r w:rsidRPr="00495482">
        <w:rPr>
          <w:lang w:val="fr-FR" w:eastAsia="sl-SI"/>
        </w:rPr>
        <w:t>Accroître le capital socioculturel dans les régions où vivent des représentants de la communauté rom</w:t>
      </w:r>
      <w:r w:rsidR="00274387" w:rsidRPr="00495482">
        <w:rPr>
          <w:lang w:val="fr-FR" w:eastAsia="sl-SI"/>
        </w:rPr>
        <w:t>»</w:t>
      </w:r>
      <w:r w:rsidR="005D0F0F" w:rsidRPr="00495482">
        <w:rPr>
          <w:lang w:val="fr-FR" w:eastAsia="sl-SI"/>
        </w:rPr>
        <w:t>,</w:t>
      </w:r>
      <w:r w:rsidRPr="00495482">
        <w:rPr>
          <w:lang w:val="fr-FR" w:eastAsia="sl-SI"/>
        </w:rPr>
        <w:t xml:space="preserve"> visait entre autres précisément à développer les domaines précédemment mentionnés. </w:t>
      </w:r>
      <w:r w:rsidR="003D51E1" w:rsidRPr="00495482">
        <w:rPr>
          <w:lang w:val="fr-FR" w:eastAsia="sl-SI"/>
        </w:rPr>
        <w:t xml:space="preserve">À </w:t>
      </w:r>
      <w:r w:rsidRPr="00495482">
        <w:rPr>
          <w:lang w:val="fr-FR" w:eastAsia="sl-SI"/>
        </w:rPr>
        <w:t>ce jour</w:t>
      </w:r>
      <w:r w:rsidR="005D0F0F" w:rsidRPr="00495482">
        <w:rPr>
          <w:lang w:val="fr-FR" w:eastAsia="sl-SI"/>
        </w:rPr>
        <w:t>,</w:t>
      </w:r>
      <w:r w:rsidRPr="00495482">
        <w:rPr>
          <w:lang w:val="fr-FR" w:eastAsia="sl-SI"/>
        </w:rPr>
        <w:t xml:space="preserve"> nombre d</w:t>
      </w:r>
      <w:r w:rsidR="005D0F0F" w:rsidRPr="00495482">
        <w:rPr>
          <w:lang w:val="fr-FR" w:eastAsia="sl-SI"/>
        </w:rPr>
        <w:t>’</w:t>
      </w:r>
      <w:r w:rsidRPr="00495482">
        <w:rPr>
          <w:lang w:val="fr-FR" w:eastAsia="sl-SI"/>
        </w:rPr>
        <w:t>actions à mener au titre de la stratégie ont été entreprises</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introduction d</w:t>
      </w:r>
      <w:r w:rsidR="005D0F0F" w:rsidRPr="00495482">
        <w:rPr>
          <w:lang w:val="fr-FR" w:eastAsia="sl-SI"/>
        </w:rPr>
        <w:t>’</w:t>
      </w:r>
      <w:r w:rsidRPr="00495482">
        <w:rPr>
          <w:lang w:val="fr-FR" w:eastAsia="sl-SI"/>
        </w:rPr>
        <w:t>une matière facultative relative à la culture rom</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adoption</w:t>
      </w:r>
      <w:r w:rsidR="003D1A4F" w:rsidRPr="00495482">
        <w:rPr>
          <w:lang w:val="fr-FR" w:eastAsia="sl-SI"/>
        </w:rPr>
        <w:t xml:space="preserve"> </w:t>
      </w:r>
      <w:r w:rsidRPr="00495482">
        <w:rPr>
          <w:lang w:val="fr-FR" w:eastAsia="sl-SI"/>
        </w:rPr>
        <w:t>de la qualification d</w:t>
      </w:r>
      <w:r w:rsidR="005D0F0F" w:rsidRPr="00495482">
        <w:rPr>
          <w:lang w:val="fr-FR" w:eastAsia="sl-SI"/>
        </w:rPr>
        <w:t>’</w:t>
      </w:r>
      <w:r w:rsidRPr="00495482">
        <w:rPr>
          <w:lang w:val="fr-FR" w:eastAsia="sl-SI"/>
        </w:rPr>
        <w:t>enseignant auxiliaire rom</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élaboration et la mise en œuvre annuelles de programmes en faveur de la coexistence interculturelle;</w:t>
      </w:r>
      <w:r w:rsidR="003D1A4F" w:rsidRPr="00495482">
        <w:rPr>
          <w:lang w:val="fr-FR" w:eastAsia="sl-SI"/>
        </w:rPr>
        <w:t xml:space="preserve"> </w:t>
      </w:r>
      <w:r w:rsidRPr="00495482">
        <w:rPr>
          <w:lang w:val="fr-FR" w:eastAsia="sl-SI"/>
        </w:rPr>
        <w:t>la réalisation d</w:t>
      </w:r>
      <w:r w:rsidR="005D0F0F" w:rsidRPr="00495482">
        <w:rPr>
          <w:lang w:val="fr-FR" w:eastAsia="sl-SI"/>
        </w:rPr>
        <w:t>’</w:t>
      </w:r>
      <w:r w:rsidRPr="00495482">
        <w:rPr>
          <w:lang w:val="fr-FR" w:eastAsia="sl-SI"/>
        </w:rPr>
        <w:t>un projet de développement d</w:t>
      </w:r>
      <w:r w:rsidR="005D0F0F" w:rsidRPr="00495482">
        <w:rPr>
          <w:lang w:val="fr-FR" w:eastAsia="sl-SI"/>
        </w:rPr>
        <w:t>’</w:t>
      </w:r>
      <w:r w:rsidRPr="00495482">
        <w:rPr>
          <w:lang w:val="fr-FR" w:eastAsia="sl-SI"/>
        </w:rPr>
        <w:t>outils didactiques et pédagogiques pour étudier le slovène comme langue étrangère; la mise en place d</w:t>
      </w:r>
      <w:r w:rsidR="005D0F0F" w:rsidRPr="00495482">
        <w:rPr>
          <w:lang w:val="fr-FR" w:eastAsia="sl-SI"/>
        </w:rPr>
        <w:t>’</w:t>
      </w:r>
      <w:r w:rsidRPr="00495482">
        <w:rPr>
          <w:lang w:val="fr-FR" w:eastAsia="sl-SI"/>
        </w:rPr>
        <w:t>un réseau d</w:t>
      </w:r>
      <w:r w:rsidR="005D0F0F" w:rsidRPr="00495482">
        <w:rPr>
          <w:lang w:val="fr-FR" w:eastAsia="sl-SI"/>
        </w:rPr>
        <w:t>’</w:t>
      </w:r>
      <w:r w:rsidRPr="00495482">
        <w:rPr>
          <w:lang w:val="fr-FR" w:eastAsia="sl-SI"/>
        </w:rPr>
        <w:t>écoles dans lesquelles des élèves roms sont inscrits</w:t>
      </w:r>
      <w:r w:rsidR="005D0F0F" w:rsidRPr="00495482">
        <w:rPr>
          <w:lang w:val="fr-FR" w:eastAsia="sl-SI"/>
        </w:rPr>
        <w:t>,</w:t>
      </w:r>
      <w:r w:rsidRPr="00495482">
        <w:rPr>
          <w:lang w:val="fr-FR" w:eastAsia="sl-SI"/>
        </w:rPr>
        <w:t xml:space="preserve"> pour leur permettre d</w:t>
      </w:r>
      <w:r w:rsidR="005D0F0F" w:rsidRPr="00495482">
        <w:rPr>
          <w:lang w:val="fr-FR" w:eastAsia="sl-SI"/>
        </w:rPr>
        <w:t>’</w:t>
      </w:r>
      <w:r w:rsidRPr="00495482">
        <w:rPr>
          <w:lang w:val="fr-FR" w:eastAsia="sl-SI"/>
        </w:rPr>
        <w:t>échanger des données d</w:t>
      </w:r>
      <w:r w:rsidR="005D0F0F" w:rsidRPr="00495482">
        <w:rPr>
          <w:lang w:val="fr-FR" w:eastAsia="sl-SI"/>
        </w:rPr>
        <w:t>’</w:t>
      </w:r>
      <w:r w:rsidRPr="00495482">
        <w:rPr>
          <w:lang w:val="fr-FR" w:eastAsia="sl-SI"/>
        </w:rPr>
        <w:t>expérience et des exemples de bonne pratique</w:t>
      </w:r>
      <w:r w:rsidR="005D0F0F" w:rsidRPr="00495482">
        <w:rPr>
          <w:lang w:val="fr-FR" w:eastAsia="sl-SI"/>
        </w:rPr>
        <w:t>;</w:t>
      </w:r>
      <w:r w:rsidRPr="00495482">
        <w:rPr>
          <w:lang w:val="fr-FR" w:eastAsia="sl-SI"/>
        </w:rPr>
        <w:t xml:space="preserve"> la mise en </w:t>
      </w:r>
      <w:r w:rsidR="00B82754" w:rsidRPr="00495482">
        <w:rPr>
          <w:lang w:val="fr-FR" w:eastAsia="sl-SI"/>
        </w:rPr>
        <w:t>œuvre</w:t>
      </w:r>
      <w:r w:rsidRPr="00495482">
        <w:rPr>
          <w:lang w:val="fr-FR" w:eastAsia="sl-SI"/>
        </w:rPr>
        <w:t xml:space="preserve"> de programmes de formation professionnelle des enseignants</w:t>
      </w:r>
      <w:r w:rsidR="005D0F0F" w:rsidRPr="00495482">
        <w:rPr>
          <w:lang w:val="fr-FR" w:eastAsia="sl-SI"/>
        </w:rPr>
        <w:t>,</w:t>
      </w:r>
      <w:r w:rsidRPr="00495482">
        <w:rPr>
          <w:lang w:val="fr-FR" w:eastAsia="sl-SI"/>
        </w:rPr>
        <w:t xml:space="preserve"> en vue d</w:t>
      </w:r>
      <w:r w:rsidR="005D0F0F" w:rsidRPr="00495482">
        <w:rPr>
          <w:lang w:val="fr-FR" w:eastAsia="sl-SI"/>
        </w:rPr>
        <w:t>’</w:t>
      </w:r>
      <w:r w:rsidRPr="00495482">
        <w:rPr>
          <w:lang w:val="fr-FR" w:eastAsia="sl-SI"/>
        </w:rPr>
        <w:t>un travail fructueux avec les enfants roms</w:t>
      </w:r>
      <w:r w:rsidR="005D0F0F" w:rsidRPr="00495482">
        <w:rPr>
          <w:lang w:val="fr-FR" w:eastAsia="sl-SI"/>
        </w:rPr>
        <w:t>,</w:t>
      </w:r>
      <w:r w:rsidRPr="00495482">
        <w:rPr>
          <w:lang w:val="fr-FR" w:eastAsia="sl-SI"/>
        </w:rPr>
        <w:t xml:space="preserve"> et</w:t>
      </w:r>
      <w:r w:rsidR="003D1A4F" w:rsidRPr="00495482">
        <w:rPr>
          <w:lang w:val="fr-FR" w:eastAsia="sl-SI"/>
        </w:rPr>
        <w:t xml:space="preserve"> </w:t>
      </w:r>
      <w:r w:rsidRPr="00495482">
        <w:rPr>
          <w:lang w:val="fr-FR" w:eastAsia="sl-SI"/>
        </w:rPr>
        <w:t>la formation d</w:t>
      </w:r>
      <w:r w:rsidR="005D0F0F" w:rsidRPr="00495482">
        <w:rPr>
          <w:lang w:val="fr-FR" w:eastAsia="sl-SI"/>
        </w:rPr>
        <w:t>’</w:t>
      </w:r>
      <w:r w:rsidRPr="00495482">
        <w:rPr>
          <w:lang w:val="fr-FR" w:eastAsia="sl-SI"/>
        </w:rPr>
        <w:t>assistants roms. En outre</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éducation et des sports cofinance l</w:t>
      </w:r>
      <w:r w:rsidR="005D0F0F" w:rsidRPr="00495482">
        <w:rPr>
          <w:lang w:val="fr-FR" w:eastAsia="sl-SI"/>
        </w:rPr>
        <w:t>’</w:t>
      </w:r>
      <w:r w:rsidRPr="00495482">
        <w:rPr>
          <w:lang w:val="fr-FR" w:eastAsia="sl-SI"/>
        </w:rPr>
        <w:t>éducation pour les adultes roms.</w:t>
      </w:r>
      <w:r w:rsidR="003D1A4F" w:rsidRPr="00495482">
        <w:rPr>
          <w:lang w:val="fr-FR" w:eastAsia="sl-SI"/>
        </w:rPr>
        <w:t xml:space="preserve"> </w:t>
      </w:r>
    </w:p>
    <w:p w:rsidR="00317603" w:rsidRPr="00495482" w:rsidRDefault="00317603" w:rsidP="0014499F">
      <w:pPr>
        <w:pStyle w:val="H23G"/>
        <w:rPr>
          <w:lang w:val="fr-FR" w:eastAsia="sl-SI"/>
        </w:rPr>
      </w:pPr>
      <w:r w:rsidRPr="00495482">
        <w:rPr>
          <w:lang w:val="fr-FR" w:eastAsia="sl-SI"/>
        </w:rPr>
        <w:tab/>
      </w:r>
      <w:r w:rsidRPr="00495482">
        <w:rPr>
          <w:lang w:val="fr-FR" w:eastAsia="sl-SI"/>
        </w:rPr>
        <w:tab/>
        <w:t>Éducation des enfants immigrés</w:t>
      </w:r>
    </w:p>
    <w:p w:rsidR="00317603" w:rsidRPr="00495482" w:rsidRDefault="00317603" w:rsidP="0014499F">
      <w:pPr>
        <w:pStyle w:val="SingleTxtG"/>
        <w:rPr>
          <w:lang w:val="fr-FR" w:eastAsia="sl-SI"/>
        </w:rPr>
      </w:pPr>
      <w:r w:rsidRPr="00495482">
        <w:rPr>
          <w:bCs/>
          <w:lang w:val="fr-FR" w:eastAsia="sl-SI"/>
        </w:rPr>
        <w:t>15.</w:t>
      </w:r>
      <w:r w:rsidRPr="00495482">
        <w:rPr>
          <w:bCs/>
          <w:lang w:val="fr-FR" w:eastAsia="sl-SI"/>
        </w:rPr>
        <w:tab/>
      </w:r>
      <w:r w:rsidRPr="00495482">
        <w:rPr>
          <w:lang w:val="fr-FR" w:eastAsia="sl-SI"/>
        </w:rPr>
        <w:t>En 2007</w:t>
      </w:r>
      <w:r w:rsidR="005D0F0F" w:rsidRPr="00495482">
        <w:rPr>
          <w:lang w:val="fr-FR" w:eastAsia="sl-SI"/>
        </w:rPr>
        <w:t>,</w:t>
      </w:r>
      <w:r w:rsidRPr="00495482">
        <w:rPr>
          <w:lang w:val="fr-FR" w:eastAsia="sl-SI"/>
        </w:rPr>
        <w:t xml:space="preserve"> une stratégie pour l</w:t>
      </w:r>
      <w:r w:rsidR="005D0F0F" w:rsidRPr="00495482">
        <w:rPr>
          <w:lang w:val="fr-FR" w:eastAsia="sl-SI"/>
        </w:rPr>
        <w:t>’</w:t>
      </w:r>
      <w:r w:rsidRPr="00495482">
        <w:rPr>
          <w:lang w:val="fr-FR" w:eastAsia="sl-SI"/>
        </w:rPr>
        <w:t>inclusion des enfants</w:t>
      </w:r>
      <w:r w:rsidR="005D0F0F" w:rsidRPr="00495482">
        <w:rPr>
          <w:lang w:val="fr-FR" w:eastAsia="sl-SI"/>
        </w:rPr>
        <w:t>,</w:t>
      </w:r>
      <w:r w:rsidRPr="00495482">
        <w:rPr>
          <w:lang w:val="fr-FR" w:eastAsia="sl-SI"/>
        </w:rPr>
        <w:t xml:space="preserve"> élèves et étudiants immigrés au sein du système éducatif slovène a été adoptée</w:t>
      </w:r>
      <w:r w:rsidR="005D0F0F" w:rsidRPr="00495482">
        <w:rPr>
          <w:lang w:val="fr-FR" w:eastAsia="sl-SI"/>
        </w:rPr>
        <w:t>,</w:t>
      </w:r>
      <w:r w:rsidRPr="00495482">
        <w:rPr>
          <w:lang w:val="fr-FR" w:eastAsia="sl-SI"/>
        </w:rPr>
        <w:t xml:space="preserve"> avec pour mesures majeures: la mise en </w:t>
      </w:r>
      <w:r w:rsidR="00B82754" w:rsidRPr="00495482">
        <w:rPr>
          <w:lang w:val="fr-FR" w:eastAsia="sl-SI"/>
        </w:rPr>
        <w:t>œuvre</w:t>
      </w:r>
      <w:r w:rsidRPr="00495482">
        <w:rPr>
          <w:lang w:val="fr-FR" w:eastAsia="sl-SI"/>
        </w:rPr>
        <w:t xml:space="preserve"> de programmes adaptés pour une inclusion plus rapide et meilleure dans le processus éducatif; la conception de dispositifs pour agir avec les parents immigrés et les intégrer à la vie scolaire; la promotion d</w:t>
      </w:r>
      <w:r w:rsidR="005D0F0F" w:rsidRPr="00495482">
        <w:rPr>
          <w:lang w:val="fr-FR" w:eastAsia="sl-SI"/>
        </w:rPr>
        <w:t>’</w:t>
      </w:r>
      <w:r w:rsidRPr="00495482">
        <w:rPr>
          <w:lang w:val="fr-FR" w:eastAsia="sl-SI"/>
        </w:rPr>
        <w:t>un apprentissage interculturel et d</w:t>
      </w:r>
      <w:r w:rsidR="005D0F0F" w:rsidRPr="00495482">
        <w:rPr>
          <w:lang w:val="fr-FR" w:eastAsia="sl-SI"/>
        </w:rPr>
        <w:t>’</w:t>
      </w:r>
      <w:r w:rsidRPr="00495482">
        <w:rPr>
          <w:lang w:val="fr-FR" w:eastAsia="sl-SI"/>
        </w:rPr>
        <w:t>une attitude positive vis-à-vis de la compréhension et de l</w:t>
      </w:r>
      <w:r w:rsidR="005D0F0F" w:rsidRPr="00495482">
        <w:rPr>
          <w:lang w:val="fr-FR" w:eastAsia="sl-SI"/>
        </w:rPr>
        <w:t>’</w:t>
      </w:r>
      <w:r w:rsidRPr="00495482">
        <w:rPr>
          <w:lang w:val="fr-FR" w:eastAsia="sl-SI"/>
        </w:rPr>
        <w:t>acceptation des différences; l</w:t>
      </w:r>
      <w:r w:rsidR="005D0F0F" w:rsidRPr="00495482">
        <w:rPr>
          <w:lang w:val="fr-FR" w:eastAsia="sl-SI"/>
        </w:rPr>
        <w:t>’</w:t>
      </w:r>
      <w:r w:rsidRPr="00495482">
        <w:rPr>
          <w:lang w:val="fr-FR" w:eastAsia="sl-SI"/>
        </w:rPr>
        <w:t>introduction du slovène en tant que deuxième langue; la dispense aux enfants immigrés d</w:t>
      </w:r>
      <w:r w:rsidR="005D0F0F" w:rsidRPr="00495482">
        <w:rPr>
          <w:lang w:val="fr-FR" w:eastAsia="sl-SI"/>
        </w:rPr>
        <w:t>’</w:t>
      </w:r>
      <w:r w:rsidRPr="00495482">
        <w:rPr>
          <w:lang w:val="fr-FR" w:eastAsia="sl-SI"/>
        </w:rPr>
        <w:t>un enseignement de qualité de la langue slovène; une éducation de qualité et une bonne formation du personnel enseignant. Cette stratégie a servi de socle à l</w:t>
      </w:r>
      <w:r w:rsidR="005D0F0F" w:rsidRPr="00495482">
        <w:rPr>
          <w:lang w:val="fr-FR" w:eastAsia="sl-SI"/>
        </w:rPr>
        <w:t>’</w:t>
      </w:r>
      <w:r w:rsidRPr="00495482">
        <w:rPr>
          <w:lang w:val="fr-FR" w:eastAsia="sl-SI"/>
        </w:rPr>
        <w:t>élaboration de principes directeurs pour l</w:t>
      </w:r>
      <w:r w:rsidR="005D0F0F" w:rsidRPr="00495482">
        <w:rPr>
          <w:lang w:val="fr-FR" w:eastAsia="sl-SI"/>
        </w:rPr>
        <w:t>’</w:t>
      </w:r>
      <w:r w:rsidRPr="00495482">
        <w:rPr>
          <w:lang w:val="fr-FR" w:eastAsia="sl-SI"/>
        </w:rPr>
        <w:t>éducation des enfants étrangers</w:t>
      </w:r>
      <w:r w:rsidR="005D0F0F" w:rsidRPr="00495482">
        <w:rPr>
          <w:lang w:val="fr-FR" w:eastAsia="sl-SI"/>
        </w:rPr>
        <w:t>,</w:t>
      </w:r>
      <w:r w:rsidRPr="00495482">
        <w:rPr>
          <w:lang w:val="fr-FR" w:eastAsia="sl-SI"/>
        </w:rPr>
        <w:t xml:space="preserve"> selon lesquels les établissements d</w:t>
      </w:r>
      <w:r w:rsidR="005D0F0F" w:rsidRPr="00495482">
        <w:rPr>
          <w:lang w:val="fr-FR" w:eastAsia="sl-SI"/>
        </w:rPr>
        <w:t>’</w:t>
      </w:r>
      <w:r w:rsidRPr="00495482">
        <w:rPr>
          <w:lang w:val="fr-FR" w:eastAsia="sl-SI"/>
        </w:rPr>
        <w:t>enseignement en contact avec les parents de ces enfants doivent obligatoirement respecter leur vie privée</w:t>
      </w:r>
      <w:r w:rsidR="005D0F0F" w:rsidRPr="00495482">
        <w:rPr>
          <w:lang w:val="fr-FR" w:eastAsia="sl-SI"/>
        </w:rPr>
        <w:t>,</w:t>
      </w:r>
      <w:r w:rsidRPr="00495482">
        <w:rPr>
          <w:lang w:val="fr-FR" w:eastAsia="sl-SI"/>
        </w:rPr>
        <w:t xml:space="preserve"> leur culture</w:t>
      </w:r>
      <w:r w:rsidR="005D0F0F" w:rsidRPr="00495482">
        <w:rPr>
          <w:lang w:val="fr-FR" w:eastAsia="sl-SI"/>
        </w:rPr>
        <w:t>,</w:t>
      </w:r>
      <w:r w:rsidRPr="00495482">
        <w:rPr>
          <w:lang w:val="fr-FR" w:eastAsia="sl-SI"/>
        </w:rPr>
        <w:t xml:space="preserve"> leur langue</w:t>
      </w:r>
      <w:r w:rsidR="005D0F0F" w:rsidRPr="00495482">
        <w:rPr>
          <w:lang w:val="fr-FR" w:eastAsia="sl-SI"/>
        </w:rPr>
        <w:t>,</w:t>
      </w:r>
      <w:r w:rsidRPr="00495482">
        <w:rPr>
          <w:lang w:val="fr-FR" w:eastAsia="sl-SI"/>
        </w:rPr>
        <w:t xml:space="preserve"> leur vision du monde et leurs valeurs; elle devrait notamment permettre l</w:t>
      </w:r>
      <w:r w:rsidR="005D0F0F" w:rsidRPr="00495482">
        <w:rPr>
          <w:lang w:val="fr-FR" w:eastAsia="sl-SI"/>
        </w:rPr>
        <w:t>’</w:t>
      </w:r>
      <w:r w:rsidRPr="00495482">
        <w:rPr>
          <w:lang w:val="fr-FR" w:eastAsia="sl-SI"/>
        </w:rPr>
        <w:t>intégration de ces parents à la vie et au travail de l</w:t>
      </w:r>
      <w:r w:rsidR="005D0F0F" w:rsidRPr="00495482">
        <w:rPr>
          <w:lang w:val="fr-FR" w:eastAsia="sl-SI"/>
        </w:rPr>
        <w:t>’</w:t>
      </w:r>
      <w:r w:rsidRPr="00495482">
        <w:rPr>
          <w:lang w:val="fr-FR" w:eastAsia="sl-SI"/>
        </w:rPr>
        <w:t>établissement; elle peut offrir aux élèves et aux parents immigrés la possibilité d</w:t>
      </w:r>
      <w:r w:rsidR="005D0F0F" w:rsidRPr="00495482">
        <w:rPr>
          <w:lang w:val="fr-FR" w:eastAsia="sl-SI"/>
        </w:rPr>
        <w:t>’</w:t>
      </w:r>
      <w:r w:rsidRPr="00495482">
        <w:rPr>
          <w:lang w:val="fr-FR" w:eastAsia="sl-SI"/>
        </w:rPr>
        <w:t>apprendre ensemble le slovène</w:t>
      </w:r>
      <w:r w:rsidR="005D0F0F" w:rsidRPr="00495482">
        <w:rPr>
          <w:lang w:val="fr-FR" w:eastAsia="sl-SI"/>
        </w:rPr>
        <w:t>,</w:t>
      </w:r>
      <w:r w:rsidRPr="00495482">
        <w:rPr>
          <w:lang w:val="fr-FR" w:eastAsia="sl-SI"/>
        </w:rPr>
        <w:t xml:space="preserve"> et organiser divers types d</w:t>
      </w:r>
      <w:r w:rsidR="005D0F0F" w:rsidRPr="00495482">
        <w:rPr>
          <w:lang w:val="fr-FR" w:eastAsia="sl-SI"/>
        </w:rPr>
        <w:t>’</w:t>
      </w:r>
      <w:r w:rsidRPr="00495482">
        <w:rPr>
          <w:lang w:val="fr-FR" w:eastAsia="sl-SI"/>
        </w:rPr>
        <w:t>activités avec les parents étrangers</w:t>
      </w:r>
      <w:r w:rsidR="005D0F0F" w:rsidRPr="00495482">
        <w:rPr>
          <w:lang w:val="fr-FR" w:eastAsia="sl-SI"/>
        </w:rPr>
        <w:t>,</w:t>
      </w:r>
      <w:r w:rsidRPr="00495482">
        <w:rPr>
          <w:lang w:val="fr-FR" w:eastAsia="sl-SI"/>
        </w:rPr>
        <w:t xml:space="preserve"> de manière à créer un lien entre eux.</w:t>
      </w:r>
      <w:r w:rsidR="003D1A4F" w:rsidRPr="00495482">
        <w:rPr>
          <w:lang w:val="fr-FR" w:eastAsia="sl-SI"/>
        </w:rPr>
        <w:t xml:space="preserve"> </w:t>
      </w:r>
    </w:p>
    <w:p w:rsidR="00317603" w:rsidRPr="00495482" w:rsidRDefault="00317603" w:rsidP="0014499F">
      <w:pPr>
        <w:pStyle w:val="SingleTxtG"/>
        <w:rPr>
          <w:bCs/>
          <w:szCs w:val="22"/>
          <w:lang w:val="fr-FR" w:eastAsia="sl-SI"/>
        </w:rPr>
      </w:pPr>
      <w:r w:rsidRPr="00495482">
        <w:rPr>
          <w:bCs/>
          <w:lang w:val="fr-FR" w:eastAsia="sl-SI"/>
        </w:rPr>
        <w:t>16.</w:t>
      </w:r>
      <w:r w:rsidRPr="00495482">
        <w:rPr>
          <w:bCs/>
          <w:lang w:val="fr-FR" w:eastAsia="sl-SI"/>
        </w:rPr>
        <w:tab/>
      </w:r>
      <w:r w:rsidRPr="00495482">
        <w:rPr>
          <w:lang w:val="fr-FR" w:eastAsia="sl-SI"/>
        </w:rPr>
        <w:t>En se fondant sur ce document</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éduc</w:t>
      </w:r>
      <w:r w:rsidR="00CF5C7F" w:rsidRPr="00495482">
        <w:rPr>
          <w:lang w:val="fr-FR" w:eastAsia="sl-SI"/>
        </w:rPr>
        <w:t>ation et des sports a publié en </w:t>
      </w:r>
      <w:r w:rsidRPr="00495482">
        <w:rPr>
          <w:lang w:val="fr-FR" w:eastAsia="sl-SI"/>
        </w:rPr>
        <w:t>2008 un appel d</w:t>
      </w:r>
      <w:r w:rsidR="005D0F0F" w:rsidRPr="00495482">
        <w:rPr>
          <w:lang w:val="fr-FR" w:eastAsia="sl-SI"/>
        </w:rPr>
        <w:t>’</w:t>
      </w:r>
      <w:r w:rsidRPr="00495482">
        <w:rPr>
          <w:lang w:val="fr-FR" w:eastAsia="sl-SI"/>
        </w:rPr>
        <w:t>offres public du Fonds social européen pour permettre la réalisation des mesures découlant de la stratégie et développer des mécanismes qui contribueront à une inclusion plus efficace des élèves immigrés au système scolaire</w:t>
      </w:r>
      <w:r w:rsidR="005D0F0F" w:rsidRPr="00495482">
        <w:rPr>
          <w:lang w:val="fr-FR" w:eastAsia="sl-SI"/>
        </w:rPr>
        <w:t>,</w:t>
      </w:r>
      <w:r w:rsidRPr="00495482">
        <w:rPr>
          <w:lang w:val="fr-FR" w:eastAsia="sl-SI"/>
        </w:rPr>
        <w:t xml:space="preserve"> facilitant ainsi leur insertion sociale</w:t>
      </w:r>
      <w:r w:rsidR="005D0F0F" w:rsidRPr="00495482">
        <w:rPr>
          <w:lang w:val="fr-FR" w:eastAsia="sl-SI"/>
        </w:rPr>
        <w:t>,</w:t>
      </w:r>
      <w:r w:rsidRPr="00495482">
        <w:rPr>
          <w:lang w:val="fr-FR" w:eastAsia="sl-SI"/>
        </w:rPr>
        <w:t xml:space="preserve"> tout en améliorant leur situation sur le marché du travail.</w:t>
      </w:r>
      <w:r w:rsidR="003D1A4F" w:rsidRPr="00495482">
        <w:rPr>
          <w:lang w:val="fr-FR" w:eastAsia="sl-SI"/>
        </w:rPr>
        <w:t xml:space="preserve"> </w:t>
      </w:r>
    </w:p>
    <w:p w:rsidR="00317603" w:rsidRPr="00495482" w:rsidRDefault="00317603" w:rsidP="0014499F">
      <w:pPr>
        <w:pStyle w:val="H23G"/>
        <w:rPr>
          <w:bCs/>
          <w:lang w:val="fr-FR" w:eastAsia="sl-SI"/>
        </w:rPr>
      </w:pPr>
      <w:r w:rsidRPr="00495482">
        <w:rPr>
          <w:lang w:val="fr-FR" w:eastAsia="sl-SI"/>
        </w:rPr>
        <w:tab/>
      </w:r>
      <w:r w:rsidRPr="00495482">
        <w:rPr>
          <w:lang w:val="fr-FR" w:eastAsia="sl-SI"/>
        </w:rPr>
        <w:tab/>
        <w:t>Personnes</w:t>
      </w:r>
      <w:r w:rsidR="005D0F0F" w:rsidRPr="00495482">
        <w:rPr>
          <w:lang w:val="fr-FR" w:eastAsia="sl-SI"/>
        </w:rPr>
        <w:t>,</w:t>
      </w:r>
      <w:r w:rsidRPr="00495482">
        <w:rPr>
          <w:lang w:val="fr-FR" w:eastAsia="sl-SI"/>
        </w:rPr>
        <w:t xml:space="preserve"> qui</w:t>
      </w:r>
      <w:r w:rsidR="005D0F0F" w:rsidRPr="00495482">
        <w:rPr>
          <w:lang w:val="fr-FR" w:eastAsia="sl-SI"/>
        </w:rPr>
        <w:t>,</w:t>
      </w:r>
      <w:r w:rsidRPr="00495482">
        <w:rPr>
          <w:lang w:val="fr-FR" w:eastAsia="sl-SI"/>
        </w:rPr>
        <w:t xml:space="preserve"> après l</w:t>
      </w:r>
      <w:r w:rsidR="005D0F0F" w:rsidRPr="00495482">
        <w:rPr>
          <w:lang w:val="fr-FR" w:eastAsia="sl-SI"/>
        </w:rPr>
        <w:t>’</w:t>
      </w:r>
      <w:r w:rsidRPr="00495482">
        <w:rPr>
          <w:lang w:val="fr-FR" w:eastAsia="sl-SI"/>
        </w:rPr>
        <w:t>indépendance de la Slovénie</w:t>
      </w:r>
      <w:r w:rsidR="005D0F0F" w:rsidRPr="00495482">
        <w:rPr>
          <w:lang w:val="fr-FR" w:eastAsia="sl-SI"/>
        </w:rPr>
        <w:t>,</w:t>
      </w:r>
      <w:r w:rsidRPr="00495482">
        <w:rPr>
          <w:lang w:val="fr-FR" w:eastAsia="sl-SI"/>
        </w:rPr>
        <w:t xml:space="preserve"> ont été rayées du registre des résidents permanents de la République slovène </w:t>
      </w:r>
    </w:p>
    <w:p w:rsidR="00317603" w:rsidRPr="00495482" w:rsidRDefault="00317603" w:rsidP="0014499F">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 xml:space="preserve">32 des observations finales </w:t>
      </w:r>
    </w:p>
    <w:p w:rsidR="00317603" w:rsidRPr="00495482" w:rsidRDefault="00317603" w:rsidP="0014499F">
      <w:pPr>
        <w:pStyle w:val="SingleTxtG"/>
        <w:rPr>
          <w:lang w:val="fr-FR" w:eastAsia="sl-SI"/>
        </w:rPr>
      </w:pPr>
      <w:r w:rsidRPr="00495482">
        <w:rPr>
          <w:lang w:val="fr-FR" w:eastAsia="sl-SI"/>
        </w:rPr>
        <w:t>17.</w:t>
      </w:r>
      <w:r w:rsidRPr="00495482">
        <w:rPr>
          <w:lang w:val="fr-FR" w:eastAsia="sl-SI"/>
        </w:rPr>
        <w:tab/>
        <w:t>La République de Slovénie s</w:t>
      </w:r>
      <w:r w:rsidR="005D0F0F" w:rsidRPr="00495482">
        <w:rPr>
          <w:lang w:val="fr-FR" w:eastAsia="sl-SI"/>
        </w:rPr>
        <w:t>’</w:t>
      </w:r>
      <w:r w:rsidRPr="00495482">
        <w:rPr>
          <w:lang w:val="fr-FR" w:eastAsia="sl-SI"/>
        </w:rPr>
        <w:t xml:space="preserve">emploie à résoudre rapidement la question </w:t>
      </w:r>
      <w:r w:rsidR="00210F9A" w:rsidRPr="00495482">
        <w:rPr>
          <w:lang w:val="fr-FR" w:eastAsia="sl-SI"/>
        </w:rPr>
        <w:t>des personnes</w:t>
      </w:r>
      <w:r w:rsidRPr="00495482">
        <w:rPr>
          <w:lang w:val="fr-FR" w:eastAsia="sl-SI"/>
        </w:rPr>
        <w:t xml:space="preserve"> </w:t>
      </w:r>
      <w:r w:rsidR="00B82754" w:rsidRPr="00495482">
        <w:rPr>
          <w:lang w:val="fr-FR" w:eastAsia="sl-SI"/>
        </w:rPr>
        <w:t>«</w:t>
      </w:r>
      <w:r w:rsidRPr="00495482">
        <w:rPr>
          <w:lang w:val="fr-FR" w:eastAsia="sl-SI"/>
        </w:rPr>
        <w:t>effacées</w:t>
      </w:r>
      <w:r w:rsidR="00B82754" w:rsidRPr="00495482">
        <w:rPr>
          <w:lang w:val="fr-FR" w:eastAsia="sl-SI"/>
        </w:rPr>
        <w:t>»</w:t>
      </w:r>
      <w:r w:rsidRPr="00495482">
        <w:rPr>
          <w:lang w:val="fr-FR" w:eastAsia="sl-SI"/>
        </w:rPr>
        <w:t>. En s</w:t>
      </w:r>
      <w:r w:rsidR="005D0F0F" w:rsidRPr="00495482">
        <w:rPr>
          <w:lang w:val="fr-FR" w:eastAsia="sl-SI"/>
        </w:rPr>
        <w:t>’</w:t>
      </w:r>
      <w:r w:rsidRPr="00495482">
        <w:rPr>
          <w:lang w:val="fr-FR" w:eastAsia="sl-SI"/>
        </w:rPr>
        <w:t>appuyant sur un jugement de 2003 de la Cour constitutionnelle</w:t>
      </w:r>
      <w:r w:rsidR="005D0F0F" w:rsidRPr="00495482">
        <w:rPr>
          <w:lang w:val="fr-FR" w:eastAsia="sl-SI"/>
        </w:rPr>
        <w:t>,</w:t>
      </w:r>
      <w:r w:rsidRPr="00495482">
        <w:rPr>
          <w:lang w:val="fr-FR" w:eastAsia="sl-SI"/>
        </w:rPr>
        <w:t xml:space="preserve"> le Ministère de l</w:t>
      </w:r>
      <w:r w:rsidR="005D0F0F" w:rsidRPr="00495482">
        <w:rPr>
          <w:lang w:val="fr-FR" w:eastAsia="sl-SI"/>
        </w:rPr>
        <w:t>’</w:t>
      </w:r>
      <w:r w:rsidRPr="00495482">
        <w:rPr>
          <w:lang w:val="fr-FR" w:eastAsia="sl-SI"/>
        </w:rPr>
        <w:t xml:space="preserve">intérieur a adopté une décision complémentaire en faveur </w:t>
      </w:r>
      <w:r w:rsidR="00210F9A" w:rsidRPr="00495482">
        <w:rPr>
          <w:lang w:val="fr-FR" w:eastAsia="sl-SI"/>
        </w:rPr>
        <w:t>des personnes</w:t>
      </w:r>
      <w:r w:rsidRPr="00495482">
        <w:rPr>
          <w:lang w:val="fr-FR" w:eastAsia="sl-SI"/>
        </w:rPr>
        <w:t xml:space="preserve"> qui</w:t>
      </w:r>
      <w:r w:rsidR="005D0F0F" w:rsidRPr="00495482">
        <w:rPr>
          <w:lang w:val="fr-FR" w:eastAsia="sl-SI"/>
        </w:rPr>
        <w:t>,</w:t>
      </w:r>
      <w:r w:rsidRPr="00495482">
        <w:rPr>
          <w:lang w:val="fr-FR" w:eastAsia="sl-SI"/>
        </w:rPr>
        <w:t xml:space="preserve"> après leur radiation</w:t>
      </w:r>
      <w:r w:rsidR="005D0F0F" w:rsidRPr="00495482">
        <w:rPr>
          <w:lang w:val="fr-FR" w:eastAsia="sl-SI"/>
        </w:rPr>
        <w:t>,</w:t>
      </w:r>
      <w:r w:rsidR="003D1A4F" w:rsidRPr="00495482">
        <w:rPr>
          <w:lang w:val="fr-FR" w:eastAsia="sl-SI"/>
        </w:rPr>
        <w:t xml:space="preserve"> </w:t>
      </w:r>
      <w:r w:rsidRPr="00495482">
        <w:rPr>
          <w:lang w:val="fr-FR" w:eastAsia="sl-SI"/>
        </w:rPr>
        <w:t>ont obtenu un permis de résidence permanente en Slovénie</w:t>
      </w:r>
      <w:r w:rsidR="005D0F0F" w:rsidRPr="00495482">
        <w:rPr>
          <w:lang w:val="fr-FR" w:eastAsia="sl-SI"/>
        </w:rPr>
        <w:t>,</w:t>
      </w:r>
      <w:r w:rsidRPr="00495482">
        <w:rPr>
          <w:lang w:val="fr-FR" w:eastAsia="sl-SI"/>
        </w:rPr>
        <w:t xml:space="preserve"> décision qui reconnaît qu</w:t>
      </w:r>
      <w:r w:rsidR="005D0F0F" w:rsidRPr="00495482">
        <w:rPr>
          <w:lang w:val="fr-FR" w:eastAsia="sl-SI"/>
        </w:rPr>
        <w:t>’</w:t>
      </w:r>
      <w:r w:rsidRPr="00495482">
        <w:rPr>
          <w:lang w:val="fr-FR" w:eastAsia="sl-SI"/>
        </w:rPr>
        <w:t>elles détenaient ce permis et étaient enregistrées rétroactivement en tant que résidentes permanentes</w:t>
      </w:r>
      <w:r w:rsidR="005D0F0F" w:rsidRPr="00495482">
        <w:rPr>
          <w:lang w:val="fr-FR" w:eastAsia="sl-SI"/>
        </w:rPr>
        <w:t>,</w:t>
      </w:r>
      <w:r w:rsidRPr="00495482">
        <w:rPr>
          <w:lang w:val="fr-FR" w:eastAsia="sl-SI"/>
        </w:rPr>
        <w:t xml:space="preserve"> à savoir également pendant la période de leur </w:t>
      </w:r>
      <w:r w:rsidR="009D589F" w:rsidRPr="00495482">
        <w:rPr>
          <w:lang w:val="fr-FR" w:eastAsia="sl-SI"/>
        </w:rPr>
        <w:t>«</w:t>
      </w:r>
      <w:r w:rsidRPr="00495482">
        <w:rPr>
          <w:lang w:val="fr-FR" w:eastAsia="sl-SI"/>
        </w:rPr>
        <w:t>effacement</w:t>
      </w:r>
      <w:r w:rsidR="009D589F" w:rsidRPr="00495482">
        <w:rPr>
          <w:lang w:val="fr-FR" w:eastAsia="sl-SI"/>
        </w:rPr>
        <w:t>»</w:t>
      </w:r>
      <w:r w:rsidRPr="00495482">
        <w:rPr>
          <w:lang w:val="fr-FR" w:eastAsia="sl-SI"/>
        </w:rPr>
        <w:t xml:space="preserve"> du registre. Le ministère a en outre continué de délivrer dans des conditions simplifiées des permis de résidence permanente </w:t>
      </w:r>
      <w:r w:rsidR="0038572C">
        <w:rPr>
          <w:lang w:val="fr-FR" w:eastAsia="sl-SI"/>
        </w:rPr>
        <w:t>aux personnes</w:t>
      </w:r>
      <w:r w:rsidRPr="00495482">
        <w:rPr>
          <w:lang w:val="fr-FR" w:eastAsia="sl-SI"/>
        </w:rPr>
        <w:t xml:space="preserve"> </w:t>
      </w:r>
      <w:r w:rsidR="009D589F" w:rsidRPr="00495482">
        <w:rPr>
          <w:lang w:val="fr-FR" w:eastAsia="sl-SI"/>
        </w:rPr>
        <w:t>«</w:t>
      </w:r>
      <w:r w:rsidRPr="00495482">
        <w:rPr>
          <w:lang w:val="fr-FR" w:eastAsia="sl-SI"/>
        </w:rPr>
        <w:t>effacées</w:t>
      </w:r>
      <w:r w:rsidR="009D589F" w:rsidRPr="00495482">
        <w:rPr>
          <w:lang w:val="fr-FR" w:eastAsia="sl-SI"/>
        </w:rPr>
        <w:t>»</w:t>
      </w:r>
      <w:r w:rsidR="005D0F0F" w:rsidRPr="00495482">
        <w:rPr>
          <w:lang w:val="fr-FR" w:eastAsia="sl-SI"/>
        </w:rPr>
        <w:t>,</w:t>
      </w:r>
      <w:r w:rsidRPr="00495482">
        <w:rPr>
          <w:lang w:val="fr-FR" w:eastAsia="sl-SI"/>
        </w:rPr>
        <w:t xml:space="preserve"> en vertu d</w:t>
      </w:r>
      <w:r w:rsidR="005D0F0F" w:rsidRPr="00495482">
        <w:rPr>
          <w:lang w:val="fr-FR" w:eastAsia="sl-SI"/>
        </w:rPr>
        <w:t>’</w:t>
      </w:r>
      <w:r w:rsidRPr="00495482">
        <w:rPr>
          <w:lang w:val="fr-FR" w:eastAsia="sl-SI"/>
        </w:rPr>
        <w:t>une loi spéciale régissant le statut juridique des citoyens de l</w:t>
      </w:r>
      <w:r w:rsidR="005D0F0F" w:rsidRPr="00495482">
        <w:rPr>
          <w:lang w:val="fr-FR" w:eastAsia="sl-SI"/>
        </w:rPr>
        <w:t>’</w:t>
      </w:r>
      <w:r w:rsidRPr="00495482">
        <w:rPr>
          <w:lang w:val="fr-FR" w:eastAsia="sl-SI"/>
        </w:rPr>
        <w:t>ex-Yougoslavie vivant en République de Slovénie</w:t>
      </w:r>
      <w:r w:rsidR="005D0F0F" w:rsidRPr="00495482">
        <w:rPr>
          <w:lang w:val="fr-FR" w:eastAsia="sl-SI"/>
        </w:rPr>
        <w:t>,</w:t>
      </w:r>
      <w:r w:rsidRPr="00495482">
        <w:rPr>
          <w:lang w:val="fr-FR" w:eastAsia="sl-SI"/>
        </w:rPr>
        <w:t xml:space="preserve"> et il a préparé des modifications à la réglementation susmentionnée pour corriger les incohérences constatées en 2003 par la Cour constitutionnelle. </w:t>
      </w:r>
    </w:p>
    <w:p w:rsidR="00317603" w:rsidRPr="00495482" w:rsidRDefault="00317603" w:rsidP="0014499F">
      <w:pPr>
        <w:pStyle w:val="SingleTxtG"/>
        <w:rPr>
          <w:szCs w:val="22"/>
          <w:lang w:val="fr-FR" w:eastAsia="sl-SI"/>
        </w:rPr>
      </w:pPr>
      <w:r w:rsidRPr="00495482">
        <w:rPr>
          <w:lang w:val="fr-FR" w:eastAsia="sl-SI"/>
        </w:rPr>
        <w:t>18.</w:t>
      </w:r>
      <w:r w:rsidRPr="00495482">
        <w:rPr>
          <w:lang w:val="fr-FR" w:eastAsia="sl-SI"/>
        </w:rPr>
        <w:tab/>
        <w:t>Sur proposition du Gouvernement slovène</w:t>
      </w:r>
      <w:r w:rsidR="005D0F0F" w:rsidRPr="00495482">
        <w:rPr>
          <w:lang w:val="fr-FR" w:eastAsia="sl-SI"/>
        </w:rPr>
        <w:t>,</w:t>
      </w:r>
      <w:r w:rsidRPr="00495482">
        <w:rPr>
          <w:lang w:val="fr-FR" w:eastAsia="sl-SI"/>
        </w:rPr>
        <w:t xml:space="preserve"> le 8 mars 2010</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Assemblée nationale a</w:t>
      </w:r>
      <w:r w:rsidR="005D0F0F" w:rsidRPr="00495482">
        <w:rPr>
          <w:lang w:val="fr-FR" w:eastAsia="sl-SI"/>
        </w:rPr>
        <w:t>,</w:t>
      </w:r>
      <w:r w:rsidR="003D1A4F" w:rsidRPr="00495482">
        <w:rPr>
          <w:lang w:val="fr-FR" w:eastAsia="sl-SI"/>
        </w:rPr>
        <w:t xml:space="preserve"> </w:t>
      </w:r>
      <w:r w:rsidRPr="00495482">
        <w:rPr>
          <w:lang w:val="fr-FR" w:eastAsia="sl-SI"/>
        </w:rPr>
        <w:t>par une procédure législative succincte</w:t>
      </w:r>
      <w:r w:rsidR="005D0F0F" w:rsidRPr="00495482">
        <w:rPr>
          <w:lang w:val="fr-FR" w:eastAsia="sl-SI"/>
        </w:rPr>
        <w:t>,</w:t>
      </w:r>
      <w:r w:rsidRPr="00495482">
        <w:rPr>
          <w:lang w:val="fr-FR" w:eastAsia="sl-SI"/>
        </w:rPr>
        <w:t xml:space="preserve"> adopté la loi portant modification de la loi régissant le statut juridique des citoyens de l</w:t>
      </w:r>
      <w:r w:rsidR="005D0F0F" w:rsidRPr="00495482">
        <w:rPr>
          <w:lang w:val="fr-FR" w:eastAsia="sl-SI"/>
        </w:rPr>
        <w:t>’</w:t>
      </w:r>
      <w:r w:rsidRPr="00495482">
        <w:rPr>
          <w:lang w:val="fr-FR" w:eastAsia="sl-SI"/>
        </w:rPr>
        <w:t>ex-Yougoslavie vivant en République de Slovénie</w:t>
      </w:r>
      <w:r w:rsidRPr="00495482">
        <w:rPr>
          <w:rStyle w:val="FootnoteReference"/>
        </w:rPr>
        <w:footnoteReference w:id="15"/>
      </w:r>
      <w:r w:rsidRPr="00495482">
        <w:rPr>
          <w:lang w:val="fr-FR" w:eastAsia="sl-SI"/>
        </w:rPr>
        <w:t>. Suite au référendum législatif demandé</w:t>
      </w:r>
      <w:r w:rsidR="005D0F0F" w:rsidRPr="00495482">
        <w:rPr>
          <w:lang w:val="fr-FR" w:eastAsia="sl-SI"/>
        </w:rPr>
        <w:t>,</w:t>
      </w:r>
      <w:r w:rsidRPr="00495482">
        <w:rPr>
          <w:lang w:val="fr-FR" w:eastAsia="sl-SI"/>
        </w:rPr>
        <w:t xml:space="preserve"> à l</w:t>
      </w:r>
      <w:r w:rsidR="005D0F0F" w:rsidRPr="00495482">
        <w:rPr>
          <w:lang w:val="fr-FR" w:eastAsia="sl-SI"/>
        </w:rPr>
        <w:t>’</w:t>
      </w:r>
      <w:r w:rsidRPr="00495482">
        <w:rPr>
          <w:lang w:val="fr-FR" w:eastAsia="sl-SI"/>
        </w:rPr>
        <w:t>initiative de l</w:t>
      </w:r>
      <w:r w:rsidR="005D0F0F" w:rsidRPr="00495482">
        <w:rPr>
          <w:lang w:val="fr-FR" w:eastAsia="sl-SI"/>
        </w:rPr>
        <w:t>’</w:t>
      </w:r>
      <w:r w:rsidRPr="00495482">
        <w:rPr>
          <w:lang w:val="fr-FR" w:eastAsia="sl-SI"/>
        </w:rPr>
        <w:t>Assemblée nationale</w:t>
      </w:r>
      <w:r w:rsidR="005D0F0F" w:rsidRPr="00495482">
        <w:rPr>
          <w:lang w:val="fr-FR" w:eastAsia="sl-SI"/>
        </w:rPr>
        <w:t>,</w:t>
      </w:r>
      <w:r w:rsidRPr="00495482">
        <w:rPr>
          <w:lang w:val="fr-FR" w:eastAsia="sl-SI"/>
        </w:rPr>
        <w:t xml:space="preserve"> la Cour constitutionnelle slovène a jugé dans sa décision </w:t>
      </w:r>
      <w:r w:rsidR="00EB1CF6">
        <w:rPr>
          <w:szCs w:val="18"/>
        </w:rPr>
        <w:t>n</w:t>
      </w:r>
      <w:r w:rsidR="00EB1CF6" w:rsidRPr="001B12ED">
        <w:rPr>
          <w:szCs w:val="18"/>
          <w:vertAlign w:val="superscript"/>
          <w:lang w:val="fr-FR"/>
        </w:rPr>
        <w:t>o</w:t>
      </w:r>
      <w:r w:rsidR="00EB1CF6">
        <w:rPr>
          <w:szCs w:val="18"/>
        </w:rPr>
        <w:t> </w:t>
      </w:r>
      <w:r w:rsidRPr="00495482">
        <w:rPr>
          <w:lang w:val="fr-FR" w:eastAsia="sl-SI"/>
        </w:rPr>
        <w:t>U-II-1/10-19 du 10 juin 2010 (</w:t>
      </w:r>
      <w:r w:rsidRPr="00495482">
        <w:rPr>
          <w:i/>
          <w:lang w:val="fr-FR" w:eastAsia="sl-SI"/>
        </w:rPr>
        <w:t>Journal officiel de la République de Slovénie</w:t>
      </w:r>
      <w:r w:rsidR="005D0F0F" w:rsidRPr="00495482">
        <w:rPr>
          <w:lang w:val="fr-FR" w:eastAsia="sl-SI"/>
        </w:rPr>
        <w:t>,</w:t>
      </w:r>
      <w:r w:rsidRPr="00495482">
        <w:rPr>
          <w:lang w:val="fr-FR" w:eastAsia="sl-SI"/>
        </w:rPr>
        <w:t xml:space="preserve"> </w:t>
      </w:r>
      <w:r w:rsidR="00EB1CF6">
        <w:rPr>
          <w:szCs w:val="18"/>
        </w:rPr>
        <w:t>n</w:t>
      </w:r>
      <w:r w:rsidR="00EB1CF6" w:rsidRPr="001B12ED">
        <w:rPr>
          <w:szCs w:val="18"/>
          <w:vertAlign w:val="superscript"/>
          <w:lang w:val="fr-FR"/>
        </w:rPr>
        <w:t>o</w:t>
      </w:r>
      <w:r w:rsidR="00EB1CF6">
        <w:rPr>
          <w:szCs w:val="18"/>
        </w:rPr>
        <w:t> </w:t>
      </w:r>
      <w:r w:rsidRPr="00495482">
        <w:rPr>
          <w:lang w:val="fr-FR" w:eastAsia="sl-SI"/>
        </w:rPr>
        <w:t>50/10) qu</w:t>
      </w:r>
      <w:r w:rsidR="005D0F0F" w:rsidRPr="00495482">
        <w:rPr>
          <w:lang w:val="fr-FR" w:eastAsia="sl-SI"/>
        </w:rPr>
        <w:t>’</w:t>
      </w:r>
      <w:r w:rsidRPr="00495482">
        <w:rPr>
          <w:lang w:val="fr-FR" w:eastAsia="sl-SI"/>
        </w:rPr>
        <w:t xml:space="preserve">un tel référendum pourrait avoir des conséquences anticonstitutionnelles. </w:t>
      </w:r>
    </w:p>
    <w:p w:rsidR="00317603" w:rsidRPr="00495482" w:rsidRDefault="00317603" w:rsidP="0014499F">
      <w:pPr>
        <w:pStyle w:val="SingleTxtG"/>
        <w:rPr>
          <w:lang w:val="fr-FR" w:eastAsia="sl-SI"/>
        </w:rPr>
      </w:pPr>
      <w:r w:rsidRPr="00495482">
        <w:rPr>
          <w:lang w:val="fr-FR" w:eastAsia="sl-SI"/>
        </w:rPr>
        <w:t>19.</w:t>
      </w:r>
      <w:r w:rsidRPr="00495482">
        <w:rPr>
          <w:lang w:val="fr-FR" w:eastAsia="sl-SI"/>
        </w:rPr>
        <w:tab/>
        <w:t>Dans cette même décision</w:t>
      </w:r>
      <w:r w:rsidR="005D0F0F" w:rsidRPr="00495482">
        <w:rPr>
          <w:lang w:val="fr-FR" w:eastAsia="sl-SI"/>
        </w:rPr>
        <w:t>,</w:t>
      </w:r>
      <w:r w:rsidRPr="00495482">
        <w:rPr>
          <w:lang w:val="fr-FR" w:eastAsia="sl-SI"/>
        </w:rPr>
        <w:t xml:space="preserve"> la Cour constitutionnelle slovène</w:t>
      </w:r>
      <w:r w:rsidRPr="00495482">
        <w:rPr>
          <w:rStyle w:val="FootnoteReference"/>
        </w:rPr>
        <w:footnoteReference w:id="16"/>
      </w:r>
      <w:r w:rsidRPr="00495482">
        <w:rPr>
          <w:lang w:val="fr-FR" w:eastAsia="sl-SI"/>
        </w:rPr>
        <w:t xml:space="preserve"> a jugé que la loi portant modification de la loi régissant le statut juridique des citoyens de l</w:t>
      </w:r>
      <w:r w:rsidR="005D0F0F" w:rsidRPr="00495482">
        <w:rPr>
          <w:lang w:val="fr-FR" w:eastAsia="sl-SI"/>
        </w:rPr>
        <w:t>’</w:t>
      </w:r>
      <w:r w:rsidRPr="00495482">
        <w:rPr>
          <w:lang w:val="fr-FR" w:eastAsia="sl-SI"/>
        </w:rPr>
        <w:t>ex-Yougoslavie vivant en République de Slovénie avait corrigé d</w:t>
      </w:r>
      <w:r w:rsidR="005D0F0F" w:rsidRPr="00495482">
        <w:rPr>
          <w:lang w:val="fr-FR" w:eastAsia="sl-SI"/>
        </w:rPr>
        <w:t>’</w:t>
      </w:r>
      <w:r w:rsidRPr="00495482">
        <w:rPr>
          <w:lang w:val="fr-FR" w:eastAsia="sl-SI"/>
        </w:rPr>
        <w:t xml:space="preserve">une manière compatible avec la Constitution les incohérences anticonstitutionnelles constatées par la décision de la Cour constitutionnelle </w:t>
      </w:r>
      <w:r w:rsidR="00EB1CF6">
        <w:rPr>
          <w:szCs w:val="18"/>
        </w:rPr>
        <w:t>n</w:t>
      </w:r>
      <w:r w:rsidR="00EB1CF6" w:rsidRPr="001B12ED">
        <w:rPr>
          <w:szCs w:val="18"/>
          <w:vertAlign w:val="superscript"/>
          <w:lang w:val="fr-FR"/>
        </w:rPr>
        <w:t>o</w:t>
      </w:r>
      <w:r w:rsidR="00EB1CF6">
        <w:rPr>
          <w:szCs w:val="18"/>
        </w:rPr>
        <w:t> </w:t>
      </w:r>
      <w:r w:rsidRPr="00495482">
        <w:rPr>
          <w:lang w:val="fr-FR" w:eastAsia="sl-SI"/>
        </w:rPr>
        <w:t>U-I-246/02-28 du 3 avril 2003</w:t>
      </w:r>
      <w:r w:rsidR="005D0F0F" w:rsidRPr="00495482">
        <w:rPr>
          <w:lang w:val="fr-FR" w:eastAsia="sl-SI"/>
        </w:rPr>
        <w:t>,</w:t>
      </w:r>
      <w:r w:rsidRPr="00495482">
        <w:rPr>
          <w:lang w:val="fr-FR" w:eastAsia="sl-SI"/>
        </w:rPr>
        <w:t xml:space="preserve"> et que les autres</w:t>
      </w:r>
      <w:r w:rsidR="00EB1CF6">
        <w:rPr>
          <w:lang w:val="fr-FR" w:eastAsia="sl-SI"/>
        </w:rPr>
        <w:t xml:space="preserve"> </w:t>
      </w:r>
      <w:r w:rsidR="002D2E66" w:rsidRPr="00495482">
        <w:rPr>
          <w:lang w:val="fr-FR" w:eastAsia="sl-SI"/>
        </w:rPr>
        <w:t>points</w:t>
      </w:r>
      <w:r w:rsidRPr="00495482">
        <w:rPr>
          <w:lang w:val="fr-FR" w:eastAsia="sl-SI"/>
        </w:rPr>
        <w:t xml:space="preserve"> (concernant le statut des enfants </w:t>
      </w:r>
      <w:r w:rsidR="00210F9A" w:rsidRPr="00495482">
        <w:rPr>
          <w:lang w:val="fr-FR" w:eastAsia="sl-SI"/>
        </w:rPr>
        <w:t>des personnes</w:t>
      </w:r>
      <w:r w:rsidRPr="00495482">
        <w:rPr>
          <w:lang w:val="fr-FR" w:eastAsia="sl-SI"/>
        </w:rPr>
        <w:t xml:space="preserve"> rayées des registres</w:t>
      </w:r>
      <w:r w:rsidR="005D0F0F" w:rsidRPr="00495482">
        <w:rPr>
          <w:lang w:val="fr-FR" w:eastAsia="sl-SI"/>
        </w:rPr>
        <w:t>,</w:t>
      </w:r>
      <w:r w:rsidRPr="00495482">
        <w:rPr>
          <w:lang w:val="fr-FR" w:eastAsia="sl-SI"/>
        </w:rPr>
        <w:t xml:space="preserve"> et la réglementation rétroactive du statut des citoyens slovènes qui</w:t>
      </w:r>
      <w:r w:rsidR="005D0F0F" w:rsidRPr="00495482">
        <w:rPr>
          <w:lang w:val="fr-FR" w:eastAsia="sl-SI"/>
        </w:rPr>
        <w:t>,</w:t>
      </w:r>
      <w:r w:rsidRPr="00495482">
        <w:rPr>
          <w:lang w:val="fr-FR" w:eastAsia="sl-SI"/>
        </w:rPr>
        <w:t xml:space="preserve"> lors de leur radiation</w:t>
      </w:r>
      <w:r w:rsidR="005D0F0F" w:rsidRPr="00495482">
        <w:rPr>
          <w:lang w:val="fr-FR" w:eastAsia="sl-SI"/>
        </w:rPr>
        <w:t>,</w:t>
      </w:r>
      <w:r w:rsidRPr="00495482">
        <w:rPr>
          <w:lang w:val="fr-FR" w:eastAsia="sl-SI"/>
        </w:rPr>
        <w:t xml:space="preserve"> étaient citoyens d</w:t>
      </w:r>
      <w:r w:rsidR="005D0F0F" w:rsidRPr="00495482">
        <w:rPr>
          <w:lang w:val="fr-FR" w:eastAsia="sl-SI"/>
        </w:rPr>
        <w:t>’</w:t>
      </w:r>
      <w:r w:rsidRPr="00495482">
        <w:rPr>
          <w:lang w:val="fr-FR" w:eastAsia="sl-SI"/>
        </w:rPr>
        <w:t>autres républiques de l</w:t>
      </w:r>
      <w:r w:rsidR="005D0F0F" w:rsidRPr="00495482">
        <w:rPr>
          <w:lang w:val="fr-FR" w:eastAsia="sl-SI"/>
        </w:rPr>
        <w:t>’</w:t>
      </w:r>
      <w:r w:rsidRPr="00495482">
        <w:rPr>
          <w:lang w:val="fr-FR" w:eastAsia="sl-SI"/>
        </w:rPr>
        <w:t>ex-Yougoslavie</w:t>
      </w:r>
      <w:r w:rsidR="005D0F0F" w:rsidRPr="00495482">
        <w:rPr>
          <w:lang w:val="fr-FR" w:eastAsia="sl-SI"/>
        </w:rPr>
        <w:t>,</w:t>
      </w:r>
      <w:r w:rsidRPr="00495482">
        <w:rPr>
          <w:lang w:val="fr-FR" w:eastAsia="sl-SI"/>
        </w:rPr>
        <w:t xml:space="preserve"> et qui s</w:t>
      </w:r>
      <w:r w:rsidR="005D0F0F" w:rsidRPr="00495482">
        <w:rPr>
          <w:lang w:val="fr-FR" w:eastAsia="sl-SI"/>
        </w:rPr>
        <w:t>’</w:t>
      </w:r>
      <w:r w:rsidRPr="00495482">
        <w:rPr>
          <w:lang w:val="fr-FR" w:eastAsia="sl-SI"/>
        </w:rPr>
        <w:t>étaient vu ensuite</w:t>
      </w:r>
      <w:r w:rsidR="003D1A4F" w:rsidRPr="00495482">
        <w:rPr>
          <w:lang w:val="fr-FR" w:eastAsia="sl-SI"/>
        </w:rPr>
        <w:t xml:space="preserve"> </w:t>
      </w:r>
      <w:r w:rsidRPr="00495482">
        <w:rPr>
          <w:lang w:val="fr-FR" w:eastAsia="sl-SI"/>
        </w:rPr>
        <w:t>accorder la citoyenneté slovène)</w:t>
      </w:r>
      <w:r w:rsidR="005D0F0F" w:rsidRPr="00495482">
        <w:rPr>
          <w:lang w:val="fr-FR" w:eastAsia="sl-SI"/>
        </w:rPr>
        <w:t>,</w:t>
      </w:r>
      <w:r w:rsidRPr="00495482">
        <w:rPr>
          <w:lang w:val="fr-FR" w:eastAsia="sl-SI"/>
        </w:rPr>
        <w:t xml:space="preserve"> sont indissociables de la correction de l</w:t>
      </w:r>
      <w:r w:rsidR="005D0F0F" w:rsidRPr="00495482">
        <w:rPr>
          <w:lang w:val="fr-FR" w:eastAsia="sl-SI"/>
        </w:rPr>
        <w:t>’</w:t>
      </w:r>
      <w:r w:rsidRPr="00495482">
        <w:rPr>
          <w:lang w:val="fr-FR" w:eastAsia="sl-SI"/>
        </w:rPr>
        <w:t>inconstitutionnalité et donc justement régis.</w:t>
      </w:r>
      <w:r w:rsidR="003D1A4F" w:rsidRPr="00495482">
        <w:rPr>
          <w:lang w:val="fr-FR" w:eastAsia="sl-SI"/>
        </w:rPr>
        <w:t xml:space="preserve"> </w:t>
      </w:r>
      <w:r w:rsidRPr="00495482">
        <w:rPr>
          <w:lang w:val="fr-FR" w:eastAsia="sl-SI"/>
        </w:rPr>
        <w:t>La Cour constitutionnelle estime également en vertu de la loi susmentionnée</w:t>
      </w:r>
      <w:r w:rsidR="005D0F0F" w:rsidRPr="00495482">
        <w:rPr>
          <w:lang w:val="fr-FR" w:eastAsia="sl-SI"/>
        </w:rPr>
        <w:t>,</w:t>
      </w:r>
      <w:r w:rsidRPr="00495482">
        <w:rPr>
          <w:lang w:val="fr-FR" w:eastAsia="sl-SI"/>
        </w:rPr>
        <w:t xml:space="preserve"> qu</w:t>
      </w:r>
      <w:r w:rsidR="005D0F0F" w:rsidRPr="00495482">
        <w:rPr>
          <w:lang w:val="fr-FR" w:eastAsia="sl-SI"/>
        </w:rPr>
        <w:t>’</w:t>
      </w:r>
      <w:r w:rsidRPr="00495482">
        <w:rPr>
          <w:lang w:val="fr-FR" w:eastAsia="sl-SI"/>
        </w:rPr>
        <w:t>il sera en définitive possible de réglementer le statut juridique des citoyens des autres républiques de l</w:t>
      </w:r>
      <w:r w:rsidR="005D0F0F" w:rsidRPr="00495482">
        <w:rPr>
          <w:lang w:val="fr-FR" w:eastAsia="sl-SI"/>
        </w:rPr>
        <w:t>’</w:t>
      </w:r>
      <w:r w:rsidRPr="00495482">
        <w:rPr>
          <w:lang w:val="fr-FR" w:eastAsia="sl-SI"/>
        </w:rPr>
        <w:t>ex-Yougoslavie qui ont été radiés des registres de résidents permanents</w:t>
      </w:r>
      <w:r w:rsidR="005D0F0F" w:rsidRPr="00495482">
        <w:rPr>
          <w:lang w:val="fr-FR" w:eastAsia="sl-SI"/>
        </w:rPr>
        <w:t>,</w:t>
      </w:r>
      <w:r w:rsidRPr="00495482">
        <w:rPr>
          <w:lang w:val="fr-FR" w:eastAsia="sl-SI"/>
        </w:rPr>
        <w:t xml:space="preserve"> si cela n</w:t>
      </w:r>
      <w:r w:rsidR="005D0F0F" w:rsidRPr="00495482">
        <w:rPr>
          <w:lang w:val="fr-FR" w:eastAsia="sl-SI"/>
        </w:rPr>
        <w:t>’</w:t>
      </w:r>
      <w:r w:rsidRPr="00495482">
        <w:rPr>
          <w:lang w:val="fr-FR" w:eastAsia="sl-SI"/>
        </w:rPr>
        <w:t xml:space="preserve">a pas encore été fait. </w:t>
      </w:r>
    </w:p>
    <w:p w:rsidR="00317603" w:rsidRPr="00495482" w:rsidRDefault="00317603" w:rsidP="0014499F">
      <w:pPr>
        <w:pStyle w:val="SingleTxtG"/>
        <w:rPr>
          <w:lang w:val="fr-FR"/>
        </w:rPr>
      </w:pPr>
      <w:r w:rsidRPr="00495482">
        <w:rPr>
          <w:lang w:val="fr-FR"/>
        </w:rPr>
        <w:t>20.</w:t>
      </w:r>
      <w:r w:rsidRPr="00495482">
        <w:rPr>
          <w:lang w:val="fr-FR"/>
        </w:rPr>
        <w:tab/>
        <w:t>Suite à la décision de la Cour constitutionnelle</w:t>
      </w:r>
      <w:r w:rsidR="005D0F0F" w:rsidRPr="00495482">
        <w:rPr>
          <w:lang w:val="fr-FR"/>
        </w:rPr>
        <w:t>,</w:t>
      </w:r>
      <w:r w:rsidRPr="00495482">
        <w:rPr>
          <w:lang w:val="fr-FR"/>
        </w:rPr>
        <w:t xml:space="preserve"> la loi portant modification de la loi régissant le statut juridique des citoyens de l</w:t>
      </w:r>
      <w:r w:rsidR="005D0F0F" w:rsidRPr="00495482">
        <w:rPr>
          <w:lang w:val="fr-FR"/>
        </w:rPr>
        <w:t>’</w:t>
      </w:r>
      <w:r w:rsidRPr="00495482">
        <w:rPr>
          <w:lang w:val="fr-FR"/>
        </w:rPr>
        <w:t>ex-Yougoslavie vivant en République de Slovénie</w:t>
      </w:r>
      <w:r w:rsidR="003D1A4F" w:rsidRPr="00495482">
        <w:rPr>
          <w:lang w:val="fr-FR"/>
        </w:rPr>
        <w:t xml:space="preserve"> </w:t>
      </w:r>
      <w:r w:rsidRPr="00495482">
        <w:rPr>
          <w:lang w:val="fr-FR"/>
        </w:rPr>
        <w:t xml:space="preserve">a été publiée dans le </w:t>
      </w:r>
      <w:r w:rsidRPr="00495482">
        <w:rPr>
          <w:i/>
          <w:lang w:val="fr-FR"/>
        </w:rPr>
        <w:t>Journal officiel de la République de Slovénie</w:t>
      </w:r>
      <w:r w:rsidR="005D0F0F" w:rsidRPr="00495482">
        <w:rPr>
          <w:lang w:val="fr-FR"/>
        </w:rPr>
        <w:t>,</w:t>
      </w:r>
      <w:r w:rsidR="00C64EBF">
        <w:rPr>
          <w:lang w:val="fr-FR"/>
        </w:rPr>
        <w:t xml:space="preserve"> </w:t>
      </w:r>
      <w:r w:rsidR="00EB1CF6">
        <w:rPr>
          <w:szCs w:val="18"/>
        </w:rPr>
        <w:t>n</w:t>
      </w:r>
      <w:r w:rsidR="00EB1CF6" w:rsidRPr="001B12ED">
        <w:rPr>
          <w:szCs w:val="18"/>
          <w:vertAlign w:val="superscript"/>
          <w:lang w:val="fr-FR"/>
        </w:rPr>
        <w:t>o</w:t>
      </w:r>
      <w:r w:rsidR="00EB1CF6">
        <w:rPr>
          <w:szCs w:val="18"/>
        </w:rPr>
        <w:t> </w:t>
      </w:r>
      <w:r w:rsidR="00C64EBF">
        <w:rPr>
          <w:lang w:val="fr-FR"/>
        </w:rPr>
        <w:t>50 du 24 </w:t>
      </w:r>
      <w:r w:rsidRPr="00495482">
        <w:rPr>
          <w:lang w:val="fr-FR"/>
        </w:rPr>
        <w:t>juin 2010</w:t>
      </w:r>
      <w:r w:rsidR="005D0F0F" w:rsidRPr="00495482">
        <w:rPr>
          <w:lang w:val="fr-FR"/>
        </w:rPr>
        <w:t>,</w:t>
      </w:r>
      <w:r w:rsidRPr="00495482">
        <w:rPr>
          <w:lang w:val="fr-FR"/>
        </w:rPr>
        <w:t xml:space="preserve"> et elle est entrée en vigueur le 24 juillet 2010. </w:t>
      </w:r>
    </w:p>
    <w:p w:rsidR="00317603" w:rsidRPr="00495482" w:rsidRDefault="00317603" w:rsidP="0014499F">
      <w:pPr>
        <w:pStyle w:val="SingleTxtG"/>
        <w:rPr>
          <w:lang w:val="fr-FR" w:eastAsia="sl-SI"/>
        </w:rPr>
      </w:pPr>
      <w:r w:rsidRPr="00495482">
        <w:rPr>
          <w:lang w:val="fr-FR" w:eastAsia="sl-SI"/>
        </w:rPr>
        <w:t>21.</w:t>
      </w:r>
      <w:r w:rsidRPr="00495482">
        <w:rPr>
          <w:lang w:val="fr-FR" w:eastAsia="sl-SI"/>
        </w:rPr>
        <w:tab/>
        <w:t>S</w:t>
      </w:r>
      <w:r w:rsidR="005D0F0F" w:rsidRPr="00495482">
        <w:rPr>
          <w:lang w:val="fr-FR" w:eastAsia="sl-SI"/>
        </w:rPr>
        <w:t>’</w:t>
      </w:r>
      <w:r w:rsidRPr="00495482">
        <w:rPr>
          <w:lang w:val="fr-FR" w:eastAsia="sl-SI"/>
        </w:rPr>
        <w:t>agissant du droit à l</w:t>
      </w:r>
      <w:r w:rsidR="005D0F0F" w:rsidRPr="00495482">
        <w:rPr>
          <w:lang w:val="fr-FR" w:eastAsia="sl-SI"/>
        </w:rPr>
        <w:t>’</w:t>
      </w:r>
      <w:r w:rsidRPr="00495482">
        <w:rPr>
          <w:lang w:val="fr-FR" w:eastAsia="sl-SI"/>
        </w:rPr>
        <w:t>éducation</w:t>
      </w:r>
      <w:r w:rsidR="005D0F0F" w:rsidRPr="00495482">
        <w:rPr>
          <w:lang w:val="fr-FR" w:eastAsia="sl-SI"/>
        </w:rPr>
        <w:t>,</w:t>
      </w:r>
      <w:r w:rsidRPr="00495482">
        <w:rPr>
          <w:lang w:val="fr-FR" w:eastAsia="sl-SI"/>
        </w:rPr>
        <w:t xml:space="preserve"> il convient de préciser que l</w:t>
      </w:r>
      <w:r w:rsidR="005D0F0F" w:rsidRPr="00495482">
        <w:rPr>
          <w:lang w:val="fr-FR" w:eastAsia="sl-SI"/>
        </w:rPr>
        <w:t>’</w:t>
      </w:r>
      <w:r w:rsidRPr="00495482">
        <w:rPr>
          <w:lang w:val="fr-FR" w:eastAsia="sl-SI"/>
        </w:rPr>
        <w:t>État doit assurer à chacun l</w:t>
      </w:r>
      <w:r w:rsidR="005D0F0F" w:rsidRPr="00495482">
        <w:rPr>
          <w:lang w:val="fr-FR" w:eastAsia="sl-SI"/>
        </w:rPr>
        <w:t>’</w:t>
      </w:r>
      <w:r w:rsidRPr="00495482">
        <w:rPr>
          <w:lang w:val="fr-FR" w:eastAsia="sl-SI"/>
        </w:rPr>
        <w:t>enseignement primaire gratuit. Les établissements de l</w:t>
      </w:r>
      <w:r w:rsidR="005D0F0F" w:rsidRPr="00495482">
        <w:rPr>
          <w:lang w:val="fr-FR" w:eastAsia="sl-SI"/>
        </w:rPr>
        <w:t>’</w:t>
      </w:r>
      <w:r w:rsidRPr="00495482">
        <w:rPr>
          <w:lang w:val="fr-FR" w:eastAsia="sl-SI"/>
        </w:rPr>
        <w:t>enseignement secondaire en Slovénie agissent toujours dans l</w:t>
      </w:r>
      <w:r w:rsidR="005D0F0F" w:rsidRPr="00495482">
        <w:rPr>
          <w:lang w:val="fr-FR" w:eastAsia="sl-SI"/>
        </w:rPr>
        <w:t>’</w:t>
      </w:r>
      <w:r w:rsidRPr="00495482">
        <w:rPr>
          <w:lang w:val="fr-FR" w:eastAsia="sl-SI"/>
        </w:rPr>
        <w:t>intérêt des élèves et tous ceux qui le souhaitent peuvent s</w:t>
      </w:r>
      <w:r w:rsidR="005D0F0F" w:rsidRPr="00495482">
        <w:rPr>
          <w:lang w:val="fr-FR" w:eastAsia="sl-SI"/>
        </w:rPr>
        <w:t>’</w:t>
      </w:r>
      <w:r w:rsidRPr="00495482">
        <w:rPr>
          <w:lang w:val="fr-FR" w:eastAsia="sl-SI"/>
        </w:rPr>
        <w:t>y inscrire. L</w:t>
      </w:r>
      <w:r w:rsidR="005D0F0F" w:rsidRPr="00495482">
        <w:rPr>
          <w:lang w:val="fr-FR" w:eastAsia="sl-SI"/>
        </w:rPr>
        <w:t>’</w:t>
      </w:r>
      <w:r w:rsidRPr="00495482">
        <w:rPr>
          <w:lang w:val="fr-FR" w:eastAsia="sl-SI"/>
        </w:rPr>
        <w:t xml:space="preserve">inscription des élèves étrangers est gratuite si leurs parents sont des contribuables de la République slovène. </w:t>
      </w:r>
    </w:p>
    <w:p w:rsidR="00317603" w:rsidRPr="00495482" w:rsidRDefault="00317603" w:rsidP="0014499F">
      <w:pPr>
        <w:pStyle w:val="SingleTxtG"/>
        <w:rPr>
          <w:lang w:val="fr-FR" w:eastAsia="sl-SI"/>
        </w:rPr>
      </w:pPr>
      <w:r w:rsidRPr="00495482">
        <w:rPr>
          <w:lang w:val="fr-FR" w:eastAsia="sl-SI"/>
        </w:rPr>
        <w:t>22.</w:t>
      </w:r>
      <w:r w:rsidRPr="00495482">
        <w:rPr>
          <w:lang w:val="fr-FR" w:eastAsia="sl-SI"/>
        </w:rPr>
        <w:tab/>
        <w:t>En Slovénie</w:t>
      </w:r>
      <w:r w:rsidR="005D0F0F" w:rsidRPr="00495482">
        <w:rPr>
          <w:lang w:val="fr-FR" w:eastAsia="sl-SI"/>
        </w:rPr>
        <w:t>,</w:t>
      </w:r>
      <w:r w:rsidRPr="00495482">
        <w:rPr>
          <w:lang w:val="fr-FR" w:eastAsia="sl-SI"/>
        </w:rPr>
        <w:t xml:space="preserve"> la Constitution et la loi sur les soins de santé et l</w:t>
      </w:r>
      <w:r w:rsidR="005D0F0F" w:rsidRPr="00495482">
        <w:rPr>
          <w:lang w:val="fr-FR" w:eastAsia="sl-SI"/>
        </w:rPr>
        <w:t>’</w:t>
      </w:r>
      <w:r w:rsidRPr="00495482">
        <w:rPr>
          <w:lang w:val="fr-FR" w:eastAsia="sl-SI"/>
        </w:rPr>
        <w:t>assurance maladie</w:t>
      </w:r>
      <w:r w:rsidRPr="00495482">
        <w:rPr>
          <w:rStyle w:val="FootnoteReference"/>
        </w:rPr>
        <w:footnoteReference w:id="17"/>
      </w:r>
      <w:r w:rsidR="00813156" w:rsidRPr="00495482">
        <w:rPr>
          <w:lang w:val="fr-FR" w:eastAsia="sl-SI"/>
        </w:rPr>
        <w:t>,</w:t>
      </w:r>
      <w:r w:rsidRPr="00495482">
        <w:rPr>
          <w:lang w:val="fr-FR" w:eastAsia="sl-SI"/>
        </w:rPr>
        <w:t xml:space="preserve"> garantissent l</w:t>
      </w:r>
      <w:r w:rsidR="005D0F0F" w:rsidRPr="00495482">
        <w:rPr>
          <w:lang w:val="fr-FR" w:eastAsia="sl-SI"/>
        </w:rPr>
        <w:t>’</w:t>
      </w:r>
      <w:r w:rsidRPr="00495482">
        <w:rPr>
          <w:lang w:val="fr-FR" w:eastAsia="sl-SI"/>
        </w:rPr>
        <w:t xml:space="preserve">accès aux soins de santé. En vertu du quatorzième alinéa du premier </w:t>
      </w:r>
      <w:r w:rsidR="00855472">
        <w:rPr>
          <w:lang w:val="fr-FR" w:eastAsia="sl-SI"/>
        </w:rPr>
        <w:t>paragraphe de</w:t>
      </w:r>
      <w:r w:rsidRPr="00495482">
        <w:rPr>
          <w:lang w:val="fr-FR" w:eastAsia="sl-SI"/>
        </w:rPr>
        <w:t xml:space="preserve"> </w:t>
      </w:r>
      <w:r w:rsidR="00657B60" w:rsidRPr="00495482">
        <w:rPr>
          <w:lang w:val="fr-FR" w:eastAsia="sl-SI"/>
        </w:rPr>
        <w:t>l’</w:t>
      </w:r>
      <w:r w:rsidR="003C4F70">
        <w:rPr>
          <w:lang w:val="fr-FR" w:eastAsia="sl-SI"/>
        </w:rPr>
        <w:t>article </w:t>
      </w:r>
      <w:r w:rsidRPr="00495482">
        <w:rPr>
          <w:lang w:val="fr-FR" w:eastAsia="sl-SI"/>
        </w:rPr>
        <w:t>7 de la loi susmentionnée</w:t>
      </w:r>
      <w:r w:rsidR="005D0F0F" w:rsidRPr="00495482">
        <w:rPr>
          <w:lang w:val="fr-FR" w:eastAsia="sl-SI"/>
        </w:rPr>
        <w:t>,</w:t>
      </w:r>
      <w:r w:rsidRPr="00495482">
        <w:rPr>
          <w:lang w:val="fr-FR" w:eastAsia="sl-SI"/>
        </w:rPr>
        <w:t xml:space="preserve"> la République de Slovénie dispose de fonds publics alloués au traitement urgent </w:t>
      </w:r>
      <w:r w:rsidR="00210F9A" w:rsidRPr="00495482">
        <w:rPr>
          <w:lang w:val="fr-FR" w:eastAsia="sl-SI"/>
        </w:rPr>
        <w:t>des personnes</w:t>
      </w:r>
      <w:r w:rsidRPr="00495482">
        <w:rPr>
          <w:lang w:val="fr-FR" w:eastAsia="sl-SI"/>
        </w:rPr>
        <w:t xml:space="preserve"> sans résidence</w:t>
      </w:r>
      <w:r w:rsidR="005D0F0F" w:rsidRPr="00495482">
        <w:rPr>
          <w:lang w:val="fr-FR" w:eastAsia="sl-SI"/>
        </w:rPr>
        <w:t>,</w:t>
      </w:r>
      <w:r w:rsidRPr="00495482">
        <w:rPr>
          <w:lang w:val="fr-FR" w:eastAsia="sl-SI"/>
        </w:rPr>
        <w:t xml:space="preserve"> des étrangers issus de pays avec lesquels aucun traité international n</w:t>
      </w:r>
      <w:r w:rsidR="005D0F0F" w:rsidRPr="00495482">
        <w:rPr>
          <w:lang w:val="fr-FR" w:eastAsia="sl-SI"/>
        </w:rPr>
        <w:t>’</w:t>
      </w:r>
      <w:r w:rsidRPr="00495482">
        <w:rPr>
          <w:lang w:val="fr-FR" w:eastAsia="sl-SI"/>
        </w:rPr>
        <w:t>a été conclu</w:t>
      </w:r>
      <w:r w:rsidR="005D0F0F" w:rsidRPr="00495482">
        <w:rPr>
          <w:lang w:val="fr-FR" w:eastAsia="sl-SI"/>
        </w:rPr>
        <w:t>,</w:t>
      </w:r>
      <w:r w:rsidRPr="00495482">
        <w:rPr>
          <w:lang w:val="fr-FR" w:eastAsia="sl-SI"/>
        </w:rPr>
        <w:t xml:space="preserve"> </w:t>
      </w:r>
      <w:r w:rsidR="00210F9A" w:rsidRPr="00495482">
        <w:rPr>
          <w:lang w:val="fr-FR" w:eastAsia="sl-SI"/>
        </w:rPr>
        <w:t>des personnes</w:t>
      </w:r>
      <w:r w:rsidRPr="00495482">
        <w:rPr>
          <w:lang w:val="fr-FR" w:eastAsia="sl-SI"/>
        </w:rPr>
        <w:t xml:space="preserve"> étrangères et des citoyens slovènes résidant en permanence à l</w:t>
      </w:r>
      <w:r w:rsidR="005D0F0F" w:rsidRPr="00495482">
        <w:rPr>
          <w:lang w:val="fr-FR" w:eastAsia="sl-SI"/>
        </w:rPr>
        <w:t>’</w:t>
      </w:r>
      <w:r w:rsidRPr="00495482">
        <w:rPr>
          <w:lang w:val="fr-FR" w:eastAsia="sl-SI"/>
        </w:rPr>
        <w:t>étranger et qui séjournent temporairement ou sont en transit en Slovénie</w:t>
      </w:r>
      <w:r w:rsidR="005D0F0F" w:rsidRPr="00495482">
        <w:rPr>
          <w:lang w:val="fr-FR" w:eastAsia="sl-SI"/>
        </w:rPr>
        <w:t>,</w:t>
      </w:r>
      <w:r w:rsidRPr="00495482">
        <w:rPr>
          <w:lang w:val="fr-FR" w:eastAsia="sl-SI"/>
        </w:rPr>
        <w:t xml:space="preserve"> et dont les frais de santé ne peuvent être assurés</w:t>
      </w:r>
      <w:r w:rsidR="005D0F0F" w:rsidRPr="00495482">
        <w:rPr>
          <w:lang w:val="fr-FR" w:eastAsia="sl-SI"/>
        </w:rPr>
        <w:t>,</w:t>
      </w:r>
      <w:r w:rsidRPr="00495482">
        <w:rPr>
          <w:lang w:val="fr-FR" w:eastAsia="sl-SI"/>
        </w:rPr>
        <w:t xml:space="preserve"> comme </w:t>
      </w:r>
      <w:r w:rsidR="00210F9A" w:rsidRPr="00495482">
        <w:rPr>
          <w:lang w:val="fr-FR" w:eastAsia="sl-SI"/>
        </w:rPr>
        <w:t>des personnes</w:t>
      </w:r>
      <w:r w:rsidRPr="00495482">
        <w:rPr>
          <w:lang w:val="fr-FR" w:eastAsia="sl-SI"/>
        </w:rPr>
        <w:t xml:space="preserve"> qui</w:t>
      </w:r>
      <w:r w:rsidR="005D0F0F" w:rsidRPr="00495482">
        <w:rPr>
          <w:lang w:val="fr-FR" w:eastAsia="sl-SI"/>
        </w:rPr>
        <w:t>,</w:t>
      </w:r>
      <w:r w:rsidRPr="00495482">
        <w:rPr>
          <w:lang w:val="fr-FR" w:eastAsia="sl-SI"/>
        </w:rPr>
        <w:t xml:space="preserve"> en vertu des dispositions de la dite</w:t>
      </w:r>
      <w:r w:rsidR="003D1A4F" w:rsidRPr="00495482">
        <w:rPr>
          <w:lang w:val="fr-FR" w:eastAsia="sl-SI"/>
        </w:rPr>
        <w:t xml:space="preserve"> </w:t>
      </w:r>
      <w:r w:rsidRPr="00495482">
        <w:rPr>
          <w:lang w:val="fr-FR" w:eastAsia="sl-SI"/>
        </w:rPr>
        <w:t>loi</w:t>
      </w:r>
      <w:r w:rsidR="005D0F0F" w:rsidRPr="00495482">
        <w:rPr>
          <w:lang w:val="fr-FR" w:eastAsia="sl-SI"/>
        </w:rPr>
        <w:t>,</w:t>
      </w:r>
      <w:r w:rsidRPr="00495482">
        <w:rPr>
          <w:lang w:val="fr-FR" w:eastAsia="sl-SI"/>
        </w:rPr>
        <w:t xml:space="preserve"> ne sont pas couvertes par l</w:t>
      </w:r>
      <w:r w:rsidR="005D0F0F" w:rsidRPr="00495482">
        <w:rPr>
          <w:lang w:val="fr-FR" w:eastAsia="sl-SI"/>
        </w:rPr>
        <w:t>’</w:t>
      </w:r>
      <w:r w:rsidRPr="00495482">
        <w:rPr>
          <w:lang w:val="fr-FR" w:eastAsia="sl-SI"/>
        </w:rPr>
        <w:t>assurance maladie obligatoire</w:t>
      </w:r>
      <w:r w:rsidR="005D0F0F" w:rsidRPr="00495482">
        <w:rPr>
          <w:lang w:val="fr-FR" w:eastAsia="sl-SI"/>
        </w:rPr>
        <w:t>,</w:t>
      </w:r>
      <w:r w:rsidRPr="00495482">
        <w:rPr>
          <w:lang w:val="fr-FR" w:eastAsia="sl-SI"/>
        </w:rPr>
        <w:t xml:space="preserve"> ni assurées par un organisme d</w:t>
      </w:r>
      <w:r w:rsidR="005D0F0F" w:rsidRPr="00495482">
        <w:rPr>
          <w:lang w:val="fr-FR" w:eastAsia="sl-SI"/>
        </w:rPr>
        <w:t>’</w:t>
      </w:r>
      <w:r w:rsidRPr="00495482">
        <w:rPr>
          <w:lang w:val="fr-FR" w:eastAsia="sl-SI"/>
        </w:rPr>
        <w:t>assurance maladie étranger. Les</w:t>
      </w:r>
      <w:r w:rsidR="001B12ED">
        <w:rPr>
          <w:lang w:val="fr-FR" w:eastAsia="sl-SI"/>
        </w:rPr>
        <w:t xml:space="preserve"> </w:t>
      </w:r>
      <w:r w:rsidR="002328BD" w:rsidRPr="00495482">
        <w:rPr>
          <w:lang w:val="fr-FR" w:eastAsia="sl-SI"/>
        </w:rPr>
        <w:t>personnes</w:t>
      </w:r>
      <w:r w:rsidRPr="00495482">
        <w:rPr>
          <w:lang w:val="fr-FR" w:eastAsia="sl-SI"/>
        </w:rPr>
        <w:t xml:space="preserve"> radiées du registre des citoyens slovènes ont droit aux services d</w:t>
      </w:r>
      <w:r w:rsidR="005D0F0F" w:rsidRPr="00495482">
        <w:rPr>
          <w:lang w:val="fr-FR" w:eastAsia="sl-SI"/>
        </w:rPr>
        <w:t>’</w:t>
      </w:r>
      <w:r w:rsidRPr="00495482">
        <w:rPr>
          <w:lang w:val="fr-FR" w:eastAsia="sl-SI"/>
        </w:rPr>
        <w:t>urgence</w:t>
      </w:r>
      <w:r w:rsidR="005D0F0F" w:rsidRPr="00495482">
        <w:rPr>
          <w:lang w:val="fr-FR" w:eastAsia="sl-SI"/>
        </w:rPr>
        <w:t>,</w:t>
      </w:r>
      <w:r w:rsidRPr="00495482">
        <w:rPr>
          <w:lang w:val="fr-FR" w:eastAsia="sl-SI"/>
        </w:rPr>
        <w:t xml:space="preserve"> financés par le Ministère de la santé slovène à partir du budget national. Des</w:t>
      </w:r>
      <w:r w:rsidR="003D1A4F" w:rsidRPr="00495482">
        <w:rPr>
          <w:lang w:val="fr-FR" w:eastAsia="sl-SI"/>
        </w:rPr>
        <w:t xml:space="preserve"> </w:t>
      </w:r>
      <w:r w:rsidRPr="00495482">
        <w:rPr>
          <w:lang w:val="fr-FR" w:eastAsia="sl-SI"/>
        </w:rPr>
        <w:t xml:space="preserve">dispensaires dotés de services de consultation pour </w:t>
      </w:r>
      <w:r w:rsidR="0014499F" w:rsidRPr="00495482">
        <w:rPr>
          <w:lang w:val="fr-FR" w:eastAsia="sl-SI"/>
        </w:rPr>
        <w:t>les personnes</w:t>
      </w:r>
      <w:r w:rsidRPr="00495482">
        <w:rPr>
          <w:lang w:val="fr-FR" w:eastAsia="sl-SI"/>
        </w:rPr>
        <w:t xml:space="preserve"> sans assurance maladie ont également été ouverts à</w:t>
      </w:r>
      <w:r w:rsidR="003D1A4F" w:rsidRPr="00495482">
        <w:rPr>
          <w:lang w:val="fr-FR" w:eastAsia="sl-SI"/>
        </w:rPr>
        <w:t xml:space="preserve"> </w:t>
      </w:r>
      <w:r w:rsidRPr="00495482">
        <w:rPr>
          <w:lang w:val="fr-FR" w:eastAsia="sl-SI"/>
        </w:rPr>
        <w:t>Ljubljana et Maribor.</w:t>
      </w:r>
      <w:r w:rsidR="003D1A4F" w:rsidRPr="00495482">
        <w:rPr>
          <w:lang w:val="fr-FR" w:eastAsia="sl-SI"/>
        </w:rPr>
        <w:t xml:space="preserve"> </w:t>
      </w:r>
      <w:r w:rsidRPr="00495482">
        <w:rPr>
          <w:lang w:val="fr-FR" w:eastAsia="sl-SI"/>
        </w:rPr>
        <w:t>Ils sont financés par les municipalités et par des donations</w:t>
      </w:r>
      <w:r w:rsidR="005D0F0F" w:rsidRPr="00495482">
        <w:rPr>
          <w:lang w:val="fr-FR" w:eastAsia="sl-SI"/>
        </w:rPr>
        <w:t>,</w:t>
      </w:r>
      <w:r w:rsidRPr="00495482">
        <w:rPr>
          <w:lang w:val="fr-FR" w:eastAsia="sl-SI"/>
        </w:rPr>
        <w:t xml:space="preserve"> et le personnel soignant y travaille de manière bénévole.</w:t>
      </w:r>
    </w:p>
    <w:p w:rsidR="00317603" w:rsidRPr="00495482" w:rsidRDefault="00317603" w:rsidP="0014499F">
      <w:pPr>
        <w:pStyle w:val="H1G"/>
        <w:rPr>
          <w:lang w:val="fr-FR" w:eastAsia="sl-SI"/>
        </w:rPr>
      </w:pPr>
      <w:r w:rsidRPr="00495482">
        <w:rPr>
          <w:lang w:val="fr-FR" w:eastAsia="sl-SI"/>
        </w:rPr>
        <w:tab/>
      </w:r>
      <w:r w:rsidRPr="00495482">
        <w:rPr>
          <w:lang w:val="fr-FR" w:eastAsia="sl-SI"/>
        </w:rPr>
        <w:tab/>
        <w:t>Article 3</w:t>
      </w:r>
      <w:r w:rsidR="00CF5C7F" w:rsidRPr="00495482">
        <w:rPr>
          <w:lang w:val="fr-FR" w:eastAsia="sl-SI"/>
        </w:rPr>
        <w:br/>
      </w:r>
      <w:r w:rsidRPr="00495482">
        <w:rPr>
          <w:lang w:val="fr-FR" w:eastAsia="sl-SI"/>
        </w:rPr>
        <w:t>Principe de l</w:t>
      </w:r>
      <w:r w:rsidR="005D0F0F" w:rsidRPr="00495482">
        <w:rPr>
          <w:lang w:val="fr-FR" w:eastAsia="sl-SI"/>
        </w:rPr>
        <w:t>’</w:t>
      </w:r>
      <w:r w:rsidRPr="00495482">
        <w:rPr>
          <w:lang w:val="fr-FR" w:eastAsia="sl-SI"/>
        </w:rPr>
        <w:t xml:space="preserve">égalité des chances entre hommes et femmes </w:t>
      </w:r>
    </w:p>
    <w:p w:rsidR="00317603" w:rsidRPr="00495482" w:rsidRDefault="00317603" w:rsidP="0014499F">
      <w:pPr>
        <w:pStyle w:val="SingleTxtG"/>
        <w:rPr>
          <w:lang w:val="fr-FR" w:eastAsia="sl-SI"/>
        </w:rPr>
      </w:pPr>
      <w:r w:rsidRPr="00495482">
        <w:rPr>
          <w:lang w:val="fr-FR" w:eastAsia="sl-SI"/>
        </w:rPr>
        <w:t>23.</w:t>
      </w:r>
      <w:r w:rsidRPr="00495482">
        <w:rPr>
          <w:lang w:val="fr-FR" w:eastAsia="sl-SI"/>
        </w:rPr>
        <w:tab/>
        <w:t>Durant la période d</w:t>
      </w:r>
      <w:r w:rsidR="005D0F0F" w:rsidRPr="00495482">
        <w:rPr>
          <w:lang w:val="fr-FR" w:eastAsia="sl-SI"/>
        </w:rPr>
        <w:t>’</w:t>
      </w:r>
      <w:r w:rsidRPr="00495482">
        <w:rPr>
          <w:lang w:val="fr-FR" w:eastAsia="sl-SI"/>
        </w:rPr>
        <w:t>établissement du rapport</w:t>
      </w:r>
      <w:r w:rsidR="005D0F0F" w:rsidRPr="00495482">
        <w:rPr>
          <w:lang w:val="fr-FR" w:eastAsia="sl-SI"/>
        </w:rPr>
        <w:t>,</w:t>
      </w:r>
      <w:r w:rsidRPr="00495482">
        <w:rPr>
          <w:lang w:val="fr-FR" w:eastAsia="sl-SI"/>
        </w:rPr>
        <w:t xml:space="preserve"> des progrès importants ont été accomplis</w:t>
      </w:r>
      <w:r w:rsidR="003D1A4F" w:rsidRPr="00495482">
        <w:rPr>
          <w:lang w:val="fr-FR" w:eastAsia="sl-SI"/>
        </w:rPr>
        <w:t xml:space="preserve"> </w:t>
      </w:r>
      <w:r w:rsidRPr="00495482">
        <w:rPr>
          <w:lang w:val="fr-FR" w:eastAsia="sl-SI"/>
        </w:rPr>
        <w:t>en ce qui concerne les critères garantissant la jouissance de tous les droits civils et politiques (en tant que conditions essentielles à l</w:t>
      </w:r>
      <w:r w:rsidR="005D0F0F" w:rsidRPr="00495482">
        <w:rPr>
          <w:lang w:val="fr-FR" w:eastAsia="sl-SI"/>
        </w:rPr>
        <w:t>’</w:t>
      </w:r>
      <w:r w:rsidRPr="00495482">
        <w:rPr>
          <w:lang w:val="fr-FR" w:eastAsia="sl-SI"/>
        </w:rPr>
        <w:t>exercice des droits sociaux)</w:t>
      </w:r>
      <w:r w:rsidR="005D0F0F" w:rsidRPr="00495482">
        <w:rPr>
          <w:lang w:val="fr-FR" w:eastAsia="sl-SI"/>
        </w:rPr>
        <w:t>,</w:t>
      </w:r>
      <w:r w:rsidRPr="00495482">
        <w:rPr>
          <w:lang w:val="fr-FR" w:eastAsia="sl-SI"/>
        </w:rPr>
        <w:t xml:space="preserve"> sans distinction d</w:t>
      </w:r>
      <w:r w:rsidR="005D0F0F" w:rsidRPr="00495482">
        <w:rPr>
          <w:lang w:val="fr-FR" w:eastAsia="sl-SI"/>
        </w:rPr>
        <w:t>’</w:t>
      </w:r>
      <w:r w:rsidRPr="00495482">
        <w:rPr>
          <w:lang w:val="fr-FR" w:eastAsia="sl-SI"/>
        </w:rPr>
        <w:t>aucune sorte.</w:t>
      </w:r>
      <w:r w:rsidR="003D1A4F" w:rsidRPr="00495482">
        <w:rPr>
          <w:lang w:val="fr-FR" w:eastAsia="sl-SI"/>
        </w:rPr>
        <w:t xml:space="preserve"> </w:t>
      </w:r>
    </w:p>
    <w:p w:rsidR="00317603" w:rsidRPr="00495482" w:rsidRDefault="00317603" w:rsidP="0014499F">
      <w:pPr>
        <w:pStyle w:val="SingleTxtG"/>
        <w:rPr>
          <w:lang w:val="fr-FR" w:eastAsia="sl-SI"/>
        </w:rPr>
      </w:pPr>
      <w:r w:rsidRPr="00495482">
        <w:rPr>
          <w:lang w:val="fr-FR" w:eastAsia="sl-SI"/>
        </w:rPr>
        <w:t>24.</w:t>
      </w:r>
      <w:r w:rsidRPr="00495482">
        <w:rPr>
          <w:lang w:val="fr-FR" w:eastAsia="sl-SI"/>
        </w:rPr>
        <w:tab/>
        <w:t xml:space="preserve">En mai 2004 est entrée en vigueur </w:t>
      </w:r>
      <w:r w:rsidRPr="00495482">
        <w:rPr>
          <w:i/>
          <w:lang w:val="fr-FR" w:eastAsia="sl-SI"/>
        </w:rPr>
        <w:t>la loi sur l</w:t>
      </w:r>
      <w:r w:rsidR="005D0F0F" w:rsidRPr="00495482">
        <w:rPr>
          <w:i/>
          <w:lang w:val="fr-FR" w:eastAsia="sl-SI"/>
        </w:rPr>
        <w:t>’</w:t>
      </w:r>
      <w:r w:rsidRPr="00495482">
        <w:rPr>
          <w:i/>
          <w:lang w:val="fr-FR" w:eastAsia="sl-SI"/>
        </w:rPr>
        <w:t>application du principe de l</w:t>
      </w:r>
      <w:r w:rsidR="005D0F0F" w:rsidRPr="00495482">
        <w:rPr>
          <w:i/>
          <w:lang w:val="fr-FR" w:eastAsia="sl-SI"/>
        </w:rPr>
        <w:t>’</w:t>
      </w:r>
      <w:r w:rsidRPr="00495482">
        <w:rPr>
          <w:i/>
          <w:lang w:val="fr-FR" w:eastAsia="sl-SI"/>
        </w:rPr>
        <w:t>égalité de</w:t>
      </w:r>
      <w:r w:rsidRPr="00495482">
        <w:rPr>
          <w:lang w:val="fr-FR" w:eastAsia="sl-SI"/>
        </w:rPr>
        <w:t xml:space="preserve"> </w:t>
      </w:r>
      <w:r w:rsidRPr="00495482">
        <w:rPr>
          <w:i/>
          <w:lang w:val="fr-FR" w:eastAsia="sl-SI"/>
        </w:rPr>
        <w:t>traitement</w:t>
      </w:r>
      <w:r w:rsidRPr="00495482">
        <w:rPr>
          <w:rStyle w:val="FootnoteReference"/>
        </w:rPr>
        <w:footnoteReference w:id="18"/>
      </w:r>
      <w:r w:rsidR="00813156" w:rsidRPr="00495482">
        <w:rPr>
          <w:lang w:val="fr-FR" w:eastAsia="sl-SI"/>
        </w:rPr>
        <w:t>,</w:t>
      </w:r>
      <w:r w:rsidRPr="00495482">
        <w:rPr>
          <w:lang w:val="fr-FR" w:eastAsia="sl-SI"/>
        </w:rPr>
        <w:t xml:space="preserve"> qui est la </w:t>
      </w:r>
      <w:r w:rsidRPr="00495482">
        <w:rPr>
          <w:i/>
          <w:lang w:val="fr-FR" w:eastAsia="sl-SI"/>
        </w:rPr>
        <w:t>lex generalis</w:t>
      </w:r>
      <w:r w:rsidRPr="00495482">
        <w:rPr>
          <w:lang w:val="fr-FR" w:eastAsia="sl-SI"/>
        </w:rPr>
        <w:t xml:space="preserve"> en matière d</w:t>
      </w:r>
      <w:r w:rsidR="005D0F0F" w:rsidRPr="00495482">
        <w:rPr>
          <w:lang w:val="fr-FR" w:eastAsia="sl-SI"/>
        </w:rPr>
        <w:t>’</w:t>
      </w:r>
      <w:r w:rsidRPr="00495482">
        <w:rPr>
          <w:lang w:val="fr-FR" w:eastAsia="sl-SI"/>
        </w:rPr>
        <w:t>interdiction de toute forme de discrimination.</w:t>
      </w:r>
      <w:r w:rsidR="003D1A4F" w:rsidRPr="00495482">
        <w:rPr>
          <w:lang w:val="fr-FR" w:eastAsia="sl-SI"/>
        </w:rPr>
        <w:t xml:space="preserve"> </w:t>
      </w:r>
      <w:r w:rsidRPr="00495482">
        <w:rPr>
          <w:lang w:val="fr-FR" w:eastAsia="sl-SI"/>
        </w:rPr>
        <w:t>Elle définit les bases communes et les conditions essentielles</w:t>
      </w:r>
      <w:r w:rsidR="003D1A4F" w:rsidRPr="00495482">
        <w:rPr>
          <w:lang w:val="fr-FR" w:eastAsia="sl-SI"/>
        </w:rPr>
        <w:t xml:space="preserve"> </w:t>
      </w:r>
      <w:r w:rsidRPr="00495482">
        <w:rPr>
          <w:lang w:val="fr-FR" w:eastAsia="sl-SI"/>
        </w:rPr>
        <w:t>pour garantir à chacun l</w:t>
      </w:r>
      <w:r w:rsidR="005D0F0F" w:rsidRPr="00495482">
        <w:rPr>
          <w:lang w:val="fr-FR" w:eastAsia="sl-SI"/>
        </w:rPr>
        <w:t>’</w:t>
      </w:r>
      <w:r w:rsidRPr="00495482">
        <w:rPr>
          <w:lang w:val="fr-FR" w:eastAsia="sl-SI"/>
        </w:rPr>
        <w:t>égalité de traitement dans l</w:t>
      </w:r>
      <w:r w:rsidR="005D0F0F" w:rsidRPr="00495482">
        <w:rPr>
          <w:lang w:val="fr-FR" w:eastAsia="sl-SI"/>
        </w:rPr>
        <w:t>’</w:t>
      </w:r>
      <w:r w:rsidRPr="00495482">
        <w:rPr>
          <w:lang w:val="fr-FR" w:eastAsia="sl-SI"/>
        </w:rPr>
        <w:t>exercice de ses droits et obligations</w:t>
      </w:r>
      <w:r w:rsidR="005D0F0F" w:rsidRPr="00495482">
        <w:rPr>
          <w:lang w:val="fr-FR" w:eastAsia="sl-SI"/>
        </w:rPr>
        <w:t>,</w:t>
      </w:r>
      <w:r w:rsidRPr="00495482">
        <w:rPr>
          <w:lang w:val="fr-FR" w:eastAsia="sl-SI"/>
        </w:rPr>
        <w:t xml:space="preserve"> et la réalisation</w:t>
      </w:r>
      <w:r w:rsidR="003D1A4F" w:rsidRPr="00495482">
        <w:rPr>
          <w:lang w:val="fr-FR" w:eastAsia="sl-SI"/>
        </w:rPr>
        <w:t xml:space="preserve"> </w:t>
      </w:r>
      <w:r w:rsidRPr="00495482">
        <w:rPr>
          <w:lang w:val="fr-FR" w:eastAsia="sl-SI"/>
        </w:rPr>
        <w:t>des droits de l</w:t>
      </w:r>
      <w:r w:rsidR="005D0F0F" w:rsidRPr="00495482">
        <w:rPr>
          <w:lang w:val="fr-FR" w:eastAsia="sl-SI"/>
        </w:rPr>
        <w:t>’</w:t>
      </w:r>
      <w:r w:rsidRPr="00495482">
        <w:rPr>
          <w:lang w:val="fr-FR" w:eastAsia="sl-SI"/>
        </w:rPr>
        <w:t>homme et des libertés fondamentales. Elle proscrit la discrimination directe et indirecte</w:t>
      </w:r>
      <w:r w:rsidR="005D0F0F" w:rsidRPr="00495482">
        <w:rPr>
          <w:lang w:val="fr-FR" w:eastAsia="sl-SI"/>
        </w:rPr>
        <w:t>,</w:t>
      </w:r>
      <w:r w:rsidRPr="00495482">
        <w:rPr>
          <w:lang w:val="fr-FR" w:eastAsia="sl-SI"/>
        </w:rPr>
        <w:t xml:space="preserve"> y compris les consignes qui conduisent à un comportement ou à un traitement discriminatoire et au harcèlement</w:t>
      </w:r>
      <w:r w:rsidR="005D0F0F" w:rsidRPr="00495482">
        <w:rPr>
          <w:lang w:val="fr-FR" w:eastAsia="sl-SI"/>
        </w:rPr>
        <w:t>,</w:t>
      </w:r>
      <w:r w:rsidRPr="00495482">
        <w:rPr>
          <w:lang w:val="fr-FR" w:eastAsia="sl-SI"/>
        </w:rPr>
        <w:t xml:space="preserve"> comme la victimisation </w:t>
      </w:r>
      <w:r w:rsidR="00210F9A" w:rsidRPr="00495482">
        <w:rPr>
          <w:lang w:val="fr-FR" w:eastAsia="sl-SI"/>
        </w:rPr>
        <w:t>des personnes</w:t>
      </w:r>
      <w:r w:rsidRPr="00495482">
        <w:rPr>
          <w:lang w:val="fr-FR" w:eastAsia="sl-SI"/>
        </w:rPr>
        <w:t xml:space="preserve"> qui subissent la discrimination et de celles qui les aident à la proscrire (interdiction des mesures de représailles). La discrimination est interdite dans tous les domaines de la vie sociale et en particulier</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les relations de travail</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enseignement et la formation</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adhésion à des syndicats et à des groupes d</w:t>
      </w:r>
      <w:r w:rsidR="005D0F0F" w:rsidRPr="00495482">
        <w:rPr>
          <w:lang w:val="fr-FR" w:eastAsia="sl-SI"/>
        </w:rPr>
        <w:t>’</w:t>
      </w:r>
      <w:r w:rsidRPr="00495482">
        <w:rPr>
          <w:lang w:val="fr-FR" w:eastAsia="sl-SI"/>
        </w:rPr>
        <w:t>intérêt</w:t>
      </w:r>
      <w:r w:rsidR="005D0F0F" w:rsidRPr="00495482">
        <w:rPr>
          <w:lang w:val="fr-FR" w:eastAsia="sl-SI"/>
        </w:rPr>
        <w:t>,</w:t>
      </w:r>
      <w:r w:rsidRPr="00495482">
        <w:rPr>
          <w:lang w:val="fr-FR" w:eastAsia="sl-SI"/>
        </w:rPr>
        <w:t xml:space="preserve"> la protection sociale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accès aux biens et aux services et leur fourniture. La loi sur l</w:t>
      </w:r>
      <w:r w:rsidR="005D0F0F" w:rsidRPr="00495482">
        <w:rPr>
          <w:lang w:val="fr-FR" w:eastAsia="sl-SI"/>
        </w:rPr>
        <w:t>’</w:t>
      </w:r>
      <w:r w:rsidRPr="00495482">
        <w:rPr>
          <w:lang w:val="fr-FR" w:eastAsia="sl-SI"/>
        </w:rPr>
        <w:t>application du principe de l</w:t>
      </w:r>
      <w:r w:rsidR="005D0F0F" w:rsidRPr="00495482">
        <w:rPr>
          <w:lang w:val="fr-FR" w:eastAsia="sl-SI"/>
        </w:rPr>
        <w:t>’</w:t>
      </w:r>
      <w:r w:rsidRPr="00495482">
        <w:rPr>
          <w:lang w:val="fr-FR" w:eastAsia="sl-SI"/>
        </w:rPr>
        <w:t>égalité de traitement interdit expressément les différences de traitement fondées sur le sexe</w:t>
      </w:r>
      <w:r w:rsidR="005D0F0F" w:rsidRPr="00495482">
        <w:rPr>
          <w:lang w:val="fr-FR" w:eastAsia="sl-SI"/>
        </w:rPr>
        <w:t>,</w:t>
      </w:r>
      <w:r w:rsidRPr="00495482">
        <w:rPr>
          <w:lang w:val="fr-FR" w:eastAsia="sl-SI"/>
        </w:rPr>
        <w:t xml:space="preserve"> la nationalité</w:t>
      </w:r>
      <w:r w:rsidR="005D0F0F" w:rsidRPr="00495482">
        <w:rPr>
          <w:lang w:val="fr-FR" w:eastAsia="sl-SI"/>
        </w:rPr>
        <w:t>,</w:t>
      </w:r>
      <w:r w:rsidRPr="00495482">
        <w:rPr>
          <w:lang w:val="fr-FR" w:eastAsia="sl-SI"/>
        </w:rPr>
        <w:t xml:space="preserve"> la race ou l</w:t>
      </w:r>
      <w:r w:rsidR="005D0F0F" w:rsidRPr="00495482">
        <w:rPr>
          <w:lang w:val="fr-FR" w:eastAsia="sl-SI"/>
        </w:rPr>
        <w:t>’</w:t>
      </w:r>
      <w:r w:rsidRPr="00495482">
        <w:rPr>
          <w:lang w:val="fr-FR" w:eastAsia="sl-SI"/>
        </w:rPr>
        <w:t>origine ethnique</w:t>
      </w:r>
      <w:r w:rsidR="005D0F0F" w:rsidRPr="00495482">
        <w:rPr>
          <w:lang w:val="fr-FR" w:eastAsia="sl-SI"/>
        </w:rPr>
        <w:t>,</w:t>
      </w:r>
      <w:r w:rsidRPr="00495482">
        <w:rPr>
          <w:lang w:val="fr-FR" w:eastAsia="sl-SI"/>
        </w:rPr>
        <w:t xml:space="preserve"> la religion ou les convictions</w:t>
      </w:r>
      <w:r w:rsidR="005D0F0F" w:rsidRPr="00495482">
        <w:rPr>
          <w:lang w:val="fr-FR" w:eastAsia="sl-SI"/>
        </w:rPr>
        <w:t>,</w:t>
      </w:r>
      <w:r w:rsidRPr="00495482">
        <w:rPr>
          <w:lang w:val="fr-FR" w:eastAsia="sl-SI"/>
        </w:rPr>
        <w:t xml:space="preserve"> le handicap</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âge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orientation sexuelle ou autre situation personnelle</w:t>
      </w:r>
      <w:r w:rsidR="005D0F0F" w:rsidRPr="00495482">
        <w:rPr>
          <w:lang w:val="fr-FR" w:eastAsia="sl-SI"/>
        </w:rPr>
        <w:t>,</w:t>
      </w:r>
      <w:r w:rsidRPr="00495482">
        <w:rPr>
          <w:lang w:val="fr-FR" w:eastAsia="sl-SI"/>
        </w:rPr>
        <w:t xml:space="preserve"> et elle autorise en même temps un écart à ce principe pour cause de cas personnels spécifiques</w:t>
      </w:r>
      <w:r w:rsidR="005D0F0F" w:rsidRPr="00495482">
        <w:rPr>
          <w:lang w:val="fr-FR" w:eastAsia="sl-SI"/>
        </w:rPr>
        <w:t>,</w:t>
      </w:r>
      <w:r w:rsidRPr="00495482">
        <w:rPr>
          <w:lang w:val="fr-FR" w:eastAsia="sl-SI"/>
        </w:rPr>
        <w:t xml:space="preserve"> lorsque la différence de traitement est justifiée par des objectifs légitimes et que les mesures pour y parvenir sont proportionnées et nécessaires. Elle prévoit les bases de la mise en œuvre des mesures temporaires destinées à garantir l</w:t>
      </w:r>
      <w:r w:rsidR="005D0F0F" w:rsidRPr="00495482">
        <w:rPr>
          <w:lang w:val="fr-FR" w:eastAsia="sl-SI"/>
        </w:rPr>
        <w:t>’</w:t>
      </w:r>
      <w:r w:rsidRPr="00495482">
        <w:rPr>
          <w:lang w:val="fr-FR" w:eastAsia="sl-SI"/>
        </w:rPr>
        <w:t>égalité réelle des membres de groupes sociaux qui</w:t>
      </w:r>
      <w:r w:rsidR="005D0F0F" w:rsidRPr="00495482">
        <w:rPr>
          <w:lang w:val="fr-FR" w:eastAsia="sl-SI"/>
        </w:rPr>
        <w:t>,</w:t>
      </w:r>
      <w:r w:rsidRPr="00495482">
        <w:rPr>
          <w:lang w:val="fr-FR" w:eastAsia="sl-SI"/>
        </w:rPr>
        <w:t xml:space="preserve"> pour des raisons d</w:t>
      </w:r>
      <w:r w:rsidR="005D0F0F" w:rsidRPr="00495482">
        <w:rPr>
          <w:lang w:val="fr-FR" w:eastAsia="sl-SI"/>
        </w:rPr>
        <w:t>’</w:t>
      </w:r>
      <w:r w:rsidRPr="00495482">
        <w:rPr>
          <w:lang w:val="fr-FR" w:eastAsia="sl-SI"/>
        </w:rPr>
        <w:t>appartenance sexuelle</w:t>
      </w:r>
      <w:r w:rsidR="005D0F0F" w:rsidRPr="00495482">
        <w:rPr>
          <w:lang w:val="fr-FR" w:eastAsia="sl-SI"/>
        </w:rPr>
        <w:t>,</w:t>
      </w:r>
      <w:r w:rsidRPr="00495482">
        <w:rPr>
          <w:lang w:val="fr-FR" w:eastAsia="sl-SI"/>
        </w:rPr>
        <w:t xml:space="preserve"> de</w:t>
      </w:r>
      <w:r w:rsidR="003D1A4F" w:rsidRPr="00495482">
        <w:rPr>
          <w:lang w:val="fr-FR" w:eastAsia="sl-SI"/>
        </w:rPr>
        <w:t xml:space="preserve"> </w:t>
      </w:r>
      <w:r w:rsidRPr="00495482">
        <w:rPr>
          <w:lang w:val="fr-FR" w:eastAsia="sl-SI"/>
        </w:rPr>
        <w:t>nationalité</w:t>
      </w:r>
      <w:r w:rsidR="005D0F0F" w:rsidRPr="00495482">
        <w:rPr>
          <w:lang w:val="fr-FR" w:eastAsia="sl-SI"/>
        </w:rPr>
        <w:t>,</w:t>
      </w:r>
      <w:r w:rsidRPr="00495482">
        <w:rPr>
          <w:lang w:val="fr-FR" w:eastAsia="sl-SI"/>
        </w:rPr>
        <w:t xml:space="preserve"> de</w:t>
      </w:r>
      <w:r w:rsidR="003D1A4F" w:rsidRPr="00495482">
        <w:rPr>
          <w:lang w:val="fr-FR" w:eastAsia="sl-SI"/>
        </w:rPr>
        <w:t xml:space="preserve"> </w:t>
      </w:r>
      <w:r w:rsidRPr="00495482">
        <w:rPr>
          <w:lang w:val="fr-FR" w:eastAsia="sl-SI"/>
        </w:rPr>
        <w:t>race ou d</w:t>
      </w:r>
      <w:r w:rsidR="005D0F0F" w:rsidRPr="00495482">
        <w:rPr>
          <w:lang w:val="fr-FR" w:eastAsia="sl-SI"/>
        </w:rPr>
        <w:t>’</w:t>
      </w:r>
      <w:r w:rsidRPr="00495482">
        <w:rPr>
          <w:lang w:val="fr-FR" w:eastAsia="sl-SI"/>
        </w:rPr>
        <w:t>origine ethnique</w:t>
      </w:r>
      <w:r w:rsidR="005D0F0F" w:rsidRPr="00495482">
        <w:rPr>
          <w:lang w:val="fr-FR" w:eastAsia="sl-SI"/>
        </w:rPr>
        <w:t>,</w:t>
      </w:r>
      <w:r w:rsidRPr="00495482">
        <w:rPr>
          <w:lang w:val="fr-FR" w:eastAsia="sl-SI"/>
        </w:rPr>
        <w:t xml:space="preserve"> de religion ou de conviction</w:t>
      </w:r>
      <w:r w:rsidR="005D0F0F" w:rsidRPr="00495482">
        <w:rPr>
          <w:lang w:val="fr-FR" w:eastAsia="sl-SI"/>
        </w:rPr>
        <w:t>,</w:t>
      </w:r>
      <w:r w:rsidRPr="00495482">
        <w:rPr>
          <w:lang w:val="fr-FR" w:eastAsia="sl-SI"/>
        </w:rPr>
        <w:t xml:space="preserve"> de handicap</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âge ou d</w:t>
      </w:r>
      <w:r w:rsidR="005D0F0F" w:rsidRPr="00495482">
        <w:rPr>
          <w:lang w:val="fr-FR" w:eastAsia="sl-SI"/>
        </w:rPr>
        <w:t>’</w:t>
      </w:r>
      <w:r w:rsidRPr="00495482">
        <w:rPr>
          <w:lang w:val="fr-FR" w:eastAsia="sl-SI"/>
        </w:rPr>
        <w:t>orientation sexuelle</w:t>
      </w:r>
      <w:r w:rsidR="005D0F0F" w:rsidRPr="00495482">
        <w:rPr>
          <w:lang w:val="fr-FR" w:eastAsia="sl-SI"/>
        </w:rPr>
        <w:t>,</w:t>
      </w:r>
      <w:r w:rsidRPr="00495482">
        <w:rPr>
          <w:lang w:val="fr-FR" w:eastAsia="sl-SI"/>
        </w:rPr>
        <w:t xml:space="preserve"> se trouvent désavantagés par rapport à la majorité de la population</w:t>
      </w:r>
      <w:r w:rsidR="005D0F0F" w:rsidRPr="00495482">
        <w:rPr>
          <w:lang w:val="fr-FR" w:eastAsia="sl-SI"/>
        </w:rPr>
        <w:t>,</w:t>
      </w:r>
      <w:r w:rsidRPr="00495482">
        <w:rPr>
          <w:lang w:val="fr-FR" w:eastAsia="sl-SI"/>
        </w:rPr>
        <w:t xml:space="preserve"> ou ne sont pas proportionnellement représentés lors des processus décisionnels publics</w:t>
      </w:r>
      <w:r w:rsidR="005D0F0F" w:rsidRPr="00495482">
        <w:rPr>
          <w:lang w:val="fr-FR" w:eastAsia="sl-SI"/>
        </w:rPr>
        <w:t>,</w:t>
      </w:r>
      <w:r w:rsidRPr="00495482">
        <w:rPr>
          <w:lang w:val="fr-FR" w:eastAsia="sl-SI"/>
        </w:rPr>
        <w:t xml:space="preserve"> politiques ou économiques.</w:t>
      </w:r>
      <w:r w:rsidR="003D1A4F" w:rsidRPr="00495482">
        <w:rPr>
          <w:lang w:val="fr-FR" w:eastAsia="sl-SI"/>
        </w:rPr>
        <w:t xml:space="preserve"> </w:t>
      </w:r>
    </w:p>
    <w:p w:rsidR="00317603" w:rsidRPr="00495482" w:rsidRDefault="00317603" w:rsidP="0014499F">
      <w:pPr>
        <w:pStyle w:val="SingleTxtG"/>
        <w:rPr>
          <w:lang w:val="fr-FR" w:eastAsia="sl-SI"/>
        </w:rPr>
      </w:pPr>
      <w:r w:rsidRPr="00495482">
        <w:rPr>
          <w:lang w:val="fr-FR" w:eastAsia="sl-SI"/>
        </w:rPr>
        <w:t>25.</w:t>
      </w:r>
      <w:r w:rsidRPr="00495482">
        <w:rPr>
          <w:lang w:val="fr-FR" w:eastAsia="sl-SI"/>
        </w:rPr>
        <w:tab/>
        <w:t>L</w:t>
      </w:r>
      <w:r w:rsidR="005D0F0F" w:rsidRPr="00495482">
        <w:rPr>
          <w:lang w:val="fr-FR" w:eastAsia="sl-SI"/>
        </w:rPr>
        <w:t>’</w:t>
      </w:r>
      <w:r w:rsidRPr="00495482">
        <w:rPr>
          <w:lang w:val="fr-FR" w:eastAsia="sl-SI"/>
        </w:rPr>
        <w:t>Assemblée nationale et le Gouvernement de la République de Slovénie</w:t>
      </w:r>
      <w:r w:rsidR="005D0F0F" w:rsidRPr="00495482">
        <w:rPr>
          <w:lang w:val="fr-FR" w:eastAsia="sl-SI"/>
        </w:rPr>
        <w:t>,</w:t>
      </w:r>
      <w:r w:rsidRPr="00495482">
        <w:rPr>
          <w:lang w:val="fr-FR" w:eastAsia="sl-SI"/>
        </w:rPr>
        <w:t xml:space="preserve"> les ministères</w:t>
      </w:r>
      <w:r w:rsidR="005D0F0F" w:rsidRPr="00495482">
        <w:rPr>
          <w:lang w:val="fr-FR" w:eastAsia="sl-SI"/>
        </w:rPr>
        <w:t>,</w:t>
      </w:r>
      <w:r w:rsidRPr="00495482">
        <w:rPr>
          <w:lang w:val="fr-FR" w:eastAsia="sl-SI"/>
        </w:rPr>
        <w:t xml:space="preserve"> administrations ou services gouvernementaux et autres autorités publiques</w:t>
      </w:r>
      <w:r w:rsidR="003D1A4F" w:rsidRPr="00495482">
        <w:rPr>
          <w:lang w:val="fr-FR" w:eastAsia="sl-SI"/>
        </w:rPr>
        <w:t xml:space="preserve"> </w:t>
      </w:r>
      <w:r w:rsidRPr="00495482">
        <w:rPr>
          <w:lang w:val="fr-FR" w:eastAsia="sl-SI"/>
        </w:rPr>
        <w:t>et organes des collectivités locales autonomes</w:t>
      </w:r>
      <w:r w:rsidR="005D0F0F" w:rsidRPr="00495482">
        <w:rPr>
          <w:lang w:val="fr-FR" w:eastAsia="sl-SI"/>
        </w:rPr>
        <w:t>,</w:t>
      </w:r>
      <w:r w:rsidRPr="00495482">
        <w:rPr>
          <w:lang w:val="fr-FR" w:eastAsia="sl-SI"/>
        </w:rPr>
        <w:t xml:space="preserve"> sont chargés de réaliser les objectifs de la loi sur l</w:t>
      </w:r>
      <w:r w:rsidR="005D0F0F" w:rsidRPr="00495482">
        <w:rPr>
          <w:lang w:val="fr-FR" w:eastAsia="sl-SI"/>
        </w:rPr>
        <w:t>’</w:t>
      </w:r>
      <w:r w:rsidRPr="00495482">
        <w:rPr>
          <w:lang w:val="fr-FR" w:eastAsia="sl-SI"/>
        </w:rPr>
        <w:t>application du principe de l</w:t>
      </w:r>
      <w:r w:rsidR="005D0F0F" w:rsidRPr="00495482">
        <w:rPr>
          <w:lang w:val="fr-FR" w:eastAsia="sl-SI"/>
        </w:rPr>
        <w:t>’</w:t>
      </w:r>
      <w:r w:rsidRPr="00495482">
        <w:rPr>
          <w:lang w:val="fr-FR" w:eastAsia="sl-SI"/>
        </w:rPr>
        <w:t>égalité de traitement</w:t>
      </w:r>
      <w:r w:rsidR="005D0F0F" w:rsidRPr="00495482">
        <w:rPr>
          <w:lang w:val="fr-FR" w:eastAsia="sl-SI"/>
        </w:rPr>
        <w:t>,</w:t>
      </w:r>
      <w:r w:rsidRPr="00495482">
        <w:rPr>
          <w:lang w:val="fr-FR" w:eastAsia="sl-SI"/>
        </w:rPr>
        <w:t xml:space="preserve"> et de définir des solutions et des propositions en faveur d</w:t>
      </w:r>
      <w:r w:rsidR="005D0F0F" w:rsidRPr="00495482">
        <w:rPr>
          <w:lang w:val="fr-FR" w:eastAsia="sl-SI"/>
        </w:rPr>
        <w:t>’</w:t>
      </w:r>
      <w:r w:rsidRPr="00495482">
        <w:rPr>
          <w:lang w:val="fr-FR" w:eastAsia="sl-SI"/>
        </w:rPr>
        <w:t>une réelle égalité</w:t>
      </w:r>
      <w:r w:rsidR="005D0F0F" w:rsidRPr="00495482">
        <w:rPr>
          <w:lang w:val="fr-FR" w:eastAsia="sl-SI"/>
        </w:rPr>
        <w:t>;</w:t>
      </w:r>
      <w:r w:rsidRPr="00495482">
        <w:rPr>
          <w:lang w:val="fr-FR" w:eastAsia="sl-SI"/>
        </w:rPr>
        <w:t xml:space="preserve"> la loi contraint le gouvernement à renforcer la coopération avec les organisations de la société civile et les institutions professionnelles non gouvernementales. Cette coopération</w:t>
      </w:r>
      <w:r w:rsidR="005D0F0F" w:rsidRPr="00495482">
        <w:rPr>
          <w:lang w:val="fr-FR" w:eastAsia="sl-SI"/>
        </w:rPr>
        <w:t>,</w:t>
      </w:r>
      <w:r w:rsidRPr="00495482">
        <w:rPr>
          <w:lang w:val="fr-FR" w:eastAsia="sl-SI"/>
        </w:rPr>
        <w:t xml:space="preserve"> conformément à la loi</w:t>
      </w:r>
      <w:r w:rsidR="005D0F0F" w:rsidRPr="00495482">
        <w:rPr>
          <w:lang w:val="fr-FR" w:eastAsia="sl-SI"/>
        </w:rPr>
        <w:t>,</w:t>
      </w:r>
      <w:r w:rsidRPr="00495482">
        <w:rPr>
          <w:lang w:val="fr-FR" w:eastAsia="sl-SI"/>
        </w:rPr>
        <w:t xml:space="preserve"> intervient dans le cadre du </w:t>
      </w:r>
      <w:r w:rsidRPr="00495482">
        <w:rPr>
          <w:i/>
          <w:lang w:val="fr-FR" w:eastAsia="sl-SI"/>
        </w:rPr>
        <w:t>Conseil gouvernemental</w:t>
      </w:r>
      <w:r w:rsidR="003D1A4F" w:rsidRPr="00495482">
        <w:rPr>
          <w:i/>
          <w:lang w:val="fr-FR" w:eastAsia="sl-SI"/>
        </w:rPr>
        <w:t xml:space="preserve"> </w:t>
      </w:r>
      <w:r w:rsidRPr="00495482">
        <w:rPr>
          <w:i/>
          <w:lang w:val="fr-FR" w:eastAsia="sl-SI"/>
        </w:rPr>
        <w:t xml:space="preserve">pour la mise en </w:t>
      </w:r>
      <w:r w:rsidR="00CF5C7F" w:rsidRPr="00495482">
        <w:rPr>
          <w:i/>
          <w:lang w:val="fr-FR" w:eastAsia="sl-SI"/>
        </w:rPr>
        <w:t>œuvre</w:t>
      </w:r>
      <w:r w:rsidRPr="00495482">
        <w:rPr>
          <w:i/>
          <w:lang w:val="fr-FR" w:eastAsia="sl-SI"/>
        </w:rPr>
        <w:t xml:space="preserve"> du principe d</w:t>
      </w:r>
      <w:r w:rsidR="005D0F0F" w:rsidRPr="00495482">
        <w:rPr>
          <w:i/>
          <w:lang w:val="fr-FR" w:eastAsia="sl-SI"/>
        </w:rPr>
        <w:t>’</w:t>
      </w:r>
      <w:r w:rsidRPr="00495482">
        <w:rPr>
          <w:i/>
          <w:lang w:val="fr-FR" w:eastAsia="sl-SI"/>
        </w:rPr>
        <w:t xml:space="preserve">égalité de traitement </w:t>
      </w:r>
      <w:r w:rsidRPr="00495482">
        <w:rPr>
          <w:lang w:val="fr-FR" w:eastAsia="sl-SI"/>
        </w:rPr>
        <w:t>spécialement créé</w:t>
      </w:r>
      <w:r w:rsidR="005D0F0F" w:rsidRPr="00495482">
        <w:rPr>
          <w:lang w:val="fr-FR" w:eastAsia="sl-SI"/>
        </w:rPr>
        <w:t>,</w:t>
      </w:r>
      <w:r w:rsidRPr="00495482">
        <w:rPr>
          <w:lang w:val="fr-FR" w:eastAsia="sl-SI"/>
        </w:rPr>
        <w:t xml:space="preserve"> organe consultatif expert auprès du Gouvernement de la République de Slovénie depuis 2005. </w:t>
      </w:r>
    </w:p>
    <w:p w:rsidR="00317603" w:rsidRPr="00495482" w:rsidRDefault="00317603" w:rsidP="0014499F">
      <w:pPr>
        <w:pStyle w:val="SingleTxtG"/>
        <w:rPr>
          <w:lang w:val="fr-FR" w:eastAsia="sl-SI"/>
        </w:rPr>
      </w:pPr>
      <w:r w:rsidRPr="00495482">
        <w:rPr>
          <w:lang w:val="fr-FR" w:eastAsia="sl-SI"/>
        </w:rPr>
        <w:t>26.</w:t>
      </w:r>
      <w:r w:rsidRPr="00495482">
        <w:rPr>
          <w:lang w:val="fr-FR" w:eastAsia="sl-SI"/>
        </w:rPr>
        <w:tab/>
        <w:t>Pour traiter les violations présumées de l</w:t>
      </w:r>
      <w:r w:rsidR="005D0F0F" w:rsidRPr="00495482">
        <w:rPr>
          <w:lang w:val="fr-FR" w:eastAsia="sl-SI"/>
        </w:rPr>
        <w:t>’</w:t>
      </w:r>
      <w:r w:rsidRPr="00495482">
        <w:rPr>
          <w:lang w:val="fr-FR" w:eastAsia="sl-SI"/>
        </w:rPr>
        <w:t>interdiction de toute discrimination</w:t>
      </w:r>
      <w:r w:rsidR="005D0F0F" w:rsidRPr="00495482">
        <w:rPr>
          <w:lang w:val="fr-FR" w:eastAsia="sl-SI"/>
        </w:rPr>
        <w:t>,</w:t>
      </w:r>
      <w:r w:rsidRPr="00495482">
        <w:rPr>
          <w:lang w:val="fr-FR" w:eastAsia="sl-SI"/>
        </w:rPr>
        <w:t xml:space="preserve"> la loi sur l</w:t>
      </w:r>
      <w:r w:rsidR="005D0F0F" w:rsidRPr="00495482">
        <w:rPr>
          <w:lang w:val="fr-FR" w:eastAsia="sl-SI"/>
        </w:rPr>
        <w:t>’</w:t>
      </w:r>
      <w:r w:rsidRPr="00495482">
        <w:rPr>
          <w:lang w:val="fr-FR" w:eastAsia="sl-SI"/>
        </w:rPr>
        <w:t>application du principe de l</w:t>
      </w:r>
      <w:r w:rsidR="005D0F0F" w:rsidRPr="00495482">
        <w:rPr>
          <w:lang w:val="fr-FR" w:eastAsia="sl-SI"/>
        </w:rPr>
        <w:t>’</w:t>
      </w:r>
      <w:r w:rsidRPr="00495482">
        <w:rPr>
          <w:lang w:val="fr-FR" w:eastAsia="sl-SI"/>
        </w:rPr>
        <w:t xml:space="preserve">égalité de traitement a créé le poste de </w:t>
      </w:r>
      <w:r w:rsidRPr="00495482">
        <w:rPr>
          <w:i/>
          <w:lang w:val="fr-FR" w:eastAsia="sl-SI"/>
        </w:rPr>
        <w:t>défenseur du principe d</w:t>
      </w:r>
      <w:r w:rsidR="005D0F0F" w:rsidRPr="00495482">
        <w:rPr>
          <w:i/>
          <w:lang w:val="fr-FR" w:eastAsia="sl-SI"/>
        </w:rPr>
        <w:t>’</w:t>
      </w:r>
      <w:r w:rsidRPr="00495482">
        <w:rPr>
          <w:i/>
          <w:lang w:val="fr-FR" w:eastAsia="sl-SI"/>
        </w:rPr>
        <w:t>égalité</w:t>
      </w:r>
      <w:r w:rsidRPr="00495482">
        <w:rPr>
          <w:lang w:val="fr-FR" w:eastAsia="sl-SI"/>
        </w:rPr>
        <w:t xml:space="preserve"> et défini le rôle des services d</w:t>
      </w:r>
      <w:r w:rsidR="005D0F0F" w:rsidRPr="00495482">
        <w:rPr>
          <w:lang w:val="fr-FR" w:eastAsia="sl-SI"/>
        </w:rPr>
        <w:t>’</w:t>
      </w:r>
      <w:r w:rsidRPr="00495482">
        <w:rPr>
          <w:lang w:val="fr-FR" w:eastAsia="sl-SI"/>
        </w:rPr>
        <w:t>inspection compétents lors des procédures ultérieures.</w:t>
      </w:r>
      <w:r w:rsidR="003D1A4F" w:rsidRPr="00495482">
        <w:rPr>
          <w:lang w:val="fr-FR" w:eastAsia="sl-SI"/>
        </w:rPr>
        <w:t xml:space="preserve"> </w:t>
      </w:r>
    </w:p>
    <w:p w:rsidR="00317603" w:rsidRPr="00495482" w:rsidRDefault="00317603" w:rsidP="0014499F">
      <w:pPr>
        <w:pStyle w:val="SingleTxtG"/>
        <w:rPr>
          <w:lang w:val="fr-FR" w:eastAsia="sl-SI"/>
        </w:rPr>
      </w:pPr>
      <w:r w:rsidRPr="00495482">
        <w:rPr>
          <w:lang w:val="fr-FR" w:eastAsia="sl-SI"/>
        </w:rPr>
        <w:t>27.</w:t>
      </w:r>
      <w:r w:rsidRPr="00495482">
        <w:rPr>
          <w:lang w:val="fr-FR" w:eastAsia="sl-SI"/>
        </w:rPr>
        <w:tab/>
        <w:t>Outre l</w:t>
      </w:r>
      <w:r w:rsidR="005D0F0F" w:rsidRPr="00495482">
        <w:rPr>
          <w:lang w:val="fr-FR" w:eastAsia="sl-SI"/>
        </w:rPr>
        <w:t>’</w:t>
      </w:r>
      <w:r w:rsidRPr="00495482">
        <w:rPr>
          <w:lang w:val="fr-FR" w:eastAsia="sl-SI"/>
        </w:rPr>
        <w:t>adoption d</w:t>
      </w:r>
      <w:r w:rsidR="005D0F0F" w:rsidRPr="00495482">
        <w:rPr>
          <w:lang w:val="fr-FR" w:eastAsia="sl-SI"/>
        </w:rPr>
        <w:t>’</w:t>
      </w:r>
      <w:r w:rsidRPr="00495482">
        <w:rPr>
          <w:lang w:val="fr-FR" w:eastAsia="sl-SI"/>
        </w:rPr>
        <w:t>obligations juridiques</w:t>
      </w:r>
      <w:r w:rsidR="005D0F0F" w:rsidRPr="00495482">
        <w:rPr>
          <w:lang w:val="fr-FR" w:eastAsia="sl-SI"/>
        </w:rPr>
        <w:t>,</w:t>
      </w:r>
      <w:r w:rsidRPr="00495482">
        <w:rPr>
          <w:lang w:val="fr-FR" w:eastAsia="sl-SI"/>
        </w:rPr>
        <w:t xml:space="preserve"> la Slovénie a également renforcé la politique d</w:t>
      </w:r>
      <w:r w:rsidR="005D0F0F" w:rsidRPr="00495482">
        <w:rPr>
          <w:lang w:val="fr-FR" w:eastAsia="sl-SI"/>
        </w:rPr>
        <w:t>’</w:t>
      </w:r>
      <w:r w:rsidRPr="00495482">
        <w:rPr>
          <w:lang w:val="fr-FR" w:eastAsia="sl-SI"/>
        </w:rPr>
        <w:t>égalité des sexes avec un programme national en faveur de l</w:t>
      </w:r>
      <w:r w:rsidR="005D0F0F" w:rsidRPr="00495482">
        <w:rPr>
          <w:lang w:val="fr-FR" w:eastAsia="sl-SI"/>
        </w:rPr>
        <w:t>’</w:t>
      </w:r>
      <w:r w:rsidRPr="00495482">
        <w:rPr>
          <w:lang w:val="fr-FR" w:eastAsia="sl-SI"/>
        </w:rPr>
        <w:t>égalité des chances des femmes et des hommes</w:t>
      </w:r>
      <w:r w:rsidR="005D0F0F" w:rsidRPr="00495482">
        <w:rPr>
          <w:lang w:val="fr-FR" w:eastAsia="sl-SI"/>
        </w:rPr>
        <w:t>,</w:t>
      </w:r>
      <w:r w:rsidRPr="00495482">
        <w:rPr>
          <w:lang w:val="fr-FR" w:eastAsia="sl-SI"/>
        </w:rPr>
        <w:t xml:space="preserve"> à savoir la </w:t>
      </w:r>
      <w:r w:rsidRPr="00495482">
        <w:rPr>
          <w:i/>
          <w:lang w:val="fr-FR" w:eastAsia="sl-SI"/>
        </w:rPr>
        <w:t>résolution relative au programme national d</w:t>
      </w:r>
      <w:r w:rsidR="005D0F0F" w:rsidRPr="00495482">
        <w:rPr>
          <w:i/>
          <w:lang w:val="fr-FR" w:eastAsia="sl-SI"/>
        </w:rPr>
        <w:t>’</w:t>
      </w:r>
      <w:r w:rsidRPr="00495482">
        <w:rPr>
          <w:i/>
          <w:lang w:val="fr-FR" w:eastAsia="sl-SI"/>
        </w:rPr>
        <w:t>égalité des chances des femmes et des hommes</w:t>
      </w:r>
      <w:r w:rsidR="005D0F0F" w:rsidRPr="00495482">
        <w:rPr>
          <w:i/>
          <w:lang w:val="fr-FR" w:eastAsia="sl-SI"/>
        </w:rPr>
        <w:t>,</w:t>
      </w:r>
      <w:r w:rsidR="003D1A4F" w:rsidRPr="00495482">
        <w:rPr>
          <w:i/>
          <w:lang w:val="fr-FR" w:eastAsia="sl-SI"/>
        </w:rPr>
        <w:t xml:space="preserve"> </w:t>
      </w:r>
      <w:r w:rsidRPr="00495482">
        <w:rPr>
          <w:i/>
          <w:lang w:val="fr-FR" w:eastAsia="sl-SI"/>
        </w:rPr>
        <w:t>2005</w:t>
      </w:r>
      <w:r w:rsidR="00CF5C7F" w:rsidRPr="00495482">
        <w:rPr>
          <w:i/>
          <w:lang w:val="fr-FR" w:eastAsia="sl-SI"/>
        </w:rPr>
        <w:t>-</w:t>
      </w:r>
      <w:r w:rsidRPr="00495482">
        <w:rPr>
          <w:i/>
          <w:lang w:val="fr-FR" w:eastAsia="sl-SI"/>
        </w:rPr>
        <w:t>2013</w:t>
      </w:r>
      <w:r w:rsidRPr="00495482">
        <w:rPr>
          <w:rStyle w:val="FootnoteReference"/>
        </w:rPr>
        <w:footnoteReference w:id="19"/>
      </w:r>
      <w:r w:rsidR="003D51E1" w:rsidRPr="00495482">
        <w:rPr>
          <w:lang w:val="fr-FR" w:eastAsia="sl-SI"/>
        </w:rPr>
        <w:t>,</w:t>
      </w:r>
      <w:r w:rsidR="003D1A4F" w:rsidRPr="00495482">
        <w:rPr>
          <w:i/>
          <w:lang w:val="fr-FR" w:eastAsia="sl-SI"/>
        </w:rPr>
        <w:t xml:space="preserve"> </w:t>
      </w:r>
      <w:r w:rsidRPr="00495482">
        <w:rPr>
          <w:lang w:val="fr-FR" w:eastAsia="sl-SI"/>
        </w:rPr>
        <w:t>adoptée par l</w:t>
      </w:r>
      <w:r w:rsidR="005D0F0F" w:rsidRPr="00495482">
        <w:rPr>
          <w:lang w:val="fr-FR" w:eastAsia="sl-SI"/>
        </w:rPr>
        <w:t>’</w:t>
      </w:r>
      <w:r w:rsidRPr="00495482">
        <w:rPr>
          <w:lang w:val="fr-FR" w:eastAsia="sl-SI"/>
        </w:rPr>
        <w:t>Assemblée nationale slovène lors de sa séance du 27</w:t>
      </w:r>
      <w:r w:rsidR="00CF5C7F" w:rsidRPr="00495482">
        <w:rPr>
          <w:lang w:val="fr-FR" w:eastAsia="sl-SI"/>
        </w:rPr>
        <w:t> octobre</w:t>
      </w:r>
      <w:r w:rsidRPr="00495482">
        <w:rPr>
          <w:lang w:val="fr-FR" w:eastAsia="sl-SI"/>
        </w:rPr>
        <w:t xml:space="preserve"> 2005. Cette résolution définit la stratégie de la politique d</w:t>
      </w:r>
      <w:r w:rsidR="005D0F0F" w:rsidRPr="00495482">
        <w:rPr>
          <w:lang w:val="fr-FR" w:eastAsia="sl-SI"/>
        </w:rPr>
        <w:t>’</w:t>
      </w:r>
      <w:r w:rsidRPr="00495482">
        <w:rPr>
          <w:lang w:val="fr-FR" w:eastAsia="sl-SI"/>
        </w:rPr>
        <w:t>égalité des sexes au niveau gouvernemental</w:t>
      </w:r>
      <w:r w:rsidR="005D0F0F" w:rsidRPr="00495482">
        <w:rPr>
          <w:lang w:val="fr-FR" w:eastAsia="sl-SI"/>
        </w:rPr>
        <w:t>,</w:t>
      </w:r>
      <w:r w:rsidRPr="00495482">
        <w:rPr>
          <w:lang w:val="fr-FR" w:eastAsia="sl-SI"/>
        </w:rPr>
        <w:t xml:space="preserve"> fondée sur une coopération horizontale entre le Bureau pour l</w:t>
      </w:r>
      <w:r w:rsidR="005D0F0F" w:rsidRPr="00495482">
        <w:rPr>
          <w:lang w:val="fr-FR" w:eastAsia="sl-SI"/>
        </w:rPr>
        <w:t>’</w:t>
      </w:r>
      <w:r w:rsidRPr="00495482">
        <w:rPr>
          <w:lang w:val="fr-FR" w:eastAsia="sl-SI"/>
        </w:rPr>
        <w:t>égalité des chances</w:t>
      </w:r>
      <w:r w:rsidR="005D0F0F" w:rsidRPr="00495482">
        <w:rPr>
          <w:lang w:val="fr-FR" w:eastAsia="sl-SI"/>
        </w:rPr>
        <w:t>,</w:t>
      </w:r>
      <w:r w:rsidRPr="00495482">
        <w:rPr>
          <w:lang w:val="fr-FR" w:eastAsia="sl-SI"/>
        </w:rPr>
        <w:t xml:space="preserve"> les ministères et les autres services gouvernementaux. </w:t>
      </w:r>
      <w:r w:rsidR="002D2E66" w:rsidRPr="00495482">
        <w:rPr>
          <w:lang w:val="fr-FR" w:eastAsia="sl-SI"/>
        </w:rPr>
        <w:t xml:space="preserve">À </w:t>
      </w:r>
      <w:r w:rsidRPr="00495482">
        <w:rPr>
          <w:lang w:val="fr-FR" w:eastAsia="sl-SI"/>
        </w:rPr>
        <w:t>ce jour</w:t>
      </w:r>
      <w:r w:rsidR="005D0F0F" w:rsidRPr="00495482">
        <w:rPr>
          <w:lang w:val="fr-FR" w:eastAsia="sl-SI"/>
        </w:rPr>
        <w:t>,</w:t>
      </w:r>
      <w:r w:rsidRPr="00495482">
        <w:rPr>
          <w:lang w:val="fr-FR" w:eastAsia="sl-SI"/>
        </w:rPr>
        <w:t xml:space="preserve"> deux plans périodiques ont été mis en </w:t>
      </w:r>
      <w:r w:rsidR="00CF5C7F" w:rsidRPr="00495482">
        <w:rPr>
          <w:lang w:val="fr-FR" w:eastAsia="sl-SI"/>
        </w:rPr>
        <w:t>œuvre</w:t>
      </w:r>
      <w:r w:rsidRPr="00495482">
        <w:rPr>
          <w:lang w:val="fr-FR" w:eastAsia="sl-SI"/>
        </w:rPr>
        <w:t xml:space="preserve"> et le Gouvernement slovène en a adopté un troisième cette année</w:t>
      </w:r>
      <w:r w:rsidR="005D0F0F" w:rsidRPr="00495482">
        <w:rPr>
          <w:lang w:val="fr-FR" w:eastAsia="sl-SI"/>
        </w:rPr>
        <w:t>,</w:t>
      </w:r>
      <w:r w:rsidRPr="00495482">
        <w:rPr>
          <w:lang w:val="fr-FR" w:eastAsia="sl-SI"/>
        </w:rPr>
        <w:t xml:space="preserve"> qui spécifie les activités et les tâches concrètes à accomplir pour réaliser les objectifs d</w:t>
      </w:r>
      <w:r w:rsidR="005D0F0F" w:rsidRPr="00495482">
        <w:rPr>
          <w:lang w:val="fr-FR" w:eastAsia="sl-SI"/>
        </w:rPr>
        <w:t>’</w:t>
      </w:r>
      <w:r w:rsidRPr="00495482">
        <w:rPr>
          <w:lang w:val="fr-FR" w:eastAsia="sl-SI"/>
        </w:rPr>
        <w:t xml:space="preserve">égalité des sexes en 2010-2011. </w:t>
      </w:r>
    </w:p>
    <w:p w:rsidR="00317603" w:rsidRPr="00495482" w:rsidRDefault="00317603" w:rsidP="0014499F">
      <w:pPr>
        <w:pStyle w:val="H23G"/>
        <w:rPr>
          <w:lang w:val="fr-FR" w:eastAsia="sl-SI"/>
        </w:rPr>
      </w:pPr>
      <w:r w:rsidRPr="00495482">
        <w:rPr>
          <w:lang w:val="fr-FR" w:eastAsia="sl-SI"/>
        </w:rPr>
        <w:tab/>
      </w:r>
      <w:r w:rsidRPr="00495482">
        <w:rPr>
          <w:lang w:val="fr-FR" w:eastAsia="sl-SI"/>
        </w:rPr>
        <w:tab/>
        <w:t>Égalité d</w:t>
      </w:r>
      <w:r w:rsidR="005D0F0F" w:rsidRPr="00495482">
        <w:rPr>
          <w:lang w:val="fr-FR" w:eastAsia="sl-SI"/>
        </w:rPr>
        <w:t>’</w:t>
      </w:r>
      <w:r w:rsidRPr="00495482">
        <w:rPr>
          <w:lang w:val="fr-FR" w:eastAsia="sl-SI"/>
        </w:rPr>
        <w:t>exercice de tous les droits économiques</w:t>
      </w:r>
      <w:r w:rsidR="005D0F0F" w:rsidRPr="00495482">
        <w:rPr>
          <w:lang w:val="fr-FR" w:eastAsia="sl-SI"/>
        </w:rPr>
        <w:t>,</w:t>
      </w:r>
      <w:r w:rsidRPr="00495482">
        <w:rPr>
          <w:lang w:val="fr-FR" w:eastAsia="sl-SI"/>
        </w:rPr>
        <w:t xml:space="preserve"> sociaux et culturels des femmes et des hommes</w:t>
      </w:r>
      <w:r w:rsidR="003D1A4F" w:rsidRPr="00495482">
        <w:rPr>
          <w:lang w:val="fr-FR" w:eastAsia="sl-SI"/>
        </w:rPr>
        <w:t xml:space="preserve"> </w:t>
      </w:r>
    </w:p>
    <w:p w:rsidR="00317603" w:rsidRPr="00495482" w:rsidRDefault="00317603" w:rsidP="0014499F">
      <w:pPr>
        <w:pStyle w:val="SingleTxtG"/>
        <w:rPr>
          <w:lang w:val="fr-FR" w:eastAsia="sl-SI"/>
        </w:rPr>
      </w:pPr>
      <w:r w:rsidRPr="00495482">
        <w:rPr>
          <w:lang w:val="fr-FR" w:eastAsia="sl-SI"/>
        </w:rPr>
        <w:t>28.</w:t>
      </w:r>
      <w:r w:rsidRPr="00495482">
        <w:rPr>
          <w:lang w:val="fr-FR" w:eastAsia="sl-SI"/>
        </w:rPr>
        <w:tab/>
        <w:t xml:space="preserve">Le quatrième rapport périodique de la République de Slovénie sur la mise en </w:t>
      </w:r>
      <w:r w:rsidR="00CF5C7F" w:rsidRPr="00495482">
        <w:rPr>
          <w:lang w:val="fr-FR" w:eastAsia="sl-SI"/>
        </w:rPr>
        <w:t>œuvre</w:t>
      </w:r>
      <w:r w:rsidRPr="00495482">
        <w:rPr>
          <w:lang w:val="fr-FR" w:eastAsia="sl-SI"/>
        </w:rPr>
        <w:t xml:space="preserve"> de la Convention sur l</w:t>
      </w:r>
      <w:r w:rsidR="005D0F0F" w:rsidRPr="00495482">
        <w:rPr>
          <w:lang w:val="fr-FR" w:eastAsia="sl-SI"/>
        </w:rPr>
        <w:t>’</w:t>
      </w:r>
      <w:r w:rsidRPr="00495482">
        <w:rPr>
          <w:lang w:val="fr-FR" w:eastAsia="sl-SI"/>
        </w:rPr>
        <w:t>élimination de toutes les formes de discrimination à l</w:t>
      </w:r>
      <w:r w:rsidR="005D0F0F" w:rsidRPr="00495482">
        <w:rPr>
          <w:lang w:val="fr-FR" w:eastAsia="sl-SI"/>
        </w:rPr>
        <w:t>’</w:t>
      </w:r>
      <w:r w:rsidRPr="00495482">
        <w:rPr>
          <w:lang w:val="fr-FR" w:eastAsia="sl-SI"/>
        </w:rPr>
        <w:t>égard des femmes présente en détail les progrès accomplis dans l</w:t>
      </w:r>
      <w:r w:rsidR="005D0F0F" w:rsidRPr="00495482">
        <w:rPr>
          <w:lang w:val="fr-FR" w:eastAsia="sl-SI"/>
        </w:rPr>
        <w:t>’</w:t>
      </w:r>
      <w:r w:rsidRPr="00495482">
        <w:rPr>
          <w:lang w:val="fr-FR" w:eastAsia="sl-SI"/>
        </w:rPr>
        <w:t>exercice des droits économiques</w:t>
      </w:r>
      <w:r w:rsidR="005D0F0F" w:rsidRPr="00495482">
        <w:rPr>
          <w:lang w:val="fr-FR" w:eastAsia="sl-SI"/>
        </w:rPr>
        <w:t>,</w:t>
      </w:r>
      <w:r w:rsidRPr="00495482">
        <w:rPr>
          <w:lang w:val="fr-FR" w:eastAsia="sl-SI"/>
        </w:rPr>
        <w:t xml:space="preserve"> sociaux et culturels des femmes sur la base de l</w:t>
      </w:r>
      <w:r w:rsidR="005D0F0F" w:rsidRPr="00495482">
        <w:rPr>
          <w:lang w:val="fr-FR" w:eastAsia="sl-SI"/>
        </w:rPr>
        <w:t>’</w:t>
      </w:r>
      <w:r w:rsidRPr="00495482">
        <w:rPr>
          <w:lang w:val="fr-FR" w:eastAsia="sl-SI"/>
        </w:rPr>
        <w:t>égalité avec les hommes</w:t>
      </w:r>
      <w:r w:rsidR="005D0F0F" w:rsidRPr="00495482">
        <w:rPr>
          <w:lang w:val="fr-FR" w:eastAsia="sl-SI"/>
        </w:rPr>
        <w:t>,</w:t>
      </w:r>
      <w:r w:rsidRPr="00495482">
        <w:rPr>
          <w:lang w:val="fr-FR" w:eastAsia="sl-SI"/>
        </w:rPr>
        <w:t xml:space="preserve"> et dans la réalisation d</w:t>
      </w:r>
      <w:r w:rsidR="005D0F0F" w:rsidRPr="00495482">
        <w:rPr>
          <w:lang w:val="fr-FR" w:eastAsia="sl-SI"/>
        </w:rPr>
        <w:t>’</w:t>
      </w:r>
      <w:r w:rsidRPr="00495482">
        <w:rPr>
          <w:lang w:val="fr-FR" w:eastAsia="sl-SI"/>
        </w:rPr>
        <w:t>une réelle égalité entre les</w:t>
      </w:r>
      <w:r w:rsidR="003D1A4F" w:rsidRPr="00495482">
        <w:rPr>
          <w:lang w:val="fr-FR" w:eastAsia="sl-SI"/>
        </w:rPr>
        <w:t xml:space="preserve"> </w:t>
      </w:r>
      <w:r w:rsidRPr="00495482">
        <w:rPr>
          <w:lang w:val="fr-FR" w:eastAsia="sl-SI"/>
        </w:rPr>
        <w:t>sexes. Ce rapport a été examiné par le Comité pour l</w:t>
      </w:r>
      <w:r w:rsidR="005D0F0F" w:rsidRPr="00495482">
        <w:rPr>
          <w:lang w:val="fr-FR" w:eastAsia="sl-SI"/>
        </w:rPr>
        <w:t>’</w:t>
      </w:r>
      <w:r w:rsidRPr="00495482">
        <w:rPr>
          <w:lang w:val="fr-FR" w:eastAsia="sl-SI"/>
        </w:rPr>
        <w:t>élimination de la discrimination à l</w:t>
      </w:r>
      <w:r w:rsidR="005D0F0F" w:rsidRPr="00495482">
        <w:rPr>
          <w:lang w:val="fr-FR" w:eastAsia="sl-SI"/>
        </w:rPr>
        <w:t>’</w:t>
      </w:r>
      <w:r w:rsidRPr="00495482">
        <w:rPr>
          <w:lang w:val="fr-FR" w:eastAsia="sl-SI"/>
        </w:rPr>
        <w:t>égard des femmes</w:t>
      </w:r>
      <w:r w:rsidRPr="00495482">
        <w:rPr>
          <w:rStyle w:val="FootnoteReference"/>
        </w:rPr>
        <w:footnoteReference w:id="20"/>
      </w:r>
      <w:r w:rsidRPr="00495482">
        <w:rPr>
          <w:lang w:val="fr-FR" w:eastAsia="sl-SI"/>
        </w:rPr>
        <w:t xml:space="preserve"> lors de sa 42</w:t>
      </w:r>
      <w:r w:rsidRPr="00495482">
        <w:rPr>
          <w:vertAlign w:val="superscript"/>
          <w:lang w:val="fr-FR" w:eastAsia="sl-SI"/>
        </w:rPr>
        <w:t>e</w:t>
      </w:r>
      <w:r w:rsidR="002D2E66" w:rsidRPr="00495482">
        <w:rPr>
          <w:lang w:val="fr-FR" w:eastAsia="sl-SI"/>
        </w:rPr>
        <w:t> </w:t>
      </w:r>
      <w:r w:rsidRPr="00495482">
        <w:rPr>
          <w:lang w:val="fr-FR" w:eastAsia="sl-SI"/>
        </w:rPr>
        <w:t>séance (le 24</w:t>
      </w:r>
      <w:r w:rsidR="00CF5C7F" w:rsidRPr="00495482">
        <w:rPr>
          <w:lang w:val="fr-FR" w:eastAsia="sl-SI"/>
        </w:rPr>
        <w:t> octobre</w:t>
      </w:r>
      <w:r w:rsidRPr="00495482">
        <w:rPr>
          <w:lang w:val="fr-FR" w:eastAsia="sl-SI"/>
        </w:rPr>
        <w:t xml:space="preserve"> 2008).</w:t>
      </w:r>
      <w:r w:rsidR="003D1A4F" w:rsidRPr="00495482">
        <w:rPr>
          <w:lang w:val="fr-FR" w:eastAsia="sl-SI"/>
        </w:rPr>
        <w:t xml:space="preserve"> </w:t>
      </w:r>
    </w:p>
    <w:p w:rsidR="00317603" w:rsidRPr="00495482" w:rsidRDefault="00317603" w:rsidP="0014499F">
      <w:pPr>
        <w:pStyle w:val="H23G"/>
        <w:rPr>
          <w:lang w:val="fr-FR" w:eastAsia="sl-SI"/>
        </w:rPr>
      </w:pPr>
      <w:r w:rsidRPr="00495482">
        <w:rPr>
          <w:lang w:val="fr-FR" w:eastAsia="sl-SI"/>
        </w:rPr>
        <w:tab/>
      </w:r>
      <w:r w:rsidRPr="00495482">
        <w:rPr>
          <w:lang w:val="fr-FR" w:eastAsia="sl-SI"/>
        </w:rPr>
        <w:tab/>
        <w:t>Prévention de la violence à l</w:t>
      </w:r>
      <w:r w:rsidR="005D0F0F" w:rsidRPr="00495482">
        <w:rPr>
          <w:lang w:val="fr-FR" w:eastAsia="sl-SI"/>
        </w:rPr>
        <w:t>’</w:t>
      </w:r>
      <w:r w:rsidRPr="00495482">
        <w:rPr>
          <w:lang w:val="fr-FR" w:eastAsia="sl-SI"/>
        </w:rPr>
        <w:t>égard des femmes</w:t>
      </w:r>
    </w:p>
    <w:p w:rsidR="00317603" w:rsidRPr="00495482" w:rsidRDefault="00317603" w:rsidP="0014499F">
      <w:pPr>
        <w:pStyle w:val="SingleTxtG"/>
        <w:rPr>
          <w:lang w:val="fr-FR" w:eastAsia="sl-SI"/>
        </w:rPr>
      </w:pPr>
      <w:r w:rsidRPr="00495482">
        <w:rPr>
          <w:lang w:val="fr-FR" w:eastAsia="sl-SI"/>
        </w:rPr>
        <w:t>29.</w:t>
      </w:r>
      <w:r w:rsidRPr="00495482">
        <w:rPr>
          <w:lang w:val="fr-FR" w:eastAsia="sl-SI"/>
        </w:rPr>
        <w:tab/>
        <w:t>Pour déterminer les besoins des victimes de violence (voir tableaux en annexe I)</w:t>
      </w:r>
      <w:r w:rsidR="005D0F0F" w:rsidRPr="00495482">
        <w:rPr>
          <w:lang w:val="fr-FR" w:eastAsia="sl-SI"/>
        </w:rPr>
        <w:t>,</w:t>
      </w:r>
      <w:r w:rsidRPr="00495482">
        <w:rPr>
          <w:lang w:val="fr-FR" w:eastAsia="sl-SI"/>
        </w:rPr>
        <w:t xml:space="preserve"> sous quelles formes celle-ci se manifeste</w:t>
      </w:r>
      <w:r w:rsidR="005D0F0F" w:rsidRPr="00495482">
        <w:rPr>
          <w:lang w:val="fr-FR" w:eastAsia="sl-SI"/>
        </w:rPr>
        <w:t>,</w:t>
      </w:r>
      <w:r w:rsidRPr="00495482">
        <w:rPr>
          <w:lang w:val="fr-FR" w:eastAsia="sl-SI"/>
        </w:rPr>
        <w:t xml:space="preserve"> à quelle fréquence et quels en sont les seuils</w:t>
      </w:r>
      <w:r w:rsidR="005D0F0F" w:rsidRPr="00495482">
        <w:rPr>
          <w:lang w:val="fr-FR" w:eastAsia="sl-SI"/>
        </w:rPr>
        <w:t>,</w:t>
      </w:r>
      <w:r w:rsidRPr="00495482">
        <w:rPr>
          <w:lang w:val="fr-FR" w:eastAsia="sl-SI"/>
        </w:rPr>
        <w:t xml:space="preserve"> quel</w:t>
      </w:r>
      <w:r w:rsidR="0014499F" w:rsidRPr="00495482">
        <w:rPr>
          <w:lang w:val="fr-FR" w:eastAsia="sl-SI"/>
        </w:rPr>
        <w:t>les personnes</w:t>
      </w:r>
      <w:r w:rsidRPr="00495482">
        <w:rPr>
          <w:lang w:val="fr-FR" w:eastAsia="sl-SI"/>
        </w:rPr>
        <w:t xml:space="preserve"> appartiennent aux groupes les plus vulnérables</w:t>
      </w:r>
      <w:r w:rsidR="005D0F0F" w:rsidRPr="00495482">
        <w:rPr>
          <w:lang w:val="fr-FR" w:eastAsia="sl-SI"/>
        </w:rPr>
        <w:t>,</w:t>
      </w:r>
      <w:r w:rsidRPr="00495482">
        <w:rPr>
          <w:lang w:val="fr-FR" w:eastAsia="sl-SI"/>
        </w:rPr>
        <w:t xml:space="preserve"> et pour évaluer la pertinence et l</w:t>
      </w:r>
      <w:r w:rsidR="005D0F0F" w:rsidRPr="00495482">
        <w:rPr>
          <w:lang w:val="fr-FR" w:eastAsia="sl-SI"/>
        </w:rPr>
        <w:t>’</w:t>
      </w:r>
      <w:r w:rsidRPr="00495482">
        <w:rPr>
          <w:lang w:val="fr-FR" w:eastAsia="sl-SI"/>
        </w:rPr>
        <w:t>efficacité des institutions compétentes et créer ainsi un système de collecte des données</w:t>
      </w:r>
      <w:r w:rsidR="005D0F0F" w:rsidRPr="00495482">
        <w:rPr>
          <w:lang w:val="fr-FR" w:eastAsia="sl-SI"/>
        </w:rPr>
        <w:t>,</w:t>
      </w:r>
      <w:r w:rsidRPr="00495482">
        <w:rPr>
          <w:lang w:val="fr-FR" w:eastAsia="sl-SI"/>
        </w:rPr>
        <w:t xml:space="preserve"> le Bureau pour l</w:t>
      </w:r>
      <w:r w:rsidR="005D0F0F" w:rsidRPr="00495482">
        <w:rPr>
          <w:lang w:val="fr-FR" w:eastAsia="sl-SI"/>
        </w:rPr>
        <w:t>’</w:t>
      </w:r>
      <w:r w:rsidRPr="00495482">
        <w:rPr>
          <w:lang w:val="fr-FR" w:eastAsia="sl-SI"/>
        </w:rPr>
        <w:t>égalité des chances et la police</w:t>
      </w:r>
      <w:r w:rsidR="005D0F0F" w:rsidRPr="00495482">
        <w:rPr>
          <w:lang w:val="fr-FR" w:eastAsia="sl-SI"/>
        </w:rPr>
        <w:t>,</w:t>
      </w:r>
      <w:r w:rsidRPr="00495482">
        <w:rPr>
          <w:lang w:val="fr-FR" w:eastAsia="sl-SI"/>
        </w:rPr>
        <w:t xml:space="preserve"> ont</w:t>
      </w:r>
      <w:r w:rsidR="005D0F0F" w:rsidRPr="00495482">
        <w:rPr>
          <w:lang w:val="fr-FR" w:eastAsia="sl-SI"/>
        </w:rPr>
        <w:t>,</w:t>
      </w:r>
      <w:r w:rsidRPr="00495482">
        <w:rPr>
          <w:lang w:val="fr-FR" w:eastAsia="sl-SI"/>
        </w:rPr>
        <w:t xml:space="preserve"> en se fondant sur un programme de recherche ciblé</w:t>
      </w:r>
      <w:r w:rsidR="005D0F0F" w:rsidRPr="00495482">
        <w:rPr>
          <w:lang w:val="fr-FR" w:eastAsia="sl-SI"/>
        </w:rPr>
        <w:t>,</w:t>
      </w:r>
      <w:r w:rsidRPr="00495482">
        <w:rPr>
          <w:lang w:val="fr-FR" w:eastAsia="sl-SI"/>
        </w:rPr>
        <w:t xml:space="preserve"> cofinancé un projet de recherche intitulé </w:t>
      </w:r>
      <w:r w:rsidR="009D589F" w:rsidRPr="00495482">
        <w:rPr>
          <w:lang w:val="fr-FR" w:eastAsia="sl-SI"/>
        </w:rPr>
        <w:t>«</w:t>
      </w:r>
      <w:r w:rsidRPr="00495482">
        <w:rPr>
          <w:lang w:val="fr-FR" w:eastAsia="sl-SI"/>
        </w:rPr>
        <w:t>Le phénomène de la violence et les mesures pour le combattre dans la sphère privée</w:t>
      </w:r>
      <w:r w:rsidR="003D1A4F" w:rsidRPr="00495482">
        <w:rPr>
          <w:lang w:val="fr-FR" w:eastAsia="sl-SI"/>
        </w:rPr>
        <w:t xml:space="preserve"> </w:t>
      </w:r>
      <w:r w:rsidRPr="00495482">
        <w:rPr>
          <w:lang w:val="fr-FR" w:eastAsia="sl-SI"/>
        </w:rPr>
        <w:t>et dans les relations entre partenaires</w:t>
      </w:r>
      <w:r w:rsidR="00274387" w:rsidRPr="00495482">
        <w:rPr>
          <w:lang w:val="fr-FR" w:eastAsia="sl-SI"/>
        </w:rPr>
        <w:t>»</w:t>
      </w:r>
      <w:r w:rsidR="005D0F0F" w:rsidRPr="00495482">
        <w:rPr>
          <w:lang w:val="fr-FR" w:eastAsia="sl-SI"/>
        </w:rPr>
        <w:t>,</w:t>
      </w:r>
      <w:r w:rsidRPr="00495482">
        <w:rPr>
          <w:lang w:val="fr-FR" w:eastAsia="sl-SI"/>
        </w:rPr>
        <w:t xml:space="preserve"> qui s</w:t>
      </w:r>
      <w:r w:rsidR="005D0F0F" w:rsidRPr="00495482">
        <w:rPr>
          <w:lang w:val="fr-FR" w:eastAsia="sl-SI"/>
        </w:rPr>
        <w:t>’</w:t>
      </w:r>
      <w:r w:rsidRPr="00495482">
        <w:rPr>
          <w:lang w:val="fr-FR" w:eastAsia="sl-SI"/>
        </w:rPr>
        <w:t xml:space="preserve">est achevé en 2011. </w:t>
      </w:r>
    </w:p>
    <w:p w:rsidR="00317603" w:rsidRPr="00495482" w:rsidRDefault="00317603" w:rsidP="0014499F">
      <w:pPr>
        <w:pStyle w:val="SingleTxtG"/>
        <w:rPr>
          <w:lang w:val="fr-FR" w:eastAsia="sl-SI"/>
        </w:rPr>
      </w:pPr>
      <w:r w:rsidRPr="00495482">
        <w:rPr>
          <w:lang w:val="fr-FR" w:eastAsia="sl-SI"/>
        </w:rPr>
        <w:t>30.</w:t>
      </w:r>
      <w:r w:rsidRPr="00495482">
        <w:rPr>
          <w:lang w:val="fr-FR" w:eastAsia="sl-SI"/>
        </w:rPr>
        <w:tab/>
        <w:t>Dans le domaine de la violence à l</w:t>
      </w:r>
      <w:r w:rsidR="005D0F0F" w:rsidRPr="00495482">
        <w:rPr>
          <w:lang w:val="fr-FR" w:eastAsia="sl-SI"/>
        </w:rPr>
        <w:t>’</w:t>
      </w:r>
      <w:r w:rsidRPr="00495482">
        <w:rPr>
          <w:lang w:val="fr-FR" w:eastAsia="sl-SI"/>
        </w:rPr>
        <w:t>égard des femmes</w:t>
      </w:r>
      <w:r w:rsidR="005D0F0F" w:rsidRPr="00495482">
        <w:rPr>
          <w:lang w:val="fr-FR" w:eastAsia="sl-SI"/>
        </w:rPr>
        <w:t>,</w:t>
      </w:r>
      <w:r w:rsidRPr="00495482">
        <w:rPr>
          <w:lang w:val="fr-FR" w:eastAsia="sl-SI"/>
        </w:rPr>
        <w:t xml:space="preserve"> le Bureau pour l</w:t>
      </w:r>
      <w:r w:rsidR="005D0F0F" w:rsidRPr="00495482">
        <w:rPr>
          <w:lang w:val="fr-FR" w:eastAsia="sl-SI"/>
        </w:rPr>
        <w:t>’</w:t>
      </w:r>
      <w:r w:rsidRPr="00495482">
        <w:rPr>
          <w:lang w:val="fr-FR" w:eastAsia="sl-SI"/>
        </w:rPr>
        <w:t>égalité des chances s</w:t>
      </w:r>
      <w:r w:rsidR="005D0F0F" w:rsidRPr="00495482">
        <w:rPr>
          <w:lang w:val="fr-FR" w:eastAsia="sl-SI"/>
        </w:rPr>
        <w:t>’</w:t>
      </w:r>
      <w:r w:rsidRPr="00495482">
        <w:rPr>
          <w:lang w:val="fr-FR" w:eastAsia="sl-SI"/>
        </w:rPr>
        <w:t>emploie notamment chaque année</w:t>
      </w:r>
      <w:r w:rsidR="005D0F0F" w:rsidRPr="00495482">
        <w:rPr>
          <w:lang w:val="fr-FR" w:eastAsia="sl-SI"/>
        </w:rPr>
        <w:t>,</w:t>
      </w:r>
      <w:r w:rsidR="003D1A4F" w:rsidRPr="00495482">
        <w:rPr>
          <w:lang w:val="fr-FR" w:eastAsia="sl-SI"/>
        </w:rPr>
        <w:t xml:space="preserve"> </w:t>
      </w:r>
      <w:r w:rsidRPr="00495482">
        <w:rPr>
          <w:lang w:val="fr-FR" w:eastAsia="sl-SI"/>
        </w:rPr>
        <w:t>lors de la Journée internationale en faveur de l</w:t>
      </w:r>
      <w:r w:rsidR="005D0F0F" w:rsidRPr="00495482">
        <w:rPr>
          <w:lang w:val="fr-FR" w:eastAsia="sl-SI"/>
        </w:rPr>
        <w:t>’</w:t>
      </w:r>
      <w:r w:rsidRPr="00495482">
        <w:rPr>
          <w:lang w:val="fr-FR" w:eastAsia="sl-SI"/>
        </w:rPr>
        <w:t>élimination de la violence à l</w:t>
      </w:r>
      <w:r w:rsidR="005D0F0F" w:rsidRPr="00495482">
        <w:rPr>
          <w:lang w:val="fr-FR" w:eastAsia="sl-SI"/>
        </w:rPr>
        <w:t>’</w:t>
      </w:r>
      <w:r w:rsidRPr="00495482">
        <w:rPr>
          <w:lang w:val="fr-FR" w:eastAsia="sl-SI"/>
        </w:rPr>
        <w:t>égard des femmes</w:t>
      </w:r>
      <w:r w:rsidR="005D0F0F" w:rsidRPr="00495482">
        <w:rPr>
          <w:lang w:val="fr-FR" w:eastAsia="sl-SI"/>
        </w:rPr>
        <w:t>,</w:t>
      </w:r>
      <w:r w:rsidRPr="00495482">
        <w:rPr>
          <w:lang w:val="fr-FR" w:eastAsia="sl-SI"/>
        </w:rPr>
        <w:t xml:space="preserve"> à appeler l</w:t>
      </w:r>
      <w:r w:rsidR="005D0F0F" w:rsidRPr="00495482">
        <w:rPr>
          <w:lang w:val="fr-FR" w:eastAsia="sl-SI"/>
        </w:rPr>
        <w:t>’</w:t>
      </w:r>
      <w:r w:rsidRPr="00495482">
        <w:rPr>
          <w:lang w:val="fr-FR" w:eastAsia="sl-SI"/>
        </w:rPr>
        <w:t>attention sur des formes de violence auxquelles on porte peu d</w:t>
      </w:r>
      <w:r w:rsidR="005D0F0F" w:rsidRPr="00495482">
        <w:rPr>
          <w:lang w:val="fr-FR" w:eastAsia="sl-SI"/>
        </w:rPr>
        <w:t>’</w:t>
      </w:r>
      <w:r w:rsidRPr="00495482">
        <w:rPr>
          <w:lang w:val="fr-FR" w:eastAsia="sl-SI"/>
        </w:rPr>
        <w:t>intérêt. Il y a quelques années</w:t>
      </w:r>
      <w:r w:rsidR="005D0F0F" w:rsidRPr="00495482">
        <w:rPr>
          <w:lang w:val="fr-FR" w:eastAsia="sl-SI"/>
        </w:rPr>
        <w:t>,</w:t>
      </w:r>
      <w:r w:rsidRPr="00495482">
        <w:rPr>
          <w:lang w:val="fr-FR" w:eastAsia="sl-SI"/>
        </w:rPr>
        <w:t xml:space="preserve"> une attention particulière a ainsi été accordée à la violence exercée contre les femmes âgées</w:t>
      </w:r>
      <w:r w:rsidR="005D0F0F" w:rsidRPr="00495482">
        <w:rPr>
          <w:lang w:val="fr-FR" w:eastAsia="sl-SI"/>
        </w:rPr>
        <w:t>,</w:t>
      </w:r>
      <w:r w:rsidRPr="00495482">
        <w:rPr>
          <w:lang w:val="fr-FR" w:eastAsia="sl-SI"/>
        </w:rPr>
        <w:t xml:space="preserve"> et en 2009 à celle exercée lors des rendez-vous amoureux. Pour sensibiliser davantage les jeunes filles en particulier</w:t>
      </w:r>
      <w:r w:rsidR="005D0F0F" w:rsidRPr="00495482">
        <w:rPr>
          <w:lang w:val="fr-FR" w:eastAsia="sl-SI"/>
        </w:rPr>
        <w:t>,</w:t>
      </w:r>
      <w:r w:rsidRPr="00495482">
        <w:rPr>
          <w:lang w:val="fr-FR" w:eastAsia="sl-SI"/>
        </w:rPr>
        <w:t xml:space="preserve"> qui en sont le plus souvent victimes</w:t>
      </w:r>
      <w:r w:rsidR="005D0F0F" w:rsidRPr="00495482">
        <w:rPr>
          <w:lang w:val="fr-FR" w:eastAsia="sl-SI"/>
        </w:rPr>
        <w:t>,</w:t>
      </w:r>
      <w:r w:rsidRPr="00495482">
        <w:rPr>
          <w:lang w:val="fr-FR" w:eastAsia="sl-SI"/>
        </w:rPr>
        <w:t xml:space="preserve"> il a été publié une brochure qui souligne le caractère violent de certains actes et indique où trouver de l</w:t>
      </w:r>
      <w:r w:rsidR="005D0F0F" w:rsidRPr="00495482">
        <w:rPr>
          <w:lang w:val="fr-FR" w:eastAsia="sl-SI"/>
        </w:rPr>
        <w:t>’</w:t>
      </w:r>
      <w:r w:rsidRPr="00495482">
        <w:rPr>
          <w:lang w:val="fr-FR" w:eastAsia="sl-SI"/>
        </w:rPr>
        <w:t>aide. Cette brochure s</w:t>
      </w:r>
      <w:r w:rsidR="005D0F0F" w:rsidRPr="00495482">
        <w:rPr>
          <w:lang w:val="fr-FR" w:eastAsia="sl-SI"/>
        </w:rPr>
        <w:t>’</w:t>
      </w:r>
      <w:r w:rsidRPr="00495482">
        <w:rPr>
          <w:lang w:val="fr-FR" w:eastAsia="sl-SI"/>
        </w:rPr>
        <w:t>adresse aussi aux garçons. Le Bureau a également enquêté auprès de la population étudiante au moyen d</w:t>
      </w:r>
      <w:r w:rsidR="005D0F0F" w:rsidRPr="00495482">
        <w:rPr>
          <w:lang w:val="fr-FR" w:eastAsia="sl-SI"/>
        </w:rPr>
        <w:t>’</w:t>
      </w:r>
      <w:r w:rsidRPr="00495482">
        <w:rPr>
          <w:lang w:val="fr-FR" w:eastAsia="sl-SI"/>
        </w:rPr>
        <w:t>un questionnaire sur les expériences de violence lors des rendez-vous amoureux</w:t>
      </w:r>
      <w:r w:rsidR="005D0F0F" w:rsidRPr="00495482">
        <w:rPr>
          <w:lang w:val="fr-FR" w:eastAsia="sl-SI"/>
        </w:rPr>
        <w:t>,</w:t>
      </w:r>
      <w:r w:rsidRPr="00495482">
        <w:rPr>
          <w:lang w:val="fr-FR" w:eastAsia="sl-SI"/>
        </w:rPr>
        <w:t xml:space="preserve"> et distribué au personnel des services de conseil et autres personnels des établissements secondaires un formulaire indiquant comment reconnaître et traiter ce type de violence.</w:t>
      </w:r>
      <w:r w:rsidR="003D1A4F" w:rsidRPr="00495482">
        <w:rPr>
          <w:lang w:val="fr-FR" w:eastAsia="sl-SI"/>
        </w:rPr>
        <w:t xml:space="preserve"> </w:t>
      </w:r>
      <w:r w:rsidRPr="00495482">
        <w:rPr>
          <w:lang w:val="fr-FR" w:eastAsia="sl-SI"/>
        </w:rPr>
        <w:t>Pour identifier de manière précoce les signes de violence lors des relations entre partenaires chez les jeunes</w:t>
      </w:r>
      <w:r w:rsidR="005D0F0F" w:rsidRPr="00495482">
        <w:rPr>
          <w:lang w:val="fr-FR" w:eastAsia="sl-SI"/>
        </w:rPr>
        <w:t>,</w:t>
      </w:r>
      <w:r w:rsidRPr="00495482">
        <w:rPr>
          <w:lang w:val="fr-FR" w:eastAsia="sl-SI"/>
        </w:rPr>
        <w:t xml:space="preserve"> une réunion a de même été organisée en mai 2010 à l</w:t>
      </w:r>
      <w:r w:rsidR="005D0F0F" w:rsidRPr="00495482">
        <w:rPr>
          <w:lang w:val="fr-FR" w:eastAsia="sl-SI"/>
        </w:rPr>
        <w:t>’</w:t>
      </w:r>
      <w:r w:rsidRPr="00495482">
        <w:rPr>
          <w:lang w:val="fr-FR" w:eastAsia="sl-SI"/>
        </w:rPr>
        <w:t>intention du personnel des services de conseil et autres personnels des établissements primaires et secondaires</w:t>
      </w:r>
      <w:r w:rsidR="005D0F0F" w:rsidRPr="00495482">
        <w:rPr>
          <w:lang w:val="fr-FR" w:eastAsia="sl-SI"/>
        </w:rPr>
        <w:t>,</w:t>
      </w:r>
      <w:r w:rsidRPr="00495482">
        <w:rPr>
          <w:lang w:val="fr-FR" w:eastAsia="sl-SI"/>
        </w:rPr>
        <w:t xml:space="preserve"> des centres d</w:t>
      </w:r>
      <w:r w:rsidR="005D0F0F" w:rsidRPr="00495482">
        <w:rPr>
          <w:lang w:val="fr-FR" w:eastAsia="sl-SI"/>
        </w:rPr>
        <w:t>’</w:t>
      </w:r>
      <w:r w:rsidRPr="00495482">
        <w:rPr>
          <w:lang w:val="fr-FR" w:eastAsia="sl-SI"/>
        </w:rPr>
        <w:t>action sociale</w:t>
      </w:r>
      <w:r w:rsidR="005D0F0F" w:rsidRPr="00495482">
        <w:rPr>
          <w:lang w:val="fr-FR" w:eastAsia="sl-SI"/>
        </w:rPr>
        <w:t>,</w:t>
      </w:r>
      <w:r w:rsidRPr="00495482">
        <w:rPr>
          <w:lang w:val="fr-FR" w:eastAsia="sl-SI"/>
        </w:rPr>
        <w:t xml:space="preserve"> de la police</w:t>
      </w:r>
      <w:r w:rsidR="005D0F0F" w:rsidRPr="00495482">
        <w:rPr>
          <w:lang w:val="fr-FR" w:eastAsia="sl-SI"/>
        </w:rPr>
        <w:t>,</w:t>
      </w:r>
      <w:r w:rsidRPr="00495482">
        <w:rPr>
          <w:lang w:val="fr-FR" w:eastAsia="sl-SI"/>
        </w:rPr>
        <w:t xml:space="preserve"> des bureaux des procureurs</w:t>
      </w:r>
      <w:r w:rsidR="005D0F0F" w:rsidRPr="00495482">
        <w:rPr>
          <w:lang w:val="fr-FR" w:eastAsia="sl-SI"/>
        </w:rPr>
        <w:t>,</w:t>
      </w:r>
      <w:r w:rsidRPr="00495482">
        <w:rPr>
          <w:lang w:val="fr-FR" w:eastAsia="sl-SI"/>
        </w:rPr>
        <w:t xml:space="preserve"> des organisations non gouvernementales et </w:t>
      </w:r>
      <w:r w:rsidR="008F7FB7" w:rsidRPr="00495482">
        <w:rPr>
          <w:lang w:val="fr-FR" w:eastAsia="sl-SI"/>
        </w:rPr>
        <w:t>autres personnes</w:t>
      </w:r>
      <w:r w:rsidRPr="00495482">
        <w:rPr>
          <w:lang w:val="fr-FR" w:eastAsia="sl-SI"/>
        </w:rPr>
        <w:t xml:space="preserve"> intéressées. Parmi les innovations de la campagne de lutte contre la violence familiale</w:t>
      </w:r>
      <w:r w:rsidR="005D0F0F" w:rsidRPr="00495482">
        <w:rPr>
          <w:lang w:val="fr-FR" w:eastAsia="sl-SI"/>
        </w:rPr>
        <w:t>,</w:t>
      </w:r>
      <w:r w:rsidRPr="00495482">
        <w:rPr>
          <w:lang w:val="fr-FR" w:eastAsia="sl-SI"/>
        </w:rPr>
        <w:t xml:space="preserve"> on peut citer la possibilité</w:t>
      </w:r>
      <w:r w:rsidR="005D0F0F" w:rsidRPr="00495482">
        <w:rPr>
          <w:lang w:val="fr-FR" w:eastAsia="sl-SI"/>
        </w:rPr>
        <w:t>,</w:t>
      </w:r>
      <w:r w:rsidRPr="00495482">
        <w:rPr>
          <w:lang w:val="fr-FR" w:eastAsia="sl-SI"/>
        </w:rPr>
        <w:t xml:space="preserve"> mise en place en juin</w:t>
      </w:r>
      <w:r w:rsidR="00855472">
        <w:rPr>
          <w:lang w:val="fr-FR" w:eastAsia="sl-SI"/>
        </w:rPr>
        <w:t> </w:t>
      </w:r>
      <w:r w:rsidRPr="00495482">
        <w:rPr>
          <w:lang w:val="fr-FR" w:eastAsia="sl-SI"/>
        </w:rPr>
        <w:t>2010</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un signalement anonyme de la violence sur le portail Internet des services électroniques de l</w:t>
      </w:r>
      <w:r w:rsidR="005D0F0F" w:rsidRPr="00495482">
        <w:rPr>
          <w:lang w:val="fr-FR" w:eastAsia="sl-SI"/>
        </w:rPr>
        <w:t>’</w:t>
      </w:r>
      <w:r w:rsidRPr="00495482">
        <w:rPr>
          <w:lang w:val="fr-FR" w:eastAsia="sl-SI"/>
        </w:rPr>
        <w:t xml:space="preserve">administration publique (voir en annexe I les tableaux relatifs au nombre de cas signalés). </w:t>
      </w:r>
    </w:p>
    <w:p w:rsidR="00317603" w:rsidRPr="00495482" w:rsidRDefault="00317603" w:rsidP="00317603">
      <w:pPr>
        <w:keepNext/>
        <w:keepLines/>
        <w:tabs>
          <w:tab w:val="right" w:pos="851"/>
        </w:tabs>
        <w:spacing w:before="240" w:after="120" w:line="240" w:lineRule="exact"/>
        <w:ind w:left="1134" w:right="1134" w:hanging="1134"/>
        <w:rPr>
          <w:b/>
          <w:iCs/>
          <w:szCs w:val="22"/>
          <w:lang w:val="fr-FR" w:eastAsia="sl-SI"/>
        </w:rPr>
      </w:pPr>
      <w:r w:rsidRPr="00495482">
        <w:rPr>
          <w:b/>
          <w:lang w:val="fr-FR" w:eastAsia="sl-SI"/>
        </w:rPr>
        <w:tab/>
      </w:r>
      <w:r w:rsidRPr="00495482">
        <w:rPr>
          <w:b/>
          <w:lang w:val="fr-FR" w:eastAsia="sl-SI"/>
        </w:rPr>
        <w:tab/>
        <w:t>Protection des travailleurs contre le harcèlement sexuel</w:t>
      </w:r>
      <w:r w:rsidR="005D0F0F" w:rsidRPr="00495482">
        <w:rPr>
          <w:b/>
          <w:lang w:val="fr-FR" w:eastAsia="sl-SI"/>
        </w:rPr>
        <w:t>,</w:t>
      </w:r>
      <w:r w:rsidRPr="00495482">
        <w:rPr>
          <w:b/>
          <w:lang w:val="fr-FR" w:eastAsia="sl-SI"/>
        </w:rPr>
        <w:t xml:space="preserve"> et autres types de harcèlement ou de mauvais traitement sur le lieu de travail </w:t>
      </w:r>
    </w:p>
    <w:p w:rsidR="00317603" w:rsidRPr="00495482" w:rsidRDefault="00317603" w:rsidP="0014499F">
      <w:pPr>
        <w:pStyle w:val="SingleTxtG"/>
        <w:rPr>
          <w:szCs w:val="22"/>
          <w:lang w:val="fr-FR" w:eastAsia="sl-SI"/>
        </w:rPr>
      </w:pPr>
      <w:r w:rsidRPr="00495482">
        <w:rPr>
          <w:lang w:val="fr-FR" w:eastAsia="sl-SI"/>
        </w:rPr>
        <w:t>31.</w:t>
      </w:r>
      <w:r w:rsidRPr="00495482">
        <w:rPr>
          <w:lang w:val="fr-FR" w:eastAsia="sl-SI"/>
        </w:rPr>
        <w:tab/>
        <w:t>Pour renforcer la protection contre le harcèlement sexuel et autres types de harcèlement et de mauvais traitement sur le lieu de travail</w:t>
      </w:r>
      <w:r w:rsidR="005D0F0F" w:rsidRPr="00495482">
        <w:rPr>
          <w:lang w:val="fr-FR" w:eastAsia="sl-SI"/>
        </w:rPr>
        <w:t>,</w:t>
      </w:r>
      <w:r w:rsidRPr="00495482">
        <w:rPr>
          <w:lang w:val="fr-FR" w:eastAsia="sl-SI"/>
        </w:rPr>
        <w:t xml:space="preserve"> à laquelle sont tenus les employeurs par la loi sur les relations professionnelles</w:t>
      </w:r>
      <w:r w:rsidRPr="00495482">
        <w:rPr>
          <w:rStyle w:val="FootnoteReference"/>
        </w:rPr>
        <w:footnoteReference w:id="21"/>
      </w:r>
      <w:r w:rsidR="005D0F0F" w:rsidRPr="00495482">
        <w:rPr>
          <w:lang w:val="fr-FR" w:eastAsia="sl-SI"/>
        </w:rPr>
        <w:t>,</w:t>
      </w:r>
      <w:r w:rsidRPr="00495482">
        <w:rPr>
          <w:lang w:val="fr-FR" w:eastAsia="sl-SI"/>
        </w:rPr>
        <w:t xml:space="preserve"> le Bureau pour l</w:t>
      </w:r>
      <w:r w:rsidR="005D0F0F" w:rsidRPr="00495482">
        <w:rPr>
          <w:lang w:val="fr-FR" w:eastAsia="sl-SI"/>
        </w:rPr>
        <w:t>’</w:t>
      </w:r>
      <w:r w:rsidRPr="00495482">
        <w:rPr>
          <w:lang w:val="fr-FR" w:eastAsia="sl-SI"/>
        </w:rPr>
        <w:t xml:space="preserve">égalité des chances a préparé un projet de </w:t>
      </w:r>
      <w:r w:rsidRPr="00495482">
        <w:rPr>
          <w:i/>
          <w:lang w:val="fr-FR" w:eastAsia="sl-SI"/>
        </w:rPr>
        <w:t>décret sur les mesures visant à protéger la</w:t>
      </w:r>
      <w:r w:rsidRPr="00495482">
        <w:rPr>
          <w:lang w:val="fr-FR" w:eastAsia="sl-SI"/>
        </w:rPr>
        <w:t xml:space="preserve"> </w:t>
      </w:r>
      <w:r w:rsidRPr="00495482">
        <w:rPr>
          <w:i/>
          <w:lang w:val="fr-FR" w:eastAsia="sl-SI"/>
        </w:rPr>
        <w:t>dignité des employés dans la fonction publique</w:t>
      </w:r>
      <w:r w:rsidRPr="00495482">
        <w:rPr>
          <w:rStyle w:val="FootnoteReference"/>
        </w:rPr>
        <w:footnoteReference w:id="22"/>
      </w:r>
      <w:r w:rsidR="0014499F" w:rsidRPr="00495482">
        <w:rPr>
          <w:lang w:val="fr-FR" w:eastAsia="sl-SI"/>
        </w:rPr>
        <w:t>.</w:t>
      </w:r>
      <w:r w:rsidRPr="00495482">
        <w:rPr>
          <w:szCs w:val="22"/>
          <w:lang w:val="fr-FR" w:eastAsia="sl-SI"/>
        </w:rPr>
        <w:t xml:space="preserve"> </w:t>
      </w:r>
    </w:p>
    <w:p w:rsidR="00317603" w:rsidRPr="00495482" w:rsidRDefault="00317603" w:rsidP="0014499F">
      <w:pPr>
        <w:pStyle w:val="SingleTxtG"/>
        <w:rPr>
          <w:lang w:val="fr-FR" w:eastAsia="sl-SI"/>
        </w:rPr>
      </w:pPr>
      <w:r w:rsidRPr="00495482">
        <w:rPr>
          <w:lang w:val="fr-FR" w:eastAsia="sl-SI"/>
        </w:rPr>
        <w:t>32.</w:t>
      </w:r>
      <w:r w:rsidRPr="00495482">
        <w:rPr>
          <w:lang w:val="fr-FR" w:eastAsia="sl-SI"/>
        </w:rPr>
        <w:tab/>
        <w:t>Le Gouvernement slovène a adopté le décret en mai 2009; il est ainsi devenu un exemple pour les autres employeurs</w:t>
      </w:r>
      <w:r w:rsidR="005D0F0F" w:rsidRPr="00495482">
        <w:rPr>
          <w:lang w:val="fr-FR" w:eastAsia="sl-SI"/>
        </w:rPr>
        <w:t>,</w:t>
      </w:r>
      <w:r w:rsidRPr="00495482">
        <w:rPr>
          <w:lang w:val="fr-FR" w:eastAsia="sl-SI"/>
        </w:rPr>
        <w:t xml:space="preserve"> qu</w:t>
      </w:r>
      <w:r w:rsidR="005D0F0F" w:rsidRPr="00495482">
        <w:rPr>
          <w:lang w:val="fr-FR" w:eastAsia="sl-SI"/>
        </w:rPr>
        <w:t>’</w:t>
      </w:r>
      <w:r w:rsidRPr="00495482">
        <w:rPr>
          <w:lang w:val="fr-FR" w:eastAsia="sl-SI"/>
        </w:rPr>
        <w:t>il devrait inciter</w:t>
      </w:r>
      <w:r w:rsidR="005D0F0F" w:rsidRPr="00495482">
        <w:rPr>
          <w:lang w:val="fr-FR" w:eastAsia="sl-SI"/>
        </w:rPr>
        <w:t>,</w:t>
      </w:r>
      <w:r w:rsidRPr="00495482">
        <w:rPr>
          <w:lang w:val="fr-FR" w:eastAsia="sl-SI"/>
        </w:rPr>
        <w:t xml:space="preserve"> en vertu de </w:t>
      </w:r>
      <w:r w:rsidR="00657B60" w:rsidRPr="00495482">
        <w:rPr>
          <w:lang w:val="fr-FR" w:eastAsia="sl-SI"/>
        </w:rPr>
        <w:t>l’</w:t>
      </w:r>
      <w:r w:rsidR="003C4F70">
        <w:rPr>
          <w:lang w:val="fr-FR" w:eastAsia="sl-SI"/>
        </w:rPr>
        <w:t>article </w:t>
      </w:r>
      <w:r w:rsidRPr="00495482">
        <w:rPr>
          <w:lang w:val="fr-FR" w:eastAsia="sl-SI"/>
        </w:rPr>
        <w:t>45 de la loi sur les relations professionnelles</w:t>
      </w:r>
      <w:r w:rsidR="005D0F0F" w:rsidRPr="00495482">
        <w:rPr>
          <w:lang w:val="fr-FR" w:eastAsia="sl-SI"/>
        </w:rPr>
        <w:t>,</w:t>
      </w:r>
      <w:r w:rsidRPr="00495482">
        <w:rPr>
          <w:lang w:val="fr-FR" w:eastAsia="sl-SI"/>
        </w:rPr>
        <w:t xml:space="preserve"> à appliquer les mesures visant à défendre la dignité des employés sur le lieu de travail. Selon les résultats d</w:t>
      </w:r>
      <w:r w:rsidR="005D0F0F" w:rsidRPr="00495482">
        <w:rPr>
          <w:lang w:val="fr-FR" w:eastAsia="sl-SI"/>
        </w:rPr>
        <w:t>’</w:t>
      </w:r>
      <w:r w:rsidRPr="00495482">
        <w:rPr>
          <w:lang w:val="fr-FR" w:eastAsia="sl-SI"/>
        </w:rPr>
        <w:t>une étude du Bureau pour l</w:t>
      </w:r>
      <w:r w:rsidR="005D0F0F" w:rsidRPr="00495482">
        <w:rPr>
          <w:lang w:val="fr-FR" w:eastAsia="sl-SI"/>
        </w:rPr>
        <w:t>’</w:t>
      </w:r>
      <w:r w:rsidRPr="00495482">
        <w:rPr>
          <w:lang w:val="fr-FR" w:eastAsia="sl-SI"/>
        </w:rPr>
        <w:t>égalité des chances</w:t>
      </w:r>
      <w:r w:rsidR="005D0F0F" w:rsidRPr="00495482">
        <w:rPr>
          <w:lang w:val="fr-FR" w:eastAsia="sl-SI"/>
        </w:rPr>
        <w:t>,</w:t>
      </w:r>
      <w:r w:rsidRPr="00495482">
        <w:rPr>
          <w:lang w:val="fr-FR" w:eastAsia="sl-SI"/>
        </w:rPr>
        <w:t xml:space="preserve"> la plupart des employeurs ne les appliquent pas encore. Pour faciliter la mise en œuvre du décret susmentionné</w:t>
      </w:r>
      <w:r w:rsidR="005D0F0F" w:rsidRPr="00495482">
        <w:rPr>
          <w:lang w:val="fr-FR" w:eastAsia="sl-SI"/>
        </w:rPr>
        <w:t>,</w:t>
      </w:r>
      <w:r w:rsidRPr="00495482">
        <w:rPr>
          <w:lang w:val="fr-FR" w:eastAsia="sl-SI"/>
        </w:rPr>
        <w:t xml:space="preserve"> le Bureau pour l</w:t>
      </w:r>
      <w:r w:rsidR="005D0F0F" w:rsidRPr="00495482">
        <w:rPr>
          <w:lang w:val="fr-FR" w:eastAsia="sl-SI"/>
        </w:rPr>
        <w:t>’</w:t>
      </w:r>
      <w:r w:rsidRPr="00495482">
        <w:rPr>
          <w:lang w:val="fr-FR" w:eastAsia="sl-SI"/>
        </w:rPr>
        <w:t xml:space="preserve">égalité des chances a également élaboré les </w:t>
      </w:r>
      <w:r w:rsidRPr="00495482">
        <w:rPr>
          <w:i/>
          <w:lang w:val="fr-FR" w:eastAsia="sl-SI"/>
        </w:rPr>
        <w:t xml:space="preserve">Principes directeurs en faveur de la protection des employés contre le harcèlement sexuel et autres types de harcèlement ou de mauvais traitement sur le lieu de travail. </w:t>
      </w:r>
    </w:p>
    <w:p w:rsidR="00317603" w:rsidRPr="00495482" w:rsidRDefault="00317603" w:rsidP="0014499F">
      <w:pPr>
        <w:pStyle w:val="H23G"/>
        <w:rPr>
          <w:szCs w:val="22"/>
          <w:lang w:val="fr-FR" w:eastAsia="sl-SI"/>
        </w:rPr>
      </w:pPr>
      <w:r w:rsidRPr="00495482">
        <w:rPr>
          <w:lang w:val="fr-FR" w:eastAsia="sl-SI"/>
        </w:rPr>
        <w:tab/>
      </w:r>
      <w:r w:rsidRPr="00495482">
        <w:rPr>
          <w:lang w:val="fr-FR" w:eastAsia="sl-SI"/>
        </w:rPr>
        <w:tab/>
        <w:t>Éducation</w:t>
      </w:r>
      <w:r w:rsidR="005D0F0F" w:rsidRPr="00495482">
        <w:rPr>
          <w:lang w:val="fr-FR" w:eastAsia="sl-SI"/>
        </w:rPr>
        <w:t>,</w:t>
      </w:r>
      <w:r w:rsidRPr="00495482">
        <w:rPr>
          <w:lang w:val="fr-FR" w:eastAsia="sl-SI"/>
        </w:rPr>
        <w:t xml:space="preserve"> marché du travail et emploi</w:t>
      </w:r>
      <w:r w:rsidR="003D1A4F" w:rsidRPr="00495482">
        <w:rPr>
          <w:lang w:val="fr-FR" w:eastAsia="sl-SI"/>
        </w:rPr>
        <w:t xml:space="preserve"> </w:t>
      </w:r>
    </w:p>
    <w:p w:rsidR="00317603" w:rsidRPr="00495482" w:rsidRDefault="00317603" w:rsidP="0014499F">
      <w:pPr>
        <w:pStyle w:val="SingleTxtG"/>
        <w:rPr>
          <w:lang w:val="fr-FR" w:eastAsia="sl-SI"/>
        </w:rPr>
      </w:pPr>
      <w:r w:rsidRPr="00495482">
        <w:rPr>
          <w:lang w:val="fr-FR" w:eastAsia="sl-SI"/>
        </w:rPr>
        <w:t>33.</w:t>
      </w:r>
      <w:r w:rsidRPr="00495482">
        <w:rPr>
          <w:lang w:val="fr-FR" w:eastAsia="sl-SI"/>
        </w:rPr>
        <w:tab/>
        <w:t>Au niveau de l</w:t>
      </w:r>
      <w:r w:rsidR="005D0F0F" w:rsidRPr="00495482">
        <w:rPr>
          <w:lang w:val="fr-FR" w:eastAsia="sl-SI"/>
        </w:rPr>
        <w:t>’</w:t>
      </w:r>
      <w:r w:rsidRPr="00495482">
        <w:rPr>
          <w:lang w:val="fr-FR" w:eastAsia="sl-SI"/>
        </w:rPr>
        <w:t>enseignement secondaire</w:t>
      </w:r>
      <w:r w:rsidR="005D0F0F" w:rsidRPr="00495482">
        <w:rPr>
          <w:lang w:val="fr-FR" w:eastAsia="sl-SI"/>
        </w:rPr>
        <w:t>,</w:t>
      </w:r>
      <w:r w:rsidRPr="00495482">
        <w:rPr>
          <w:lang w:val="fr-FR" w:eastAsia="sl-SI"/>
        </w:rPr>
        <w:t xml:space="preserve"> les filles optent encore plus souvent pour des programmes de l</w:t>
      </w:r>
      <w:r w:rsidR="005D0F0F" w:rsidRPr="00495482">
        <w:rPr>
          <w:lang w:val="fr-FR" w:eastAsia="sl-SI"/>
        </w:rPr>
        <w:t>’</w:t>
      </w:r>
      <w:r w:rsidRPr="00495482">
        <w:rPr>
          <w:lang w:val="fr-FR" w:eastAsia="sl-SI"/>
        </w:rPr>
        <w:t xml:space="preserve">enseignement général et des filières qui conduisent à des professions dites </w:t>
      </w:r>
      <w:r w:rsidR="009D589F" w:rsidRPr="00495482">
        <w:rPr>
          <w:lang w:val="fr-FR" w:eastAsia="sl-SI"/>
        </w:rPr>
        <w:t>«</w:t>
      </w:r>
      <w:r w:rsidRPr="00495482">
        <w:rPr>
          <w:lang w:val="fr-FR" w:eastAsia="sl-SI"/>
        </w:rPr>
        <w:t>féminines</w:t>
      </w:r>
      <w:r w:rsidR="009D589F" w:rsidRPr="00495482">
        <w:rPr>
          <w:lang w:val="fr-FR" w:eastAsia="sl-SI"/>
        </w:rPr>
        <w:t>»</w:t>
      </w:r>
      <w:r w:rsidR="005D0F0F" w:rsidRPr="00495482">
        <w:rPr>
          <w:lang w:val="fr-FR" w:eastAsia="sl-SI"/>
        </w:rPr>
        <w:t>,</w:t>
      </w:r>
      <w:r w:rsidRPr="00495482">
        <w:rPr>
          <w:lang w:val="fr-FR" w:eastAsia="sl-SI"/>
        </w:rPr>
        <w:t xml:space="preserve"> les garçons optant pour des professions techniques. Dans l</w:t>
      </w:r>
      <w:r w:rsidR="005D0F0F" w:rsidRPr="00495482">
        <w:rPr>
          <w:lang w:val="fr-FR" w:eastAsia="sl-SI"/>
        </w:rPr>
        <w:t>’</w:t>
      </w:r>
      <w:r w:rsidRPr="00495482">
        <w:rPr>
          <w:lang w:val="fr-FR" w:eastAsia="sl-SI"/>
        </w:rPr>
        <w:t>enseignement supérieur</w:t>
      </w:r>
      <w:r w:rsidR="005D0F0F" w:rsidRPr="00495482">
        <w:rPr>
          <w:lang w:val="fr-FR" w:eastAsia="sl-SI"/>
        </w:rPr>
        <w:t>,</w:t>
      </w:r>
      <w:r w:rsidRPr="00495482">
        <w:rPr>
          <w:lang w:val="fr-FR" w:eastAsia="sl-SI"/>
        </w:rPr>
        <w:t xml:space="preserve"> les étudiantes s</w:t>
      </w:r>
      <w:r w:rsidR="005D0F0F" w:rsidRPr="00495482">
        <w:rPr>
          <w:lang w:val="fr-FR" w:eastAsia="sl-SI"/>
        </w:rPr>
        <w:t>’</w:t>
      </w:r>
      <w:r w:rsidRPr="00495482">
        <w:rPr>
          <w:lang w:val="fr-FR" w:eastAsia="sl-SI"/>
        </w:rPr>
        <w:t>orientent davantage vers les filières sociales</w:t>
      </w:r>
      <w:r w:rsidR="005D0F0F" w:rsidRPr="00495482">
        <w:rPr>
          <w:lang w:val="fr-FR" w:eastAsia="sl-SI"/>
        </w:rPr>
        <w:t>,</w:t>
      </w:r>
      <w:r w:rsidRPr="00495482">
        <w:rPr>
          <w:lang w:val="fr-FR" w:eastAsia="sl-SI"/>
        </w:rPr>
        <w:t xml:space="preserve"> sanitaires</w:t>
      </w:r>
      <w:r w:rsidR="005D0F0F" w:rsidRPr="00495482">
        <w:rPr>
          <w:lang w:val="fr-FR" w:eastAsia="sl-SI"/>
        </w:rPr>
        <w:t>,</w:t>
      </w:r>
      <w:r w:rsidRPr="00495482">
        <w:rPr>
          <w:lang w:val="fr-FR" w:eastAsia="sl-SI"/>
        </w:rPr>
        <w:t xml:space="preserve"> pédagogiques et les sciences sociales</w:t>
      </w:r>
      <w:r w:rsidR="005D0F0F" w:rsidRPr="00495482">
        <w:rPr>
          <w:lang w:val="fr-FR" w:eastAsia="sl-SI"/>
        </w:rPr>
        <w:t>,</w:t>
      </w:r>
      <w:r w:rsidRPr="00495482">
        <w:rPr>
          <w:lang w:val="fr-FR" w:eastAsia="sl-SI"/>
        </w:rPr>
        <w:t xml:space="preserve"> les étudiants optant essentiellement pour les domaines techniques (voir tableaux en annexe I).</w:t>
      </w:r>
    </w:p>
    <w:p w:rsidR="00317603" w:rsidRPr="00495482" w:rsidRDefault="00317603" w:rsidP="0014499F">
      <w:pPr>
        <w:pStyle w:val="SingleTxtG"/>
        <w:rPr>
          <w:szCs w:val="22"/>
          <w:lang w:val="fr-FR" w:eastAsia="sl-SI"/>
        </w:rPr>
      </w:pPr>
      <w:r w:rsidRPr="00495482">
        <w:rPr>
          <w:lang w:val="fr-FR" w:eastAsia="sl-SI"/>
        </w:rPr>
        <w:t>Certains établissements d</w:t>
      </w:r>
      <w:r w:rsidR="005D0F0F" w:rsidRPr="00495482">
        <w:rPr>
          <w:lang w:val="fr-FR" w:eastAsia="sl-SI"/>
        </w:rPr>
        <w:t>’</w:t>
      </w:r>
      <w:r w:rsidRPr="00495482">
        <w:rPr>
          <w:lang w:val="fr-FR" w:eastAsia="sl-SI"/>
        </w:rPr>
        <w:t xml:space="preserve">enseignement ont mis en place diverses mesures pour réduire la ségrégation entre les sexes dans le domaine éducatif. </w:t>
      </w:r>
    </w:p>
    <w:p w:rsidR="00317603" w:rsidRPr="00495482" w:rsidRDefault="00317603" w:rsidP="0014499F">
      <w:pPr>
        <w:pStyle w:val="H23G"/>
        <w:rPr>
          <w:lang w:val="fr-FR" w:eastAsia="sl-SI"/>
        </w:rPr>
      </w:pPr>
      <w:r w:rsidRPr="00495482">
        <w:rPr>
          <w:lang w:val="fr-FR" w:eastAsia="sl-SI"/>
        </w:rPr>
        <w:tab/>
      </w:r>
      <w:r w:rsidRPr="00495482">
        <w:rPr>
          <w:lang w:val="fr-FR" w:eastAsia="sl-SI"/>
        </w:rPr>
        <w:tab/>
        <w:t xml:space="preserve">Salaire égal pour un travail de valeur égale </w:t>
      </w:r>
    </w:p>
    <w:p w:rsidR="00317603" w:rsidRPr="00495482" w:rsidRDefault="00317603" w:rsidP="0014499F">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 xml:space="preserve">25 des observations finales </w:t>
      </w:r>
    </w:p>
    <w:p w:rsidR="00317603" w:rsidRPr="00495482" w:rsidRDefault="00317603" w:rsidP="0014499F">
      <w:pPr>
        <w:pStyle w:val="SingleTxtG"/>
        <w:rPr>
          <w:lang w:val="fr-FR" w:eastAsia="sl-SI"/>
        </w:rPr>
      </w:pPr>
      <w:r w:rsidRPr="00495482">
        <w:rPr>
          <w:lang w:val="fr-FR" w:eastAsia="sl-SI"/>
        </w:rPr>
        <w:t>34.</w:t>
      </w:r>
      <w:r w:rsidRPr="00495482">
        <w:rPr>
          <w:lang w:val="fr-FR" w:eastAsia="sl-SI"/>
        </w:rPr>
        <w:tab/>
        <w:t>Les inégalités du marché du travail (dont certaines tendent cependant à résulter d</w:t>
      </w:r>
      <w:r w:rsidR="005D0F0F" w:rsidRPr="00495482">
        <w:rPr>
          <w:lang w:val="fr-FR" w:eastAsia="sl-SI"/>
        </w:rPr>
        <w:t>’</w:t>
      </w:r>
      <w:r w:rsidRPr="00495482">
        <w:rPr>
          <w:lang w:val="fr-FR" w:eastAsia="sl-SI"/>
        </w:rPr>
        <w:t>un choix personnel)</w:t>
      </w:r>
      <w:r w:rsidR="005D0F0F" w:rsidRPr="00495482">
        <w:rPr>
          <w:lang w:val="fr-FR" w:eastAsia="sl-SI"/>
        </w:rPr>
        <w:t>,</w:t>
      </w:r>
      <w:r w:rsidRPr="00495482">
        <w:rPr>
          <w:lang w:val="fr-FR" w:eastAsia="sl-SI"/>
        </w:rPr>
        <w:t xml:space="preserve"> expliquent la persistance de l</w:t>
      </w:r>
      <w:r w:rsidR="005D0F0F" w:rsidRPr="00495482">
        <w:rPr>
          <w:lang w:val="fr-FR" w:eastAsia="sl-SI"/>
        </w:rPr>
        <w:t>’</w:t>
      </w:r>
      <w:r w:rsidRPr="00495482">
        <w:rPr>
          <w:lang w:val="fr-FR" w:eastAsia="sl-SI"/>
        </w:rPr>
        <w:t>écart des salaires hommes-femmes en Slovénie</w:t>
      </w:r>
      <w:r w:rsidR="005D0F0F" w:rsidRPr="00495482">
        <w:rPr>
          <w:lang w:val="fr-FR" w:eastAsia="sl-SI"/>
        </w:rPr>
        <w:t>,</w:t>
      </w:r>
      <w:r w:rsidRPr="00495482">
        <w:rPr>
          <w:lang w:val="fr-FR" w:eastAsia="sl-SI"/>
        </w:rPr>
        <w:t xml:space="preserve"> bien qu</w:t>
      </w:r>
      <w:r w:rsidR="005D0F0F" w:rsidRPr="00495482">
        <w:rPr>
          <w:lang w:val="fr-FR" w:eastAsia="sl-SI"/>
        </w:rPr>
        <w:t>’</w:t>
      </w:r>
      <w:r w:rsidRPr="00495482">
        <w:rPr>
          <w:lang w:val="fr-FR" w:eastAsia="sl-SI"/>
        </w:rPr>
        <w:t>il soit l</w:t>
      </w:r>
      <w:r w:rsidR="005D0F0F" w:rsidRPr="00495482">
        <w:rPr>
          <w:lang w:val="fr-FR" w:eastAsia="sl-SI"/>
        </w:rPr>
        <w:t>’</w:t>
      </w:r>
      <w:r w:rsidRPr="00495482">
        <w:rPr>
          <w:lang w:val="fr-FR" w:eastAsia="sl-SI"/>
        </w:rPr>
        <w:t>un des plus faibles parmi les États membres de l</w:t>
      </w:r>
      <w:r w:rsidR="005D0F0F" w:rsidRPr="00495482">
        <w:rPr>
          <w:lang w:val="fr-FR" w:eastAsia="sl-SI"/>
        </w:rPr>
        <w:t>’</w:t>
      </w:r>
      <w:r w:rsidRPr="00495482">
        <w:rPr>
          <w:lang w:val="fr-FR" w:eastAsia="sl-SI"/>
        </w:rPr>
        <w:t>Union européenne. En 2007</w:t>
      </w:r>
      <w:r w:rsidR="005D0F0F" w:rsidRPr="00495482">
        <w:rPr>
          <w:lang w:val="fr-FR" w:eastAsia="sl-SI"/>
        </w:rPr>
        <w:t>,</w:t>
      </w:r>
      <w:r w:rsidRPr="00495482">
        <w:rPr>
          <w:lang w:val="fr-FR" w:eastAsia="sl-SI"/>
        </w:rPr>
        <w:t xml:space="preserve"> il s</w:t>
      </w:r>
      <w:r w:rsidR="005D0F0F" w:rsidRPr="00495482">
        <w:rPr>
          <w:lang w:val="fr-FR" w:eastAsia="sl-SI"/>
        </w:rPr>
        <w:t>’</w:t>
      </w:r>
      <w:r w:rsidRPr="00495482">
        <w:rPr>
          <w:lang w:val="fr-FR" w:eastAsia="sl-SI"/>
        </w:rPr>
        <w:t>élevait à 8</w:t>
      </w:r>
      <w:r w:rsidR="005D0F0F" w:rsidRPr="00495482">
        <w:rPr>
          <w:lang w:val="fr-FR" w:eastAsia="sl-SI"/>
        </w:rPr>
        <w:t>,</w:t>
      </w:r>
      <w:r w:rsidRPr="00495482">
        <w:rPr>
          <w:lang w:val="fr-FR" w:eastAsia="sl-SI"/>
        </w:rPr>
        <w:t>3</w:t>
      </w:r>
      <w:r w:rsidR="002D2E66" w:rsidRPr="00495482">
        <w:rPr>
          <w:lang w:val="fr-FR" w:eastAsia="sl-SI"/>
        </w:rPr>
        <w:t> points</w:t>
      </w:r>
      <w:r w:rsidRPr="00495482">
        <w:rPr>
          <w:lang w:val="fr-FR" w:eastAsia="sl-SI"/>
        </w:rPr>
        <w:t xml:space="preserve"> de pourcentage</w:t>
      </w:r>
      <w:r w:rsidR="005D0F0F" w:rsidRPr="00495482">
        <w:rPr>
          <w:lang w:val="fr-FR" w:eastAsia="sl-SI"/>
        </w:rPr>
        <w:t>,</w:t>
      </w:r>
      <w:r w:rsidRPr="00495482">
        <w:rPr>
          <w:lang w:val="fr-FR" w:eastAsia="sl-SI"/>
        </w:rPr>
        <w:t xml:space="preserve"> en 2008 à 8</w:t>
      </w:r>
      <w:r w:rsidR="005D0F0F" w:rsidRPr="00495482">
        <w:rPr>
          <w:lang w:val="fr-FR" w:eastAsia="sl-SI"/>
        </w:rPr>
        <w:t>,</w:t>
      </w:r>
      <w:r w:rsidRPr="00495482">
        <w:rPr>
          <w:lang w:val="fr-FR" w:eastAsia="sl-SI"/>
        </w:rPr>
        <w:t>5</w:t>
      </w:r>
      <w:r w:rsidR="002D2E66" w:rsidRPr="00495482">
        <w:rPr>
          <w:lang w:val="fr-FR" w:eastAsia="sl-SI"/>
        </w:rPr>
        <w:t> points</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écart de salaire moyen dans les États membres de l</w:t>
      </w:r>
      <w:r w:rsidR="005D0F0F" w:rsidRPr="00495482">
        <w:rPr>
          <w:lang w:val="fr-FR" w:eastAsia="sl-SI"/>
        </w:rPr>
        <w:t>’</w:t>
      </w:r>
      <w:r w:rsidRPr="00495482">
        <w:rPr>
          <w:lang w:val="fr-FR" w:eastAsia="sl-SI"/>
        </w:rPr>
        <w:t>Union européenne en 2007 étant de 17</w:t>
      </w:r>
      <w:r w:rsidR="005D0F0F" w:rsidRPr="00495482">
        <w:rPr>
          <w:lang w:val="fr-FR" w:eastAsia="sl-SI"/>
        </w:rPr>
        <w:t>,</w:t>
      </w:r>
      <w:r w:rsidRPr="00495482">
        <w:rPr>
          <w:lang w:val="fr-FR" w:eastAsia="sl-SI"/>
        </w:rPr>
        <w:t>6</w:t>
      </w:r>
      <w:r w:rsidR="002D2E66" w:rsidRPr="00495482">
        <w:rPr>
          <w:lang w:val="fr-FR" w:eastAsia="sl-SI"/>
        </w:rPr>
        <w:t> points</w:t>
      </w:r>
      <w:r w:rsidRPr="00495482">
        <w:rPr>
          <w:lang w:val="fr-FR" w:eastAsia="sl-SI"/>
        </w:rPr>
        <w:t xml:space="preserve"> de pourcentage. </w:t>
      </w:r>
    </w:p>
    <w:p w:rsidR="00317603" w:rsidRPr="00495482" w:rsidRDefault="00317603" w:rsidP="0014499F">
      <w:pPr>
        <w:pStyle w:val="SingleTxtG"/>
        <w:rPr>
          <w:lang w:val="fr-FR" w:eastAsia="sl-SI"/>
        </w:rPr>
      </w:pPr>
      <w:r w:rsidRPr="00495482">
        <w:rPr>
          <w:lang w:val="fr-FR" w:eastAsia="sl-SI"/>
        </w:rPr>
        <w:t>35.</w:t>
      </w:r>
      <w:r w:rsidRPr="00495482">
        <w:rPr>
          <w:lang w:val="fr-FR" w:eastAsia="sl-SI"/>
        </w:rPr>
        <w:tab/>
        <w:t>Il faut en outre noter que la loi sur les relations professionnelles</w:t>
      </w:r>
      <w:r w:rsidRPr="00495482">
        <w:rPr>
          <w:rStyle w:val="FootnoteReference"/>
        </w:rPr>
        <w:footnoteReference w:id="23"/>
      </w:r>
      <w:r w:rsidRPr="00495482">
        <w:rPr>
          <w:lang w:val="fr-FR" w:eastAsia="sl-SI"/>
        </w:rPr>
        <w:t xml:space="preserve"> impose expressément aux employeurs de verser un salaire égal pour un travail égal ou de valeur égale aux employés</w:t>
      </w:r>
      <w:r w:rsidR="005D0F0F" w:rsidRPr="00495482">
        <w:rPr>
          <w:lang w:val="fr-FR" w:eastAsia="sl-SI"/>
        </w:rPr>
        <w:t>,</w:t>
      </w:r>
      <w:r w:rsidRPr="00495482">
        <w:rPr>
          <w:lang w:val="fr-FR" w:eastAsia="sl-SI"/>
        </w:rPr>
        <w:t xml:space="preserve"> sans considération liée au sexe. Toute différenciation est illégale. S</w:t>
      </w:r>
      <w:r w:rsidR="005D0F0F" w:rsidRPr="00495482">
        <w:rPr>
          <w:lang w:val="fr-FR" w:eastAsia="sl-SI"/>
        </w:rPr>
        <w:t>’</w:t>
      </w:r>
      <w:r w:rsidRPr="00495482">
        <w:rPr>
          <w:lang w:val="fr-FR" w:eastAsia="sl-SI"/>
        </w:rPr>
        <w:t>agissant de l</w:t>
      </w:r>
      <w:r w:rsidR="005D0F0F" w:rsidRPr="00495482">
        <w:rPr>
          <w:lang w:val="fr-FR" w:eastAsia="sl-SI"/>
        </w:rPr>
        <w:t>’</w:t>
      </w:r>
      <w:r w:rsidRPr="00495482">
        <w:rPr>
          <w:lang w:val="fr-FR" w:eastAsia="sl-SI"/>
        </w:rPr>
        <w:t>accès à l</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il faut en outre ajouter que la loi sur les relations professionnelles dispose clairement qu</w:t>
      </w:r>
      <w:r w:rsidR="005D0F0F" w:rsidRPr="00495482">
        <w:rPr>
          <w:lang w:val="fr-FR" w:eastAsia="sl-SI"/>
        </w:rPr>
        <w:t>’</w:t>
      </w:r>
      <w:r w:rsidRPr="00495482">
        <w:rPr>
          <w:lang w:val="fr-FR" w:eastAsia="sl-SI"/>
        </w:rPr>
        <w:t>un employeur ne peut faire paraître un avis de vacance de poste s</w:t>
      </w:r>
      <w:r w:rsidR="005D0F0F" w:rsidRPr="00495482">
        <w:rPr>
          <w:lang w:val="fr-FR" w:eastAsia="sl-SI"/>
        </w:rPr>
        <w:t>’</w:t>
      </w:r>
      <w:r w:rsidRPr="00495482">
        <w:rPr>
          <w:lang w:val="fr-FR" w:eastAsia="sl-SI"/>
        </w:rPr>
        <w:t>adressant exclusivement à des hommes ou à des femmes</w:t>
      </w:r>
      <w:r w:rsidR="005D0F0F" w:rsidRPr="00495482">
        <w:rPr>
          <w:lang w:val="fr-FR" w:eastAsia="sl-SI"/>
        </w:rPr>
        <w:t>,</w:t>
      </w:r>
      <w:r w:rsidRPr="00495482">
        <w:rPr>
          <w:lang w:val="fr-FR" w:eastAsia="sl-SI"/>
        </w:rPr>
        <w:t xml:space="preserve"> ni faire paraître une offre d</w:t>
      </w:r>
      <w:r w:rsidR="005D0F0F" w:rsidRPr="00495482">
        <w:rPr>
          <w:lang w:val="fr-FR" w:eastAsia="sl-SI"/>
        </w:rPr>
        <w:t>’</w:t>
      </w:r>
      <w:r w:rsidRPr="00495482">
        <w:rPr>
          <w:lang w:val="fr-FR" w:eastAsia="sl-SI"/>
        </w:rPr>
        <w:t>emploi indiquant qu</w:t>
      </w:r>
      <w:r w:rsidR="005D0F0F" w:rsidRPr="00495482">
        <w:rPr>
          <w:lang w:val="fr-FR" w:eastAsia="sl-SI"/>
        </w:rPr>
        <w:t>’</w:t>
      </w:r>
      <w:r w:rsidRPr="00495482">
        <w:rPr>
          <w:lang w:val="fr-FR" w:eastAsia="sl-SI"/>
        </w:rPr>
        <w:t>il donnera la priorité à un sexe en particulier</w:t>
      </w:r>
      <w:r w:rsidR="005D0F0F" w:rsidRPr="00495482">
        <w:rPr>
          <w:lang w:val="fr-FR" w:eastAsia="sl-SI"/>
        </w:rPr>
        <w:t>,</w:t>
      </w:r>
      <w:r w:rsidRPr="00495482">
        <w:rPr>
          <w:lang w:val="fr-FR" w:eastAsia="sl-SI"/>
        </w:rPr>
        <w:t xml:space="preserve"> sauf s</w:t>
      </w:r>
      <w:r w:rsidR="005D0F0F" w:rsidRPr="00495482">
        <w:rPr>
          <w:lang w:val="fr-FR" w:eastAsia="sl-SI"/>
        </w:rPr>
        <w:t>’</w:t>
      </w:r>
      <w:r w:rsidRPr="00495482">
        <w:rPr>
          <w:lang w:val="fr-FR" w:eastAsia="sl-SI"/>
        </w:rPr>
        <w:t>il s</w:t>
      </w:r>
      <w:r w:rsidR="005D0F0F" w:rsidRPr="00495482">
        <w:rPr>
          <w:lang w:val="fr-FR" w:eastAsia="sl-SI"/>
        </w:rPr>
        <w:t>’</w:t>
      </w:r>
      <w:r w:rsidRPr="00495482">
        <w:rPr>
          <w:lang w:val="fr-FR" w:eastAsia="sl-SI"/>
        </w:rPr>
        <w:t>agit d</w:t>
      </w:r>
      <w:r w:rsidR="005D0F0F" w:rsidRPr="00495482">
        <w:rPr>
          <w:lang w:val="fr-FR" w:eastAsia="sl-SI"/>
        </w:rPr>
        <w:t>’</w:t>
      </w:r>
      <w:r w:rsidRPr="00495482">
        <w:rPr>
          <w:lang w:val="fr-FR" w:eastAsia="sl-SI"/>
        </w:rPr>
        <w:t>une condition essentielle et décisive pour l</w:t>
      </w:r>
      <w:r w:rsidR="005D0F0F" w:rsidRPr="00495482">
        <w:rPr>
          <w:lang w:val="fr-FR" w:eastAsia="sl-SI"/>
        </w:rPr>
        <w:t>’</w:t>
      </w:r>
      <w:r w:rsidRPr="00495482">
        <w:rPr>
          <w:lang w:val="fr-FR" w:eastAsia="sl-SI"/>
        </w:rPr>
        <w:t>emploi à exercer</w:t>
      </w:r>
      <w:r w:rsidR="005D0F0F" w:rsidRPr="00495482">
        <w:rPr>
          <w:lang w:val="fr-FR" w:eastAsia="sl-SI"/>
        </w:rPr>
        <w:t>,</w:t>
      </w:r>
      <w:r w:rsidRPr="00495482">
        <w:rPr>
          <w:lang w:val="fr-FR" w:eastAsia="sl-SI"/>
        </w:rPr>
        <w:t xml:space="preserve"> et qu</w:t>
      </w:r>
      <w:r w:rsidR="005D0F0F" w:rsidRPr="00495482">
        <w:rPr>
          <w:lang w:val="fr-FR" w:eastAsia="sl-SI"/>
        </w:rPr>
        <w:t>’</w:t>
      </w:r>
      <w:r w:rsidRPr="00495482">
        <w:rPr>
          <w:lang w:val="fr-FR" w:eastAsia="sl-SI"/>
        </w:rPr>
        <w:t>une telle exigence est proportionnée et justifiée par un objectif légitime. La loi portant modification de la loi sur les relations professionnelles</w:t>
      </w:r>
      <w:r w:rsidRPr="00495482">
        <w:rPr>
          <w:rStyle w:val="FootnoteReference"/>
        </w:rPr>
        <w:footnoteReference w:id="24"/>
      </w:r>
      <w:r w:rsidRPr="00495482">
        <w:rPr>
          <w:lang w:val="fr-FR" w:eastAsia="sl-SI"/>
        </w:rPr>
        <w:t xml:space="preserve"> spécifie de manière plus précise et plus stricte l</w:t>
      </w:r>
      <w:r w:rsidR="005D0F0F" w:rsidRPr="00495482">
        <w:rPr>
          <w:lang w:val="fr-FR" w:eastAsia="sl-SI"/>
        </w:rPr>
        <w:t>’</w:t>
      </w:r>
      <w:r w:rsidRPr="00495482">
        <w:rPr>
          <w:lang w:val="fr-FR" w:eastAsia="sl-SI"/>
        </w:rPr>
        <w:t>exception en question (auparavant</w:t>
      </w:r>
      <w:r w:rsidR="005D0F0F" w:rsidRPr="00495482">
        <w:rPr>
          <w:lang w:val="fr-FR" w:eastAsia="sl-SI"/>
        </w:rPr>
        <w:t>,</w:t>
      </w:r>
      <w:r w:rsidRPr="00495482">
        <w:rPr>
          <w:lang w:val="fr-FR" w:eastAsia="sl-SI"/>
        </w:rPr>
        <w:t xml:space="preserve"> elle s</w:t>
      </w:r>
      <w:r w:rsidR="005D0F0F" w:rsidRPr="00495482">
        <w:rPr>
          <w:lang w:val="fr-FR" w:eastAsia="sl-SI"/>
        </w:rPr>
        <w:t>’</w:t>
      </w:r>
      <w:r w:rsidRPr="00495482">
        <w:rPr>
          <w:lang w:val="fr-FR" w:eastAsia="sl-SI"/>
        </w:rPr>
        <w:t>entendait de la manière suivante</w:t>
      </w:r>
      <w:r w:rsidR="005D0F0F" w:rsidRPr="00495482">
        <w:rPr>
          <w:lang w:val="fr-FR" w:eastAsia="sl-SI"/>
        </w:rPr>
        <w:t>:</w:t>
      </w:r>
      <w:r w:rsidR="002D2E66" w:rsidRPr="00495482">
        <w:rPr>
          <w:lang w:val="fr-FR" w:eastAsia="sl-SI"/>
        </w:rPr>
        <w:t xml:space="preserve"> «</w:t>
      </w:r>
      <w:r w:rsidRPr="00495482">
        <w:rPr>
          <w:lang w:val="fr-FR" w:eastAsia="sl-SI"/>
        </w:rPr>
        <w:t>sauf si l</w:t>
      </w:r>
      <w:r w:rsidR="005D0F0F" w:rsidRPr="00495482">
        <w:rPr>
          <w:lang w:val="fr-FR" w:eastAsia="sl-SI"/>
        </w:rPr>
        <w:t>’</w:t>
      </w:r>
      <w:r w:rsidRPr="00495482">
        <w:rPr>
          <w:lang w:val="fr-FR" w:eastAsia="sl-SI"/>
        </w:rPr>
        <w:t>emploi visé ne peut être exercé que par un homme</w:t>
      </w:r>
      <w:r w:rsidR="005D0F0F" w:rsidRPr="00495482">
        <w:rPr>
          <w:lang w:val="fr-FR" w:eastAsia="sl-SI"/>
        </w:rPr>
        <w:t>,</w:t>
      </w:r>
      <w:r w:rsidRPr="00495482">
        <w:rPr>
          <w:lang w:val="fr-FR" w:eastAsia="sl-SI"/>
        </w:rPr>
        <w:t xml:space="preserve"> ou que par une femme</w:t>
      </w:r>
      <w:r w:rsidR="009D589F" w:rsidRPr="00495482">
        <w:rPr>
          <w:lang w:val="fr-FR" w:eastAsia="sl-SI"/>
        </w:rPr>
        <w:t>»</w:t>
      </w:r>
      <w:r w:rsidRPr="00495482">
        <w:rPr>
          <w:lang w:val="fr-FR" w:eastAsia="sl-SI"/>
        </w:rPr>
        <w:t xml:space="preserve">). </w:t>
      </w:r>
    </w:p>
    <w:p w:rsidR="00317603" w:rsidRPr="00495482" w:rsidRDefault="00317603" w:rsidP="0014499F">
      <w:pPr>
        <w:pStyle w:val="H23G"/>
        <w:rPr>
          <w:iCs/>
          <w:lang w:val="fr-FR" w:eastAsia="sl-SI"/>
        </w:rPr>
      </w:pPr>
      <w:r w:rsidRPr="00495482">
        <w:rPr>
          <w:lang w:val="fr-FR" w:eastAsia="sl-SI"/>
        </w:rPr>
        <w:tab/>
      </w:r>
      <w:r w:rsidRPr="00495482">
        <w:rPr>
          <w:lang w:val="fr-FR" w:eastAsia="sl-SI"/>
        </w:rPr>
        <w:tab/>
        <w:t>Représentation des femmes dans la vie politique</w:t>
      </w:r>
    </w:p>
    <w:p w:rsidR="00317603" w:rsidRPr="00495482" w:rsidRDefault="00317603" w:rsidP="0014499F">
      <w:pPr>
        <w:pStyle w:val="SingleTxtG"/>
        <w:rPr>
          <w:lang w:val="fr-FR" w:eastAsia="sl-SI"/>
        </w:rPr>
      </w:pPr>
      <w:r w:rsidRPr="00495482">
        <w:rPr>
          <w:noProof/>
          <w:lang w:val="fr-FR" w:eastAsia="sl-SI"/>
        </w:rPr>
        <w:t>36.</w:t>
      </w:r>
      <w:r w:rsidRPr="00495482">
        <w:rPr>
          <w:noProof/>
          <w:lang w:val="fr-FR" w:eastAsia="sl-SI"/>
        </w:rPr>
        <w:tab/>
      </w:r>
      <w:r w:rsidRPr="00495482">
        <w:rPr>
          <w:lang w:val="fr-FR" w:eastAsia="sl-SI"/>
        </w:rPr>
        <w:t>En juin 2004</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 xml:space="preserve">Assemblée nationale de la République slovène a adopté </w:t>
      </w:r>
      <w:r w:rsidRPr="00495482">
        <w:rPr>
          <w:i/>
          <w:lang w:val="fr-FR" w:eastAsia="sl-SI"/>
        </w:rPr>
        <w:t>la Loi</w:t>
      </w:r>
      <w:r w:rsidRPr="00495482">
        <w:rPr>
          <w:lang w:val="fr-FR" w:eastAsia="sl-SI"/>
        </w:rPr>
        <w:t xml:space="preserve"> </w:t>
      </w:r>
      <w:r w:rsidRPr="00495482">
        <w:rPr>
          <w:i/>
          <w:lang w:val="fr-FR" w:eastAsia="sl-SI"/>
        </w:rPr>
        <w:t xml:space="preserve">constitutionnelle portant modification de </w:t>
      </w:r>
      <w:r w:rsidR="00657B60" w:rsidRPr="00495482">
        <w:rPr>
          <w:i/>
          <w:lang w:val="fr-FR" w:eastAsia="sl-SI"/>
        </w:rPr>
        <w:t>l’</w:t>
      </w:r>
      <w:r w:rsidR="003C4F70">
        <w:rPr>
          <w:i/>
          <w:lang w:val="fr-FR" w:eastAsia="sl-SI"/>
        </w:rPr>
        <w:t>article </w:t>
      </w:r>
      <w:r w:rsidRPr="00495482">
        <w:rPr>
          <w:i/>
          <w:lang w:val="fr-FR" w:eastAsia="sl-SI"/>
        </w:rPr>
        <w:t>43 de la Constitution de la République de Slovénie</w:t>
      </w:r>
      <w:r w:rsidR="003D1A4F" w:rsidRPr="00495482">
        <w:rPr>
          <w:lang w:val="fr-FR" w:eastAsia="sl-SI"/>
        </w:rPr>
        <w:t xml:space="preserve"> </w:t>
      </w:r>
      <w:r w:rsidRPr="00495482">
        <w:rPr>
          <w:lang w:val="fr-FR" w:eastAsia="sl-SI"/>
        </w:rPr>
        <w:t>qui</w:t>
      </w:r>
      <w:r w:rsidR="005D0F0F" w:rsidRPr="00495482">
        <w:rPr>
          <w:lang w:val="fr-FR" w:eastAsia="sl-SI"/>
        </w:rPr>
        <w:t>,</w:t>
      </w:r>
      <w:r w:rsidRPr="00495482">
        <w:rPr>
          <w:lang w:val="fr-FR" w:eastAsia="sl-SI"/>
        </w:rPr>
        <w:t xml:space="preserve"> en ajoutant un quatrième alinéa à </w:t>
      </w:r>
      <w:r w:rsidR="00657B60" w:rsidRPr="00495482">
        <w:rPr>
          <w:lang w:val="fr-FR" w:eastAsia="sl-SI"/>
        </w:rPr>
        <w:t>l’</w:t>
      </w:r>
      <w:r w:rsidR="003C4F70">
        <w:rPr>
          <w:lang w:val="fr-FR" w:eastAsia="sl-SI"/>
        </w:rPr>
        <w:t>article </w:t>
      </w:r>
      <w:r w:rsidRPr="00495482">
        <w:rPr>
          <w:lang w:val="fr-FR" w:eastAsia="sl-SI"/>
        </w:rPr>
        <w:t>43</w:t>
      </w:r>
      <w:r w:rsidR="005D0F0F" w:rsidRPr="00495482">
        <w:rPr>
          <w:lang w:val="fr-FR" w:eastAsia="sl-SI"/>
        </w:rPr>
        <w:t>,</w:t>
      </w:r>
      <w:r w:rsidRPr="00495482">
        <w:rPr>
          <w:lang w:val="fr-FR" w:eastAsia="sl-SI"/>
        </w:rPr>
        <w:t xml:space="preserve"> garantit un droit universel et égal au vote et autorise le législateur à prescrire expressément par la loi les mesures visant à encourager l</w:t>
      </w:r>
      <w:r w:rsidR="005D0F0F" w:rsidRPr="00495482">
        <w:rPr>
          <w:lang w:val="fr-FR" w:eastAsia="sl-SI"/>
        </w:rPr>
        <w:t>’</w:t>
      </w:r>
      <w:r w:rsidRPr="00495482">
        <w:rPr>
          <w:lang w:val="fr-FR" w:eastAsia="sl-SI"/>
        </w:rPr>
        <w:t>égalité des femmes et des hommes lors de la tenue des élections aux organes de l</w:t>
      </w:r>
      <w:r w:rsidR="005D0F0F" w:rsidRPr="00495482">
        <w:rPr>
          <w:lang w:val="fr-FR" w:eastAsia="sl-SI"/>
        </w:rPr>
        <w:t>’</w:t>
      </w:r>
      <w:r w:rsidRPr="00495482">
        <w:rPr>
          <w:lang w:val="fr-FR" w:eastAsia="sl-SI"/>
        </w:rPr>
        <w:t>État et aux collectivités locales (voir tableaux à l</w:t>
      </w:r>
      <w:r w:rsidR="005D0F0F" w:rsidRPr="00495482">
        <w:rPr>
          <w:lang w:val="fr-FR" w:eastAsia="sl-SI"/>
        </w:rPr>
        <w:t>’</w:t>
      </w:r>
      <w:r w:rsidRPr="00495482">
        <w:rPr>
          <w:lang w:val="fr-FR" w:eastAsia="sl-SI"/>
        </w:rPr>
        <w:t xml:space="preserve">annexe I). </w:t>
      </w:r>
    </w:p>
    <w:p w:rsidR="00317603" w:rsidRPr="00495482" w:rsidRDefault="00317603" w:rsidP="0014499F">
      <w:pPr>
        <w:pStyle w:val="SingleTxtG"/>
        <w:rPr>
          <w:lang w:val="fr-FR" w:eastAsia="sl-SI"/>
        </w:rPr>
      </w:pPr>
      <w:r w:rsidRPr="00495482">
        <w:rPr>
          <w:noProof/>
          <w:lang w:val="fr-FR" w:eastAsia="sl-SI"/>
        </w:rPr>
        <w:t>37.</w:t>
      </w:r>
      <w:r w:rsidRPr="00495482">
        <w:rPr>
          <w:noProof/>
          <w:lang w:val="fr-FR" w:eastAsia="sl-SI"/>
        </w:rPr>
        <w:tab/>
      </w:r>
      <w:r w:rsidRPr="00495482">
        <w:rPr>
          <w:lang w:val="fr-FR" w:eastAsia="sl-SI"/>
        </w:rPr>
        <w:t xml:space="preserve">Le législateur a mis en œuvre cette obligation en adoptant des amendements à toutes les lois régissant les élections en Slovénie. Le précédent rapport présentait les modifications apportées à la </w:t>
      </w:r>
      <w:r w:rsidRPr="00495482">
        <w:rPr>
          <w:i/>
          <w:lang w:val="fr-FR" w:eastAsia="sl-SI"/>
        </w:rPr>
        <w:t>loi sur l</w:t>
      </w:r>
      <w:r w:rsidR="005D0F0F" w:rsidRPr="00495482">
        <w:rPr>
          <w:i/>
          <w:lang w:val="fr-FR" w:eastAsia="sl-SI"/>
        </w:rPr>
        <w:t>’</w:t>
      </w:r>
      <w:r w:rsidRPr="00495482">
        <w:rPr>
          <w:i/>
          <w:lang w:val="fr-FR" w:eastAsia="sl-SI"/>
        </w:rPr>
        <w:t>élection de députés slovènes au Parlement européen</w:t>
      </w:r>
      <w:r w:rsidR="005D0F0F" w:rsidRPr="00495482">
        <w:rPr>
          <w:i/>
          <w:lang w:val="fr-FR" w:eastAsia="sl-SI"/>
        </w:rPr>
        <w:t>,</w:t>
      </w:r>
      <w:r w:rsidRPr="00495482">
        <w:rPr>
          <w:i/>
          <w:lang w:val="fr-FR" w:eastAsia="sl-SI"/>
        </w:rPr>
        <w:t xml:space="preserve"> </w:t>
      </w:r>
      <w:r w:rsidRPr="00495482">
        <w:rPr>
          <w:lang w:val="fr-FR" w:eastAsia="sl-SI"/>
        </w:rPr>
        <w:t>déjà mises en pratique lors des premières élections au Parlement européen en 2004. Au nombre des députés élus</w:t>
      </w:r>
      <w:r w:rsidR="005D0F0F" w:rsidRPr="00495482">
        <w:rPr>
          <w:lang w:val="fr-FR" w:eastAsia="sl-SI"/>
        </w:rPr>
        <w:t>,</w:t>
      </w:r>
      <w:r w:rsidRPr="00495482">
        <w:rPr>
          <w:lang w:val="fr-FR" w:eastAsia="sl-SI"/>
        </w:rPr>
        <w:t xml:space="preserve"> on comptait alors 42</w:t>
      </w:r>
      <w:r w:rsidR="005D0F0F" w:rsidRPr="00495482">
        <w:rPr>
          <w:lang w:val="fr-FR" w:eastAsia="sl-SI"/>
        </w:rPr>
        <w:t>,</w:t>
      </w:r>
      <w:r w:rsidRPr="00495482">
        <w:rPr>
          <w:lang w:val="fr-FR" w:eastAsia="sl-SI"/>
        </w:rPr>
        <w:t>8% de femmes</w:t>
      </w:r>
      <w:r w:rsidR="005D0F0F" w:rsidRPr="00495482">
        <w:rPr>
          <w:lang w:val="fr-FR" w:eastAsia="sl-SI"/>
        </w:rPr>
        <w:t>,</w:t>
      </w:r>
      <w:r w:rsidRPr="00495482">
        <w:rPr>
          <w:lang w:val="fr-FR" w:eastAsia="sl-SI"/>
        </w:rPr>
        <w:t xml:space="preserve"> mais aux dernières élections à ce même Parlement</w:t>
      </w:r>
      <w:r w:rsidR="005D0F0F" w:rsidRPr="00495482">
        <w:rPr>
          <w:lang w:val="fr-FR" w:eastAsia="sl-SI"/>
        </w:rPr>
        <w:t>,</w:t>
      </w:r>
      <w:r w:rsidRPr="00495482">
        <w:rPr>
          <w:lang w:val="fr-FR" w:eastAsia="sl-SI"/>
        </w:rPr>
        <w:t xml:space="preserve"> malgré une représentation féminine atteignant presque 50% sur les listes de candidats</w:t>
      </w:r>
      <w:r w:rsidR="005D0F0F" w:rsidRPr="00495482">
        <w:rPr>
          <w:lang w:val="fr-FR" w:eastAsia="sl-SI"/>
        </w:rPr>
        <w:t>,</w:t>
      </w:r>
      <w:r w:rsidRPr="00495482">
        <w:rPr>
          <w:lang w:val="fr-FR" w:eastAsia="sl-SI"/>
        </w:rPr>
        <w:t xml:space="preserve"> la part des élues a diminué</w:t>
      </w:r>
      <w:r w:rsidR="005D0F0F" w:rsidRPr="00495482">
        <w:rPr>
          <w:lang w:val="fr-FR" w:eastAsia="sl-SI"/>
        </w:rPr>
        <w:t>,</w:t>
      </w:r>
      <w:r w:rsidRPr="00495482">
        <w:rPr>
          <w:lang w:val="fr-FR" w:eastAsia="sl-SI"/>
        </w:rPr>
        <w:t xml:space="preserve"> passant à 37</w:t>
      </w:r>
      <w:r w:rsidR="005D0F0F" w:rsidRPr="00495482">
        <w:rPr>
          <w:lang w:val="fr-FR" w:eastAsia="sl-SI"/>
        </w:rPr>
        <w:t>,</w:t>
      </w:r>
      <w:r w:rsidRPr="00495482">
        <w:rPr>
          <w:lang w:val="fr-FR" w:eastAsia="sl-SI"/>
        </w:rPr>
        <w:t xml:space="preserve">5%. </w:t>
      </w:r>
    </w:p>
    <w:p w:rsidR="00317603" w:rsidRPr="00495482" w:rsidRDefault="00317603" w:rsidP="008F7FB7">
      <w:pPr>
        <w:pStyle w:val="SingleTxtG"/>
        <w:rPr>
          <w:lang w:val="fr-FR" w:eastAsia="sl-SI"/>
        </w:rPr>
      </w:pPr>
      <w:r w:rsidRPr="00495482">
        <w:rPr>
          <w:spacing w:val="-11"/>
          <w:lang w:val="fr-FR" w:eastAsia="sl-SI"/>
        </w:rPr>
        <w:t>38.</w:t>
      </w:r>
      <w:r w:rsidRPr="00495482">
        <w:rPr>
          <w:spacing w:val="-11"/>
          <w:lang w:val="fr-FR" w:eastAsia="sl-SI"/>
        </w:rPr>
        <w:tab/>
      </w:r>
      <w:r w:rsidRPr="00495482">
        <w:rPr>
          <w:lang w:val="fr-FR" w:eastAsia="sl-SI"/>
        </w:rPr>
        <w:t>En juillet 2005</w:t>
      </w:r>
      <w:r w:rsidR="005D0F0F" w:rsidRPr="00495482">
        <w:rPr>
          <w:lang w:val="fr-FR" w:eastAsia="sl-SI"/>
        </w:rPr>
        <w:t>,</w:t>
      </w:r>
      <w:r w:rsidRPr="00495482">
        <w:rPr>
          <w:lang w:val="fr-FR" w:eastAsia="sl-SI"/>
        </w:rPr>
        <w:t xml:space="preserve"> la </w:t>
      </w:r>
      <w:r w:rsidRPr="00495482">
        <w:rPr>
          <w:i/>
          <w:lang w:val="fr-FR" w:eastAsia="sl-SI"/>
        </w:rPr>
        <w:t>loi sur les élections locales</w:t>
      </w:r>
      <w:r w:rsidRPr="00495482">
        <w:rPr>
          <w:lang w:val="fr-FR" w:eastAsia="sl-SI"/>
        </w:rPr>
        <w:t xml:space="preserve"> a été modifiée</w:t>
      </w:r>
      <w:r w:rsidRPr="00495482">
        <w:rPr>
          <w:rStyle w:val="FootnoteReference"/>
        </w:rPr>
        <w:footnoteReference w:id="25"/>
      </w:r>
      <w:r w:rsidR="008F7FB7" w:rsidRPr="00495482">
        <w:rPr>
          <w:lang w:val="fr-FR" w:eastAsia="sl-SI"/>
        </w:rPr>
        <w:t>.</w:t>
      </w:r>
      <w:r w:rsidRPr="00495482">
        <w:rPr>
          <w:lang w:val="fr-FR" w:eastAsia="sl-SI"/>
        </w:rPr>
        <w:t xml:space="preserve"> Les dispositions de </w:t>
      </w:r>
      <w:r w:rsidR="00657B60" w:rsidRPr="00495482">
        <w:rPr>
          <w:lang w:val="fr-FR" w:eastAsia="sl-SI"/>
        </w:rPr>
        <w:t>l’</w:t>
      </w:r>
      <w:r w:rsidR="003C4F70">
        <w:rPr>
          <w:lang w:val="fr-FR" w:eastAsia="sl-SI"/>
        </w:rPr>
        <w:t>article </w:t>
      </w:r>
      <w:r w:rsidRPr="00495482">
        <w:rPr>
          <w:lang w:val="fr-FR" w:eastAsia="sl-SI"/>
        </w:rPr>
        <w:t xml:space="preserve">70.b précisent que </w:t>
      </w:r>
      <w:r w:rsidR="0014499F" w:rsidRPr="00495482">
        <w:rPr>
          <w:lang w:val="fr-FR" w:eastAsia="sl-SI"/>
        </w:rPr>
        <w:t>les personnes</w:t>
      </w:r>
      <w:r w:rsidRPr="00495482">
        <w:rPr>
          <w:lang w:val="fr-FR" w:eastAsia="sl-SI"/>
        </w:rPr>
        <w:t xml:space="preserve"> chargées d</w:t>
      </w:r>
      <w:r w:rsidR="005D0F0F" w:rsidRPr="00495482">
        <w:rPr>
          <w:lang w:val="fr-FR" w:eastAsia="sl-SI"/>
        </w:rPr>
        <w:t>’</w:t>
      </w:r>
      <w:r w:rsidRPr="00495482">
        <w:rPr>
          <w:lang w:val="fr-FR" w:eastAsia="sl-SI"/>
        </w:rPr>
        <w:t>établir les listes de candidats aux élections locales doivent tenir compte de l</w:t>
      </w:r>
      <w:r w:rsidR="005D0F0F" w:rsidRPr="00495482">
        <w:rPr>
          <w:lang w:val="fr-FR" w:eastAsia="sl-SI"/>
        </w:rPr>
        <w:t>’</w:t>
      </w:r>
      <w:r w:rsidRPr="00495482">
        <w:rPr>
          <w:lang w:val="fr-FR" w:eastAsia="sl-SI"/>
        </w:rPr>
        <w:t>exigence légale d</w:t>
      </w:r>
      <w:r w:rsidR="005D0F0F" w:rsidRPr="00495482">
        <w:rPr>
          <w:lang w:val="fr-FR" w:eastAsia="sl-SI"/>
        </w:rPr>
        <w:t>’</w:t>
      </w:r>
      <w:r w:rsidRPr="00495482">
        <w:rPr>
          <w:lang w:val="fr-FR" w:eastAsia="sl-SI"/>
        </w:rPr>
        <w:t>une représentation égalitaire des hommes et des femmes</w:t>
      </w:r>
      <w:r w:rsidR="005D0F0F" w:rsidRPr="00495482">
        <w:rPr>
          <w:lang w:val="fr-FR" w:eastAsia="sl-SI"/>
        </w:rPr>
        <w:t>,</w:t>
      </w:r>
      <w:r w:rsidRPr="00495482">
        <w:rPr>
          <w:lang w:val="fr-FR" w:eastAsia="sl-SI"/>
        </w:rPr>
        <w:t xml:space="preserve"> de manière à garantir l</w:t>
      </w:r>
      <w:r w:rsidR="005D0F0F" w:rsidRPr="00495482">
        <w:rPr>
          <w:lang w:val="fr-FR" w:eastAsia="sl-SI"/>
        </w:rPr>
        <w:t>’</w:t>
      </w:r>
      <w:r w:rsidRPr="00495482">
        <w:rPr>
          <w:lang w:val="fr-FR" w:eastAsia="sl-SI"/>
        </w:rPr>
        <w:t>inscription d</w:t>
      </w:r>
      <w:r w:rsidR="005D0F0F" w:rsidRPr="00495482">
        <w:rPr>
          <w:lang w:val="fr-FR" w:eastAsia="sl-SI"/>
        </w:rPr>
        <w:t>’</w:t>
      </w:r>
      <w:r w:rsidRPr="00495482">
        <w:rPr>
          <w:lang w:val="fr-FR" w:eastAsia="sl-SI"/>
        </w:rPr>
        <w:t>au moins 40% de candidats de chaque sexe</w:t>
      </w:r>
      <w:r w:rsidR="005D0F0F" w:rsidRPr="00495482">
        <w:rPr>
          <w:lang w:val="fr-FR" w:eastAsia="sl-SI"/>
        </w:rPr>
        <w:t>,</w:t>
      </w:r>
      <w:r w:rsidRPr="00495482">
        <w:rPr>
          <w:lang w:val="fr-FR" w:eastAsia="sl-SI"/>
        </w:rPr>
        <w:t xml:space="preserve"> et l</w:t>
      </w:r>
      <w:r w:rsidR="005D0F0F" w:rsidRPr="00495482">
        <w:rPr>
          <w:lang w:val="fr-FR" w:eastAsia="sl-SI"/>
        </w:rPr>
        <w:t>’</w:t>
      </w:r>
      <w:r w:rsidRPr="00495482">
        <w:rPr>
          <w:lang w:val="fr-FR" w:eastAsia="sl-SI"/>
        </w:rPr>
        <w:t>inscription alternée de candidats masculins et féminins sur la première moitié de la liste.</w:t>
      </w:r>
      <w:r w:rsidR="003D1A4F" w:rsidRPr="00495482">
        <w:rPr>
          <w:lang w:val="fr-FR" w:eastAsia="sl-SI"/>
        </w:rPr>
        <w:t xml:space="preserve"> </w:t>
      </w:r>
    </w:p>
    <w:p w:rsidR="00317603" w:rsidRPr="00495482" w:rsidRDefault="00317603" w:rsidP="008F7FB7">
      <w:pPr>
        <w:pStyle w:val="SingleTxtG"/>
        <w:rPr>
          <w:lang w:val="fr-FR" w:eastAsia="sl-SI"/>
        </w:rPr>
      </w:pPr>
      <w:r w:rsidRPr="00495482">
        <w:rPr>
          <w:spacing w:val="-11"/>
          <w:lang w:val="fr-FR" w:eastAsia="sl-SI"/>
        </w:rPr>
        <w:t>39.</w:t>
      </w:r>
      <w:r w:rsidRPr="00495482">
        <w:rPr>
          <w:spacing w:val="-11"/>
          <w:lang w:val="fr-FR" w:eastAsia="sl-SI"/>
        </w:rPr>
        <w:tab/>
      </w:r>
      <w:r w:rsidRPr="00495482">
        <w:rPr>
          <w:lang w:val="fr-FR" w:eastAsia="sl-SI"/>
        </w:rPr>
        <w:t>Le législateur a recouru à la même méthode pour les élections au Parlement européen. Toutefois</w:t>
      </w:r>
      <w:r w:rsidR="005D0F0F" w:rsidRPr="00495482">
        <w:rPr>
          <w:lang w:val="fr-FR" w:eastAsia="sl-SI"/>
        </w:rPr>
        <w:t>,</w:t>
      </w:r>
      <w:r w:rsidRPr="00495482">
        <w:rPr>
          <w:lang w:val="fr-FR" w:eastAsia="sl-SI"/>
        </w:rPr>
        <w:t xml:space="preserve"> cette solution ne s</w:t>
      </w:r>
      <w:r w:rsidR="005D0F0F" w:rsidRPr="00495482">
        <w:rPr>
          <w:lang w:val="fr-FR" w:eastAsia="sl-SI"/>
        </w:rPr>
        <w:t>’</w:t>
      </w:r>
      <w:r w:rsidRPr="00495482">
        <w:rPr>
          <w:lang w:val="fr-FR" w:eastAsia="sl-SI"/>
        </w:rPr>
        <w:t>appliquera pleinement que lors des élections locales ordinaires en 2014</w:t>
      </w:r>
      <w:r w:rsidR="005D0F0F" w:rsidRPr="00495482">
        <w:rPr>
          <w:lang w:val="fr-FR" w:eastAsia="sl-SI"/>
        </w:rPr>
        <w:t>,</w:t>
      </w:r>
      <w:r w:rsidRPr="00495482">
        <w:rPr>
          <w:lang w:val="fr-FR" w:eastAsia="sl-SI"/>
        </w:rPr>
        <w:t xml:space="preserve"> car la loi fixe une période de transition. Les</w:t>
      </w:r>
      <w:r w:rsidR="00855472">
        <w:rPr>
          <w:lang w:val="fr-FR" w:eastAsia="sl-SI"/>
        </w:rPr>
        <w:t xml:space="preserve"> </w:t>
      </w:r>
      <w:r w:rsidR="002328BD" w:rsidRPr="00495482">
        <w:rPr>
          <w:lang w:val="fr-FR" w:eastAsia="sl-SI"/>
        </w:rPr>
        <w:t>personnes</w:t>
      </w:r>
      <w:r w:rsidRPr="00495482">
        <w:rPr>
          <w:lang w:val="fr-FR" w:eastAsia="sl-SI"/>
        </w:rPr>
        <w:t xml:space="preserve"> qui établissent les listes ont donc dû inscrire au moins 20% de candidats de chaque sexe lors des premières élections qui se sont déroulées suite aux modifications à la loi en automne 2006</w:t>
      </w:r>
      <w:r w:rsidR="005D0F0F" w:rsidRPr="00495482">
        <w:rPr>
          <w:lang w:val="fr-FR" w:eastAsia="sl-SI"/>
        </w:rPr>
        <w:t>,</w:t>
      </w:r>
      <w:r w:rsidRPr="00495482">
        <w:rPr>
          <w:lang w:val="fr-FR" w:eastAsia="sl-SI"/>
        </w:rPr>
        <w:t xml:space="preserve"> et d</w:t>
      </w:r>
      <w:r w:rsidR="005D0F0F" w:rsidRPr="00495482">
        <w:rPr>
          <w:lang w:val="fr-FR" w:eastAsia="sl-SI"/>
        </w:rPr>
        <w:t>’</w:t>
      </w:r>
      <w:r w:rsidRPr="00495482">
        <w:rPr>
          <w:lang w:val="fr-FR" w:eastAsia="sl-SI"/>
        </w:rPr>
        <w:t>au moins 30% lors des élections locales en automne 2010</w:t>
      </w:r>
      <w:r w:rsidR="005D0F0F" w:rsidRPr="00495482">
        <w:rPr>
          <w:lang w:val="fr-FR" w:eastAsia="sl-SI"/>
        </w:rPr>
        <w:t>,</w:t>
      </w:r>
      <w:r w:rsidRPr="00495482">
        <w:rPr>
          <w:lang w:val="fr-FR" w:eastAsia="sl-SI"/>
        </w:rPr>
        <w:t xml:space="preserve"> et veiller à l</w:t>
      </w:r>
      <w:r w:rsidR="005D0F0F" w:rsidRPr="00495482">
        <w:rPr>
          <w:lang w:val="fr-FR" w:eastAsia="sl-SI"/>
        </w:rPr>
        <w:t>’</w:t>
      </w:r>
      <w:r w:rsidRPr="00495482">
        <w:rPr>
          <w:lang w:val="fr-FR" w:eastAsia="sl-SI"/>
        </w:rPr>
        <w:t>inscription alternée des candidats figurant dans la première moitié de la liste</w:t>
      </w:r>
      <w:r w:rsidR="005D0F0F" w:rsidRPr="00495482">
        <w:rPr>
          <w:lang w:val="fr-FR" w:eastAsia="sl-SI"/>
        </w:rPr>
        <w:t>,</w:t>
      </w:r>
      <w:r w:rsidRPr="00495482">
        <w:rPr>
          <w:lang w:val="fr-FR" w:eastAsia="sl-SI"/>
        </w:rPr>
        <w:t xml:space="preserve"> avec au moins un candidat de l</w:t>
      </w:r>
      <w:r w:rsidR="005D0F0F" w:rsidRPr="00495482">
        <w:rPr>
          <w:lang w:val="fr-FR" w:eastAsia="sl-SI"/>
        </w:rPr>
        <w:t>’</w:t>
      </w:r>
      <w:r w:rsidRPr="00495482">
        <w:rPr>
          <w:lang w:val="fr-FR" w:eastAsia="sl-SI"/>
        </w:rPr>
        <w:t xml:space="preserve">autre sexe tous les trois candidats. </w:t>
      </w:r>
    </w:p>
    <w:p w:rsidR="00317603" w:rsidRPr="00495482" w:rsidRDefault="00317603" w:rsidP="008F7FB7">
      <w:pPr>
        <w:pStyle w:val="SingleTxtG"/>
        <w:rPr>
          <w:lang w:val="fr-FR" w:eastAsia="sl-SI"/>
        </w:rPr>
      </w:pPr>
      <w:r w:rsidRPr="00495482">
        <w:rPr>
          <w:spacing w:val="-11"/>
          <w:lang w:val="fr-FR" w:eastAsia="sl-SI"/>
        </w:rPr>
        <w:t>40.</w:t>
      </w:r>
      <w:r w:rsidRPr="00495482">
        <w:rPr>
          <w:spacing w:val="-11"/>
          <w:lang w:val="fr-FR" w:eastAsia="sl-SI"/>
        </w:rPr>
        <w:tab/>
      </w:r>
      <w:r w:rsidRPr="00495482">
        <w:rPr>
          <w:lang w:val="fr-FR" w:eastAsia="sl-SI"/>
        </w:rPr>
        <w:t>En juillet 2006</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 xml:space="preserve">Assemblée nationale slovène a également adopté la loi portant modification de la </w:t>
      </w:r>
      <w:r w:rsidRPr="00495482">
        <w:rPr>
          <w:i/>
          <w:lang w:val="fr-FR" w:eastAsia="sl-SI"/>
        </w:rPr>
        <w:t>loi sur les élections législatives nationales</w:t>
      </w:r>
      <w:r w:rsidRPr="00495482">
        <w:rPr>
          <w:rStyle w:val="FootnoteReference"/>
        </w:rPr>
        <w:footnoteReference w:id="26"/>
      </w:r>
      <w:r w:rsidR="003D1A4F" w:rsidRPr="00495482">
        <w:rPr>
          <w:lang w:val="fr-FR" w:eastAsia="sl-SI"/>
        </w:rPr>
        <w:t xml:space="preserve"> </w:t>
      </w:r>
      <w:r w:rsidRPr="00495482">
        <w:rPr>
          <w:lang w:val="fr-FR" w:eastAsia="sl-SI"/>
        </w:rPr>
        <w:t>qui</w:t>
      </w:r>
      <w:r w:rsidR="002D2E66" w:rsidRPr="00495482">
        <w:rPr>
          <w:lang w:val="fr-FR" w:eastAsia="sl-SI"/>
        </w:rPr>
        <w:t xml:space="preserve"> prévoit (</w:t>
      </w:r>
      <w:r w:rsidR="003C4F70">
        <w:rPr>
          <w:lang w:val="fr-FR" w:eastAsia="sl-SI"/>
        </w:rPr>
        <w:t>art</w:t>
      </w:r>
      <w:r w:rsidR="00D21C64">
        <w:rPr>
          <w:lang w:val="fr-FR" w:eastAsia="sl-SI"/>
        </w:rPr>
        <w:t>. </w:t>
      </w:r>
      <w:r w:rsidRPr="00495482">
        <w:rPr>
          <w:lang w:val="fr-FR" w:eastAsia="sl-SI"/>
        </w:rPr>
        <w:t>43</w:t>
      </w:r>
      <w:r w:rsidR="00D21C64">
        <w:rPr>
          <w:lang w:val="fr-FR" w:eastAsia="sl-SI"/>
        </w:rPr>
        <w:t>, al. 6 et 7</w:t>
      </w:r>
      <w:r w:rsidRPr="00495482">
        <w:rPr>
          <w:lang w:val="fr-FR" w:eastAsia="sl-SI"/>
        </w:rPr>
        <w:t>) que sur les listes comportant au moins 4 candidats</w:t>
      </w:r>
      <w:r w:rsidR="005D0F0F" w:rsidRPr="00495482">
        <w:rPr>
          <w:lang w:val="fr-FR" w:eastAsia="sl-SI"/>
        </w:rPr>
        <w:t>,</w:t>
      </w:r>
      <w:r w:rsidRPr="00495482">
        <w:rPr>
          <w:lang w:val="fr-FR" w:eastAsia="sl-SI"/>
        </w:rPr>
        <w:t xml:space="preserve"> aucun des deux sexes ne représente moins de 35% du nombre total réel des candidats inscrits. En vertu de </w:t>
      </w:r>
      <w:r w:rsidR="00657B60" w:rsidRPr="00495482">
        <w:rPr>
          <w:lang w:val="fr-FR" w:eastAsia="sl-SI"/>
        </w:rPr>
        <w:t>l’</w:t>
      </w:r>
      <w:r w:rsidR="003C4F70">
        <w:rPr>
          <w:lang w:val="fr-FR" w:eastAsia="sl-SI"/>
        </w:rPr>
        <w:t>article </w:t>
      </w:r>
      <w:r w:rsidRPr="00495482">
        <w:rPr>
          <w:lang w:val="fr-FR" w:eastAsia="sl-SI"/>
        </w:rPr>
        <w:t>56 de la dite loi</w:t>
      </w:r>
      <w:r w:rsidR="005D0F0F" w:rsidRPr="00495482">
        <w:rPr>
          <w:lang w:val="fr-FR" w:eastAsia="sl-SI"/>
        </w:rPr>
        <w:t>,</w:t>
      </w:r>
      <w:r w:rsidRPr="00495482">
        <w:rPr>
          <w:lang w:val="fr-FR" w:eastAsia="sl-SI"/>
        </w:rPr>
        <w:t xml:space="preserve"> la commission électorale rejettera les listes non conformes à la loi. De même que </w:t>
      </w:r>
      <w:r w:rsidRPr="00495482">
        <w:rPr>
          <w:i/>
          <w:lang w:val="fr-FR" w:eastAsia="sl-SI"/>
        </w:rPr>
        <w:t>la loi portant modification de la loi sur les élections locales</w:t>
      </w:r>
      <w:r w:rsidR="005D0F0F" w:rsidRPr="00495482">
        <w:rPr>
          <w:i/>
          <w:lang w:val="fr-FR" w:eastAsia="sl-SI"/>
        </w:rPr>
        <w:t>,</w:t>
      </w:r>
      <w:r w:rsidRPr="00495482">
        <w:rPr>
          <w:i/>
          <w:lang w:val="fr-FR" w:eastAsia="sl-SI"/>
        </w:rPr>
        <w:t xml:space="preserve"> </w:t>
      </w:r>
      <w:r w:rsidRPr="00495482">
        <w:rPr>
          <w:lang w:val="fr-FR" w:eastAsia="sl-SI"/>
        </w:rPr>
        <w:t xml:space="preserve">la nouvelle loi sur les élections législatives nationales de la République de Slovénie comporte également une disposition transitoire </w:t>
      </w:r>
      <w:r w:rsidR="002D2E66" w:rsidRPr="00495482">
        <w:rPr>
          <w:lang w:val="fr-FR" w:eastAsia="sl-SI"/>
        </w:rPr>
        <w:t xml:space="preserve">qui fixe à 25% la part minimale </w:t>
      </w:r>
      <w:r w:rsidRPr="00495482">
        <w:rPr>
          <w:lang w:val="fr-FR" w:eastAsia="sl-SI"/>
        </w:rPr>
        <w:t>des candidats de chaque sexe inscrits sur les listes lors des premières élections législatives tenues après son entrée en vigueur. Malgré la mise en place de ce quota obligatoire</w:t>
      </w:r>
      <w:r w:rsidR="005D0F0F" w:rsidRPr="00495482">
        <w:rPr>
          <w:lang w:val="fr-FR" w:eastAsia="sl-SI"/>
        </w:rPr>
        <w:t>,</w:t>
      </w:r>
      <w:r w:rsidRPr="00495482">
        <w:rPr>
          <w:lang w:val="fr-FR" w:eastAsia="sl-SI"/>
        </w:rPr>
        <w:t xml:space="preserve"> lors des élections législatives nationales de 2008 le nombre de femmes élues n</w:t>
      </w:r>
      <w:r w:rsidR="005D0F0F" w:rsidRPr="00495482">
        <w:rPr>
          <w:lang w:val="fr-FR" w:eastAsia="sl-SI"/>
        </w:rPr>
        <w:t>’</w:t>
      </w:r>
      <w:r w:rsidRPr="00495482">
        <w:rPr>
          <w:lang w:val="fr-FR" w:eastAsia="sl-SI"/>
        </w:rPr>
        <w:t>a pas augmenté par rapport à la précédente législature. L</w:t>
      </w:r>
      <w:r w:rsidR="005D0F0F" w:rsidRPr="00495482">
        <w:rPr>
          <w:lang w:val="fr-FR" w:eastAsia="sl-SI"/>
        </w:rPr>
        <w:t>’</w:t>
      </w:r>
      <w:r w:rsidRPr="00495482">
        <w:rPr>
          <w:lang w:val="fr-FR" w:eastAsia="sl-SI"/>
        </w:rPr>
        <w:t>Assemblée nationale slovène compte encore seulement 13</w:t>
      </w:r>
      <w:r w:rsidR="005D0F0F" w:rsidRPr="00495482">
        <w:rPr>
          <w:lang w:val="fr-FR" w:eastAsia="sl-SI"/>
        </w:rPr>
        <w:t>,</w:t>
      </w:r>
      <w:r w:rsidRPr="00495482">
        <w:rPr>
          <w:lang w:val="fr-FR" w:eastAsia="sl-SI"/>
        </w:rPr>
        <w:t xml:space="preserve">3% de femmes parlementaires. </w:t>
      </w:r>
    </w:p>
    <w:p w:rsidR="00317603" w:rsidRPr="00495482" w:rsidRDefault="00317603" w:rsidP="00317603">
      <w:pPr>
        <w:keepNext/>
        <w:keepLines/>
        <w:tabs>
          <w:tab w:val="right" w:pos="851"/>
        </w:tabs>
        <w:spacing w:before="240" w:after="120" w:line="240" w:lineRule="exact"/>
        <w:ind w:left="1134" w:right="1134" w:hanging="1134"/>
        <w:rPr>
          <w:b/>
          <w:iCs/>
          <w:lang w:val="fr-FR" w:eastAsia="sl-SI"/>
        </w:rPr>
      </w:pPr>
      <w:r w:rsidRPr="00495482">
        <w:rPr>
          <w:b/>
          <w:lang w:val="fr-FR" w:eastAsia="sl-SI"/>
        </w:rPr>
        <w:tab/>
      </w:r>
      <w:r w:rsidRPr="00495482">
        <w:rPr>
          <w:b/>
          <w:lang w:val="fr-FR" w:eastAsia="sl-SI"/>
        </w:rPr>
        <w:tab/>
        <w:t>Représentation des femmes au gouvernement</w:t>
      </w:r>
      <w:r w:rsidR="005D0F0F" w:rsidRPr="00495482">
        <w:rPr>
          <w:b/>
          <w:lang w:val="fr-FR" w:eastAsia="sl-SI"/>
        </w:rPr>
        <w:t>,</w:t>
      </w:r>
      <w:r w:rsidRPr="00495482">
        <w:rPr>
          <w:b/>
          <w:lang w:val="fr-FR" w:eastAsia="sl-SI"/>
        </w:rPr>
        <w:t xml:space="preserve"> dans les organes gouvernementaux et l</w:t>
      </w:r>
      <w:r w:rsidR="005D0F0F" w:rsidRPr="00495482">
        <w:rPr>
          <w:b/>
          <w:lang w:val="fr-FR" w:eastAsia="sl-SI"/>
        </w:rPr>
        <w:t>’</w:t>
      </w:r>
      <w:r w:rsidRPr="00495482">
        <w:rPr>
          <w:b/>
          <w:lang w:val="fr-FR" w:eastAsia="sl-SI"/>
        </w:rPr>
        <w:t>administration</w:t>
      </w:r>
      <w:r w:rsidR="005D0F0F" w:rsidRPr="00495482">
        <w:rPr>
          <w:b/>
          <w:lang w:val="fr-FR" w:eastAsia="sl-SI"/>
        </w:rPr>
        <w:t>,</w:t>
      </w:r>
      <w:r w:rsidRPr="00495482">
        <w:rPr>
          <w:b/>
          <w:lang w:val="fr-FR" w:eastAsia="sl-SI"/>
        </w:rPr>
        <w:t xml:space="preserve"> les corps de mission</w:t>
      </w:r>
      <w:r w:rsidR="005D0F0F" w:rsidRPr="00495482">
        <w:rPr>
          <w:b/>
          <w:lang w:val="fr-FR" w:eastAsia="sl-SI"/>
        </w:rPr>
        <w:t>,</w:t>
      </w:r>
      <w:r w:rsidRPr="00495482">
        <w:rPr>
          <w:b/>
          <w:lang w:val="fr-FR" w:eastAsia="sl-SI"/>
        </w:rPr>
        <w:t xml:space="preserve"> les conseils consultatifs du gouvernement et les services diplomatiques </w:t>
      </w:r>
    </w:p>
    <w:p w:rsidR="00317603" w:rsidRPr="00495482" w:rsidRDefault="00317603" w:rsidP="008F7FB7">
      <w:pPr>
        <w:pStyle w:val="SingleTxtG"/>
        <w:rPr>
          <w:lang w:val="fr-FR" w:eastAsia="sl-SI"/>
        </w:rPr>
      </w:pPr>
      <w:r w:rsidRPr="00495482">
        <w:rPr>
          <w:lang w:val="fr-FR" w:eastAsia="sl-SI"/>
        </w:rPr>
        <w:t>41.</w:t>
      </w:r>
      <w:r w:rsidRPr="00495482">
        <w:rPr>
          <w:lang w:val="fr-FR" w:eastAsia="sl-SI"/>
        </w:rPr>
        <w:tab/>
        <w:t>Après les élections de 2008</w:t>
      </w:r>
      <w:r w:rsidR="005D0F0F" w:rsidRPr="00495482">
        <w:rPr>
          <w:lang w:val="fr-FR" w:eastAsia="sl-SI"/>
        </w:rPr>
        <w:t>,</w:t>
      </w:r>
      <w:r w:rsidRPr="00495482">
        <w:rPr>
          <w:lang w:val="fr-FR" w:eastAsia="sl-SI"/>
        </w:rPr>
        <w:t xml:space="preserve"> la représentation féminine au sein du Gouvernement slovène a notablement progressé par rapport au précédent mandat</w:t>
      </w:r>
      <w:r w:rsidR="005D0F0F" w:rsidRPr="00495482">
        <w:rPr>
          <w:lang w:val="fr-FR" w:eastAsia="sl-SI"/>
        </w:rPr>
        <w:t>,</w:t>
      </w:r>
      <w:r w:rsidRPr="00495482">
        <w:rPr>
          <w:lang w:val="fr-FR" w:eastAsia="sl-SI"/>
        </w:rPr>
        <w:t xml:space="preserve"> puisqu</w:t>
      </w:r>
      <w:r w:rsidR="005D0F0F" w:rsidRPr="00495482">
        <w:rPr>
          <w:lang w:val="fr-FR" w:eastAsia="sl-SI"/>
        </w:rPr>
        <w:t>’</w:t>
      </w:r>
      <w:r w:rsidRPr="00495482">
        <w:rPr>
          <w:lang w:val="fr-FR" w:eastAsia="sl-SI"/>
        </w:rPr>
        <w:t>elle est passée de 5</w:t>
      </w:r>
      <w:r w:rsidR="005D0F0F" w:rsidRPr="00495482">
        <w:rPr>
          <w:lang w:val="fr-FR" w:eastAsia="sl-SI"/>
        </w:rPr>
        <w:t>,</w:t>
      </w:r>
      <w:r w:rsidRPr="00495482">
        <w:rPr>
          <w:lang w:val="fr-FR" w:eastAsia="sl-SI"/>
        </w:rPr>
        <w:t>9% (un seul ministre) à 26</w:t>
      </w:r>
      <w:r w:rsidR="005D0F0F" w:rsidRPr="00495482">
        <w:rPr>
          <w:lang w:val="fr-FR" w:eastAsia="sl-SI"/>
        </w:rPr>
        <w:t>,</w:t>
      </w:r>
      <w:r w:rsidRPr="00495482">
        <w:rPr>
          <w:lang w:val="fr-FR" w:eastAsia="sl-SI"/>
        </w:rPr>
        <w:t xml:space="preserve">7% (quatre ministres). </w:t>
      </w:r>
    </w:p>
    <w:p w:rsidR="00317603" w:rsidRPr="00495482" w:rsidRDefault="00317603" w:rsidP="008F7FB7">
      <w:pPr>
        <w:pStyle w:val="SingleTxtG"/>
        <w:rPr>
          <w:lang w:val="fr-FR" w:eastAsia="sl-SI"/>
        </w:rPr>
      </w:pPr>
      <w:r w:rsidRPr="00495482">
        <w:rPr>
          <w:lang w:val="fr-FR" w:eastAsia="sl-SI"/>
        </w:rPr>
        <w:t>42.</w:t>
      </w:r>
      <w:r w:rsidRPr="00495482">
        <w:rPr>
          <w:lang w:val="fr-FR" w:eastAsia="sl-SI"/>
        </w:rPr>
        <w:tab/>
        <w:t>Dans les organes gouvernementaux et l</w:t>
      </w:r>
      <w:r w:rsidR="005D0F0F" w:rsidRPr="00495482">
        <w:rPr>
          <w:lang w:val="fr-FR" w:eastAsia="sl-SI"/>
        </w:rPr>
        <w:t>’</w:t>
      </w:r>
      <w:r w:rsidRPr="00495482">
        <w:rPr>
          <w:lang w:val="fr-FR" w:eastAsia="sl-SI"/>
        </w:rPr>
        <w:t>administration</w:t>
      </w:r>
      <w:r w:rsidR="005D0F0F" w:rsidRPr="00495482">
        <w:rPr>
          <w:lang w:val="fr-FR" w:eastAsia="sl-SI"/>
        </w:rPr>
        <w:t>,</w:t>
      </w:r>
      <w:r w:rsidRPr="00495482">
        <w:rPr>
          <w:lang w:val="fr-FR" w:eastAsia="sl-SI"/>
        </w:rPr>
        <w:t xml:space="preserve"> la représentation des femmes et des hommes aux postes de haut niveau dépassait en moyenne la part de 40% prescrite par la loi sur l</w:t>
      </w:r>
      <w:r w:rsidR="005D0F0F" w:rsidRPr="00495482">
        <w:rPr>
          <w:lang w:val="fr-FR" w:eastAsia="sl-SI"/>
        </w:rPr>
        <w:t>’</w:t>
      </w:r>
      <w:r w:rsidRPr="00495482">
        <w:rPr>
          <w:lang w:val="fr-FR" w:eastAsia="sl-SI"/>
        </w:rPr>
        <w:t>égalité des chances des femmes et des hommes</w:t>
      </w:r>
      <w:r w:rsidR="005D0F0F" w:rsidRPr="00495482">
        <w:rPr>
          <w:lang w:val="fr-FR" w:eastAsia="sl-SI"/>
        </w:rPr>
        <w:t>,</w:t>
      </w:r>
      <w:r w:rsidRPr="00495482">
        <w:rPr>
          <w:lang w:val="fr-FR" w:eastAsia="sl-SI"/>
        </w:rPr>
        <w:t xml:space="preserve"> pour une représentation équilibrée des deux sexes (voir tableaux à l</w:t>
      </w:r>
      <w:r w:rsidR="005D0F0F" w:rsidRPr="00495482">
        <w:rPr>
          <w:lang w:val="fr-FR" w:eastAsia="sl-SI"/>
        </w:rPr>
        <w:t>’</w:t>
      </w:r>
      <w:r w:rsidRPr="00495482">
        <w:rPr>
          <w:lang w:val="fr-FR" w:eastAsia="sl-SI"/>
        </w:rPr>
        <w:t xml:space="preserve">annexe I). </w:t>
      </w:r>
    </w:p>
    <w:p w:rsidR="00317603" w:rsidRPr="00495482" w:rsidRDefault="00317603" w:rsidP="008F7FB7">
      <w:pPr>
        <w:pStyle w:val="SingleTxtG"/>
        <w:rPr>
          <w:lang w:val="fr-FR" w:eastAsia="sl-SI"/>
        </w:rPr>
      </w:pPr>
      <w:r w:rsidRPr="00495482">
        <w:rPr>
          <w:lang w:val="fr-FR" w:eastAsia="sl-SI"/>
        </w:rPr>
        <w:t>43.</w:t>
      </w:r>
      <w:r w:rsidRPr="00495482">
        <w:rPr>
          <w:lang w:val="fr-FR" w:eastAsia="sl-SI"/>
        </w:rPr>
        <w:tab/>
        <w:t>Pour remplir plus efficacement ses obligations au titre de la loi sur l</w:t>
      </w:r>
      <w:r w:rsidR="005D0F0F" w:rsidRPr="00495482">
        <w:rPr>
          <w:lang w:val="fr-FR" w:eastAsia="sl-SI"/>
        </w:rPr>
        <w:t>’</w:t>
      </w:r>
      <w:r w:rsidRPr="00495482">
        <w:rPr>
          <w:lang w:val="fr-FR" w:eastAsia="sl-SI"/>
        </w:rPr>
        <w:t>égalité des chances des femmes et des hommes</w:t>
      </w:r>
      <w:r w:rsidR="005D0F0F" w:rsidRPr="00495482">
        <w:rPr>
          <w:lang w:val="fr-FR" w:eastAsia="sl-SI"/>
        </w:rPr>
        <w:t>,</w:t>
      </w:r>
      <w:r w:rsidRPr="00495482">
        <w:rPr>
          <w:lang w:val="fr-FR" w:eastAsia="sl-SI"/>
        </w:rPr>
        <w:t xml:space="preserve"> s</w:t>
      </w:r>
      <w:r w:rsidR="005D0F0F" w:rsidRPr="00495482">
        <w:rPr>
          <w:lang w:val="fr-FR" w:eastAsia="sl-SI"/>
        </w:rPr>
        <w:t>’</w:t>
      </w:r>
      <w:r w:rsidRPr="00495482">
        <w:rPr>
          <w:lang w:val="fr-FR" w:eastAsia="sl-SI"/>
        </w:rPr>
        <w:t>agissant de la représentation des femmes dans les corps de mission et les organes consultatifs du gouvernement</w:t>
      </w:r>
      <w:r w:rsidR="005D0F0F" w:rsidRPr="00495482">
        <w:rPr>
          <w:lang w:val="fr-FR" w:eastAsia="sl-SI"/>
        </w:rPr>
        <w:t>,</w:t>
      </w:r>
      <w:r w:rsidRPr="00495482">
        <w:rPr>
          <w:lang w:val="fr-FR" w:eastAsia="sl-SI"/>
        </w:rPr>
        <w:t xml:space="preserve"> celui-ci a adopté en 2004 le </w:t>
      </w:r>
      <w:r w:rsidRPr="00495482">
        <w:rPr>
          <w:i/>
          <w:lang w:val="fr-FR" w:eastAsia="sl-SI"/>
        </w:rPr>
        <w:t>décret régissant les critères d</w:t>
      </w:r>
      <w:r w:rsidR="005D0F0F" w:rsidRPr="00495482">
        <w:rPr>
          <w:i/>
          <w:lang w:val="fr-FR" w:eastAsia="sl-SI"/>
        </w:rPr>
        <w:t>’</w:t>
      </w:r>
      <w:r w:rsidRPr="00495482">
        <w:rPr>
          <w:i/>
          <w:lang w:val="fr-FR" w:eastAsia="sl-SI"/>
        </w:rPr>
        <w:t xml:space="preserve">application du principe de représentation équilibrée des hommes et des femmes </w:t>
      </w:r>
      <w:r w:rsidRPr="00495482">
        <w:rPr>
          <w:lang w:val="fr-FR" w:eastAsia="sl-SI"/>
        </w:rPr>
        <w:t>et</w:t>
      </w:r>
      <w:r w:rsidR="005D0F0F" w:rsidRPr="00495482">
        <w:rPr>
          <w:i/>
          <w:lang w:val="fr-FR" w:eastAsia="sl-SI"/>
        </w:rPr>
        <w:t>,</w:t>
      </w:r>
      <w:r w:rsidRPr="00495482">
        <w:rPr>
          <w:i/>
          <w:lang w:val="fr-FR" w:eastAsia="sl-SI"/>
        </w:rPr>
        <w:t xml:space="preserve"> </w:t>
      </w:r>
      <w:r w:rsidRPr="00495482">
        <w:rPr>
          <w:lang w:val="fr-FR" w:eastAsia="sl-SI"/>
        </w:rPr>
        <w:t xml:space="preserve">avec sa mise en </w:t>
      </w:r>
      <w:r w:rsidR="002328BD" w:rsidRPr="00495482">
        <w:rPr>
          <w:lang w:val="fr-FR" w:eastAsia="sl-SI"/>
        </w:rPr>
        <w:t>œuvre</w:t>
      </w:r>
      <w:r w:rsidR="005D0F0F" w:rsidRPr="00495482">
        <w:rPr>
          <w:lang w:val="fr-FR" w:eastAsia="sl-SI"/>
        </w:rPr>
        <w:t>,</w:t>
      </w:r>
      <w:r w:rsidRPr="00495482">
        <w:rPr>
          <w:lang w:val="fr-FR" w:eastAsia="sl-SI"/>
        </w:rPr>
        <w:t xml:space="preserve"> la représentation féminine au sein des corps de mission et des institutions publiques a dépassé en 2008 le seuil de 40%</w:t>
      </w:r>
      <w:r w:rsidR="005D0F0F" w:rsidRPr="00495482">
        <w:rPr>
          <w:lang w:val="fr-FR" w:eastAsia="sl-SI"/>
        </w:rPr>
        <w:t>,</w:t>
      </w:r>
      <w:r w:rsidRPr="00495482">
        <w:rPr>
          <w:lang w:val="fr-FR" w:eastAsia="sl-SI"/>
        </w:rPr>
        <w:t xml:space="preserve"> légalement considéré comme une représentation hommes-femmes équilibrée. Le pourcentage de femmes qui représentent le gouvernement dans les institutions et les fonds de financement est également supérieur à 30%.</w:t>
      </w:r>
    </w:p>
    <w:p w:rsidR="00317603" w:rsidRPr="00495482" w:rsidRDefault="00317603" w:rsidP="008F7FB7">
      <w:pPr>
        <w:pStyle w:val="SingleTxtG"/>
        <w:rPr>
          <w:lang w:val="fr-FR" w:eastAsia="sl-SI"/>
        </w:rPr>
      </w:pPr>
      <w:r w:rsidRPr="00495482">
        <w:rPr>
          <w:lang w:val="fr-FR" w:eastAsia="sl-SI"/>
        </w:rPr>
        <w:t>44.</w:t>
      </w:r>
      <w:r w:rsidRPr="00495482">
        <w:rPr>
          <w:lang w:val="fr-FR" w:eastAsia="sl-SI"/>
        </w:rPr>
        <w:tab/>
        <w:t>Dans les services diplomatiques</w:t>
      </w:r>
      <w:r w:rsidR="005D0F0F" w:rsidRPr="00495482">
        <w:rPr>
          <w:lang w:val="fr-FR" w:eastAsia="sl-SI"/>
        </w:rPr>
        <w:t>,</w:t>
      </w:r>
      <w:r w:rsidRPr="00495482">
        <w:rPr>
          <w:lang w:val="fr-FR" w:eastAsia="sl-SI"/>
        </w:rPr>
        <w:t xml:space="preserve"> comme dans les autres organisations professionnelles où les femmes prédominent</w:t>
      </w:r>
      <w:r w:rsidR="005D0F0F" w:rsidRPr="00495482">
        <w:rPr>
          <w:lang w:val="fr-FR" w:eastAsia="sl-SI"/>
        </w:rPr>
        <w:t>,</w:t>
      </w:r>
      <w:r w:rsidRPr="00495482">
        <w:rPr>
          <w:lang w:val="fr-FR" w:eastAsia="sl-SI"/>
        </w:rPr>
        <w:t xml:space="preserve"> les indicateurs quantitatifs – l</w:t>
      </w:r>
      <w:r w:rsidR="005D0F0F" w:rsidRPr="00495482">
        <w:rPr>
          <w:lang w:val="fr-FR" w:eastAsia="sl-SI"/>
        </w:rPr>
        <w:t>’</w:t>
      </w:r>
      <w:r w:rsidRPr="00495482">
        <w:rPr>
          <w:lang w:val="fr-FR" w:eastAsia="sl-SI"/>
        </w:rPr>
        <w:t>un des critères de l</w:t>
      </w:r>
      <w:r w:rsidR="005D0F0F" w:rsidRPr="00495482">
        <w:rPr>
          <w:lang w:val="fr-FR" w:eastAsia="sl-SI"/>
        </w:rPr>
        <w:t>’</w:t>
      </w:r>
      <w:r w:rsidRPr="00495482">
        <w:rPr>
          <w:lang w:val="fr-FR" w:eastAsia="sl-SI"/>
        </w:rPr>
        <w:t>égalité hommes-femmes</w:t>
      </w:r>
      <w:r w:rsidR="005D0F0F" w:rsidRPr="00495482">
        <w:rPr>
          <w:lang w:val="fr-FR" w:eastAsia="sl-SI"/>
        </w:rPr>
        <w:t>,</w:t>
      </w:r>
      <w:r w:rsidRPr="00495482">
        <w:rPr>
          <w:lang w:val="fr-FR" w:eastAsia="sl-SI"/>
        </w:rPr>
        <w:t xml:space="preserve"> confirment la tendance selon laquelle la part des femmes est inversement proportionnelle au rang sur l</w:t>
      </w:r>
      <w:r w:rsidR="005D0F0F" w:rsidRPr="00495482">
        <w:rPr>
          <w:lang w:val="fr-FR" w:eastAsia="sl-SI"/>
        </w:rPr>
        <w:t>’</w:t>
      </w:r>
      <w:r w:rsidRPr="00495482">
        <w:rPr>
          <w:lang w:val="fr-FR" w:eastAsia="sl-SI"/>
        </w:rPr>
        <w:t>échelle de carrière.</w:t>
      </w:r>
      <w:r w:rsidR="003D1A4F" w:rsidRPr="00495482">
        <w:rPr>
          <w:lang w:val="fr-FR" w:eastAsia="sl-SI"/>
        </w:rPr>
        <w:t xml:space="preserve"> </w:t>
      </w:r>
    </w:p>
    <w:p w:rsidR="00317603" w:rsidRPr="00495482" w:rsidRDefault="00317603" w:rsidP="008F7FB7">
      <w:pPr>
        <w:pStyle w:val="H23G"/>
        <w:rPr>
          <w:iCs/>
          <w:lang w:val="fr-FR" w:eastAsia="sl-SI"/>
        </w:rPr>
      </w:pPr>
      <w:r w:rsidRPr="00495482">
        <w:rPr>
          <w:lang w:val="fr-FR" w:eastAsia="sl-SI"/>
        </w:rPr>
        <w:tab/>
      </w:r>
      <w:r w:rsidRPr="00495482">
        <w:rPr>
          <w:lang w:val="fr-FR" w:eastAsia="sl-SI"/>
        </w:rPr>
        <w:tab/>
        <w:t>Représentation des femmes dans l</w:t>
      </w:r>
      <w:r w:rsidR="005D0F0F" w:rsidRPr="00495482">
        <w:rPr>
          <w:lang w:val="fr-FR" w:eastAsia="sl-SI"/>
        </w:rPr>
        <w:t>’</w:t>
      </w:r>
      <w:r w:rsidRPr="00495482">
        <w:rPr>
          <w:lang w:val="fr-FR" w:eastAsia="sl-SI"/>
        </w:rPr>
        <w:t>économie</w:t>
      </w:r>
    </w:p>
    <w:p w:rsidR="00317603" w:rsidRPr="00495482" w:rsidRDefault="00317603" w:rsidP="008F7FB7">
      <w:pPr>
        <w:pStyle w:val="SingleTxtG"/>
        <w:rPr>
          <w:lang w:val="fr-FR" w:eastAsia="sl-SI"/>
        </w:rPr>
      </w:pPr>
      <w:r w:rsidRPr="00495482">
        <w:rPr>
          <w:spacing w:val="-11"/>
          <w:lang w:val="fr-FR" w:eastAsia="sl-SI"/>
        </w:rPr>
        <w:t>45.</w:t>
      </w:r>
      <w:r w:rsidRPr="00495482">
        <w:rPr>
          <w:spacing w:val="-11"/>
          <w:lang w:val="fr-FR" w:eastAsia="sl-SI"/>
        </w:rPr>
        <w:tab/>
      </w:r>
      <w:r w:rsidRPr="00495482">
        <w:rPr>
          <w:lang w:val="fr-FR" w:eastAsia="sl-SI"/>
        </w:rPr>
        <w:t>En 2009</w:t>
      </w:r>
      <w:r w:rsidR="005D0F0F" w:rsidRPr="00495482">
        <w:rPr>
          <w:lang w:val="fr-FR" w:eastAsia="sl-SI"/>
        </w:rPr>
        <w:t>,</w:t>
      </w:r>
      <w:r w:rsidRPr="00495482">
        <w:rPr>
          <w:lang w:val="fr-FR" w:eastAsia="sl-SI"/>
        </w:rPr>
        <w:t xml:space="preserve"> 10% de femmes occupaient des postes directoriaux dans les dix plus grandes entreprises du pays</w:t>
      </w:r>
      <w:r w:rsidR="005D0F0F" w:rsidRPr="00495482">
        <w:rPr>
          <w:lang w:val="fr-FR" w:eastAsia="sl-SI"/>
        </w:rPr>
        <w:t>,</w:t>
      </w:r>
      <w:r w:rsidRPr="00495482">
        <w:rPr>
          <w:lang w:val="fr-FR" w:eastAsia="sl-SI"/>
        </w:rPr>
        <w:t xml:space="preserve"> ce qui signifie que leur part </w:t>
      </w:r>
      <w:r w:rsidR="002328BD" w:rsidRPr="00495482">
        <w:rPr>
          <w:lang w:val="fr-FR" w:eastAsia="sl-SI"/>
        </w:rPr>
        <w:t>a plus que doublé par rapport à </w:t>
      </w:r>
      <w:r w:rsidRPr="00495482">
        <w:rPr>
          <w:lang w:val="fr-FR" w:eastAsia="sl-SI"/>
        </w:rPr>
        <w:t>2003 (où elle était de 4%). Les femmes sont nettement mieux représentées aux postes de direction et dans les conseils d</w:t>
      </w:r>
      <w:r w:rsidR="005D0F0F" w:rsidRPr="00495482">
        <w:rPr>
          <w:lang w:val="fr-FR" w:eastAsia="sl-SI"/>
        </w:rPr>
        <w:t>’</w:t>
      </w:r>
      <w:r w:rsidRPr="00495482">
        <w:rPr>
          <w:lang w:val="fr-FR" w:eastAsia="sl-SI"/>
        </w:rPr>
        <w:t>administration des entreprises</w:t>
      </w:r>
      <w:r w:rsidR="005D0F0F" w:rsidRPr="00495482">
        <w:rPr>
          <w:lang w:val="fr-FR" w:eastAsia="sl-SI"/>
        </w:rPr>
        <w:t>,</w:t>
      </w:r>
      <w:r w:rsidRPr="00495482">
        <w:rPr>
          <w:lang w:val="fr-FR" w:eastAsia="sl-SI"/>
        </w:rPr>
        <w:t xml:space="preserve"> bien que dans ces derniers leur représentation ait diminué pour passer de 34% en 2005 à 25% en 2008.</w:t>
      </w:r>
    </w:p>
    <w:p w:rsidR="00317603" w:rsidRPr="00495482" w:rsidRDefault="00317603" w:rsidP="008F7FB7">
      <w:pPr>
        <w:pStyle w:val="H1G"/>
        <w:rPr>
          <w:spacing w:val="-11"/>
          <w:lang w:val="fr-FR" w:eastAsia="sl-SI"/>
        </w:rPr>
      </w:pPr>
      <w:r w:rsidRPr="00495482">
        <w:rPr>
          <w:lang w:val="fr-FR" w:eastAsia="sl-SI"/>
        </w:rPr>
        <w:tab/>
      </w:r>
      <w:r w:rsidRPr="00495482">
        <w:rPr>
          <w:lang w:val="fr-FR" w:eastAsia="sl-SI"/>
        </w:rPr>
        <w:tab/>
        <w:t>Articles 4 et 5</w:t>
      </w:r>
      <w:r w:rsidR="002328BD" w:rsidRPr="00495482">
        <w:rPr>
          <w:lang w:val="fr-FR" w:eastAsia="sl-SI"/>
        </w:rPr>
        <w:br/>
      </w:r>
      <w:r w:rsidRPr="00495482">
        <w:rPr>
          <w:lang w:val="fr-FR" w:eastAsia="sl-SI"/>
        </w:rPr>
        <w:t>Limitation apportée à la jouissance des droits</w:t>
      </w:r>
      <w:r w:rsidR="005D0F0F" w:rsidRPr="00495482">
        <w:rPr>
          <w:lang w:val="fr-FR" w:eastAsia="sl-SI"/>
        </w:rPr>
        <w:t>,</w:t>
      </w:r>
      <w:r w:rsidR="003D1A4F" w:rsidRPr="00495482">
        <w:rPr>
          <w:lang w:val="fr-FR" w:eastAsia="sl-SI"/>
        </w:rPr>
        <w:t xml:space="preserve"> </w:t>
      </w:r>
      <w:r w:rsidRPr="00495482">
        <w:rPr>
          <w:lang w:val="fr-FR" w:eastAsia="sl-SI"/>
        </w:rPr>
        <w:t>interdiction de l</w:t>
      </w:r>
      <w:r w:rsidR="005D0F0F" w:rsidRPr="00495482">
        <w:rPr>
          <w:lang w:val="fr-FR" w:eastAsia="sl-SI"/>
        </w:rPr>
        <w:t>’</w:t>
      </w:r>
      <w:r w:rsidRPr="00495482">
        <w:rPr>
          <w:lang w:val="fr-FR" w:eastAsia="sl-SI"/>
        </w:rPr>
        <w:t xml:space="preserve">abus de droits et principe de la primauté des droits les plus favorables </w:t>
      </w:r>
    </w:p>
    <w:p w:rsidR="00317603" w:rsidRPr="00495482" w:rsidRDefault="00317603" w:rsidP="008F7FB7">
      <w:pPr>
        <w:pStyle w:val="SingleTxtG"/>
        <w:rPr>
          <w:spacing w:val="-11"/>
          <w:szCs w:val="22"/>
          <w:lang w:val="fr-FR" w:eastAsia="sl-SI"/>
        </w:rPr>
      </w:pPr>
      <w:r w:rsidRPr="00495482">
        <w:rPr>
          <w:spacing w:val="-11"/>
          <w:lang w:val="fr-FR" w:eastAsia="sl-SI"/>
        </w:rPr>
        <w:t>46.</w:t>
      </w:r>
      <w:r w:rsidRPr="00495482">
        <w:rPr>
          <w:spacing w:val="-11"/>
          <w:lang w:val="fr-FR" w:eastAsia="sl-SI"/>
        </w:rPr>
        <w:tab/>
      </w:r>
      <w:r w:rsidRPr="00495482">
        <w:rPr>
          <w:lang w:val="fr-FR" w:eastAsia="sl-SI"/>
        </w:rPr>
        <w:t>Les réponses figurent dans le rapport initial et le document de présentation de la République de Slovénie.</w:t>
      </w:r>
      <w:r w:rsidR="003D1A4F" w:rsidRPr="00495482">
        <w:rPr>
          <w:lang w:val="fr-FR" w:eastAsia="sl-SI"/>
        </w:rPr>
        <w:t xml:space="preserve"> </w:t>
      </w:r>
    </w:p>
    <w:p w:rsidR="00317603" w:rsidRPr="00495482" w:rsidRDefault="00317603" w:rsidP="002328BD">
      <w:pPr>
        <w:pStyle w:val="HChG"/>
        <w:rPr>
          <w:lang w:val="fr-FR" w:eastAsia="ar-SA"/>
        </w:rPr>
      </w:pPr>
      <w:r w:rsidRPr="00495482">
        <w:rPr>
          <w:lang w:val="fr-FR" w:eastAsia="ar-SA"/>
        </w:rPr>
        <w:tab/>
        <w:t>III.</w:t>
      </w:r>
      <w:r w:rsidRPr="00495482">
        <w:rPr>
          <w:lang w:val="fr-FR" w:eastAsia="ar-SA"/>
        </w:rPr>
        <w:tab/>
        <w:t>Droits spéciaux</w:t>
      </w:r>
    </w:p>
    <w:p w:rsidR="00317603" w:rsidRPr="00495482" w:rsidRDefault="00317603" w:rsidP="002328BD">
      <w:pPr>
        <w:pStyle w:val="H1G"/>
        <w:rPr>
          <w:lang w:val="fr-FR" w:eastAsia="sl-SI"/>
        </w:rPr>
      </w:pPr>
      <w:r w:rsidRPr="00495482">
        <w:rPr>
          <w:lang w:val="fr-FR" w:eastAsia="sl-SI"/>
        </w:rPr>
        <w:tab/>
      </w:r>
      <w:r w:rsidRPr="00495482">
        <w:rPr>
          <w:lang w:val="fr-FR" w:eastAsia="sl-SI"/>
        </w:rPr>
        <w:tab/>
        <w:t>Article 6</w:t>
      </w:r>
      <w:r w:rsidR="002328BD" w:rsidRPr="00495482">
        <w:rPr>
          <w:lang w:val="fr-FR" w:eastAsia="sl-SI"/>
        </w:rPr>
        <w:br/>
      </w:r>
      <w:r w:rsidRPr="00495482">
        <w:rPr>
          <w:lang w:val="fr-FR" w:eastAsia="sl-SI"/>
        </w:rPr>
        <w:t xml:space="preserve">Droit au travail </w:t>
      </w:r>
    </w:p>
    <w:p w:rsidR="00317603" w:rsidRPr="00495482" w:rsidRDefault="00317603" w:rsidP="008F7FB7">
      <w:pPr>
        <w:pStyle w:val="SingleTxtG"/>
        <w:rPr>
          <w:lang w:val="fr-FR" w:eastAsia="sl-SI"/>
        </w:rPr>
      </w:pPr>
      <w:r w:rsidRPr="00495482">
        <w:rPr>
          <w:lang w:val="fr-FR" w:eastAsia="sl-SI"/>
        </w:rPr>
        <w:t>47.</w:t>
      </w:r>
      <w:r w:rsidRPr="00495482">
        <w:rPr>
          <w:lang w:val="fr-FR" w:eastAsia="sl-SI"/>
        </w:rPr>
        <w:tab/>
        <w:t>Pour permettre une application plus efficace du droit fondamental au travail</w:t>
      </w:r>
      <w:r w:rsidR="005D0F0F" w:rsidRPr="00495482">
        <w:rPr>
          <w:lang w:val="fr-FR" w:eastAsia="sl-SI"/>
        </w:rPr>
        <w:t>,</w:t>
      </w:r>
      <w:r w:rsidRPr="00495482">
        <w:rPr>
          <w:lang w:val="fr-FR" w:eastAsia="sl-SI"/>
        </w:rPr>
        <w:t xml:space="preserve"> divers aspects du domaine de l</w:t>
      </w:r>
      <w:r w:rsidR="005D0F0F" w:rsidRPr="00495482">
        <w:rPr>
          <w:lang w:val="fr-FR" w:eastAsia="sl-SI"/>
        </w:rPr>
        <w:t>’</w:t>
      </w:r>
      <w:r w:rsidRPr="00495482">
        <w:rPr>
          <w:lang w:val="fr-FR" w:eastAsia="sl-SI"/>
        </w:rPr>
        <w:t>emploi ont été progressivement modifiés au cours des dernières années</w:t>
      </w:r>
      <w:r w:rsidR="005D0F0F" w:rsidRPr="00495482">
        <w:rPr>
          <w:lang w:val="fr-FR" w:eastAsia="sl-SI"/>
        </w:rPr>
        <w:t>,</w:t>
      </w:r>
      <w:r w:rsidRPr="00495482">
        <w:rPr>
          <w:lang w:val="fr-FR" w:eastAsia="sl-SI"/>
        </w:rPr>
        <w:t xml:space="preserve"> notamment en ce qui concerne la recherche d</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les intermédiaires en</w:t>
      </w:r>
      <w:r w:rsidR="003D1A4F" w:rsidRPr="00495482">
        <w:rPr>
          <w:lang w:val="fr-FR" w:eastAsia="sl-SI"/>
        </w:rPr>
        <w:t xml:space="preserve"> </w:t>
      </w:r>
      <w:r w:rsidRPr="00495482">
        <w:rPr>
          <w:lang w:val="fr-FR" w:eastAsia="sl-SI"/>
        </w:rPr>
        <w:t>matière d</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les mesures pour stimuler l</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ouvrir de nouveaux débouchés et préserver les emplois productifs et toutes les activités qui garantissent des possibilités d</w:t>
      </w:r>
      <w:r w:rsidR="005D0F0F" w:rsidRPr="00495482">
        <w:rPr>
          <w:lang w:val="fr-FR" w:eastAsia="sl-SI"/>
        </w:rPr>
        <w:t>’</w:t>
      </w:r>
      <w:r w:rsidRPr="00495482">
        <w:rPr>
          <w:lang w:val="fr-FR" w:eastAsia="sl-SI"/>
        </w:rPr>
        <w:t>emplois productifs et librement choisis</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épanouissement personnel et professionnel</w:t>
      </w:r>
      <w:r w:rsidR="005D0F0F" w:rsidRPr="00495482">
        <w:rPr>
          <w:lang w:val="fr-FR" w:eastAsia="sl-SI"/>
        </w:rPr>
        <w:t>,</w:t>
      </w:r>
      <w:r w:rsidRPr="00495482">
        <w:rPr>
          <w:lang w:val="fr-FR" w:eastAsia="sl-SI"/>
        </w:rPr>
        <w:t xml:space="preserve"> comme l</w:t>
      </w:r>
      <w:r w:rsidR="005D0F0F" w:rsidRPr="00495482">
        <w:rPr>
          <w:lang w:val="fr-FR" w:eastAsia="sl-SI"/>
        </w:rPr>
        <w:t>’</w:t>
      </w:r>
      <w:r w:rsidRPr="00495482">
        <w:rPr>
          <w:lang w:val="fr-FR" w:eastAsia="sl-SI"/>
        </w:rPr>
        <w:t xml:space="preserve">usage des capacités de travail des individus. </w:t>
      </w:r>
    </w:p>
    <w:p w:rsidR="00317603" w:rsidRPr="00495482" w:rsidRDefault="00317603" w:rsidP="002328BD">
      <w:pPr>
        <w:pStyle w:val="SingleTxtG"/>
        <w:rPr>
          <w:lang w:val="fr-FR" w:eastAsia="sl-SI"/>
        </w:rPr>
      </w:pPr>
      <w:r w:rsidRPr="00495482">
        <w:rPr>
          <w:lang w:val="fr-FR" w:eastAsia="sl-SI"/>
        </w:rPr>
        <w:t>48.</w:t>
      </w:r>
      <w:r w:rsidRPr="00495482">
        <w:rPr>
          <w:lang w:val="fr-FR" w:eastAsia="sl-SI"/>
        </w:rPr>
        <w:tab/>
        <w:t>Depuis 2007</w:t>
      </w:r>
      <w:r w:rsidR="005D0F0F" w:rsidRPr="00495482">
        <w:rPr>
          <w:lang w:val="fr-FR" w:eastAsia="sl-SI"/>
        </w:rPr>
        <w:t>,</w:t>
      </w:r>
      <w:r w:rsidRPr="00495482">
        <w:rPr>
          <w:lang w:val="fr-FR" w:eastAsia="sl-SI"/>
        </w:rPr>
        <w:t xml:space="preserve"> le Service de l</w:t>
      </w:r>
      <w:r w:rsidR="005D0F0F" w:rsidRPr="00495482">
        <w:rPr>
          <w:lang w:val="fr-FR" w:eastAsia="sl-SI"/>
        </w:rPr>
        <w:t>’</w:t>
      </w:r>
      <w:r w:rsidRPr="00495482">
        <w:rPr>
          <w:lang w:val="fr-FR" w:eastAsia="sl-SI"/>
        </w:rPr>
        <w:t>emploi slovène</w:t>
      </w:r>
      <w:r w:rsidR="005D0F0F" w:rsidRPr="00495482">
        <w:rPr>
          <w:lang w:val="fr-FR" w:eastAsia="sl-SI"/>
        </w:rPr>
        <w:t>,</w:t>
      </w:r>
      <w:r w:rsidRPr="00495482">
        <w:rPr>
          <w:lang w:val="fr-FR" w:eastAsia="sl-SI"/>
        </w:rPr>
        <w:t xml:space="preserve"> en tant que pourvoyeur d</w:t>
      </w:r>
      <w:r w:rsidR="005D0F0F" w:rsidRPr="00495482">
        <w:rPr>
          <w:lang w:val="fr-FR" w:eastAsia="sl-SI"/>
        </w:rPr>
        <w:t>’</w:t>
      </w:r>
      <w:r w:rsidRPr="00495482">
        <w:rPr>
          <w:lang w:val="fr-FR" w:eastAsia="sl-SI"/>
        </w:rPr>
        <w:t>un service public de recherche d</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a opté pour un nouveau système d</w:t>
      </w:r>
      <w:r w:rsidR="005D0F0F" w:rsidRPr="00495482">
        <w:rPr>
          <w:lang w:val="fr-FR" w:eastAsia="sl-SI"/>
        </w:rPr>
        <w:t>’</w:t>
      </w:r>
      <w:r w:rsidRPr="00495482">
        <w:rPr>
          <w:lang w:val="fr-FR" w:eastAsia="sl-SI"/>
        </w:rPr>
        <w:t>information qui permet davantage de transparence et un transfert plus rapide et plus efficace de l</w:t>
      </w:r>
      <w:r w:rsidR="005D0F0F" w:rsidRPr="00495482">
        <w:rPr>
          <w:lang w:val="fr-FR" w:eastAsia="sl-SI"/>
        </w:rPr>
        <w:t>’</w:t>
      </w:r>
      <w:r w:rsidRPr="00495482">
        <w:rPr>
          <w:lang w:val="fr-FR" w:eastAsia="sl-SI"/>
        </w:rPr>
        <w:t>information aux conseillers qui coopèrent avec chaque demandeurs d</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tout en offrant une meilleure surveillance méthodologique des débouchés</w:t>
      </w:r>
      <w:r w:rsidR="005D0F0F" w:rsidRPr="00495482">
        <w:rPr>
          <w:lang w:val="fr-FR" w:eastAsia="sl-SI"/>
        </w:rPr>
        <w:t>,</w:t>
      </w:r>
      <w:r w:rsidRPr="00495482">
        <w:rPr>
          <w:lang w:val="fr-FR" w:eastAsia="sl-SI"/>
        </w:rPr>
        <w:t xml:space="preserve"> de sorte que les programmes de la politique dynamique de l</w:t>
      </w:r>
      <w:r w:rsidR="005D0F0F" w:rsidRPr="00495482">
        <w:rPr>
          <w:lang w:val="fr-FR" w:eastAsia="sl-SI"/>
        </w:rPr>
        <w:t>’</w:t>
      </w:r>
      <w:r w:rsidRPr="00495482">
        <w:rPr>
          <w:lang w:val="fr-FR" w:eastAsia="sl-SI"/>
        </w:rPr>
        <w:t>emploi ont également été adaptés à des fins d</w:t>
      </w:r>
      <w:r w:rsidR="005D0F0F" w:rsidRPr="00495482">
        <w:rPr>
          <w:lang w:val="fr-FR" w:eastAsia="sl-SI"/>
        </w:rPr>
        <w:t>’</w:t>
      </w:r>
      <w:r w:rsidRPr="00495482">
        <w:rPr>
          <w:lang w:val="fr-FR" w:eastAsia="sl-SI"/>
        </w:rPr>
        <w:t>efficacité. Au niveau de l</w:t>
      </w:r>
      <w:r w:rsidR="005D0F0F" w:rsidRPr="00495482">
        <w:rPr>
          <w:lang w:val="fr-FR" w:eastAsia="sl-SI"/>
        </w:rPr>
        <w:t>’</w:t>
      </w:r>
      <w:r w:rsidRPr="00495482">
        <w:rPr>
          <w:lang w:val="fr-FR" w:eastAsia="sl-SI"/>
        </w:rPr>
        <w:t>État</w:t>
      </w:r>
      <w:r w:rsidR="005D0F0F" w:rsidRPr="00495482">
        <w:rPr>
          <w:lang w:val="fr-FR" w:eastAsia="sl-SI"/>
        </w:rPr>
        <w:t>,</w:t>
      </w:r>
      <w:r w:rsidRPr="00495482">
        <w:rPr>
          <w:lang w:val="fr-FR" w:eastAsia="sl-SI"/>
        </w:rPr>
        <w:t xml:space="preserve"> la législation a été modifiée en 2010</w:t>
      </w:r>
      <w:r w:rsidR="005D0F0F" w:rsidRPr="00495482">
        <w:rPr>
          <w:lang w:val="fr-FR" w:eastAsia="sl-SI"/>
        </w:rPr>
        <w:t>,</w:t>
      </w:r>
      <w:r w:rsidRPr="00495482">
        <w:rPr>
          <w:lang w:val="fr-FR" w:eastAsia="sl-SI"/>
        </w:rPr>
        <w:t xml:space="preserve"> pour offrir </w:t>
      </w:r>
      <w:r w:rsidR="0038572C">
        <w:rPr>
          <w:lang w:val="fr-FR" w:eastAsia="sl-SI"/>
        </w:rPr>
        <w:t>aux personnes</w:t>
      </w:r>
      <w:r w:rsidRPr="00495482">
        <w:rPr>
          <w:lang w:val="fr-FR" w:eastAsia="sl-SI"/>
        </w:rPr>
        <w:t xml:space="preserve"> à la recherche d</w:t>
      </w:r>
      <w:r w:rsidR="005D0F0F" w:rsidRPr="00495482">
        <w:rPr>
          <w:lang w:val="fr-FR" w:eastAsia="sl-SI"/>
        </w:rPr>
        <w:t>’</w:t>
      </w:r>
      <w:r w:rsidRPr="00495482">
        <w:rPr>
          <w:lang w:val="fr-FR" w:eastAsia="sl-SI"/>
        </w:rPr>
        <w:t>un premier emploi et à celles de moins de 26</w:t>
      </w:r>
      <w:r w:rsidR="002328BD" w:rsidRPr="00495482">
        <w:rPr>
          <w:lang w:val="fr-FR" w:eastAsia="sl-SI"/>
        </w:rPr>
        <w:t> ans</w:t>
      </w:r>
      <w:r w:rsidRPr="00495482">
        <w:rPr>
          <w:lang w:val="fr-FR" w:eastAsia="sl-SI"/>
        </w:rPr>
        <w:t xml:space="preserve"> une sécurité juridique renforcée et davantage d</w:t>
      </w:r>
      <w:r w:rsidR="005D0F0F" w:rsidRPr="00495482">
        <w:rPr>
          <w:lang w:val="fr-FR" w:eastAsia="sl-SI"/>
        </w:rPr>
        <w:t>’</w:t>
      </w:r>
      <w:r w:rsidRPr="00495482">
        <w:rPr>
          <w:lang w:val="fr-FR" w:eastAsia="sl-SI"/>
        </w:rPr>
        <w:t>opportunités de travail; parallèlement</w:t>
      </w:r>
      <w:r w:rsidR="005D0F0F" w:rsidRPr="00495482">
        <w:rPr>
          <w:lang w:val="fr-FR" w:eastAsia="sl-SI"/>
        </w:rPr>
        <w:t>,</w:t>
      </w:r>
      <w:r w:rsidRPr="00495482">
        <w:rPr>
          <w:lang w:val="fr-FR" w:eastAsia="sl-SI"/>
        </w:rPr>
        <w:t xml:space="preserve"> une stratégie visant à stimuler l</w:t>
      </w:r>
      <w:r w:rsidR="005D0F0F" w:rsidRPr="00495482">
        <w:rPr>
          <w:lang w:val="fr-FR" w:eastAsia="sl-SI"/>
        </w:rPr>
        <w:t>’</w:t>
      </w:r>
      <w:r w:rsidRPr="00495482">
        <w:rPr>
          <w:lang w:val="fr-FR" w:eastAsia="sl-SI"/>
        </w:rPr>
        <w:t>emploi des seniors a été élaborée</w:t>
      </w:r>
      <w:r w:rsidR="005D0F0F" w:rsidRPr="00495482">
        <w:rPr>
          <w:lang w:val="fr-FR" w:eastAsia="sl-SI"/>
        </w:rPr>
        <w:t>,</w:t>
      </w:r>
      <w:r w:rsidRPr="00495482">
        <w:rPr>
          <w:lang w:val="fr-FR" w:eastAsia="sl-SI"/>
        </w:rPr>
        <w:t xml:space="preserve"> car la structure d</w:t>
      </w:r>
      <w:r w:rsidR="005D0F0F" w:rsidRPr="00495482">
        <w:rPr>
          <w:lang w:val="fr-FR" w:eastAsia="sl-SI"/>
        </w:rPr>
        <w:t>’</w:t>
      </w:r>
      <w:r w:rsidRPr="00495482">
        <w:rPr>
          <w:lang w:val="fr-FR" w:eastAsia="sl-SI"/>
        </w:rPr>
        <w:t>âge du marché du travail slovène est asymétrique. L</w:t>
      </w:r>
      <w:r w:rsidR="005D0F0F" w:rsidRPr="00495482">
        <w:rPr>
          <w:lang w:val="fr-FR" w:eastAsia="sl-SI"/>
        </w:rPr>
        <w:t>’</w:t>
      </w:r>
      <w:r w:rsidRPr="00495482">
        <w:rPr>
          <w:lang w:val="fr-FR" w:eastAsia="sl-SI"/>
        </w:rPr>
        <w:t>État protègera ainsi plus efficacement les groupes potentiellement vulnérable</w:t>
      </w:r>
      <w:r w:rsidR="008F7FB7" w:rsidRPr="00495482">
        <w:rPr>
          <w:lang w:val="fr-FR" w:eastAsia="sl-SI"/>
        </w:rPr>
        <w:t xml:space="preserve">s au chômage tout en améliorant </w:t>
      </w:r>
      <w:r w:rsidRPr="00495482">
        <w:rPr>
          <w:lang w:val="fr-FR" w:eastAsia="sl-SI"/>
        </w:rPr>
        <w:t xml:space="preserve">leur sécurité sociale. Cela facilitera essentiellement la réduction à moyen terme du chômage structurel dans le pays. </w:t>
      </w:r>
    </w:p>
    <w:p w:rsidR="00317603" w:rsidRPr="00495482" w:rsidRDefault="00317603" w:rsidP="002328BD">
      <w:pPr>
        <w:pStyle w:val="H23G"/>
        <w:rPr>
          <w:lang w:val="fr-FR" w:eastAsia="sl-SI"/>
        </w:rPr>
      </w:pPr>
      <w:r w:rsidRPr="00495482">
        <w:rPr>
          <w:lang w:val="fr-FR" w:eastAsia="sl-SI"/>
        </w:rPr>
        <w:tab/>
      </w:r>
      <w:r w:rsidRPr="00495482">
        <w:rPr>
          <w:lang w:val="fr-FR" w:eastAsia="sl-SI"/>
        </w:rPr>
        <w:tab/>
        <w:t>Principaux changements au cadre juridique du marché du travail et de l</w:t>
      </w:r>
      <w:r w:rsidR="005D0F0F" w:rsidRPr="00495482">
        <w:rPr>
          <w:lang w:val="fr-FR" w:eastAsia="sl-SI"/>
        </w:rPr>
        <w:t>’</w:t>
      </w:r>
      <w:r w:rsidRPr="00495482">
        <w:rPr>
          <w:lang w:val="fr-FR" w:eastAsia="sl-SI"/>
        </w:rPr>
        <w:t>emploi</w:t>
      </w:r>
    </w:p>
    <w:p w:rsidR="00317603" w:rsidRPr="00495482" w:rsidRDefault="00317603" w:rsidP="002328BD">
      <w:pPr>
        <w:pStyle w:val="SingleTxtG"/>
        <w:rPr>
          <w:lang w:val="fr-FR" w:eastAsia="sl-SI"/>
        </w:rPr>
      </w:pPr>
      <w:r w:rsidRPr="00495482">
        <w:rPr>
          <w:lang w:val="fr-FR" w:eastAsia="sl-SI"/>
        </w:rPr>
        <w:t>49.</w:t>
      </w:r>
      <w:r w:rsidRPr="00495482">
        <w:rPr>
          <w:lang w:val="fr-FR" w:eastAsia="sl-SI"/>
        </w:rPr>
        <w:tab/>
        <w:t>Les lois visant à moderniser la réglementation du marché du travail ont été soumises à un débat public en 2010</w:t>
      </w:r>
      <w:r w:rsidR="005D0F0F" w:rsidRPr="00495482">
        <w:rPr>
          <w:lang w:val="fr-FR" w:eastAsia="sl-SI"/>
        </w:rPr>
        <w:t>,</w:t>
      </w:r>
      <w:r w:rsidRPr="00495482">
        <w:rPr>
          <w:lang w:val="fr-FR" w:eastAsia="sl-SI"/>
        </w:rPr>
        <w:t xml:space="preserve"> plus précisément</w:t>
      </w:r>
      <w:r w:rsidR="005D0F0F" w:rsidRPr="00495482">
        <w:rPr>
          <w:lang w:val="fr-FR" w:eastAsia="sl-SI"/>
        </w:rPr>
        <w:t>,</w:t>
      </w:r>
      <w:r w:rsidRPr="00495482">
        <w:rPr>
          <w:lang w:val="fr-FR" w:eastAsia="sl-SI"/>
        </w:rPr>
        <w:t xml:space="preserve"> la loi sur les relations professionnelles</w:t>
      </w:r>
      <w:r w:rsidR="005D0F0F" w:rsidRPr="00495482">
        <w:rPr>
          <w:lang w:val="fr-FR" w:eastAsia="sl-SI"/>
        </w:rPr>
        <w:t>,</w:t>
      </w:r>
      <w:r w:rsidRPr="00495482">
        <w:rPr>
          <w:lang w:val="fr-FR" w:eastAsia="sl-SI"/>
        </w:rPr>
        <w:t xml:space="preserve"> la réglementation de la loi sur le marché du travail</w:t>
      </w:r>
      <w:r w:rsidR="005D0F0F" w:rsidRPr="00495482">
        <w:rPr>
          <w:lang w:val="fr-FR" w:eastAsia="sl-SI"/>
        </w:rPr>
        <w:t>,</w:t>
      </w:r>
      <w:r w:rsidRPr="00495482">
        <w:rPr>
          <w:lang w:val="fr-FR" w:eastAsia="sl-SI"/>
        </w:rPr>
        <w:t xml:space="preserve"> la loi sur les emplois d</w:t>
      </w:r>
      <w:r w:rsidR="005D0F0F" w:rsidRPr="00495482">
        <w:rPr>
          <w:lang w:val="fr-FR" w:eastAsia="sl-SI"/>
        </w:rPr>
        <w:t>’</w:t>
      </w:r>
      <w:r w:rsidRPr="00495482">
        <w:rPr>
          <w:lang w:val="fr-FR" w:eastAsia="sl-SI"/>
        </w:rPr>
        <w:t>appoint</w:t>
      </w:r>
      <w:r w:rsidR="005D0F0F" w:rsidRPr="00495482">
        <w:rPr>
          <w:lang w:val="fr-FR" w:eastAsia="sl-SI"/>
        </w:rPr>
        <w:t>,</w:t>
      </w:r>
      <w:r w:rsidRPr="00495482">
        <w:rPr>
          <w:lang w:val="fr-FR" w:eastAsia="sl-SI"/>
        </w:rPr>
        <w:t xml:space="preserve"> et ultérieurement</w:t>
      </w:r>
      <w:r w:rsidR="005D0F0F" w:rsidRPr="00495482">
        <w:rPr>
          <w:lang w:val="fr-FR" w:eastAsia="sl-SI"/>
        </w:rPr>
        <w:t>,</w:t>
      </w:r>
      <w:r w:rsidRPr="00495482">
        <w:rPr>
          <w:lang w:val="fr-FR" w:eastAsia="sl-SI"/>
        </w:rPr>
        <w:t xml:space="preserve"> le projet de loi sur les retraites et l</w:t>
      </w:r>
      <w:r w:rsidR="005D0F0F" w:rsidRPr="00495482">
        <w:rPr>
          <w:lang w:val="fr-FR" w:eastAsia="sl-SI"/>
        </w:rPr>
        <w:t>’</w:t>
      </w:r>
      <w:r w:rsidRPr="00495482">
        <w:rPr>
          <w:lang w:val="fr-FR" w:eastAsia="sl-SI"/>
        </w:rPr>
        <w:t>assurance invalidité. Les modifications juridiques de la réglementation du marché de l</w:t>
      </w:r>
      <w:r w:rsidR="005D0F0F" w:rsidRPr="00495482">
        <w:rPr>
          <w:lang w:val="fr-FR" w:eastAsia="sl-SI"/>
        </w:rPr>
        <w:t>’</w:t>
      </w:r>
      <w:r w:rsidRPr="00495482">
        <w:rPr>
          <w:lang w:val="fr-FR" w:eastAsia="sl-SI"/>
        </w:rPr>
        <w:t>emploi tiennent essentiellement à la multiplication des contrats à durée déterminée. En raison de l</w:t>
      </w:r>
      <w:r w:rsidR="005D0F0F" w:rsidRPr="00495482">
        <w:rPr>
          <w:lang w:val="fr-FR" w:eastAsia="sl-SI"/>
        </w:rPr>
        <w:t>’</w:t>
      </w:r>
      <w:r w:rsidRPr="00495482">
        <w:rPr>
          <w:lang w:val="fr-FR" w:eastAsia="sl-SI"/>
        </w:rPr>
        <w:t>incertitude croissante des conditions économiques</w:t>
      </w:r>
      <w:r w:rsidR="005D0F0F" w:rsidRPr="00495482">
        <w:rPr>
          <w:lang w:val="fr-FR" w:eastAsia="sl-SI"/>
        </w:rPr>
        <w:t>,</w:t>
      </w:r>
      <w:r w:rsidRPr="00495482">
        <w:rPr>
          <w:lang w:val="fr-FR" w:eastAsia="sl-SI"/>
        </w:rPr>
        <w:t xml:space="preserve"> il est impossible d</w:t>
      </w:r>
      <w:r w:rsidR="005D0F0F" w:rsidRPr="00495482">
        <w:rPr>
          <w:lang w:val="fr-FR" w:eastAsia="sl-SI"/>
        </w:rPr>
        <w:t>’</w:t>
      </w:r>
      <w:r w:rsidRPr="00495482">
        <w:rPr>
          <w:lang w:val="fr-FR" w:eastAsia="sl-SI"/>
        </w:rPr>
        <w:t>empêcher ce phénomène</w:t>
      </w:r>
      <w:r w:rsidR="005D0F0F" w:rsidRPr="00495482">
        <w:rPr>
          <w:lang w:val="fr-FR" w:eastAsia="sl-SI"/>
        </w:rPr>
        <w:t>,</w:t>
      </w:r>
      <w:r w:rsidRPr="00495482">
        <w:rPr>
          <w:lang w:val="fr-FR" w:eastAsia="sl-SI"/>
        </w:rPr>
        <w:t xml:space="preserve"> mais la mise en place de contributions obligatoires de sécurité sociale et l</w:t>
      </w:r>
      <w:r w:rsidR="005D0F0F" w:rsidRPr="00495482">
        <w:rPr>
          <w:lang w:val="fr-FR" w:eastAsia="sl-SI"/>
        </w:rPr>
        <w:t>’</w:t>
      </w:r>
      <w:r w:rsidRPr="00495482">
        <w:rPr>
          <w:lang w:val="fr-FR" w:eastAsia="sl-SI"/>
        </w:rPr>
        <w:t>insertion active sur le marché du travail permettent d</w:t>
      </w:r>
      <w:r w:rsidR="005D0F0F" w:rsidRPr="00495482">
        <w:rPr>
          <w:lang w:val="fr-FR" w:eastAsia="sl-SI"/>
        </w:rPr>
        <w:t>’</w:t>
      </w:r>
      <w:r w:rsidRPr="00495482">
        <w:rPr>
          <w:lang w:val="fr-FR" w:eastAsia="sl-SI"/>
        </w:rPr>
        <w:t>en réduire l</w:t>
      </w:r>
      <w:r w:rsidR="005D0F0F" w:rsidRPr="00495482">
        <w:rPr>
          <w:lang w:val="fr-FR" w:eastAsia="sl-SI"/>
        </w:rPr>
        <w:t>’</w:t>
      </w:r>
      <w:r w:rsidRPr="00495482">
        <w:rPr>
          <w:lang w:val="fr-FR" w:eastAsia="sl-SI"/>
        </w:rPr>
        <w:t xml:space="preserve">impact. </w:t>
      </w:r>
    </w:p>
    <w:p w:rsidR="00317603" w:rsidRPr="00495482" w:rsidRDefault="00317603" w:rsidP="002328BD">
      <w:pPr>
        <w:pStyle w:val="SingleTxtG"/>
        <w:rPr>
          <w:lang w:val="fr-FR"/>
        </w:rPr>
      </w:pPr>
      <w:bookmarkStart w:id="0" w:name="_Toc261594122"/>
      <w:bookmarkStart w:id="1" w:name="_Toc261855055"/>
      <w:bookmarkStart w:id="2" w:name="_Toc261857417"/>
      <w:r w:rsidRPr="00495482">
        <w:rPr>
          <w:lang w:val="fr-FR"/>
        </w:rPr>
        <w:t>50.</w:t>
      </w:r>
      <w:r w:rsidRPr="00495482">
        <w:rPr>
          <w:lang w:val="fr-FR"/>
        </w:rPr>
        <w:tab/>
        <w:t>L</w:t>
      </w:r>
      <w:r w:rsidR="005D0F0F" w:rsidRPr="00495482">
        <w:rPr>
          <w:lang w:val="fr-FR"/>
        </w:rPr>
        <w:t>’</w:t>
      </w:r>
      <w:r w:rsidRPr="00495482">
        <w:rPr>
          <w:lang w:val="fr-FR"/>
        </w:rPr>
        <w:t>Assemblée nationale slovène a adopté la loi sur les retraites et l</w:t>
      </w:r>
      <w:r w:rsidR="005D0F0F" w:rsidRPr="00495482">
        <w:rPr>
          <w:lang w:val="fr-FR"/>
        </w:rPr>
        <w:t>’</w:t>
      </w:r>
      <w:r w:rsidRPr="00495482">
        <w:rPr>
          <w:lang w:val="fr-FR"/>
        </w:rPr>
        <w:t>assurance invalidité</w:t>
      </w:r>
      <w:r w:rsidR="005D0F0F" w:rsidRPr="00495482">
        <w:rPr>
          <w:lang w:val="fr-FR"/>
        </w:rPr>
        <w:t>,</w:t>
      </w:r>
      <w:r w:rsidRPr="00495482">
        <w:rPr>
          <w:lang w:val="fr-FR"/>
        </w:rPr>
        <w:t xml:space="preserve"> le 14 décembre 2010. Le Conseil national de la République de Slovénie lui a demandé de se prononcer à nouveau</w:t>
      </w:r>
      <w:r w:rsidR="003D1A4F" w:rsidRPr="00495482">
        <w:rPr>
          <w:lang w:val="fr-FR"/>
        </w:rPr>
        <w:t xml:space="preserve"> </w:t>
      </w:r>
      <w:r w:rsidRPr="00495482">
        <w:rPr>
          <w:lang w:val="fr-FR"/>
        </w:rPr>
        <w:t>sur la loi susmentionnée avant sa promulgation. L</w:t>
      </w:r>
      <w:r w:rsidR="005D0F0F" w:rsidRPr="00495482">
        <w:rPr>
          <w:lang w:val="fr-FR"/>
        </w:rPr>
        <w:t>’</w:t>
      </w:r>
      <w:r w:rsidRPr="00495482">
        <w:rPr>
          <w:lang w:val="fr-FR"/>
        </w:rPr>
        <w:t>Assemblée nationale s</w:t>
      </w:r>
      <w:r w:rsidR="005D0F0F" w:rsidRPr="00495482">
        <w:rPr>
          <w:lang w:val="fr-FR"/>
        </w:rPr>
        <w:t>’</w:t>
      </w:r>
      <w:r w:rsidRPr="00495482">
        <w:rPr>
          <w:lang w:val="fr-FR"/>
        </w:rPr>
        <w:t>est prononcée une nouvelle fois et a adopté la dite loi lors de sa séance du 23 décembre 2010.</w:t>
      </w:r>
      <w:r w:rsidR="003D1A4F" w:rsidRPr="00495482">
        <w:rPr>
          <w:lang w:val="fr-FR"/>
        </w:rPr>
        <w:t xml:space="preserve"> </w:t>
      </w:r>
      <w:r w:rsidRPr="00495482">
        <w:rPr>
          <w:lang w:val="fr-FR"/>
        </w:rPr>
        <w:t>Le vendredi 31 décembre 2010</w:t>
      </w:r>
      <w:r w:rsidR="005D0F0F" w:rsidRPr="00495482">
        <w:rPr>
          <w:lang w:val="fr-FR"/>
        </w:rPr>
        <w:t>,</w:t>
      </w:r>
      <w:r w:rsidRPr="00495482">
        <w:rPr>
          <w:lang w:val="fr-FR"/>
        </w:rPr>
        <w:t xml:space="preserve"> l</w:t>
      </w:r>
      <w:r w:rsidR="005D0F0F" w:rsidRPr="00495482">
        <w:rPr>
          <w:lang w:val="fr-FR"/>
        </w:rPr>
        <w:t>’</w:t>
      </w:r>
      <w:r w:rsidRPr="00495482">
        <w:rPr>
          <w:lang w:val="fr-FR"/>
        </w:rPr>
        <w:t>Alliance des syndicats libres de Slovénie a demandé à l</w:t>
      </w:r>
      <w:r w:rsidR="005D0F0F" w:rsidRPr="00495482">
        <w:rPr>
          <w:lang w:val="fr-FR"/>
        </w:rPr>
        <w:t>’</w:t>
      </w:r>
      <w:r w:rsidRPr="00495482">
        <w:rPr>
          <w:lang w:val="fr-FR"/>
        </w:rPr>
        <w:t>électorat de déposer une requête en faveur de l</w:t>
      </w:r>
      <w:r w:rsidR="005D0F0F" w:rsidRPr="00495482">
        <w:rPr>
          <w:lang w:val="fr-FR"/>
        </w:rPr>
        <w:t>’</w:t>
      </w:r>
      <w:r w:rsidRPr="00495482">
        <w:rPr>
          <w:lang w:val="fr-FR"/>
        </w:rPr>
        <w:t>organisation d</w:t>
      </w:r>
      <w:r w:rsidR="005D0F0F" w:rsidRPr="00495482">
        <w:rPr>
          <w:lang w:val="fr-FR"/>
        </w:rPr>
        <w:t>’</w:t>
      </w:r>
      <w:r w:rsidRPr="00495482">
        <w:rPr>
          <w:lang w:val="fr-FR"/>
        </w:rPr>
        <w:t>un référendum législatif sur la loi sur les retraites et l</w:t>
      </w:r>
      <w:r w:rsidR="005D0F0F" w:rsidRPr="00495482">
        <w:rPr>
          <w:lang w:val="fr-FR"/>
        </w:rPr>
        <w:t>’</w:t>
      </w:r>
      <w:r w:rsidRPr="00495482">
        <w:rPr>
          <w:lang w:val="fr-FR"/>
        </w:rPr>
        <w:t>assurance invalidité. Le Président de l</w:t>
      </w:r>
      <w:r w:rsidR="005D0F0F" w:rsidRPr="00495482">
        <w:rPr>
          <w:lang w:val="fr-FR"/>
        </w:rPr>
        <w:t>’</w:t>
      </w:r>
      <w:r w:rsidRPr="00495482">
        <w:rPr>
          <w:lang w:val="fr-FR"/>
        </w:rPr>
        <w:t>Assemblée nationale a décidé que le recueil des signatures des électeurs favorables au référendum</w:t>
      </w:r>
      <w:r w:rsidR="003D1A4F" w:rsidRPr="00495482">
        <w:rPr>
          <w:lang w:val="fr-FR"/>
        </w:rPr>
        <w:t xml:space="preserve"> </w:t>
      </w:r>
      <w:r w:rsidRPr="00495482">
        <w:rPr>
          <w:lang w:val="fr-FR"/>
        </w:rPr>
        <w:t>débuterait le jeudi 6 janvier 2011 et se terminerait 35</w:t>
      </w:r>
      <w:r w:rsidR="00495482">
        <w:rPr>
          <w:lang w:val="fr-FR"/>
        </w:rPr>
        <w:t> jours</w:t>
      </w:r>
      <w:r w:rsidRPr="00495482">
        <w:rPr>
          <w:lang w:val="fr-FR"/>
        </w:rPr>
        <w:t xml:space="preserve"> après</w:t>
      </w:r>
      <w:r w:rsidR="005D0F0F" w:rsidRPr="00495482">
        <w:rPr>
          <w:lang w:val="fr-FR"/>
        </w:rPr>
        <w:t>,</w:t>
      </w:r>
      <w:r w:rsidRPr="00495482">
        <w:rPr>
          <w:lang w:val="fr-FR"/>
        </w:rPr>
        <w:t xml:space="preserve"> soit le mercredi 9 février 2011. Le Gouvernement slovène a adopté un avis à la demande de l</w:t>
      </w:r>
      <w:r w:rsidR="005D0F0F" w:rsidRPr="00495482">
        <w:rPr>
          <w:lang w:val="fr-FR"/>
        </w:rPr>
        <w:t>’</w:t>
      </w:r>
      <w:r w:rsidRPr="00495482">
        <w:rPr>
          <w:lang w:val="fr-FR"/>
        </w:rPr>
        <w:t>Assemblée nationale</w:t>
      </w:r>
      <w:r w:rsidR="005D0F0F" w:rsidRPr="00495482">
        <w:rPr>
          <w:lang w:val="fr-FR"/>
        </w:rPr>
        <w:t>,</w:t>
      </w:r>
      <w:r w:rsidRPr="00495482">
        <w:rPr>
          <w:lang w:val="fr-FR"/>
        </w:rPr>
        <w:t xml:space="preserve"> suggérant à la Cour constitutionnelle slovène d</w:t>
      </w:r>
      <w:r w:rsidR="005D0F0F" w:rsidRPr="00495482">
        <w:rPr>
          <w:lang w:val="fr-FR"/>
        </w:rPr>
        <w:t>’</w:t>
      </w:r>
      <w:r w:rsidRPr="00495482">
        <w:rPr>
          <w:lang w:val="fr-FR"/>
        </w:rPr>
        <w:t>examiner les éventuelles conséquences anticonstitutionnelles d</w:t>
      </w:r>
      <w:r w:rsidR="005D0F0F" w:rsidRPr="00495482">
        <w:rPr>
          <w:lang w:val="fr-FR"/>
        </w:rPr>
        <w:t>’</w:t>
      </w:r>
      <w:r w:rsidRPr="00495482">
        <w:rPr>
          <w:lang w:val="fr-FR"/>
        </w:rPr>
        <w:t>un report de l</w:t>
      </w:r>
      <w:r w:rsidR="005D0F0F" w:rsidRPr="00495482">
        <w:rPr>
          <w:lang w:val="fr-FR"/>
        </w:rPr>
        <w:t>’</w:t>
      </w:r>
      <w:r w:rsidRPr="00495482">
        <w:rPr>
          <w:lang w:val="fr-FR"/>
        </w:rPr>
        <w:t>entrée en vigueur de la loi sur les retraites et l</w:t>
      </w:r>
      <w:r w:rsidR="005D0F0F" w:rsidRPr="00495482">
        <w:rPr>
          <w:lang w:val="fr-FR"/>
        </w:rPr>
        <w:t>’</w:t>
      </w:r>
      <w:r w:rsidRPr="00495482">
        <w:rPr>
          <w:lang w:val="fr-FR"/>
        </w:rPr>
        <w:t>assurance invalidité</w:t>
      </w:r>
      <w:r w:rsidR="005D0F0F" w:rsidRPr="00495482">
        <w:rPr>
          <w:lang w:val="fr-FR"/>
        </w:rPr>
        <w:t>,</w:t>
      </w:r>
      <w:r w:rsidRPr="00495482">
        <w:rPr>
          <w:lang w:val="fr-FR"/>
        </w:rPr>
        <w:t xml:space="preserve"> ou de son rejet suite à un référendum</w:t>
      </w:r>
      <w:r w:rsidR="005D0F0F" w:rsidRPr="00495482">
        <w:rPr>
          <w:lang w:val="fr-FR"/>
        </w:rPr>
        <w:t>,</w:t>
      </w:r>
      <w:r w:rsidRPr="00495482">
        <w:rPr>
          <w:lang w:val="fr-FR"/>
        </w:rPr>
        <w:t xml:space="preserve"> et il l</w:t>
      </w:r>
      <w:r w:rsidR="005D0F0F" w:rsidRPr="00495482">
        <w:rPr>
          <w:lang w:val="fr-FR"/>
        </w:rPr>
        <w:t>’</w:t>
      </w:r>
      <w:r w:rsidRPr="00495482">
        <w:rPr>
          <w:lang w:val="fr-FR"/>
        </w:rPr>
        <w:t>a transmis à l</w:t>
      </w:r>
      <w:r w:rsidR="005D0F0F" w:rsidRPr="00495482">
        <w:rPr>
          <w:lang w:val="fr-FR"/>
        </w:rPr>
        <w:t>’</w:t>
      </w:r>
      <w:r w:rsidRPr="00495482">
        <w:rPr>
          <w:lang w:val="fr-FR"/>
        </w:rPr>
        <w:t>Assemblée nationale. Celle-ci a adopté l</w:t>
      </w:r>
      <w:r w:rsidR="005D0F0F" w:rsidRPr="00495482">
        <w:rPr>
          <w:lang w:val="fr-FR"/>
        </w:rPr>
        <w:t>’</w:t>
      </w:r>
      <w:r w:rsidRPr="00495482">
        <w:rPr>
          <w:lang w:val="fr-FR"/>
        </w:rPr>
        <w:t>avis et a soumis la loi susmentionnée à la Cour constitutionnelle slovène. Le 26</w:t>
      </w:r>
      <w:r w:rsidR="00CF5C7F" w:rsidRPr="00495482">
        <w:rPr>
          <w:lang w:val="fr-FR"/>
        </w:rPr>
        <w:t> octobre</w:t>
      </w:r>
      <w:r w:rsidRPr="00495482">
        <w:rPr>
          <w:lang w:val="fr-FR"/>
        </w:rPr>
        <w:t xml:space="preserve"> 2010</w:t>
      </w:r>
      <w:r w:rsidR="005D0F0F" w:rsidRPr="00495482">
        <w:rPr>
          <w:lang w:val="fr-FR"/>
        </w:rPr>
        <w:t>,</w:t>
      </w:r>
      <w:r w:rsidRPr="00495482">
        <w:rPr>
          <w:lang w:val="fr-FR"/>
        </w:rPr>
        <w:t xml:space="preserve"> l</w:t>
      </w:r>
      <w:r w:rsidR="005D0F0F" w:rsidRPr="00495482">
        <w:rPr>
          <w:lang w:val="fr-FR"/>
        </w:rPr>
        <w:t>’</w:t>
      </w:r>
      <w:r w:rsidRPr="00495482">
        <w:rPr>
          <w:lang w:val="fr-FR"/>
        </w:rPr>
        <w:t>Assemblée nationale a adopté la loi sur les emplois d</w:t>
      </w:r>
      <w:r w:rsidR="005D0F0F" w:rsidRPr="00495482">
        <w:rPr>
          <w:lang w:val="fr-FR"/>
        </w:rPr>
        <w:t>’</w:t>
      </w:r>
      <w:r w:rsidRPr="00495482">
        <w:rPr>
          <w:lang w:val="fr-FR"/>
        </w:rPr>
        <w:t>appoint qui a donné lieu à une demande de référendum.</w:t>
      </w:r>
      <w:r w:rsidR="003D1A4F" w:rsidRPr="00495482">
        <w:rPr>
          <w:lang w:val="fr-FR"/>
        </w:rPr>
        <w:t xml:space="preserve"> </w:t>
      </w:r>
      <w:r w:rsidRPr="00495482">
        <w:rPr>
          <w:lang w:val="fr-FR"/>
        </w:rPr>
        <w:t>Elle a également adopté la loi sur la réglementation du marché du travail</w:t>
      </w:r>
      <w:r w:rsidR="005D0F0F" w:rsidRPr="00495482">
        <w:rPr>
          <w:lang w:val="fr-FR"/>
        </w:rPr>
        <w:t>,</w:t>
      </w:r>
      <w:r w:rsidRPr="00495482">
        <w:rPr>
          <w:lang w:val="fr-FR"/>
        </w:rPr>
        <w:t xml:space="preserve"> qui a été publiée au </w:t>
      </w:r>
      <w:r w:rsidRPr="00495482">
        <w:rPr>
          <w:i/>
          <w:lang w:val="fr-FR"/>
        </w:rPr>
        <w:t>Journal officiel de la République de Slovénie</w:t>
      </w:r>
      <w:r w:rsidRPr="00495482">
        <w:rPr>
          <w:lang w:val="fr-FR"/>
        </w:rPr>
        <w:t xml:space="preserve"> (</w:t>
      </w:r>
      <w:r w:rsidR="00EB1CF6">
        <w:rPr>
          <w:szCs w:val="18"/>
        </w:rPr>
        <w:t>n</w:t>
      </w:r>
      <w:r w:rsidR="00EB1CF6" w:rsidRPr="001B12ED">
        <w:rPr>
          <w:szCs w:val="18"/>
          <w:vertAlign w:val="superscript"/>
          <w:lang w:val="fr-FR"/>
        </w:rPr>
        <w:t>o</w:t>
      </w:r>
      <w:r w:rsidR="00EB1CF6">
        <w:rPr>
          <w:szCs w:val="18"/>
        </w:rPr>
        <w:t> </w:t>
      </w:r>
      <w:r w:rsidR="00EB1CF6">
        <w:rPr>
          <w:lang w:val="fr-FR"/>
        </w:rPr>
        <w:t xml:space="preserve">80/10) </w:t>
      </w:r>
      <w:r w:rsidRPr="00495482">
        <w:rPr>
          <w:lang w:val="fr-FR"/>
        </w:rPr>
        <w:t>et est entrée en vigueur le 1</w:t>
      </w:r>
      <w:r w:rsidRPr="00495482">
        <w:rPr>
          <w:vertAlign w:val="superscript"/>
          <w:lang w:val="fr-FR"/>
        </w:rPr>
        <w:t>er</w:t>
      </w:r>
      <w:r w:rsidR="00F457C5">
        <w:rPr>
          <w:lang w:val="fr-FR"/>
        </w:rPr>
        <w:t> </w:t>
      </w:r>
      <w:r w:rsidRPr="00495482">
        <w:rPr>
          <w:lang w:val="fr-FR"/>
        </w:rPr>
        <w:t>décembre 2011.</w:t>
      </w:r>
    </w:p>
    <w:p w:rsidR="00317603" w:rsidRPr="00495482" w:rsidRDefault="00317603" w:rsidP="002328BD">
      <w:pPr>
        <w:pStyle w:val="H23G"/>
        <w:rPr>
          <w:lang w:val="fr-FR" w:eastAsia="sl-SI"/>
        </w:rPr>
      </w:pPr>
      <w:r w:rsidRPr="00495482">
        <w:rPr>
          <w:lang w:val="fr-FR" w:eastAsia="sl-SI"/>
        </w:rPr>
        <w:tab/>
      </w:r>
      <w:r w:rsidRPr="00495482">
        <w:rPr>
          <w:lang w:val="fr-FR" w:eastAsia="sl-SI"/>
        </w:rPr>
        <w:tab/>
      </w:r>
      <w:bookmarkEnd w:id="0"/>
      <w:bookmarkEnd w:id="1"/>
      <w:bookmarkEnd w:id="2"/>
      <w:r w:rsidRPr="00495482">
        <w:rPr>
          <w:lang w:val="fr-FR" w:eastAsia="sl-SI"/>
        </w:rPr>
        <w:t>Loi sur les emplois d</w:t>
      </w:r>
      <w:r w:rsidR="005D0F0F" w:rsidRPr="00495482">
        <w:rPr>
          <w:lang w:val="fr-FR" w:eastAsia="sl-SI"/>
        </w:rPr>
        <w:t>’</w:t>
      </w:r>
      <w:r w:rsidRPr="00495482">
        <w:rPr>
          <w:lang w:val="fr-FR" w:eastAsia="sl-SI"/>
        </w:rPr>
        <w:t>appoint</w:t>
      </w:r>
    </w:p>
    <w:p w:rsidR="00317603" w:rsidRPr="00495482" w:rsidRDefault="00317603" w:rsidP="002328BD">
      <w:pPr>
        <w:pStyle w:val="SingleTxtG"/>
        <w:rPr>
          <w:lang w:val="fr-FR" w:eastAsia="sl-SI"/>
        </w:rPr>
      </w:pPr>
      <w:r w:rsidRPr="00495482">
        <w:rPr>
          <w:lang w:val="fr-FR" w:eastAsia="sl-SI"/>
        </w:rPr>
        <w:t>51.</w:t>
      </w:r>
      <w:r w:rsidRPr="00495482">
        <w:rPr>
          <w:lang w:val="fr-FR" w:eastAsia="sl-SI"/>
        </w:rPr>
        <w:tab/>
        <w:t>Le projet de loi qualifie d</w:t>
      </w:r>
      <w:r w:rsidR="005D0F0F" w:rsidRPr="00495482">
        <w:rPr>
          <w:lang w:val="fr-FR" w:eastAsia="sl-SI"/>
        </w:rPr>
        <w:t>’</w:t>
      </w:r>
      <w:r w:rsidRPr="00495482">
        <w:rPr>
          <w:lang w:val="fr-FR" w:eastAsia="sl-SI"/>
        </w:rPr>
        <w:t>emplois d</w:t>
      </w:r>
      <w:r w:rsidR="005D0F0F" w:rsidRPr="00495482">
        <w:rPr>
          <w:lang w:val="fr-FR" w:eastAsia="sl-SI"/>
        </w:rPr>
        <w:t>’</w:t>
      </w:r>
      <w:r w:rsidRPr="00495482">
        <w:rPr>
          <w:lang w:val="fr-FR" w:eastAsia="sl-SI"/>
        </w:rPr>
        <w:t>appoint des emplois rémunérés</w:t>
      </w:r>
      <w:r w:rsidR="005D0F0F" w:rsidRPr="00495482">
        <w:rPr>
          <w:lang w:val="fr-FR" w:eastAsia="sl-SI"/>
        </w:rPr>
        <w:t>,</w:t>
      </w:r>
      <w:r w:rsidRPr="00495482">
        <w:rPr>
          <w:lang w:val="fr-FR" w:eastAsia="sl-SI"/>
        </w:rPr>
        <w:t xml:space="preserve"> temporaires</w:t>
      </w:r>
      <w:r w:rsidR="005D0F0F" w:rsidRPr="00495482">
        <w:rPr>
          <w:lang w:val="fr-FR" w:eastAsia="sl-SI"/>
        </w:rPr>
        <w:t>,</w:t>
      </w:r>
      <w:r w:rsidRPr="00495482">
        <w:rPr>
          <w:lang w:val="fr-FR" w:eastAsia="sl-SI"/>
        </w:rPr>
        <w:t xml:space="preserve"> occasionnels</w:t>
      </w:r>
      <w:r w:rsidR="005D0F0F" w:rsidRPr="00495482">
        <w:rPr>
          <w:lang w:val="fr-FR" w:eastAsia="sl-SI"/>
        </w:rPr>
        <w:t>,</w:t>
      </w:r>
      <w:r w:rsidRPr="00495482">
        <w:rPr>
          <w:lang w:val="fr-FR" w:eastAsia="sl-SI"/>
        </w:rPr>
        <w:t xml:space="preserve"> ou certains travaux de plus longue durée effectués par des étudiants</w:t>
      </w:r>
      <w:r w:rsidR="005D0F0F" w:rsidRPr="00495482">
        <w:rPr>
          <w:lang w:val="fr-FR" w:eastAsia="sl-SI"/>
        </w:rPr>
        <w:t>,</w:t>
      </w:r>
      <w:r w:rsidRPr="00495482">
        <w:rPr>
          <w:lang w:val="fr-FR" w:eastAsia="sl-SI"/>
        </w:rPr>
        <w:t xml:space="preserve"> retraités</w:t>
      </w:r>
      <w:r w:rsidR="005D0F0F" w:rsidRPr="00495482">
        <w:rPr>
          <w:lang w:val="fr-FR" w:eastAsia="sl-SI"/>
        </w:rPr>
        <w:t>,</w:t>
      </w:r>
      <w:r w:rsidRPr="00495482">
        <w:rPr>
          <w:lang w:val="fr-FR" w:eastAsia="sl-SI"/>
        </w:rPr>
        <w:t xml:space="preserve"> chômeurs et </w:t>
      </w:r>
      <w:r w:rsidR="008F7FB7" w:rsidRPr="00495482">
        <w:rPr>
          <w:lang w:val="fr-FR" w:eastAsia="sl-SI"/>
        </w:rPr>
        <w:t>autres personnes</w:t>
      </w:r>
      <w:r w:rsidRPr="00495482">
        <w:rPr>
          <w:lang w:val="fr-FR" w:eastAsia="sl-SI"/>
        </w:rPr>
        <w:t xml:space="preserve"> inactives</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une durée maximum de 672</w:t>
      </w:r>
      <w:r w:rsidR="008F7FB7" w:rsidRPr="00495482">
        <w:rPr>
          <w:lang w:val="fr-FR" w:eastAsia="sl-SI"/>
        </w:rPr>
        <w:t> heures</w:t>
      </w:r>
      <w:r w:rsidRPr="00495482">
        <w:rPr>
          <w:lang w:val="fr-FR" w:eastAsia="sl-SI"/>
        </w:rPr>
        <w:t xml:space="preserve"> pour une année calendaire (c</w:t>
      </w:r>
      <w:r w:rsidR="005D0F0F" w:rsidRPr="00495482">
        <w:rPr>
          <w:lang w:val="fr-FR" w:eastAsia="sl-SI"/>
        </w:rPr>
        <w:t>’</w:t>
      </w:r>
      <w:r w:rsidRPr="00495482">
        <w:rPr>
          <w:lang w:val="fr-FR" w:eastAsia="sl-SI"/>
        </w:rPr>
        <w:t>est-à-dire</w:t>
      </w:r>
      <w:r w:rsidR="005D0F0F" w:rsidRPr="00495482">
        <w:rPr>
          <w:lang w:val="fr-FR" w:eastAsia="sl-SI"/>
        </w:rPr>
        <w:t>,</w:t>
      </w:r>
      <w:r w:rsidRPr="00495482">
        <w:rPr>
          <w:lang w:val="fr-FR" w:eastAsia="sl-SI"/>
        </w:rPr>
        <w:t xml:space="preserve"> 14</w:t>
      </w:r>
      <w:r w:rsidR="008F7FB7" w:rsidRPr="00495482">
        <w:rPr>
          <w:lang w:val="fr-FR" w:eastAsia="sl-SI"/>
        </w:rPr>
        <w:t> heures</w:t>
      </w:r>
      <w:r w:rsidRPr="00495482">
        <w:rPr>
          <w:lang w:val="fr-FR" w:eastAsia="sl-SI"/>
        </w:rPr>
        <w:t xml:space="preserve"> hebdomadaires)</w:t>
      </w:r>
      <w:r w:rsidRPr="00495482">
        <w:rPr>
          <w:rStyle w:val="FootnoteReference"/>
        </w:rPr>
        <w:footnoteReference w:id="27"/>
      </w:r>
      <w:r w:rsidRPr="00495482">
        <w:rPr>
          <w:lang w:val="fr-FR" w:eastAsia="sl-SI"/>
        </w:rPr>
        <w:t>. Les gains issus d</w:t>
      </w:r>
      <w:r w:rsidR="005D0F0F" w:rsidRPr="00495482">
        <w:rPr>
          <w:lang w:val="fr-FR" w:eastAsia="sl-SI"/>
        </w:rPr>
        <w:t>’</w:t>
      </w:r>
      <w:r w:rsidRPr="00495482">
        <w:rPr>
          <w:lang w:val="fr-FR" w:eastAsia="sl-SI"/>
        </w:rPr>
        <w:t>un tel travail sont également limités</w:t>
      </w:r>
      <w:r w:rsidR="005D0F0F" w:rsidRPr="00495482">
        <w:rPr>
          <w:lang w:val="fr-FR" w:eastAsia="sl-SI"/>
        </w:rPr>
        <w:t>,</w:t>
      </w:r>
      <w:r w:rsidRPr="00495482">
        <w:rPr>
          <w:lang w:val="fr-FR" w:eastAsia="sl-SI"/>
        </w:rPr>
        <w:t xml:space="preserve"> à savoir la rémunération obtenue dans une année calendaire ne peut excéder le montant du salaire minimum annuel de l</w:t>
      </w:r>
      <w:r w:rsidR="005D0F0F" w:rsidRPr="00495482">
        <w:rPr>
          <w:lang w:val="fr-FR" w:eastAsia="sl-SI"/>
        </w:rPr>
        <w:t>’</w:t>
      </w:r>
      <w:r w:rsidRPr="00495482">
        <w:rPr>
          <w:lang w:val="fr-FR" w:eastAsia="sl-SI"/>
        </w:rPr>
        <w:t xml:space="preserve">année précédente versé en Slovénie. Conformément au principe </w:t>
      </w:r>
      <w:r w:rsidR="00274387" w:rsidRPr="00495482">
        <w:rPr>
          <w:lang w:val="fr-FR" w:eastAsia="sl-SI"/>
        </w:rPr>
        <w:t>«</w:t>
      </w:r>
      <w:r w:rsidRPr="00495482">
        <w:rPr>
          <w:lang w:val="fr-FR" w:eastAsia="sl-SI"/>
        </w:rPr>
        <w:t>tout travail est pris en compte</w:t>
      </w:r>
      <w:r w:rsidR="00274387" w:rsidRPr="00495482">
        <w:rPr>
          <w:lang w:val="fr-FR" w:eastAsia="sl-SI"/>
        </w:rPr>
        <w:t>»</w:t>
      </w:r>
      <w:r w:rsidR="005D0F0F" w:rsidRPr="00495482">
        <w:rPr>
          <w:lang w:val="fr-FR" w:eastAsia="sl-SI"/>
        </w:rPr>
        <w:t>,</w:t>
      </w:r>
      <w:r w:rsidRPr="00495482">
        <w:rPr>
          <w:lang w:val="fr-FR" w:eastAsia="sl-SI"/>
        </w:rPr>
        <w:t xml:space="preserve"> les emplois d</w:t>
      </w:r>
      <w:r w:rsidR="005D0F0F" w:rsidRPr="00495482">
        <w:rPr>
          <w:lang w:val="fr-FR" w:eastAsia="sl-SI"/>
        </w:rPr>
        <w:t>’</w:t>
      </w:r>
      <w:r w:rsidRPr="00495482">
        <w:rPr>
          <w:lang w:val="fr-FR" w:eastAsia="sl-SI"/>
        </w:rPr>
        <w:t>appoint donneront lieu à des cotisations retraites et santé appropriées. Le total combiné des charges et des cotisations liées à ce type d</w:t>
      </w:r>
      <w:r w:rsidR="005D0F0F" w:rsidRPr="00495482">
        <w:rPr>
          <w:lang w:val="fr-FR" w:eastAsia="sl-SI"/>
        </w:rPr>
        <w:t>’</w:t>
      </w:r>
      <w:r w:rsidRPr="00495482">
        <w:rPr>
          <w:lang w:val="fr-FR" w:eastAsia="sl-SI"/>
        </w:rPr>
        <w:t>emplois s</w:t>
      </w:r>
      <w:r w:rsidR="005D0F0F" w:rsidRPr="00495482">
        <w:rPr>
          <w:lang w:val="fr-FR" w:eastAsia="sl-SI"/>
        </w:rPr>
        <w:t>’</w:t>
      </w:r>
      <w:r w:rsidRPr="00495482">
        <w:rPr>
          <w:lang w:val="fr-FR" w:eastAsia="sl-SI"/>
        </w:rPr>
        <w:t>élèvera à 29</w:t>
      </w:r>
      <w:r w:rsidR="005D0F0F" w:rsidRPr="00495482">
        <w:rPr>
          <w:lang w:val="fr-FR" w:eastAsia="sl-SI"/>
        </w:rPr>
        <w:t>,</w:t>
      </w:r>
      <w:r w:rsidRPr="00495482">
        <w:rPr>
          <w:lang w:val="fr-FR" w:eastAsia="sl-SI"/>
        </w:rPr>
        <w:t>5%. L</w:t>
      </w:r>
      <w:r w:rsidR="005D0F0F" w:rsidRPr="00495482">
        <w:rPr>
          <w:lang w:val="fr-FR" w:eastAsia="sl-SI"/>
        </w:rPr>
        <w:t>’</w:t>
      </w:r>
      <w:r w:rsidRPr="00495482">
        <w:rPr>
          <w:lang w:val="fr-FR" w:eastAsia="sl-SI"/>
        </w:rPr>
        <w:t>aide à la recherche d</w:t>
      </w:r>
      <w:r w:rsidR="005D0F0F" w:rsidRPr="00495482">
        <w:rPr>
          <w:lang w:val="fr-FR" w:eastAsia="sl-SI"/>
        </w:rPr>
        <w:t>’</w:t>
      </w:r>
      <w:r w:rsidRPr="00495482">
        <w:rPr>
          <w:lang w:val="fr-FR" w:eastAsia="sl-SI"/>
        </w:rPr>
        <w:t>emplois d</w:t>
      </w:r>
      <w:r w:rsidR="005D0F0F" w:rsidRPr="00495482">
        <w:rPr>
          <w:lang w:val="fr-FR" w:eastAsia="sl-SI"/>
        </w:rPr>
        <w:t>’</w:t>
      </w:r>
      <w:r w:rsidRPr="00495482">
        <w:rPr>
          <w:lang w:val="fr-FR" w:eastAsia="sl-SI"/>
        </w:rPr>
        <w:t xml:space="preserve">appoint sera considérée comme une activité à but non lucratif. </w:t>
      </w:r>
    </w:p>
    <w:p w:rsidR="00317603" w:rsidRPr="00495482" w:rsidRDefault="00317603" w:rsidP="008F7FB7">
      <w:pPr>
        <w:pStyle w:val="H23G"/>
        <w:rPr>
          <w:iCs/>
          <w:lang w:val="fr-FR" w:eastAsia="sl-SI"/>
        </w:rPr>
      </w:pPr>
      <w:bookmarkStart w:id="3" w:name="_Toc261594124"/>
      <w:bookmarkStart w:id="4" w:name="_Toc261855056"/>
      <w:bookmarkStart w:id="5" w:name="_Toc261857418"/>
      <w:r w:rsidRPr="00495482">
        <w:rPr>
          <w:lang w:val="fr-FR" w:eastAsia="sl-SI"/>
        </w:rPr>
        <w:tab/>
      </w:r>
      <w:r w:rsidRPr="00495482">
        <w:rPr>
          <w:lang w:val="fr-FR" w:eastAsia="sl-SI"/>
        </w:rPr>
        <w:tab/>
      </w:r>
      <w:bookmarkEnd w:id="3"/>
      <w:bookmarkEnd w:id="4"/>
      <w:bookmarkEnd w:id="5"/>
      <w:r w:rsidRPr="00495482">
        <w:rPr>
          <w:lang w:val="fr-FR" w:eastAsia="sl-SI"/>
        </w:rPr>
        <w:t>Loi sur la réglementation du marché du travail</w:t>
      </w:r>
    </w:p>
    <w:p w:rsidR="00317603" w:rsidRPr="00495482" w:rsidRDefault="00317603" w:rsidP="002328BD">
      <w:pPr>
        <w:pStyle w:val="SingleTxtG"/>
        <w:rPr>
          <w:lang w:val="fr-FR" w:eastAsia="sl-SI"/>
        </w:rPr>
      </w:pPr>
      <w:r w:rsidRPr="00495482">
        <w:rPr>
          <w:iCs/>
          <w:lang w:val="fr-FR" w:eastAsia="sl-SI"/>
        </w:rPr>
        <w:t>52.</w:t>
      </w:r>
      <w:r w:rsidRPr="00495482">
        <w:rPr>
          <w:iCs/>
          <w:lang w:val="fr-FR" w:eastAsia="sl-SI"/>
        </w:rPr>
        <w:tab/>
      </w:r>
      <w:r w:rsidRPr="00495482">
        <w:rPr>
          <w:lang w:val="fr-FR" w:eastAsia="sl-SI"/>
        </w:rPr>
        <w:t>La loi sur la réglementation du marché du travail remplace la loi sur l</w:t>
      </w:r>
      <w:r w:rsidR="005D0F0F" w:rsidRPr="00495482">
        <w:rPr>
          <w:lang w:val="fr-FR" w:eastAsia="sl-SI"/>
        </w:rPr>
        <w:t>’</w:t>
      </w:r>
      <w:r w:rsidRPr="00495482">
        <w:rPr>
          <w:lang w:val="fr-FR" w:eastAsia="sl-SI"/>
        </w:rPr>
        <w:t>emploi et l</w:t>
      </w:r>
      <w:r w:rsidR="005D0F0F" w:rsidRPr="00495482">
        <w:rPr>
          <w:lang w:val="fr-FR" w:eastAsia="sl-SI"/>
        </w:rPr>
        <w:t>’</w:t>
      </w:r>
      <w:r w:rsidRPr="00495482">
        <w:rPr>
          <w:lang w:val="fr-FR" w:eastAsia="sl-SI"/>
        </w:rPr>
        <w:t>assurance chômage</w:t>
      </w:r>
      <w:r w:rsidRPr="00495482">
        <w:rPr>
          <w:rStyle w:val="FootnoteReference"/>
        </w:rPr>
        <w:footnoteReference w:id="28"/>
      </w:r>
      <w:r w:rsidRPr="00495482">
        <w:rPr>
          <w:lang w:val="fr-FR" w:eastAsia="sl-SI"/>
        </w:rPr>
        <w:t>. Elle vise essentiellement à mettre en place le principe de flexisécurité en Slovénie</w:t>
      </w:r>
      <w:r w:rsidR="005D0F0F" w:rsidRPr="00495482">
        <w:rPr>
          <w:lang w:val="fr-FR" w:eastAsia="sl-SI"/>
        </w:rPr>
        <w:t>,</w:t>
      </w:r>
      <w:r w:rsidRPr="00495482">
        <w:rPr>
          <w:lang w:val="fr-FR" w:eastAsia="sl-SI"/>
        </w:rPr>
        <w:t xml:space="preserve"> grâce à la modification des lois organiques régissant les relations professionnelles et le système social d</w:t>
      </w:r>
      <w:r w:rsidR="005D0F0F" w:rsidRPr="00495482">
        <w:rPr>
          <w:lang w:val="fr-FR" w:eastAsia="sl-SI"/>
        </w:rPr>
        <w:t>’</w:t>
      </w:r>
      <w:r w:rsidRPr="00495482">
        <w:rPr>
          <w:lang w:val="fr-FR" w:eastAsia="sl-SI"/>
        </w:rPr>
        <w:t>une part</w:t>
      </w:r>
      <w:r w:rsidR="005D0F0F" w:rsidRPr="00495482">
        <w:rPr>
          <w:lang w:val="fr-FR" w:eastAsia="sl-SI"/>
        </w:rPr>
        <w:t>,</w:t>
      </w:r>
      <w:r w:rsidRPr="00495482">
        <w:rPr>
          <w:lang w:val="fr-FR" w:eastAsia="sl-SI"/>
        </w:rPr>
        <w:t xml:space="preserve"> et</w:t>
      </w:r>
      <w:r w:rsidR="003D1A4F" w:rsidRPr="00495482">
        <w:rPr>
          <w:lang w:val="fr-FR" w:eastAsia="sl-SI"/>
        </w:rPr>
        <w:t xml:space="preserve"> </w:t>
      </w:r>
      <w:r w:rsidRPr="00495482">
        <w:rPr>
          <w:lang w:val="fr-FR" w:eastAsia="sl-SI"/>
        </w:rPr>
        <w:t>au rôle accru accordé à une politique de l</w:t>
      </w:r>
      <w:r w:rsidR="005D0F0F" w:rsidRPr="00495482">
        <w:rPr>
          <w:lang w:val="fr-FR" w:eastAsia="sl-SI"/>
        </w:rPr>
        <w:t>’</w:t>
      </w:r>
      <w:r w:rsidRPr="00495482">
        <w:rPr>
          <w:lang w:val="fr-FR" w:eastAsia="sl-SI"/>
        </w:rPr>
        <w:t>emploi dynamique et à une plus grande sécurité pour les chômeurs</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autre p</w:t>
      </w:r>
      <w:r w:rsidR="00BD380A">
        <w:rPr>
          <w:lang w:val="fr-FR" w:eastAsia="sl-SI"/>
        </w:rPr>
        <w:t>art.</w:t>
      </w:r>
    </w:p>
    <w:p w:rsidR="00317603" w:rsidRPr="00495482" w:rsidRDefault="00317603" w:rsidP="002328BD">
      <w:pPr>
        <w:pStyle w:val="H23G"/>
        <w:rPr>
          <w:lang w:val="fr-FR" w:eastAsia="sl-SI"/>
        </w:rPr>
      </w:pPr>
      <w:bookmarkStart w:id="6" w:name="_Toc261857419"/>
      <w:r w:rsidRPr="00495482">
        <w:rPr>
          <w:lang w:val="fr-FR" w:eastAsia="sl-SI"/>
        </w:rPr>
        <w:tab/>
      </w:r>
      <w:r w:rsidRPr="00495482">
        <w:rPr>
          <w:lang w:val="fr-FR" w:eastAsia="sl-SI"/>
        </w:rPr>
        <w:tab/>
        <w:t xml:space="preserve">Tendances du marché du travail </w:t>
      </w:r>
      <w:bookmarkEnd w:id="6"/>
    </w:p>
    <w:p w:rsidR="00317603" w:rsidRPr="00495482" w:rsidRDefault="00317603" w:rsidP="008F7FB7">
      <w:pPr>
        <w:pStyle w:val="SingleTxtG"/>
        <w:rPr>
          <w:lang w:val="fr-FR" w:eastAsia="sl-SI"/>
        </w:rPr>
      </w:pPr>
      <w:r w:rsidRPr="00495482">
        <w:rPr>
          <w:lang w:val="fr-FR" w:eastAsia="sl-SI"/>
        </w:rPr>
        <w:t>53.</w:t>
      </w:r>
      <w:r w:rsidRPr="00495482">
        <w:rPr>
          <w:lang w:val="fr-FR" w:eastAsia="sl-SI"/>
        </w:rPr>
        <w:tab/>
        <w:t>Le nombre d</w:t>
      </w:r>
      <w:r w:rsidR="005D0F0F" w:rsidRPr="00495482">
        <w:rPr>
          <w:lang w:val="fr-FR" w:eastAsia="sl-SI"/>
        </w:rPr>
        <w:t>’</w:t>
      </w:r>
      <w:r w:rsidRPr="00495482">
        <w:rPr>
          <w:lang w:val="fr-FR" w:eastAsia="sl-SI"/>
        </w:rPr>
        <w:t>actifs a augmenté depuis 2004</w:t>
      </w:r>
      <w:r w:rsidR="005D0F0F" w:rsidRPr="00495482">
        <w:rPr>
          <w:lang w:val="fr-FR" w:eastAsia="sl-SI"/>
        </w:rPr>
        <w:t>,</w:t>
      </w:r>
      <w:r w:rsidRPr="00495482">
        <w:rPr>
          <w:lang w:val="fr-FR" w:eastAsia="sl-SI"/>
        </w:rPr>
        <w:t xml:space="preserve"> malgré les suppressions d</w:t>
      </w:r>
      <w:r w:rsidR="005D0F0F" w:rsidRPr="00495482">
        <w:rPr>
          <w:lang w:val="fr-FR" w:eastAsia="sl-SI"/>
        </w:rPr>
        <w:t>’</w:t>
      </w:r>
      <w:r w:rsidRPr="00495482">
        <w:rPr>
          <w:lang w:val="fr-FR" w:eastAsia="sl-SI"/>
        </w:rPr>
        <w:t>emplois dans les secteurs à fort coefficient de main-d</w:t>
      </w:r>
      <w:r w:rsidR="005D0F0F" w:rsidRPr="00495482">
        <w:rPr>
          <w:lang w:val="fr-FR" w:eastAsia="sl-SI"/>
        </w:rPr>
        <w:t>’</w:t>
      </w:r>
      <w:r w:rsidRPr="00495482">
        <w:rPr>
          <w:lang w:val="fr-FR" w:eastAsia="sl-SI"/>
        </w:rPr>
        <w:t>œuvre. Selon les données de juin 2007</w:t>
      </w:r>
      <w:r w:rsidR="005D0F0F" w:rsidRPr="00495482">
        <w:rPr>
          <w:lang w:val="fr-FR" w:eastAsia="sl-SI"/>
        </w:rPr>
        <w:t>,</w:t>
      </w:r>
      <w:r w:rsidRPr="00495482">
        <w:rPr>
          <w:lang w:val="fr-FR" w:eastAsia="sl-SI"/>
        </w:rPr>
        <w:t xml:space="preserve"> on comptait 856 151 actifs</w:t>
      </w:r>
      <w:r w:rsidR="005D0F0F" w:rsidRPr="00495482">
        <w:rPr>
          <w:lang w:val="fr-FR" w:eastAsia="sl-SI"/>
        </w:rPr>
        <w:t>,</w:t>
      </w:r>
      <w:r w:rsidRPr="00495482">
        <w:rPr>
          <w:lang w:val="fr-FR" w:eastAsia="sl-SI"/>
        </w:rPr>
        <w:t xml:space="preserve"> et 847 227 en moyenne au premier semestre (données tirées du registre de la population active de Slovénie)</w:t>
      </w:r>
      <w:r w:rsidR="005D0F0F" w:rsidRPr="00495482">
        <w:rPr>
          <w:lang w:val="fr-FR" w:eastAsia="sl-SI"/>
        </w:rPr>
        <w:t>,</w:t>
      </w:r>
      <w:r w:rsidRPr="00495482">
        <w:rPr>
          <w:lang w:val="fr-FR" w:eastAsia="sl-SI"/>
        </w:rPr>
        <w:t xml:space="preserve"> dont 4</w:t>
      </w:r>
      <w:r w:rsidR="005D0F0F" w:rsidRPr="00495482">
        <w:rPr>
          <w:lang w:val="fr-FR" w:eastAsia="sl-SI"/>
        </w:rPr>
        <w:t>,</w:t>
      </w:r>
      <w:r w:rsidRPr="00495482">
        <w:rPr>
          <w:lang w:val="fr-FR" w:eastAsia="sl-SI"/>
        </w:rPr>
        <w:t>9% dans le secteur agricole</w:t>
      </w:r>
      <w:r w:rsidR="005D0F0F" w:rsidRPr="00495482">
        <w:rPr>
          <w:lang w:val="fr-FR" w:eastAsia="sl-SI"/>
        </w:rPr>
        <w:t>,</w:t>
      </w:r>
      <w:r w:rsidR="003D1A4F" w:rsidRPr="00495482">
        <w:rPr>
          <w:lang w:val="fr-FR" w:eastAsia="sl-SI"/>
        </w:rPr>
        <w:t xml:space="preserve"> </w:t>
      </w:r>
      <w:r w:rsidRPr="00495482">
        <w:rPr>
          <w:lang w:val="fr-FR" w:eastAsia="sl-SI"/>
        </w:rPr>
        <w:t>37</w:t>
      </w:r>
      <w:r w:rsidR="005D0F0F" w:rsidRPr="00495482">
        <w:rPr>
          <w:lang w:val="fr-FR" w:eastAsia="sl-SI"/>
        </w:rPr>
        <w:t>,</w:t>
      </w:r>
      <w:r w:rsidRPr="00495482">
        <w:rPr>
          <w:lang w:val="fr-FR" w:eastAsia="sl-SI"/>
        </w:rPr>
        <w:t>8% dans le secteur non agricole et 57</w:t>
      </w:r>
      <w:r w:rsidR="005D0F0F" w:rsidRPr="00495482">
        <w:rPr>
          <w:lang w:val="fr-FR" w:eastAsia="sl-SI"/>
        </w:rPr>
        <w:t>,</w:t>
      </w:r>
      <w:r w:rsidRPr="00495482">
        <w:rPr>
          <w:lang w:val="fr-FR" w:eastAsia="sl-SI"/>
        </w:rPr>
        <w:t>3% dans le secteur des services (voir tableau à l</w:t>
      </w:r>
      <w:r w:rsidR="005D0F0F" w:rsidRPr="00495482">
        <w:rPr>
          <w:lang w:val="fr-FR" w:eastAsia="sl-SI"/>
        </w:rPr>
        <w:t>’</w:t>
      </w:r>
      <w:r w:rsidRPr="00495482">
        <w:rPr>
          <w:lang w:val="fr-FR" w:eastAsia="sl-SI"/>
        </w:rPr>
        <w:t xml:space="preserve">annexe I). </w:t>
      </w:r>
    </w:p>
    <w:p w:rsidR="00317603" w:rsidRPr="00495482" w:rsidRDefault="00317603" w:rsidP="008F7FB7">
      <w:pPr>
        <w:pStyle w:val="SingleTxtG"/>
        <w:rPr>
          <w:lang w:val="fr-FR" w:eastAsia="sl-SI"/>
        </w:rPr>
      </w:pPr>
      <w:r w:rsidRPr="00495482">
        <w:rPr>
          <w:lang w:val="fr-FR" w:eastAsia="sl-SI"/>
        </w:rPr>
        <w:t>54.</w:t>
      </w:r>
      <w:r w:rsidRPr="00495482">
        <w:rPr>
          <w:lang w:val="fr-FR" w:eastAsia="sl-SI"/>
        </w:rPr>
        <w:tab/>
        <w:t>Après plusieurs années de croissance</w:t>
      </w:r>
      <w:r w:rsidR="005D0F0F" w:rsidRPr="00495482">
        <w:rPr>
          <w:lang w:val="fr-FR" w:eastAsia="sl-SI"/>
        </w:rPr>
        <w:t>,</w:t>
      </w:r>
      <w:r w:rsidRPr="00495482">
        <w:rPr>
          <w:lang w:val="fr-FR" w:eastAsia="sl-SI"/>
        </w:rPr>
        <w:t xml:space="preserve"> la crise financière internationale a entraîné la récession de l</w:t>
      </w:r>
      <w:r w:rsidR="005D0F0F" w:rsidRPr="00495482">
        <w:rPr>
          <w:lang w:val="fr-FR" w:eastAsia="sl-SI"/>
        </w:rPr>
        <w:t>’</w:t>
      </w:r>
      <w:r w:rsidRPr="00495482">
        <w:rPr>
          <w:lang w:val="fr-FR" w:eastAsia="sl-SI"/>
        </w:rPr>
        <w:t>économie slovène à la fin 2008</w:t>
      </w:r>
      <w:r w:rsidR="005D0F0F" w:rsidRPr="00495482">
        <w:rPr>
          <w:lang w:val="fr-FR" w:eastAsia="sl-SI"/>
        </w:rPr>
        <w:t>,</w:t>
      </w:r>
      <w:r w:rsidRPr="00495482">
        <w:rPr>
          <w:lang w:val="fr-FR" w:eastAsia="sl-SI"/>
        </w:rPr>
        <w:t xml:space="preserve"> récession également très marquée en 2009. L</w:t>
      </w:r>
      <w:r w:rsidR="005D0F0F" w:rsidRPr="00495482">
        <w:rPr>
          <w:lang w:val="fr-FR" w:eastAsia="sl-SI"/>
        </w:rPr>
        <w:t>’</w:t>
      </w:r>
      <w:r w:rsidRPr="00495482">
        <w:rPr>
          <w:lang w:val="fr-FR" w:eastAsia="sl-SI"/>
        </w:rPr>
        <w:t>aggravation des conditions économiques a commencé à se faire progressivement sentir sur le marché du travail. L</w:t>
      </w:r>
      <w:r w:rsidR="005D0F0F" w:rsidRPr="00495482">
        <w:rPr>
          <w:lang w:val="fr-FR" w:eastAsia="sl-SI"/>
        </w:rPr>
        <w:t>’</w:t>
      </w:r>
      <w:r w:rsidRPr="00495482">
        <w:rPr>
          <w:lang w:val="fr-FR" w:eastAsia="sl-SI"/>
        </w:rPr>
        <w:t xml:space="preserve">effectif de la population active a diminué et un grand nombre </w:t>
      </w:r>
      <w:r w:rsidR="00210F9A" w:rsidRPr="00495482">
        <w:rPr>
          <w:lang w:val="fr-FR" w:eastAsia="sl-SI"/>
        </w:rPr>
        <w:t>de personnes</w:t>
      </w:r>
      <w:r w:rsidRPr="00495482">
        <w:rPr>
          <w:lang w:val="fr-FR" w:eastAsia="sl-SI"/>
        </w:rPr>
        <w:t xml:space="preserve"> sont passées du statut d</w:t>
      </w:r>
      <w:r w:rsidR="005D0F0F" w:rsidRPr="00495482">
        <w:rPr>
          <w:lang w:val="fr-FR" w:eastAsia="sl-SI"/>
        </w:rPr>
        <w:t>’</w:t>
      </w:r>
      <w:r w:rsidRPr="00495482">
        <w:rPr>
          <w:lang w:val="fr-FR" w:eastAsia="sl-SI"/>
        </w:rPr>
        <w:t xml:space="preserve">actifs à celui-ci </w:t>
      </w:r>
      <w:r w:rsidR="00210F9A" w:rsidRPr="00495482">
        <w:rPr>
          <w:lang w:val="fr-FR" w:eastAsia="sl-SI"/>
        </w:rPr>
        <w:t>de personnes</w:t>
      </w:r>
      <w:r w:rsidRPr="00495482">
        <w:rPr>
          <w:lang w:val="fr-FR" w:eastAsia="sl-SI"/>
        </w:rPr>
        <w:t xml:space="preserve"> sans emploi. Selon les données enregistrées</w:t>
      </w:r>
      <w:r w:rsidR="005D0F0F" w:rsidRPr="00495482">
        <w:rPr>
          <w:lang w:val="fr-FR" w:eastAsia="sl-SI"/>
        </w:rPr>
        <w:t>,</w:t>
      </w:r>
      <w:r w:rsidRPr="00495482">
        <w:rPr>
          <w:lang w:val="fr-FR" w:eastAsia="sl-SI"/>
        </w:rPr>
        <w:t xml:space="preserve"> le nombre d</w:t>
      </w:r>
      <w:r w:rsidR="005D0F0F" w:rsidRPr="00495482">
        <w:rPr>
          <w:lang w:val="fr-FR" w:eastAsia="sl-SI"/>
        </w:rPr>
        <w:t>’</w:t>
      </w:r>
      <w:r w:rsidRPr="00495482">
        <w:rPr>
          <w:lang w:val="fr-FR" w:eastAsia="sl-SI"/>
        </w:rPr>
        <w:t>actifs avait en moyenne diminué de 2</w:t>
      </w:r>
      <w:r w:rsidR="005D0F0F" w:rsidRPr="00495482">
        <w:rPr>
          <w:lang w:val="fr-FR" w:eastAsia="sl-SI"/>
        </w:rPr>
        <w:t>,</w:t>
      </w:r>
      <w:r w:rsidRPr="00495482">
        <w:rPr>
          <w:lang w:val="fr-FR" w:eastAsia="sl-SI"/>
        </w:rPr>
        <w:t>4% en 2009 par rapport à 2008</w:t>
      </w:r>
      <w:r w:rsidR="005D0F0F" w:rsidRPr="00495482">
        <w:rPr>
          <w:lang w:val="fr-FR" w:eastAsia="sl-SI"/>
        </w:rPr>
        <w:t>,</w:t>
      </w:r>
      <w:r w:rsidRPr="00495482">
        <w:rPr>
          <w:lang w:val="fr-FR" w:eastAsia="sl-SI"/>
        </w:rPr>
        <w:t xml:space="preserve"> celui des chômeurs ayant augmenté de 36</w:t>
      </w:r>
      <w:r w:rsidR="005D0F0F" w:rsidRPr="00495482">
        <w:rPr>
          <w:lang w:val="fr-FR" w:eastAsia="sl-SI"/>
        </w:rPr>
        <w:t>,</w:t>
      </w:r>
      <w:r w:rsidRPr="00495482">
        <w:rPr>
          <w:lang w:val="fr-FR" w:eastAsia="sl-SI"/>
        </w:rPr>
        <w:t>6%. Le taux d</w:t>
      </w:r>
      <w:r w:rsidR="005D0F0F" w:rsidRPr="00495482">
        <w:rPr>
          <w:lang w:val="fr-FR" w:eastAsia="sl-SI"/>
        </w:rPr>
        <w:t>’</w:t>
      </w:r>
      <w:r w:rsidRPr="00495482">
        <w:rPr>
          <w:lang w:val="fr-FR" w:eastAsia="sl-SI"/>
        </w:rPr>
        <w:t xml:space="preserve">emploi </w:t>
      </w:r>
      <w:r w:rsidR="00210F9A" w:rsidRPr="00495482">
        <w:rPr>
          <w:lang w:val="fr-FR" w:eastAsia="sl-SI"/>
        </w:rPr>
        <w:t>des personnes</w:t>
      </w:r>
      <w:r w:rsidRPr="00495482">
        <w:rPr>
          <w:lang w:val="fr-FR" w:eastAsia="sl-SI"/>
        </w:rPr>
        <w:t xml:space="preserve"> âgées de 15 à 64</w:t>
      </w:r>
      <w:r w:rsidR="002328BD" w:rsidRPr="00495482">
        <w:rPr>
          <w:lang w:val="fr-FR" w:eastAsia="sl-SI"/>
        </w:rPr>
        <w:t> ans</w:t>
      </w:r>
      <w:r w:rsidRPr="00495482">
        <w:rPr>
          <w:rStyle w:val="FootnoteReference"/>
        </w:rPr>
        <w:footnoteReference w:id="29"/>
      </w:r>
      <w:r w:rsidR="003D1A4F" w:rsidRPr="00495482">
        <w:rPr>
          <w:lang w:val="fr-FR" w:eastAsia="sl-SI"/>
        </w:rPr>
        <w:t xml:space="preserve"> </w:t>
      </w:r>
      <w:r w:rsidRPr="00495482">
        <w:rPr>
          <w:lang w:val="fr-FR" w:eastAsia="sl-SI"/>
        </w:rPr>
        <w:t>a reculé pour passer à 68</w:t>
      </w:r>
      <w:r w:rsidR="005D0F0F" w:rsidRPr="00495482">
        <w:rPr>
          <w:lang w:val="fr-FR" w:eastAsia="sl-SI"/>
        </w:rPr>
        <w:t>,</w:t>
      </w:r>
      <w:r w:rsidRPr="00495482">
        <w:rPr>
          <w:lang w:val="fr-FR" w:eastAsia="sl-SI"/>
        </w:rPr>
        <w:t>3%</w:t>
      </w:r>
      <w:r w:rsidR="005D0F0F" w:rsidRPr="00495482">
        <w:rPr>
          <w:lang w:val="fr-FR" w:eastAsia="sl-SI"/>
        </w:rPr>
        <w:t>,</w:t>
      </w:r>
      <w:r w:rsidRPr="00495482">
        <w:rPr>
          <w:lang w:val="fr-FR" w:eastAsia="sl-SI"/>
        </w:rPr>
        <w:t xml:space="preserve"> (71</w:t>
      </w:r>
      <w:r w:rsidR="005D0F0F" w:rsidRPr="00495482">
        <w:rPr>
          <w:lang w:val="fr-FR" w:eastAsia="sl-SI"/>
        </w:rPr>
        <w:t>,</w:t>
      </w:r>
      <w:r w:rsidRPr="00495482">
        <w:rPr>
          <w:lang w:val="fr-FR" w:eastAsia="sl-SI"/>
        </w:rPr>
        <w:t>9% pour les hommes et 64</w:t>
      </w:r>
      <w:r w:rsidR="005D0F0F" w:rsidRPr="00495482">
        <w:rPr>
          <w:lang w:val="fr-FR" w:eastAsia="sl-SI"/>
        </w:rPr>
        <w:t>,</w:t>
      </w:r>
      <w:r w:rsidRPr="00495482">
        <w:rPr>
          <w:lang w:val="fr-FR" w:eastAsia="sl-SI"/>
        </w:rPr>
        <w:t>6% pour les femmes). Grâce à la croissance rapide de l</w:t>
      </w:r>
      <w:r w:rsidR="005D0F0F" w:rsidRPr="00495482">
        <w:rPr>
          <w:lang w:val="fr-FR" w:eastAsia="sl-SI"/>
        </w:rPr>
        <w:t>’</w:t>
      </w:r>
      <w:r w:rsidRPr="00495482">
        <w:rPr>
          <w:lang w:val="fr-FR" w:eastAsia="sl-SI"/>
        </w:rPr>
        <w:t>emploi jusqu</w:t>
      </w:r>
      <w:r w:rsidR="005D0F0F" w:rsidRPr="00495482">
        <w:rPr>
          <w:lang w:val="fr-FR" w:eastAsia="sl-SI"/>
        </w:rPr>
        <w:t>’</w:t>
      </w:r>
      <w:r w:rsidRPr="00495482">
        <w:rPr>
          <w:lang w:val="fr-FR" w:eastAsia="sl-SI"/>
        </w:rPr>
        <w:t>en 2008</w:t>
      </w:r>
      <w:r w:rsidR="005D0F0F" w:rsidRPr="00495482">
        <w:rPr>
          <w:lang w:val="fr-FR" w:eastAsia="sl-SI"/>
        </w:rPr>
        <w:t>,</w:t>
      </w:r>
      <w:r w:rsidRPr="00495482">
        <w:rPr>
          <w:lang w:val="fr-FR" w:eastAsia="sl-SI"/>
        </w:rPr>
        <w:t xml:space="preserve"> le taux de l</w:t>
      </w:r>
      <w:r w:rsidR="005D0F0F" w:rsidRPr="00495482">
        <w:rPr>
          <w:lang w:val="fr-FR" w:eastAsia="sl-SI"/>
        </w:rPr>
        <w:t>’</w:t>
      </w:r>
      <w:r w:rsidRPr="00495482">
        <w:rPr>
          <w:lang w:val="fr-FR" w:eastAsia="sl-SI"/>
        </w:rPr>
        <w:t>emploi était encore de 4</w:t>
      </w:r>
      <w:r w:rsidR="005D0F0F" w:rsidRPr="00495482">
        <w:rPr>
          <w:lang w:val="fr-FR" w:eastAsia="sl-SI"/>
        </w:rPr>
        <w:t>,</w:t>
      </w:r>
      <w:r w:rsidRPr="00495482">
        <w:rPr>
          <w:lang w:val="fr-FR" w:eastAsia="sl-SI"/>
        </w:rPr>
        <w:t>9% supérieur à celui de 2002</w:t>
      </w:r>
      <w:r w:rsidR="005D0F0F" w:rsidRPr="00495482">
        <w:rPr>
          <w:lang w:val="fr-FR" w:eastAsia="sl-SI"/>
        </w:rPr>
        <w:t>,</w:t>
      </w:r>
      <w:r w:rsidRPr="00495482">
        <w:rPr>
          <w:lang w:val="fr-FR" w:eastAsia="sl-SI"/>
        </w:rPr>
        <w:t xml:space="preserve"> pour les hommes comme pour les femmes. La comparaison des taux d</w:t>
      </w:r>
      <w:r w:rsidR="005D0F0F" w:rsidRPr="00495482">
        <w:rPr>
          <w:lang w:val="fr-FR" w:eastAsia="sl-SI"/>
        </w:rPr>
        <w:t>’</w:t>
      </w:r>
      <w:r w:rsidRPr="00495482">
        <w:rPr>
          <w:lang w:val="fr-FR" w:eastAsia="sl-SI"/>
        </w:rPr>
        <w:t>activité par tranches d</w:t>
      </w:r>
      <w:r w:rsidR="005D0F0F" w:rsidRPr="00495482">
        <w:rPr>
          <w:lang w:val="fr-FR" w:eastAsia="sl-SI"/>
        </w:rPr>
        <w:t>’</w:t>
      </w:r>
      <w:r w:rsidRPr="00495482">
        <w:rPr>
          <w:lang w:val="fr-FR" w:eastAsia="sl-SI"/>
        </w:rPr>
        <w:t>âge indique que le taux d</w:t>
      </w:r>
      <w:r w:rsidR="005D0F0F" w:rsidRPr="00495482">
        <w:rPr>
          <w:lang w:val="fr-FR" w:eastAsia="sl-SI"/>
        </w:rPr>
        <w:t>’</w:t>
      </w:r>
      <w:r w:rsidRPr="00495482">
        <w:rPr>
          <w:lang w:val="fr-FR" w:eastAsia="sl-SI"/>
        </w:rPr>
        <w:t>emploi des jeunes (15-24</w:t>
      </w:r>
      <w:r w:rsidR="002328BD" w:rsidRPr="00495482">
        <w:rPr>
          <w:lang w:val="fr-FR" w:eastAsia="sl-SI"/>
        </w:rPr>
        <w:t> ans</w:t>
      </w:r>
      <w:r w:rsidRPr="00495482">
        <w:rPr>
          <w:lang w:val="fr-FR" w:eastAsia="sl-SI"/>
        </w:rPr>
        <w:t>) a atteint 41</w:t>
      </w:r>
      <w:r w:rsidR="005D0F0F" w:rsidRPr="00495482">
        <w:rPr>
          <w:lang w:val="fr-FR" w:eastAsia="sl-SI"/>
        </w:rPr>
        <w:t>,</w:t>
      </w:r>
      <w:r w:rsidRPr="00495482">
        <w:rPr>
          <w:lang w:val="fr-FR" w:eastAsia="sl-SI"/>
        </w:rPr>
        <w:t>4</w:t>
      </w:r>
      <w:r w:rsidR="005D0F0F" w:rsidRPr="00495482">
        <w:rPr>
          <w:lang w:val="fr-FR" w:eastAsia="sl-SI"/>
        </w:rPr>
        <w:t>%</w:t>
      </w:r>
      <w:r w:rsidR="003D1A4F" w:rsidRPr="00495482">
        <w:rPr>
          <w:lang w:val="fr-FR" w:eastAsia="sl-SI"/>
        </w:rPr>
        <w:t xml:space="preserve"> </w:t>
      </w:r>
      <w:r w:rsidRPr="00495482">
        <w:rPr>
          <w:lang w:val="fr-FR" w:eastAsia="sl-SI"/>
        </w:rPr>
        <w:t>au cours des sept dernières années et</w:t>
      </w:r>
      <w:r w:rsidR="005D0F0F" w:rsidRPr="00495482">
        <w:rPr>
          <w:lang w:val="fr-FR" w:eastAsia="sl-SI"/>
        </w:rPr>
        <w:t>,</w:t>
      </w:r>
      <w:r w:rsidRPr="00495482">
        <w:rPr>
          <w:lang w:val="fr-FR" w:eastAsia="sl-SI"/>
        </w:rPr>
        <w:t xml:space="preserve"> suite à la mise en place des mesures de réforme des retraites</w:t>
      </w:r>
      <w:r w:rsidR="005D0F0F" w:rsidRPr="00495482">
        <w:rPr>
          <w:lang w:val="fr-FR" w:eastAsia="sl-SI"/>
        </w:rPr>
        <w:t>,</w:t>
      </w:r>
      <w:r w:rsidRPr="00495482">
        <w:rPr>
          <w:lang w:val="fr-FR" w:eastAsia="sl-SI"/>
        </w:rPr>
        <w:t xml:space="preserve"> le taux d</w:t>
      </w:r>
      <w:r w:rsidR="005D0F0F" w:rsidRPr="00495482">
        <w:rPr>
          <w:lang w:val="fr-FR" w:eastAsia="sl-SI"/>
        </w:rPr>
        <w:t>’</w:t>
      </w:r>
      <w:r w:rsidRPr="00495482">
        <w:rPr>
          <w:lang w:val="fr-FR" w:eastAsia="sl-SI"/>
        </w:rPr>
        <w:t>emploi des seniors (50</w:t>
      </w:r>
      <w:r w:rsidR="00AE618E">
        <w:rPr>
          <w:lang w:val="fr-FR" w:eastAsia="sl-SI"/>
        </w:rPr>
        <w:noBreakHyphen/>
      </w:r>
      <w:r w:rsidRPr="00495482">
        <w:rPr>
          <w:lang w:val="fr-FR" w:eastAsia="sl-SI"/>
        </w:rPr>
        <w:t>64</w:t>
      </w:r>
      <w:r w:rsidR="002328BD" w:rsidRPr="00495482">
        <w:rPr>
          <w:lang w:val="fr-FR" w:eastAsia="sl-SI"/>
        </w:rPr>
        <w:t> ans</w:t>
      </w:r>
      <w:r w:rsidRPr="00495482">
        <w:rPr>
          <w:lang w:val="fr-FR" w:eastAsia="sl-SI"/>
        </w:rPr>
        <w:t>) a également augmenté</w:t>
      </w:r>
      <w:r w:rsidR="005D0F0F" w:rsidRPr="00495482">
        <w:rPr>
          <w:lang w:val="fr-FR" w:eastAsia="sl-SI"/>
        </w:rPr>
        <w:t>,</w:t>
      </w:r>
      <w:r w:rsidRPr="00495482">
        <w:rPr>
          <w:lang w:val="fr-FR" w:eastAsia="sl-SI"/>
        </w:rPr>
        <w:t xml:space="preserve"> alors que celui </w:t>
      </w:r>
      <w:r w:rsidR="00210F9A" w:rsidRPr="00495482">
        <w:rPr>
          <w:lang w:val="fr-FR" w:eastAsia="sl-SI"/>
        </w:rPr>
        <w:t>des personnes</w:t>
      </w:r>
      <w:r w:rsidRPr="00495482">
        <w:rPr>
          <w:lang w:val="fr-FR" w:eastAsia="sl-SI"/>
        </w:rPr>
        <w:t xml:space="preserve"> dans la tranche d</w:t>
      </w:r>
      <w:r w:rsidR="005D0F0F" w:rsidRPr="00495482">
        <w:rPr>
          <w:lang w:val="fr-FR" w:eastAsia="sl-SI"/>
        </w:rPr>
        <w:t>’</w:t>
      </w:r>
      <w:r w:rsidRPr="00495482">
        <w:rPr>
          <w:lang w:val="fr-FR" w:eastAsia="sl-SI"/>
        </w:rPr>
        <w:t>âge 25</w:t>
      </w:r>
      <w:r w:rsidR="00AE618E">
        <w:rPr>
          <w:lang w:val="fr-FR" w:eastAsia="sl-SI"/>
        </w:rPr>
        <w:noBreakHyphen/>
      </w:r>
      <w:r w:rsidRPr="00495482">
        <w:rPr>
          <w:lang w:val="fr-FR" w:eastAsia="sl-SI"/>
        </w:rPr>
        <w:t>49</w:t>
      </w:r>
      <w:r w:rsidR="002328BD" w:rsidRPr="00495482">
        <w:rPr>
          <w:lang w:val="fr-FR" w:eastAsia="sl-SI"/>
        </w:rPr>
        <w:t> ans</w:t>
      </w:r>
      <w:r w:rsidRPr="00495482">
        <w:rPr>
          <w:lang w:val="fr-FR" w:eastAsia="sl-SI"/>
        </w:rPr>
        <w:t xml:space="preserve"> est tombé à 85</w:t>
      </w:r>
      <w:r w:rsidR="005D0F0F" w:rsidRPr="00495482">
        <w:rPr>
          <w:lang w:val="fr-FR" w:eastAsia="sl-SI"/>
        </w:rPr>
        <w:t>,</w:t>
      </w:r>
      <w:r w:rsidRPr="00495482">
        <w:rPr>
          <w:lang w:val="fr-FR" w:eastAsia="sl-SI"/>
        </w:rPr>
        <w:t>7% en raison des licenciements et des faibles créations d</w:t>
      </w:r>
      <w:r w:rsidR="005D0F0F" w:rsidRPr="00495482">
        <w:rPr>
          <w:lang w:val="fr-FR" w:eastAsia="sl-SI"/>
        </w:rPr>
        <w:t>’</w:t>
      </w:r>
      <w:r w:rsidRPr="00495482">
        <w:rPr>
          <w:lang w:val="fr-FR" w:eastAsia="sl-SI"/>
        </w:rPr>
        <w:t xml:space="preserve">emplois pendant la crise économique. </w:t>
      </w:r>
    </w:p>
    <w:p w:rsidR="00317603" w:rsidRPr="00495482" w:rsidRDefault="00317603" w:rsidP="002328BD">
      <w:pPr>
        <w:pStyle w:val="SingleTxtG"/>
        <w:rPr>
          <w:lang w:val="fr-FR" w:eastAsia="sl-SI"/>
        </w:rPr>
      </w:pPr>
      <w:r w:rsidRPr="00495482">
        <w:rPr>
          <w:lang w:val="fr-FR" w:eastAsia="sl-SI"/>
        </w:rPr>
        <w:t>55.</w:t>
      </w:r>
      <w:r w:rsidRPr="00495482">
        <w:rPr>
          <w:lang w:val="fr-FR" w:eastAsia="sl-SI"/>
        </w:rPr>
        <w:tab/>
        <w:t>La tendance du chômage s</w:t>
      </w:r>
      <w:r w:rsidR="005D0F0F" w:rsidRPr="00495482">
        <w:rPr>
          <w:lang w:val="fr-FR" w:eastAsia="sl-SI"/>
        </w:rPr>
        <w:t>’</w:t>
      </w:r>
      <w:r w:rsidRPr="00495482">
        <w:rPr>
          <w:lang w:val="fr-FR" w:eastAsia="sl-SI"/>
        </w:rPr>
        <w:t>est inversée au dernier trimestre 2008</w:t>
      </w:r>
      <w:r w:rsidR="005D0F0F" w:rsidRPr="00495482">
        <w:rPr>
          <w:lang w:val="fr-FR" w:eastAsia="sl-SI"/>
        </w:rPr>
        <w:t>,</w:t>
      </w:r>
      <w:r w:rsidRPr="00495482">
        <w:rPr>
          <w:lang w:val="fr-FR" w:eastAsia="sl-SI"/>
        </w:rPr>
        <w:t xml:space="preserve"> avec la rapide augmentation du nombre de chômeurs</w:t>
      </w:r>
      <w:r w:rsidR="005D0F0F" w:rsidRPr="00495482">
        <w:rPr>
          <w:lang w:val="fr-FR" w:eastAsia="sl-SI"/>
        </w:rPr>
        <w:t>,</w:t>
      </w:r>
      <w:r w:rsidRPr="00495482">
        <w:rPr>
          <w:lang w:val="fr-FR" w:eastAsia="sl-SI"/>
        </w:rPr>
        <w:t xml:space="preserve"> suite aux suppressions d</w:t>
      </w:r>
      <w:r w:rsidR="005D0F0F" w:rsidRPr="00495482">
        <w:rPr>
          <w:lang w:val="fr-FR" w:eastAsia="sl-SI"/>
        </w:rPr>
        <w:t>’</w:t>
      </w:r>
      <w:r w:rsidRPr="00495482">
        <w:rPr>
          <w:lang w:val="fr-FR" w:eastAsia="sl-SI"/>
        </w:rPr>
        <w:t>emplois. Évalué au moyen des normes de l</w:t>
      </w:r>
      <w:r w:rsidR="005D0F0F" w:rsidRPr="00495482">
        <w:rPr>
          <w:lang w:val="fr-FR" w:eastAsia="sl-SI"/>
        </w:rPr>
        <w:t>’</w:t>
      </w:r>
      <w:r w:rsidRPr="00495482">
        <w:rPr>
          <w:lang w:val="fr-FR" w:eastAsia="sl-SI"/>
        </w:rPr>
        <w:t>Organisation internationale du travail (OIT) dans le cadre d</w:t>
      </w:r>
      <w:r w:rsidR="005D0F0F" w:rsidRPr="00495482">
        <w:rPr>
          <w:lang w:val="fr-FR" w:eastAsia="sl-SI"/>
        </w:rPr>
        <w:t>’</w:t>
      </w:r>
      <w:r w:rsidRPr="00495482">
        <w:rPr>
          <w:lang w:val="fr-FR" w:eastAsia="sl-SI"/>
        </w:rPr>
        <w:t>une enquête de main d</w:t>
      </w:r>
      <w:r w:rsidR="005D0F0F" w:rsidRPr="00495482">
        <w:rPr>
          <w:lang w:val="fr-FR" w:eastAsia="sl-SI"/>
        </w:rPr>
        <w:t>’</w:t>
      </w:r>
      <w:r w:rsidR="002328BD" w:rsidRPr="00495482">
        <w:rPr>
          <w:lang w:val="fr-FR" w:eastAsia="sl-SI"/>
        </w:rPr>
        <w:t>œuvre</w:t>
      </w:r>
      <w:r w:rsidR="005D0F0F" w:rsidRPr="00495482">
        <w:rPr>
          <w:lang w:val="fr-FR" w:eastAsia="sl-SI"/>
        </w:rPr>
        <w:t>,</w:t>
      </w:r>
      <w:r w:rsidRPr="00495482">
        <w:rPr>
          <w:lang w:val="fr-FR" w:eastAsia="sl-SI"/>
        </w:rPr>
        <w:t xml:space="preserve"> le chômage est passé de 4</w:t>
      </w:r>
      <w:r w:rsidR="005D0F0F" w:rsidRPr="00495482">
        <w:rPr>
          <w:lang w:val="fr-FR" w:eastAsia="sl-SI"/>
        </w:rPr>
        <w:t>,</w:t>
      </w:r>
      <w:r w:rsidRPr="00495482">
        <w:rPr>
          <w:lang w:val="fr-FR" w:eastAsia="sl-SI"/>
        </w:rPr>
        <w:t>1%</w:t>
      </w:r>
      <w:r w:rsidR="005D0F0F" w:rsidRPr="00495482">
        <w:rPr>
          <w:lang w:val="fr-FR" w:eastAsia="sl-SI"/>
        </w:rPr>
        <w:t>,</w:t>
      </w:r>
      <w:r w:rsidR="003D1A4F" w:rsidRPr="00495482">
        <w:rPr>
          <w:lang w:val="fr-FR" w:eastAsia="sl-SI"/>
        </w:rPr>
        <w:t xml:space="preserve"> </w:t>
      </w:r>
      <w:r w:rsidRPr="00495482">
        <w:rPr>
          <w:lang w:val="fr-FR" w:eastAsia="sl-SI"/>
        </w:rPr>
        <w:t>niveau relevé par l</w:t>
      </w:r>
      <w:r w:rsidR="005D0F0F" w:rsidRPr="00495482">
        <w:rPr>
          <w:lang w:val="fr-FR" w:eastAsia="sl-SI"/>
        </w:rPr>
        <w:t>’</w:t>
      </w:r>
      <w:r w:rsidRPr="00495482">
        <w:rPr>
          <w:lang w:val="fr-FR" w:eastAsia="sl-SI"/>
        </w:rPr>
        <w:t>enquête au troisième trimestre 2008</w:t>
      </w:r>
      <w:r w:rsidR="005D0F0F" w:rsidRPr="00495482">
        <w:rPr>
          <w:lang w:val="fr-FR" w:eastAsia="sl-SI"/>
        </w:rPr>
        <w:t>,</w:t>
      </w:r>
      <w:r w:rsidRPr="00495482">
        <w:rPr>
          <w:lang w:val="fr-FR" w:eastAsia="sl-SI"/>
        </w:rPr>
        <w:t xml:space="preserve"> à 6</w:t>
      </w:r>
      <w:r w:rsidR="005D0F0F" w:rsidRPr="00495482">
        <w:rPr>
          <w:lang w:val="fr-FR" w:eastAsia="sl-SI"/>
        </w:rPr>
        <w:t>,</w:t>
      </w:r>
      <w:r w:rsidRPr="00495482">
        <w:rPr>
          <w:lang w:val="fr-FR" w:eastAsia="sl-SI"/>
        </w:rPr>
        <w:t>2% au troisième trimestre 2009. Le chômage des hommes a augmenté plus rapidement (voir tableaux à l</w:t>
      </w:r>
      <w:r w:rsidR="005D0F0F" w:rsidRPr="00495482">
        <w:rPr>
          <w:lang w:val="fr-FR" w:eastAsia="sl-SI"/>
        </w:rPr>
        <w:t>’</w:t>
      </w:r>
      <w:r w:rsidRPr="00495482">
        <w:rPr>
          <w:lang w:val="fr-FR" w:eastAsia="sl-SI"/>
        </w:rPr>
        <w:t>annexe I).</w:t>
      </w:r>
      <w:r w:rsidR="003D1A4F" w:rsidRPr="00495482">
        <w:rPr>
          <w:lang w:val="fr-FR" w:eastAsia="sl-SI"/>
        </w:rPr>
        <w:t xml:space="preserve"> </w:t>
      </w:r>
    </w:p>
    <w:p w:rsidR="00317603" w:rsidRPr="00495482" w:rsidRDefault="00317603" w:rsidP="002328BD">
      <w:pPr>
        <w:pStyle w:val="H23G"/>
        <w:rPr>
          <w:lang w:val="fr-FR" w:eastAsia="sl-SI"/>
        </w:rPr>
      </w:pPr>
      <w:bookmarkStart w:id="7" w:name="_Toc261594099"/>
      <w:bookmarkStart w:id="8" w:name="_Toc261857420"/>
      <w:r w:rsidRPr="00495482">
        <w:rPr>
          <w:lang w:val="fr-FR" w:eastAsia="sl-SI"/>
        </w:rPr>
        <w:tab/>
        <w:t>1.</w:t>
      </w:r>
      <w:r w:rsidRPr="00495482">
        <w:rPr>
          <w:lang w:val="fr-FR" w:eastAsia="sl-SI"/>
        </w:rPr>
        <w:tab/>
        <w:t>Politique dynamique de l</w:t>
      </w:r>
      <w:r w:rsidR="005D0F0F" w:rsidRPr="00495482">
        <w:rPr>
          <w:lang w:val="fr-FR" w:eastAsia="sl-SI"/>
        </w:rPr>
        <w:t>’</w:t>
      </w:r>
      <w:r w:rsidRPr="00495482">
        <w:rPr>
          <w:lang w:val="fr-FR" w:eastAsia="sl-SI"/>
        </w:rPr>
        <w:t xml:space="preserve">emploi </w:t>
      </w:r>
      <w:bookmarkEnd w:id="7"/>
      <w:bookmarkEnd w:id="8"/>
    </w:p>
    <w:p w:rsidR="00317603" w:rsidRPr="00495482" w:rsidRDefault="00317603" w:rsidP="002328BD">
      <w:pPr>
        <w:pStyle w:val="SingleTxtG"/>
        <w:rPr>
          <w:lang w:val="fr-FR" w:eastAsia="sl-SI"/>
        </w:rPr>
      </w:pPr>
      <w:r w:rsidRPr="00495482">
        <w:rPr>
          <w:lang w:val="fr-FR" w:eastAsia="sl-SI"/>
        </w:rPr>
        <w:t>56.</w:t>
      </w:r>
      <w:r w:rsidRPr="00495482">
        <w:rPr>
          <w:lang w:val="fr-FR" w:eastAsia="sl-SI"/>
        </w:rPr>
        <w:tab/>
        <w:t>Les bases juridiques et le cadre conceptuel des mesures de la politique dynamique de l</w:t>
      </w:r>
      <w:r w:rsidR="005D0F0F" w:rsidRPr="00495482">
        <w:rPr>
          <w:lang w:val="fr-FR" w:eastAsia="sl-SI"/>
        </w:rPr>
        <w:t>’</w:t>
      </w:r>
      <w:r w:rsidRPr="00495482">
        <w:rPr>
          <w:lang w:val="fr-FR" w:eastAsia="sl-SI"/>
        </w:rPr>
        <w:t>emploi sont exposés plus en détail dans le rapport initial</w:t>
      </w:r>
      <w:r w:rsidRPr="00495482">
        <w:rPr>
          <w:rStyle w:val="FootnoteReference"/>
        </w:rPr>
        <w:footnoteReference w:id="30"/>
      </w:r>
      <w:r w:rsidR="002328BD" w:rsidRPr="00495482">
        <w:rPr>
          <w:lang w:val="fr-FR" w:eastAsia="sl-SI"/>
        </w:rPr>
        <w:t>.</w:t>
      </w:r>
      <w:r w:rsidRPr="00495482">
        <w:rPr>
          <w:lang w:val="fr-FR" w:eastAsia="sl-SI"/>
        </w:rPr>
        <w:t xml:space="preserve"> En 2007</w:t>
      </w:r>
      <w:r w:rsidR="005D0F0F" w:rsidRPr="00495482">
        <w:rPr>
          <w:lang w:val="fr-FR" w:eastAsia="sl-SI"/>
        </w:rPr>
        <w:t>,</w:t>
      </w:r>
      <w:r w:rsidRPr="00495482">
        <w:rPr>
          <w:lang w:val="fr-FR" w:eastAsia="sl-SI"/>
        </w:rPr>
        <w:t xml:space="preserve"> le Gouvernement slovène a adopté un programme de politique dynamique de l</w:t>
      </w:r>
      <w:r w:rsidR="005D0F0F" w:rsidRPr="00495482">
        <w:rPr>
          <w:lang w:val="fr-FR" w:eastAsia="sl-SI"/>
        </w:rPr>
        <w:t>’</w:t>
      </w:r>
      <w:r w:rsidRPr="00495482">
        <w:rPr>
          <w:lang w:val="fr-FR" w:eastAsia="sl-SI"/>
        </w:rPr>
        <w:t>emploi élaboré pour une période longue (2007-2013)</w:t>
      </w:r>
      <w:r w:rsidR="005D0F0F" w:rsidRPr="00495482">
        <w:rPr>
          <w:lang w:val="fr-FR" w:eastAsia="sl-SI"/>
        </w:rPr>
        <w:t>,</w:t>
      </w:r>
      <w:r w:rsidRPr="00495482">
        <w:rPr>
          <w:lang w:val="fr-FR" w:eastAsia="sl-SI"/>
        </w:rPr>
        <w:t xml:space="preserve"> qui permet une planification et un financement plus efficaces des mesures sur le marché du travail. </w:t>
      </w:r>
    </w:p>
    <w:p w:rsidR="00317603" w:rsidRPr="00495482" w:rsidRDefault="00317603" w:rsidP="002328BD">
      <w:pPr>
        <w:pStyle w:val="H23G"/>
        <w:rPr>
          <w:lang w:val="fr-FR" w:eastAsia="sl-SI"/>
        </w:rPr>
      </w:pPr>
      <w:bookmarkStart w:id="9" w:name="_Toc261594102"/>
      <w:r w:rsidRPr="00495482">
        <w:rPr>
          <w:lang w:val="fr-FR" w:eastAsia="sl-SI"/>
        </w:rPr>
        <w:tab/>
      </w:r>
      <w:r w:rsidRPr="00495482">
        <w:rPr>
          <w:lang w:val="fr-FR" w:eastAsia="sl-SI"/>
        </w:rPr>
        <w:tab/>
        <w:t>Programmes d</w:t>
      </w:r>
      <w:r w:rsidR="005D0F0F" w:rsidRPr="00495482">
        <w:rPr>
          <w:lang w:val="fr-FR" w:eastAsia="sl-SI"/>
        </w:rPr>
        <w:t>’</w:t>
      </w:r>
      <w:r w:rsidRPr="00495482">
        <w:rPr>
          <w:lang w:val="fr-FR" w:eastAsia="sl-SI"/>
        </w:rPr>
        <w:t xml:space="preserve">éducation et de formation </w:t>
      </w:r>
      <w:bookmarkEnd w:id="9"/>
    </w:p>
    <w:p w:rsidR="00317603" w:rsidRPr="00495482" w:rsidRDefault="00317603" w:rsidP="002328BD">
      <w:pPr>
        <w:pStyle w:val="SingleTxtG"/>
        <w:rPr>
          <w:lang w:val="fr-FR" w:eastAsia="sl-SI"/>
        </w:rPr>
      </w:pPr>
      <w:r w:rsidRPr="00495482">
        <w:rPr>
          <w:lang w:val="fr-FR" w:eastAsia="sl-SI"/>
        </w:rPr>
        <w:t>57.</w:t>
      </w:r>
      <w:r w:rsidRPr="00495482">
        <w:rPr>
          <w:lang w:val="fr-FR" w:eastAsia="sl-SI"/>
        </w:rPr>
        <w:tab/>
        <w:t>Une attention particulière est accordée aux jeunes sans emploi</w:t>
      </w:r>
      <w:r w:rsidR="005D0F0F" w:rsidRPr="00495482">
        <w:rPr>
          <w:lang w:val="fr-FR" w:eastAsia="sl-SI"/>
        </w:rPr>
        <w:t>,</w:t>
      </w:r>
      <w:r w:rsidRPr="00495482">
        <w:rPr>
          <w:lang w:val="fr-FR" w:eastAsia="sl-SI"/>
        </w:rPr>
        <w:t xml:space="preserve"> </w:t>
      </w:r>
      <w:r w:rsidR="0038572C">
        <w:rPr>
          <w:lang w:val="fr-FR" w:eastAsia="sl-SI"/>
        </w:rPr>
        <w:t>aux personnes</w:t>
      </w:r>
      <w:r w:rsidRPr="00495482">
        <w:rPr>
          <w:lang w:val="fr-FR" w:eastAsia="sl-SI"/>
        </w:rPr>
        <w:t xml:space="preserve"> sans bagage scolaire et aux chômeurs de longue durée. Bien que l</w:t>
      </w:r>
      <w:r w:rsidR="005D0F0F" w:rsidRPr="00495482">
        <w:rPr>
          <w:lang w:val="fr-FR" w:eastAsia="sl-SI"/>
        </w:rPr>
        <w:t>’</w:t>
      </w:r>
      <w:r w:rsidRPr="00495482">
        <w:rPr>
          <w:lang w:val="fr-FR" w:eastAsia="sl-SI"/>
        </w:rPr>
        <w:t>objectif ne soit pas de déboucher directement sur l</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aptitude à l</w:t>
      </w:r>
      <w:r w:rsidR="005D0F0F" w:rsidRPr="00495482">
        <w:rPr>
          <w:lang w:val="fr-FR" w:eastAsia="sl-SI"/>
        </w:rPr>
        <w:t>’</w:t>
      </w:r>
      <w:r w:rsidRPr="00495482">
        <w:rPr>
          <w:lang w:val="fr-FR" w:eastAsia="sl-SI"/>
        </w:rPr>
        <w:t>emploi des participants augmente</w:t>
      </w:r>
      <w:r w:rsidR="005D0F0F" w:rsidRPr="00495482">
        <w:rPr>
          <w:lang w:val="fr-FR" w:eastAsia="sl-SI"/>
        </w:rPr>
        <w:t>,</w:t>
      </w:r>
      <w:r w:rsidRPr="00495482">
        <w:rPr>
          <w:lang w:val="fr-FR" w:eastAsia="sl-SI"/>
        </w:rPr>
        <w:t xml:space="preserve"> comme le montre la surveillance des débouchés en matière d</w:t>
      </w:r>
      <w:r w:rsidR="005D0F0F" w:rsidRPr="00495482">
        <w:rPr>
          <w:lang w:val="fr-FR" w:eastAsia="sl-SI"/>
        </w:rPr>
        <w:t>’</w:t>
      </w:r>
      <w:r w:rsidRPr="00495482">
        <w:rPr>
          <w:lang w:val="fr-FR" w:eastAsia="sl-SI"/>
        </w:rPr>
        <w:t>emploi. En 2007</w:t>
      </w:r>
      <w:r w:rsidR="005D0F0F" w:rsidRPr="00495482">
        <w:rPr>
          <w:lang w:val="fr-FR" w:eastAsia="sl-SI"/>
        </w:rPr>
        <w:t>,</w:t>
      </w:r>
      <w:r w:rsidRPr="00495482">
        <w:rPr>
          <w:lang w:val="fr-FR" w:eastAsia="sl-SI"/>
        </w:rPr>
        <w:t xml:space="preserve"> selon les données du service </w:t>
      </w:r>
      <w:r w:rsidR="002328BD" w:rsidRPr="00495482">
        <w:rPr>
          <w:lang w:val="fr-FR" w:eastAsia="sl-SI"/>
        </w:rPr>
        <w:t>slovène</w:t>
      </w:r>
      <w:r w:rsidRPr="00495482">
        <w:rPr>
          <w:lang w:val="fr-FR" w:eastAsia="sl-SI"/>
        </w:rPr>
        <w:t xml:space="preserve"> de l</w:t>
      </w:r>
      <w:r w:rsidR="005D0F0F" w:rsidRPr="00495482">
        <w:rPr>
          <w:lang w:val="fr-FR" w:eastAsia="sl-SI"/>
        </w:rPr>
        <w:t>’</w:t>
      </w:r>
      <w:r w:rsidRPr="00495482">
        <w:rPr>
          <w:lang w:val="fr-FR" w:eastAsia="sl-SI"/>
        </w:rPr>
        <w:t>emploi</w:t>
      </w:r>
      <w:r w:rsidR="005D0F0F" w:rsidRPr="00495482">
        <w:rPr>
          <w:lang w:val="fr-FR" w:eastAsia="sl-SI"/>
        </w:rPr>
        <w:t>,</w:t>
      </w:r>
      <w:r w:rsidRPr="00495482">
        <w:rPr>
          <w:lang w:val="fr-FR" w:eastAsia="sl-SI"/>
        </w:rPr>
        <w:t xml:space="preserve"> 13 608</w:t>
      </w:r>
      <w:r w:rsidR="002328BD" w:rsidRPr="00495482">
        <w:rPr>
          <w:lang w:val="fr-FR" w:eastAsia="sl-SI"/>
        </w:rPr>
        <w:t> personnes</w:t>
      </w:r>
      <w:r w:rsidRPr="00495482">
        <w:rPr>
          <w:lang w:val="fr-FR" w:eastAsia="sl-SI"/>
        </w:rPr>
        <w:t xml:space="preserve"> étaient inscrites dans ces programmes et 20 530 en 2009.</w:t>
      </w:r>
    </w:p>
    <w:p w:rsidR="00317603" w:rsidRPr="00495482" w:rsidRDefault="00317603" w:rsidP="002328BD">
      <w:pPr>
        <w:pStyle w:val="H23G"/>
        <w:rPr>
          <w:lang w:val="fr-FR" w:eastAsia="sl-SI"/>
        </w:rPr>
      </w:pPr>
      <w:bookmarkStart w:id="10" w:name="_Toc261594103"/>
      <w:r w:rsidRPr="00495482">
        <w:rPr>
          <w:lang w:val="fr-FR" w:eastAsia="sl-SI"/>
        </w:rPr>
        <w:tab/>
      </w:r>
      <w:r w:rsidRPr="00495482">
        <w:rPr>
          <w:lang w:val="fr-FR" w:eastAsia="sl-SI"/>
        </w:rPr>
        <w:tab/>
        <w:t xml:space="preserve">Formation institutionnelle et qualifications </w:t>
      </w:r>
      <w:bookmarkEnd w:id="10"/>
      <w:r w:rsidRPr="00495482">
        <w:rPr>
          <w:lang w:val="fr-FR" w:eastAsia="sl-SI"/>
        </w:rPr>
        <w:t>professionnelles à l</w:t>
      </w:r>
      <w:r w:rsidR="005D0F0F" w:rsidRPr="00495482">
        <w:rPr>
          <w:lang w:val="fr-FR" w:eastAsia="sl-SI"/>
        </w:rPr>
        <w:t>’</w:t>
      </w:r>
      <w:r w:rsidRPr="00495482">
        <w:rPr>
          <w:lang w:val="fr-FR" w:eastAsia="sl-SI"/>
        </w:rPr>
        <w:t>échelle nationale</w:t>
      </w:r>
    </w:p>
    <w:p w:rsidR="00317603" w:rsidRPr="00495482" w:rsidRDefault="00317603" w:rsidP="002328BD">
      <w:pPr>
        <w:pStyle w:val="SingleTxtG"/>
        <w:rPr>
          <w:lang w:val="fr-FR" w:eastAsia="sl-SI"/>
        </w:rPr>
      </w:pPr>
      <w:r w:rsidRPr="00495482">
        <w:rPr>
          <w:lang w:val="fr-FR" w:eastAsia="sl-SI"/>
        </w:rPr>
        <w:t>58.</w:t>
      </w:r>
      <w:r w:rsidRPr="00495482">
        <w:rPr>
          <w:lang w:val="fr-FR" w:eastAsia="sl-SI"/>
        </w:rPr>
        <w:tab/>
        <w:t>En 2009</w:t>
      </w:r>
      <w:r w:rsidR="005D0F0F" w:rsidRPr="00495482">
        <w:rPr>
          <w:lang w:val="fr-FR" w:eastAsia="sl-SI"/>
        </w:rPr>
        <w:t>,</w:t>
      </w:r>
      <w:r w:rsidRPr="00495482">
        <w:rPr>
          <w:lang w:val="fr-FR" w:eastAsia="sl-SI"/>
        </w:rPr>
        <w:t xml:space="preserve"> 8</w:t>
      </w:r>
      <w:r w:rsidR="00BD380A">
        <w:rPr>
          <w:lang w:val="fr-FR" w:eastAsia="sl-SI"/>
        </w:rPr>
        <w:t> </w:t>
      </w:r>
      <w:r w:rsidRPr="00495482">
        <w:rPr>
          <w:lang w:val="fr-FR" w:eastAsia="sl-SI"/>
        </w:rPr>
        <w:t>953</w:t>
      </w:r>
      <w:r w:rsidR="002328BD" w:rsidRPr="00495482">
        <w:rPr>
          <w:lang w:val="fr-FR" w:eastAsia="sl-SI"/>
        </w:rPr>
        <w:t> personnes</w:t>
      </w:r>
      <w:r w:rsidRPr="00495482">
        <w:rPr>
          <w:lang w:val="fr-FR" w:eastAsia="sl-SI"/>
        </w:rPr>
        <w:t xml:space="preserve"> au total participaient à des programmes de formation institutionnelle et de qualification professionnelle nationale</w:t>
      </w:r>
      <w:r w:rsidR="005D0F0F" w:rsidRPr="00495482">
        <w:rPr>
          <w:lang w:val="fr-FR" w:eastAsia="sl-SI"/>
        </w:rPr>
        <w:t>,</w:t>
      </w:r>
      <w:r w:rsidRPr="00495482">
        <w:rPr>
          <w:lang w:val="fr-FR" w:eastAsia="sl-SI"/>
        </w:rPr>
        <w:t xml:space="preserve"> avec respe</w:t>
      </w:r>
      <w:r w:rsidR="002328BD" w:rsidRPr="00495482">
        <w:rPr>
          <w:lang w:val="fr-FR" w:eastAsia="sl-SI"/>
        </w:rPr>
        <w:t>ctivement 8 484 </w:t>
      </w:r>
      <w:r w:rsidRPr="00495482">
        <w:rPr>
          <w:lang w:val="fr-FR" w:eastAsia="sl-SI"/>
        </w:rPr>
        <w:t>inscrits aux premiers et 469 aux seconds.</w:t>
      </w:r>
      <w:r w:rsidR="003D1A4F" w:rsidRPr="00495482">
        <w:rPr>
          <w:lang w:val="fr-FR" w:eastAsia="sl-SI"/>
        </w:rPr>
        <w:t xml:space="preserve"> </w:t>
      </w:r>
      <w:r w:rsidRPr="00495482">
        <w:rPr>
          <w:lang w:val="fr-FR" w:eastAsia="sl-SI"/>
        </w:rPr>
        <w:t>Ces types d</w:t>
      </w:r>
      <w:r w:rsidR="005D0F0F" w:rsidRPr="00495482">
        <w:rPr>
          <w:lang w:val="fr-FR" w:eastAsia="sl-SI"/>
        </w:rPr>
        <w:t>’</w:t>
      </w:r>
      <w:r w:rsidRPr="00495482">
        <w:rPr>
          <w:lang w:val="fr-FR" w:eastAsia="sl-SI"/>
        </w:rPr>
        <w:t>enseignement ou de formation</w:t>
      </w:r>
      <w:r w:rsidR="005D0F0F" w:rsidRPr="00495482">
        <w:rPr>
          <w:lang w:val="fr-FR" w:eastAsia="sl-SI"/>
        </w:rPr>
        <w:t>,</w:t>
      </w:r>
      <w:r w:rsidRPr="00495482">
        <w:rPr>
          <w:lang w:val="fr-FR" w:eastAsia="sl-SI"/>
        </w:rPr>
        <w:t xml:space="preserve"> plus courts que l</w:t>
      </w:r>
      <w:r w:rsidR="005D0F0F" w:rsidRPr="00495482">
        <w:rPr>
          <w:lang w:val="fr-FR" w:eastAsia="sl-SI"/>
        </w:rPr>
        <w:t>’</w:t>
      </w:r>
      <w:r w:rsidRPr="00495482">
        <w:rPr>
          <w:lang w:val="fr-FR" w:eastAsia="sl-SI"/>
        </w:rPr>
        <w:t>enseignement formel</w:t>
      </w:r>
      <w:r w:rsidR="005D0F0F" w:rsidRPr="00495482">
        <w:rPr>
          <w:lang w:val="fr-FR" w:eastAsia="sl-SI"/>
        </w:rPr>
        <w:t>,</w:t>
      </w:r>
      <w:r w:rsidR="003D1A4F" w:rsidRPr="00495482">
        <w:rPr>
          <w:lang w:val="fr-FR" w:eastAsia="sl-SI"/>
        </w:rPr>
        <w:t xml:space="preserve"> </w:t>
      </w:r>
      <w:r w:rsidRPr="00495482">
        <w:rPr>
          <w:lang w:val="fr-FR" w:eastAsia="sl-SI"/>
        </w:rPr>
        <w:t>suscitent davantage d</w:t>
      </w:r>
      <w:r w:rsidR="005D0F0F" w:rsidRPr="00495482">
        <w:rPr>
          <w:lang w:val="fr-FR" w:eastAsia="sl-SI"/>
        </w:rPr>
        <w:t>’</w:t>
      </w:r>
      <w:r w:rsidRPr="00495482">
        <w:rPr>
          <w:lang w:val="fr-FR" w:eastAsia="sl-SI"/>
        </w:rPr>
        <w:t>adhésion.</w:t>
      </w:r>
      <w:r w:rsidR="003D1A4F" w:rsidRPr="00495482">
        <w:rPr>
          <w:lang w:val="fr-FR" w:eastAsia="sl-SI"/>
        </w:rPr>
        <w:t xml:space="preserve"> </w:t>
      </w:r>
    </w:p>
    <w:p w:rsidR="00317603" w:rsidRPr="00495482" w:rsidRDefault="00317603" w:rsidP="002328BD">
      <w:pPr>
        <w:pStyle w:val="H23G"/>
        <w:rPr>
          <w:lang w:val="fr-FR" w:eastAsia="sl-SI"/>
        </w:rPr>
      </w:pPr>
      <w:bookmarkStart w:id="11" w:name="_Toc261594104"/>
      <w:r w:rsidRPr="00495482">
        <w:rPr>
          <w:lang w:val="fr-FR" w:eastAsia="sl-SI"/>
        </w:rPr>
        <w:tab/>
      </w:r>
      <w:r w:rsidRPr="00495482">
        <w:rPr>
          <w:lang w:val="fr-FR" w:eastAsia="sl-SI"/>
        </w:rPr>
        <w:tab/>
        <w:t>Programmes de formation pratique</w:t>
      </w:r>
      <w:bookmarkEnd w:id="11"/>
      <w:r w:rsidR="003D1A4F" w:rsidRPr="00495482">
        <w:rPr>
          <w:lang w:val="fr-FR" w:eastAsia="sl-SI"/>
        </w:rPr>
        <w:t xml:space="preserve"> </w:t>
      </w:r>
    </w:p>
    <w:p w:rsidR="00317603" w:rsidRPr="00495482" w:rsidRDefault="00317603" w:rsidP="002328BD">
      <w:pPr>
        <w:pStyle w:val="SingleTxtG"/>
        <w:rPr>
          <w:lang w:val="fr-FR" w:eastAsia="sl-SI"/>
        </w:rPr>
      </w:pPr>
      <w:r w:rsidRPr="00495482">
        <w:rPr>
          <w:lang w:val="fr-FR" w:eastAsia="sl-SI"/>
        </w:rPr>
        <w:t>59.</w:t>
      </w:r>
      <w:r w:rsidRPr="00495482">
        <w:rPr>
          <w:lang w:val="fr-FR" w:eastAsia="sl-SI"/>
        </w:rPr>
        <w:tab/>
        <w:t>Pour l</w:t>
      </w:r>
      <w:r w:rsidR="005D0F0F" w:rsidRPr="00495482">
        <w:rPr>
          <w:lang w:val="fr-FR" w:eastAsia="sl-SI"/>
        </w:rPr>
        <w:t>’</w:t>
      </w:r>
      <w:r w:rsidRPr="00495482">
        <w:rPr>
          <w:lang w:val="fr-FR" w:eastAsia="sl-SI"/>
        </w:rPr>
        <w:t>essentiel</w:t>
      </w:r>
      <w:r w:rsidR="005D0F0F" w:rsidRPr="00495482">
        <w:rPr>
          <w:lang w:val="fr-FR" w:eastAsia="sl-SI"/>
        </w:rPr>
        <w:t>,</w:t>
      </w:r>
      <w:r w:rsidRPr="00495482">
        <w:rPr>
          <w:lang w:val="fr-FR" w:eastAsia="sl-SI"/>
        </w:rPr>
        <w:t xml:space="preserve"> des programmes de formation pratique sont mis en </w:t>
      </w:r>
      <w:r w:rsidR="002328BD" w:rsidRPr="00495482">
        <w:rPr>
          <w:lang w:val="fr-FR" w:eastAsia="sl-SI"/>
        </w:rPr>
        <w:t>œuvre</w:t>
      </w:r>
      <w:r w:rsidR="005D0F0F" w:rsidRPr="00495482">
        <w:rPr>
          <w:lang w:val="fr-FR" w:eastAsia="sl-SI"/>
        </w:rPr>
        <w:t>,</w:t>
      </w:r>
      <w:r w:rsidRPr="00495482">
        <w:rPr>
          <w:lang w:val="fr-FR" w:eastAsia="sl-SI"/>
        </w:rPr>
        <w:t xml:space="preserve"> par exemple</w:t>
      </w:r>
      <w:r w:rsidR="005D0F0F" w:rsidRPr="00495482">
        <w:rPr>
          <w:lang w:val="fr-FR" w:eastAsia="sl-SI"/>
        </w:rPr>
        <w:t>,</w:t>
      </w:r>
      <w:r w:rsidRPr="00495482">
        <w:rPr>
          <w:lang w:val="fr-FR" w:eastAsia="sl-SI"/>
        </w:rPr>
        <w:t xml:space="preserve"> des stages d</w:t>
      </w:r>
      <w:r w:rsidR="005D0F0F" w:rsidRPr="00495482">
        <w:rPr>
          <w:lang w:val="fr-FR" w:eastAsia="sl-SI"/>
        </w:rPr>
        <w:t>’</w:t>
      </w:r>
      <w:r w:rsidRPr="00495482">
        <w:rPr>
          <w:lang w:val="fr-FR" w:eastAsia="sl-SI"/>
        </w:rPr>
        <w:t>enseignement et de formation en cours d</w:t>
      </w:r>
      <w:r w:rsidR="005D0F0F" w:rsidRPr="00495482">
        <w:rPr>
          <w:lang w:val="fr-FR" w:eastAsia="sl-SI"/>
        </w:rPr>
        <w:t>’</w:t>
      </w:r>
      <w:r w:rsidRPr="00495482">
        <w:rPr>
          <w:lang w:val="fr-FR" w:eastAsia="sl-SI"/>
        </w:rPr>
        <w:t>emploi qui permettent d</w:t>
      </w:r>
      <w:r w:rsidR="005D0F0F" w:rsidRPr="00495482">
        <w:rPr>
          <w:lang w:val="fr-FR" w:eastAsia="sl-SI"/>
        </w:rPr>
        <w:t>’</w:t>
      </w:r>
      <w:r w:rsidRPr="00495482">
        <w:rPr>
          <w:lang w:val="fr-FR" w:eastAsia="sl-SI"/>
        </w:rPr>
        <w:t>acquérir une expérience pratique pour un certain nombre d</w:t>
      </w:r>
      <w:r w:rsidR="005D0F0F" w:rsidRPr="00495482">
        <w:rPr>
          <w:lang w:val="fr-FR" w:eastAsia="sl-SI"/>
        </w:rPr>
        <w:t>’</w:t>
      </w:r>
      <w:r w:rsidRPr="00495482">
        <w:rPr>
          <w:lang w:val="fr-FR" w:eastAsia="sl-SI"/>
        </w:rPr>
        <w:t>emplois</w:t>
      </w:r>
      <w:r w:rsidR="005D0F0F" w:rsidRPr="00495482">
        <w:rPr>
          <w:lang w:val="fr-FR" w:eastAsia="sl-SI"/>
        </w:rPr>
        <w:t>,</w:t>
      </w:r>
      <w:r w:rsidRPr="00495482">
        <w:rPr>
          <w:lang w:val="fr-FR" w:eastAsia="sl-SI"/>
        </w:rPr>
        <w:t xml:space="preserve"> et un système de transfert des connaissances permet d</w:t>
      </w:r>
      <w:r w:rsidR="005D0F0F" w:rsidRPr="00495482">
        <w:rPr>
          <w:lang w:val="fr-FR" w:eastAsia="sl-SI"/>
        </w:rPr>
        <w:t>’</w:t>
      </w:r>
      <w:r w:rsidRPr="00495482">
        <w:rPr>
          <w:lang w:val="fr-FR" w:eastAsia="sl-SI"/>
        </w:rPr>
        <w:t xml:space="preserve">améliorer les compétences et les capacités. Des projets de formation </w:t>
      </w:r>
      <w:r w:rsidR="00210F9A" w:rsidRPr="00495482">
        <w:rPr>
          <w:lang w:val="fr-FR" w:eastAsia="sl-SI"/>
        </w:rPr>
        <w:t>des personnes</w:t>
      </w:r>
      <w:r w:rsidRPr="00495482">
        <w:rPr>
          <w:lang w:val="fr-FR" w:eastAsia="sl-SI"/>
        </w:rPr>
        <w:t xml:space="preserve"> handicapées sont également mis en place. En 2009</w:t>
      </w:r>
      <w:r w:rsidR="005D0F0F" w:rsidRPr="00495482">
        <w:rPr>
          <w:lang w:val="fr-FR" w:eastAsia="sl-SI"/>
        </w:rPr>
        <w:t>,</w:t>
      </w:r>
      <w:r w:rsidRPr="00495482">
        <w:rPr>
          <w:lang w:val="fr-FR" w:eastAsia="sl-SI"/>
        </w:rPr>
        <w:t xml:space="preserve"> 7 946</w:t>
      </w:r>
      <w:r w:rsidR="002328BD" w:rsidRPr="00495482">
        <w:rPr>
          <w:lang w:val="fr-FR" w:eastAsia="sl-SI"/>
        </w:rPr>
        <w:t> personnes</w:t>
      </w:r>
      <w:r w:rsidRPr="00495482">
        <w:rPr>
          <w:lang w:val="fr-FR" w:eastAsia="sl-SI"/>
        </w:rPr>
        <w:t xml:space="preserve"> ont participé aux programmes de formation pratique. </w:t>
      </w:r>
    </w:p>
    <w:p w:rsidR="00317603" w:rsidRPr="00495482" w:rsidRDefault="00317603" w:rsidP="00210F9A">
      <w:pPr>
        <w:pStyle w:val="H23G"/>
        <w:rPr>
          <w:lang w:val="fr-FR" w:eastAsia="sl-SI"/>
        </w:rPr>
      </w:pPr>
      <w:bookmarkStart w:id="12" w:name="_Toc261594105"/>
      <w:r w:rsidRPr="00495482">
        <w:rPr>
          <w:lang w:val="fr-FR" w:eastAsia="sl-SI"/>
        </w:rPr>
        <w:tab/>
      </w:r>
      <w:r w:rsidRPr="00495482">
        <w:rPr>
          <w:lang w:val="fr-FR" w:eastAsia="sl-SI"/>
        </w:rPr>
        <w:tab/>
        <w:t xml:space="preserve">Programmes </w:t>
      </w:r>
      <w:bookmarkEnd w:id="12"/>
      <w:r w:rsidRPr="00495482">
        <w:rPr>
          <w:lang w:val="fr-FR" w:eastAsia="sl-SI"/>
        </w:rPr>
        <w:t>d</w:t>
      </w:r>
      <w:r w:rsidR="005D0F0F" w:rsidRPr="00495482">
        <w:rPr>
          <w:lang w:val="fr-FR" w:eastAsia="sl-SI"/>
        </w:rPr>
        <w:t>’</w:t>
      </w:r>
      <w:r w:rsidRPr="00495482">
        <w:rPr>
          <w:lang w:val="fr-FR" w:eastAsia="sl-SI"/>
        </w:rPr>
        <w:t>éducation</w:t>
      </w:r>
    </w:p>
    <w:p w:rsidR="00317603" w:rsidRPr="00495482" w:rsidRDefault="00317603" w:rsidP="00210F9A">
      <w:pPr>
        <w:pStyle w:val="SingleTxtG"/>
        <w:rPr>
          <w:lang w:val="fr-FR" w:eastAsia="sl-SI"/>
        </w:rPr>
      </w:pPr>
      <w:r w:rsidRPr="00495482">
        <w:rPr>
          <w:lang w:val="fr-FR" w:eastAsia="sl-SI"/>
        </w:rPr>
        <w:t>60.</w:t>
      </w:r>
      <w:r w:rsidRPr="00495482">
        <w:rPr>
          <w:lang w:val="fr-FR" w:eastAsia="sl-SI"/>
        </w:rPr>
        <w:tab/>
        <w:t>Il ressort clairement de la participation aux programmes d</w:t>
      </w:r>
      <w:r w:rsidR="005D0F0F" w:rsidRPr="00495482">
        <w:rPr>
          <w:lang w:val="fr-FR" w:eastAsia="sl-SI"/>
        </w:rPr>
        <w:t>’</w:t>
      </w:r>
      <w:r w:rsidRPr="00495482">
        <w:rPr>
          <w:lang w:val="fr-FR" w:eastAsia="sl-SI"/>
        </w:rPr>
        <w:t>éducation</w:t>
      </w:r>
      <w:r w:rsidR="005D0F0F" w:rsidRPr="00495482">
        <w:rPr>
          <w:lang w:val="fr-FR" w:eastAsia="sl-SI"/>
        </w:rPr>
        <w:t>,</w:t>
      </w:r>
      <w:r w:rsidRPr="00495482">
        <w:rPr>
          <w:lang w:val="fr-FR" w:eastAsia="sl-SI"/>
        </w:rPr>
        <w:t xml:space="preserve"> essentiellement à ceux relatifs à l</w:t>
      </w:r>
      <w:r w:rsidR="005D0F0F" w:rsidRPr="00495482">
        <w:rPr>
          <w:lang w:val="fr-FR" w:eastAsia="sl-SI"/>
        </w:rPr>
        <w:t>’</w:t>
      </w:r>
      <w:r w:rsidRPr="00495482">
        <w:rPr>
          <w:lang w:val="fr-FR" w:eastAsia="sl-SI"/>
        </w:rPr>
        <w:t>enseignement formel</w:t>
      </w:r>
      <w:r w:rsidR="005D0F0F" w:rsidRPr="00495482">
        <w:rPr>
          <w:lang w:val="fr-FR" w:eastAsia="sl-SI"/>
        </w:rPr>
        <w:t>,</w:t>
      </w:r>
      <w:r w:rsidR="003D1A4F" w:rsidRPr="00495482">
        <w:rPr>
          <w:lang w:val="fr-FR" w:eastAsia="sl-SI"/>
        </w:rPr>
        <w:t xml:space="preserve"> </w:t>
      </w:r>
      <w:r w:rsidRPr="00495482">
        <w:rPr>
          <w:lang w:val="fr-FR" w:eastAsia="sl-SI"/>
        </w:rPr>
        <w:t xml:space="preserve">que le nombre </w:t>
      </w:r>
      <w:r w:rsidR="00210F9A" w:rsidRPr="00495482">
        <w:rPr>
          <w:lang w:val="fr-FR" w:eastAsia="sl-SI"/>
        </w:rPr>
        <w:t>de personnes</w:t>
      </w:r>
      <w:r w:rsidRPr="00495482">
        <w:rPr>
          <w:lang w:val="fr-FR" w:eastAsia="sl-SI"/>
        </w:rPr>
        <w:t xml:space="preserve"> sans emploi qui souhaitent suivre les divers types d</w:t>
      </w:r>
      <w:r w:rsidR="005D0F0F" w:rsidRPr="00495482">
        <w:rPr>
          <w:lang w:val="fr-FR" w:eastAsia="sl-SI"/>
        </w:rPr>
        <w:t>’</w:t>
      </w:r>
      <w:r w:rsidRPr="00495482">
        <w:rPr>
          <w:lang w:val="fr-FR" w:eastAsia="sl-SI"/>
        </w:rPr>
        <w:t>enseignement formel augmente; ces programmes comptaient effectivement 50% d</w:t>
      </w:r>
      <w:r w:rsidR="005D0F0F" w:rsidRPr="00495482">
        <w:rPr>
          <w:lang w:val="fr-FR" w:eastAsia="sl-SI"/>
        </w:rPr>
        <w:t>’</w:t>
      </w:r>
      <w:r w:rsidRPr="00495482">
        <w:rPr>
          <w:lang w:val="fr-FR" w:eastAsia="sl-SI"/>
        </w:rPr>
        <w:t>inscrits supplémentaires en 2009</w:t>
      </w:r>
      <w:r w:rsidR="005D0F0F" w:rsidRPr="00495482">
        <w:rPr>
          <w:lang w:val="fr-FR" w:eastAsia="sl-SI"/>
        </w:rPr>
        <w:t>,</w:t>
      </w:r>
      <w:r w:rsidRPr="00495482">
        <w:rPr>
          <w:lang w:val="fr-FR" w:eastAsia="sl-SI"/>
        </w:rPr>
        <w:t xml:space="preserve"> comme au cours de l</w:t>
      </w:r>
      <w:r w:rsidR="005D0F0F" w:rsidRPr="00495482">
        <w:rPr>
          <w:lang w:val="fr-FR" w:eastAsia="sl-SI"/>
        </w:rPr>
        <w:t>’</w:t>
      </w:r>
      <w:r w:rsidRPr="00495482">
        <w:rPr>
          <w:lang w:val="fr-FR" w:eastAsia="sl-SI"/>
        </w:rPr>
        <w:t>année précédente. Au total</w:t>
      </w:r>
      <w:r w:rsidR="005D0F0F" w:rsidRPr="00495482">
        <w:rPr>
          <w:lang w:val="fr-FR" w:eastAsia="sl-SI"/>
        </w:rPr>
        <w:t>,</w:t>
      </w:r>
      <w:r w:rsidRPr="00495482">
        <w:rPr>
          <w:lang w:val="fr-FR" w:eastAsia="sl-SI"/>
        </w:rPr>
        <w:t xml:space="preserve"> 3 371</w:t>
      </w:r>
      <w:r w:rsidR="002328BD" w:rsidRPr="00495482">
        <w:rPr>
          <w:lang w:val="fr-FR" w:eastAsia="sl-SI"/>
        </w:rPr>
        <w:t> personnes</w:t>
      </w:r>
      <w:r w:rsidRPr="00495482">
        <w:rPr>
          <w:lang w:val="fr-FR" w:eastAsia="sl-SI"/>
        </w:rPr>
        <w:t xml:space="preserve"> y ont participé. </w:t>
      </w:r>
    </w:p>
    <w:p w:rsidR="00317603" w:rsidRPr="00495482" w:rsidRDefault="00317603" w:rsidP="00210F9A">
      <w:pPr>
        <w:pStyle w:val="H23G"/>
        <w:rPr>
          <w:lang w:val="fr-FR" w:eastAsia="sl-SI"/>
        </w:rPr>
      </w:pPr>
      <w:bookmarkStart w:id="13" w:name="_Toc261594106"/>
      <w:r w:rsidRPr="00495482">
        <w:rPr>
          <w:lang w:val="fr-FR" w:eastAsia="sl-SI"/>
        </w:rPr>
        <w:tab/>
      </w:r>
      <w:r w:rsidRPr="00495482">
        <w:rPr>
          <w:lang w:val="fr-FR" w:eastAsia="sl-SI"/>
        </w:rPr>
        <w:tab/>
        <w:t>Programme d</w:t>
      </w:r>
      <w:r w:rsidR="005D0F0F" w:rsidRPr="00495482">
        <w:rPr>
          <w:lang w:val="fr-FR" w:eastAsia="sl-SI"/>
        </w:rPr>
        <w:t>’</w:t>
      </w:r>
      <w:r w:rsidRPr="00495482">
        <w:rPr>
          <w:lang w:val="fr-FR" w:eastAsia="sl-SI"/>
        </w:rPr>
        <w:t>éducation pour les travailleurs sans emploi</w:t>
      </w:r>
      <w:r w:rsidR="003D1A4F" w:rsidRPr="00495482">
        <w:rPr>
          <w:lang w:val="fr-FR" w:eastAsia="sl-SI"/>
        </w:rPr>
        <w:t xml:space="preserve"> </w:t>
      </w:r>
      <w:bookmarkEnd w:id="13"/>
    </w:p>
    <w:p w:rsidR="00317603" w:rsidRPr="00495482" w:rsidRDefault="00317603" w:rsidP="00210F9A">
      <w:pPr>
        <w:pStyle w:val="SingleTxtG"/>
        <w:rPr>
          <w:lang w:val="fr-FR" w:eastAsia="sl-SI"/>
        </w:rPr>
      </w:pPr>
      <w:r w:rsidRPr="00495482">
        <w:rPr>
          <w:lang w:val="fr-FR" w:eastAsia="sl-SI"/>
        </w:rPr>
        <w:t>61.</w:t>
      </w:r>
      <w:r w:rsidRPr="00495482">
        <w:rPr>
          <w:lang w:val="fr-FR" w:eastAsia="sl-SI"/>
        </w:rPr>
        <w:tab/>
        <w:t>Ce programme permet aux travailleurs sans emploi de suivre un enseignement aux niveaux primaire</w:t>
      </w:r>
      <w:r w:rsidR="005D0F0F" w:rsidRPr="00495482">
        <w:rPr>
          <w:lang w:val="fr-FR" w:eastAsia="sl-SI"/>
        </w:rPr>
        <w:t>,</w:t>
      </w:r>
      <w:r w:rsidRPr="00495482">
        <w:rPr>
          <w:lang w:val="fr-FR" w:eastAsia="sl-SI"/>
        </w:rPr>
        <w:t xml:space="preserve"> secondaire (professionnel et général)</w:t>
      </w:r>
      <w:r w:rsidR="005D0F0F" w:rsidRPr="00495482">
        <w:rPr>
          <w:lang w:val="fr-FR" w:eastAsia="sl-SI"/>
        </w:rPr>
        <w:t>,</w:t>
      </w:r>
      <w:r w:rsidRPr="00495482">
        <w:rPr>
          <w:lang w:val="fr-FR" w:eastAsia="sl-SI"/>
        </w:rPr>
        <w:t xml:space="preserve"> supérieur (professionnel</w:t>
      </w:r>
      <w:r w:rsidR="003D1A4F" w:rsidRPr="00495482">
        <w:rPr>
          <w:lang w:val="fr-FR" w:eastAsia="sl-SI"/>
        </w:rPr>
        <w:t xml:space="preserve"> </w:t>
      </w:r>
      <w:r w:rsidRPr="00495482">
        <w:rPr>
          <w:lang w:val="fr-FR" w:eastAsia="sl-SI"/>
        </w:rPr>
        <w:t>ou technique) et universitaire</w:t>
      </w:r>
      <w:r w:rsidR="005D0F0F" w:rsidRPr="00495482">
        <w:rPr>
          <w:lang w:val="fr-FR" w:eastAsia="sl-SI"/>
        </w:rPr>
        <w:t>,</w:t>
      </w:r>
      <w:r w:rsidRPr="00495482">
        <w:rPr>
          <w:lang w:val="fr-FR" w:eastAsia="sl-SI"/>
        </w:rPr>
        <w:t xml:space="preserve"> comme de</w:t>
      </w:r>
      <w:r w:rsidR="003D1A4F" w:rsidRPr="00495482">
        <w:rPr>
          <w:lang w:val="fr-FR" w:eastAsia="sl-SI"/>
        </w:rPr>
        <w:t xml:space="preserve"> </w:t>
      </w:r>
      <w:r w:rsidRPr="00495482">
        <w:rPr>
          <w:lang w:val="fr-FR" w:eastAsia="sl-SI"/>
        </w:rPr>
        <w:t>participer aux autres programmes officiels d</w:t>
      </w:r>
      <w:r w:rsidR="005D0F0F" w:rsidRPr="00495482">
        <w:rPr>
          <w:lang w:val="fr-FR" w:eastAsia="sl-SI"/>
        </w:rPr>
        <w:t>’</w:t>
      </w:r>
      <w:r w:rsidR="00210F9A" w:rsidRPr="00495482">
        <w:rPr>
          <w:lang w:val="fr-FR" w:eastAsia="sl-SI"/>
        </w:rPr>
        <w:t>éducation</w:t>
      </w:r>
      <w:r w:rsidRPr="00495482">
        <w:rPr>
          <w:lang w:val="fr-FR" w:eastAsia="sl-SI"/>
        </w:rPr>
        <w:t xml:space="preserve"> des adultes qui facilitent l</w:t>
      </w:r>
      <w:r w:rsidR="005D0F0F" w:rsidRPr="00495482">
        <w:rPr>
          <w:lang w:val="fr-FR" w:eastAsia="sl-SI"/>
        </w:rPr>
        <w:t>’</w:t>
      </w:r>
      <w:r w:rsidRPr="00495482">
        <w:rPr>
          <w:lang w:val="fr-FR" w:eastAsia="sl-SI"/>
        </w:rPr>
        <w:t>insertion sociale des groupes ayant des besoins spécifiques</w:t>
      </w:r>
      <w:r w:rsidR="005D0F0F" w:rsidRPr="00495482">
        <w:rPr>
          <w:lang w:val="fr-FR" w:eastAsia="sl-SI"/>
        </w:rPr>
        <w:t>,</w:t>
      </w:r>
      <w:r w:rsidRPr="00495482">
        <w:rPr>
          <w:lang w:val="fr-FR" w:eastAsia="sl-SI"/>
        </w:rPr>
        <w:t xml:space="preserve"> et incitent les participants à rechercher d</w:t>
      </w:r>
      <w:r w:rsidR="005D0F0F" w:rsidRPr="00495482">
        <w:rPr>
          <w:lang w:val="fr-FR" w:eastAsia="sl-SI"/>
        </w:rPr>
        <w:t>’</w:t>
      </w:r>
      <w:r w:rsidRPr="00495482">
        <w:rPr>
          <w:lang w:val="fr-FR" w:eastAsia="sl-SI"/>
        </w:rPr>
        <w:t>autres possibilités d</w:t>
      </w:r>
      <w:r w:rsidR="005D0F0F" w:rsidRPr="00495482">
        <w:rPr>
          <w:lang w:val="fr-FR" w:eastAsia="sl-SI"/>
        </w:rPr>
        <w:t>’</w:t>
      </w:r>
      <w:r w:rsidRPr="00495482">
        <w:rPr>
          <w:lang w:val="fr-FR" w:eastAsia="sl-SI"/>
        </w:rPr>
        <w:t>apprentissage et d</w:t>
      </w:r>
      <w:r w:rsidR="005D0F0F" w:rsidRPr="00495482">
        <w:rPr>
          <w:lang w:val="fr-FR" w:eastAsia="sl-SI"/>
        </w:rPr>
        <w:t>’</w:t>
      </w:r>
      <w:r w:rsidRPr="00495482">
        <w:rPr>
          <w:lang w:val="fr-FR" w:eastAsia="sl-SI"/>
        </w:rPr>
        <w:t>intégration dans l</w:t>
      </w:r>
      <w:r w:rsidR="005D0F0F" w:rsidRPr="00495482">
        <w:rPr>
          <w:lang w:val="fr-FR" w:eastAsia="sl-SI"/>
        </w:rPr>
        <w:t>’</w:t>
      </w:r>
      <w:r w:rsidRPr="00495482">
        <w:rPr>
          <w:lang w:val="fr-FR" w:eastAsia="sl-SI"/>
        </w:rPr>
        <w:t>éducation tout au long de la vie.</w:t>
      </w:r>
    </w:p>
    <w:p w:rsidR="00317603" w:rsidRPr="00495482" w:rsidRDefault="00317603" w:rsidP="00210F9A">
      <w:pPr>
        <w:pStyle w:val="H23G"/>
        <w:rPr>
          <w:lang w:val="fr-FR" w:eastAsia="sl-SI"/>
        </w:rPr>
      </w:pPr>
      <w:bookmarkStart w:id="14" w:name="_Toc261594107"/>
      <w:r w:rsidRPr="00495482">
        <w:rPr>
          <w:lang w:val="fr-FR" w:eastAsia="sl-SI"/>
        </w:rPr>
        <w:tab/>
      </w:r>
      <w:r w:rsidRPr="00495482">
        <w:rPr>
          <w:lang w:val="fr-FR" w:eastAsia="sl-SI"/>
        </w:rPr>
        <w:tab/>
        <w:t>Programmes de formation et d</w:t>
      </w:r>
      <w:r w:rsidR="005D0F0F" w:rsidRPr="00495482">
        <w:rPr>
          <w:lang w:val="fr-FR" w:eastAsia="sl-SI"/>
        </w:rPr>
        <w:t>’</w:t>
      </w:r>
      <w:r w:rsidRPr="00495482">
        <w:rPr>
          <w:lang w:val="fr-FR" w:eastAsia="sl-SI"/>
        </w:rPr>
        <w:t>éducation à l</w:t>
      </w:r>
      <w:r w:rsidR="005D0F0F" w:rsidRPr="00495482">
        <w:rPr>
          <w:lang w:val="fr-FR" w:eastAsia="sl-SI"/>
        </w:rPr>
        <w:t>’</w:t>
      </w:r>
      <w:r w:rsidRPr="00495482">
        <w:rPr>
          <w:lang w:val="fr-FR" w:eastAsia="sl-SI"/>
        </w:rPr>
        <w:t xml:space="preserve">intention des </w:t>
      </w:r>
      <w:bookmarkEnd w:id="14"/>
      <w:r w:rsidRPr="00495482">
        <w:rPr>
          <w:lang w:val="fr-FR" w:eastAsia="sl-SI"/>
        </w:rPr>
        <w:t>employés</w:t>
      </w:r>
    </w:p>
    <w:p w:rsidR="00317603" w:rsidRPr="00495482" w:rsidRDefault="00317603" w:rsidP="00210F9A">
      <w:pPr>
        <w:pStyle w:val="SingleTxtG"/>
        <w:rPr>
          <w:lang w:val="fr-FR" w:eastAsia="sl-SI"/>
        </w:rPr>
      </w:pPr>
      <w:r w:rsidRPr="00495482">
        <w:rPr>
          <w:lang w:val="fr-FR" w:eastAsia="sl-SI"/>
        </w:rPr>
        <w:t>62.</w:t>
      </w:r>
      <w:r w:rsidRPr="00495482">
        <w:rPr>
          <w:lang w:val="fr-FR" w:eastAsia="sl-SI"/>
        </w:rPr>
        <w:tab/>
        <w:t>Outre ceux destinés aux chômeurs</w:t>
      </w:r>
      <w:r w:rsidR="005D0F0F" w:rsidRPr="00495482">
        <w:rPr>
          <w:lang w:val="fr-FR" w:eastAsia="sl-SI"/>
        </w:rPr>
        <w:t>,</w:t>
      </w:r>
      <w:r w:rsidRPr="00495482">
        <w:rPr>
          <w:lang w:val="fr-FR" w:eastAsia="sl-SI"/>
        </w:rPr>
        <w:t xml:space="preserve"> le Service slovène de l</w:t>
      </w:r>
      <w:r w:rsidR="005D0F0F" w:rsidRPr="00495482">
        <w:rPr>
          <w:lang w:val="fr-FR" w:eastAsia="sl-SI"/>
        </w:rPr>
        <w:t>’</w:t>
      </w:r>
      <w:r w:rsidRPr="00495482">
        <w:rPr>
          <w:lang w:val="fr-FR" w:eastAsia="sl-SI"/>
        </w:rPr>
        <w:t>emploi</w:t>
      </w:r>
      <w:r w:rsidR="003D1A4F" w:rsidRPr="00495482">
        <w:rPr>
          <w:lang w:val="fr-FR" w:eastAsia="sl-SI"/>
        </w:rPr>
        <w:t xml:space="preserve"> </w:t>
      </w:r>
      <w:r w:rsidRPr="00495482">
        <w:rPr>
          <w:lang w:val="fr-FR" w:eastAsia="sl-SI"/>
        </w:rPr>
        <w:t>a également mis en place en 2009 des programmes à l</w:t>
      </w:r>
      <w:r w:rsidR="005D0F0F" w:rsidRPr="00495482">
        <w:rPr>
          <w:lang w:val="fr-FR" w:eastAsia="sl-SI"/>
        </w:rPr>
        <w:t>’</w:t>
      </w:r>
      <w:r w:rsidRPr="00495482">
        <w:rPr>
          <w:lang w:val="fr-FR" w:eastAsia="sl-SI"/>
        </w:rPr>
        <w:t>intention des employés et des travailleurs en passe de perdre leur emploi. En 2009</w:t>
      </w:r>
      <w:r w:rsidR="005D0F0F" w:rsidRPr="00495482">
        <w:rPr>
          <w:lang w:val="fr-FR" w:eastAsia="sl-SI"/>
        </w:rPr>
        <w:t>,</w:t>
      </w:r>
      <w:r w:rsidRPr="00495482">
        <w:rPr>
          <w:lang w:val="fr-FR" w:eastAsia="sl-SI"/>
        </w:rPr>
        <w:t xml:space="preserve"> 52 056</w:t>
      </w:r>
      <w:r w:rsidR="002328BD" w:rsidRPr="00495482">
        <w:rPr>
          <w:lang w:val="fr-FR" w:eastAsia="sl-SI"/>
        </w:rPr>
        <w:t> personnes</w:t>
      </w:r>
      <w:r w:rsidRPr="00495482">
        <w:rPr>
          <w:lang w:val="fr-FR" w:eastAsia="sl-SI"/>
        </w:rPr>
        <w:t xml:space="preserve"> ont participé à une formation destinée à acquérir de meilleures capacités d</w:t>
      </w:r>
      <w:r w:rsidR="005D0F0F" w:rsidRPr="00495482">
        <w:rPr>
          <w:lang w:val="fr-FR" w:eastAsia="sl-SI"/>
        </w:rPr>
        <w:t>’</w:t>
      </w:r>
      <w:r w:rsidRPr="00495482">
        <w:rPr>
          <w:lang w:val="fr-FR" w:eastAsia="sl-SI"/>
        </w:rPr>
        <w:t>emploi. Ces programmes visent effectivement à accroître l</w:t>
      </w:r>
      <w:r w:rsidR="005D0F0F" w:rsidRPr="00495482">
        <w:rPr>
          <w:lang w:val="fr-FR" w:eastAsia="sl-SI"/>
        </w:rPr>
        <w:t>’</w:t>
      </w:r>
      <w:r w:rsidRPr="00495482">
        <w:rPr>
          <w:lang w:val="fr-FR" w:eastAsia="sl-SI"/>
        </w:rPr>
        <w:t>employabilité en améliorant le niveau d</w:t>
      </w:r>
      <w:r w:rsidR="005D0F0F" w:rsidRPr="00495482">
        <w:rPr>
          <w:lang w:val="fr-FR" w:eastAsia="sl-SI"/>
        </w:rPr>
        <w:t>’</w:t>
      </w:r>
      <w:r w:rsidRPr="00495482">
        <w:rPr>
          <w:lang w:val="fr-FR" w:eastAsia="sl-SI"/>
        </w:rPr>
        <w:t>éducation</w:t>
      </w:r>
      <w:r w:rsidR="005D0F0F" w:rsidRPr="00495482">
        <w:rPr>
          <w:lang w:val="fr-FR" w:eastAsia="sl-SI"/>
        </w:rPr>
        <w:t>,</w:t>
      </w:r>
      <w:r w:rsidRPr="00495482">
        <w:rPr>
          <w:lang w:val="fr-FR" w:eastAsia="sl-SI"/>
        </w:rPr>
        <w:t xml:space="preserve"> les qualifications et les compétences de base (compétences essentielles) des employés dans les micro et les petites entreprises</w:t>
      </w:r>
      <w:r w:rsidR="005D0F0F" w:rsidRPr="00495482">
        <w:rPr>
          <w:lang w:val="fr-FR" w:eastAsia="sl-SI"/>
        </w:rPr>
        <w:t>,</w:t>
      </w:r>
      <w:r w:rsidRPr="00495482">
        <w:rPr>
          <w:lang w:val="fr-FR" w:eastAsia="sl-SI"/>
        </w:rPr>
        <w:t xml:space="preserve"> et dans les entreprises qui ont droit à des subventions</w:t>
      </w:r>
      <w:r w:rsidR="005D0F0F" w:rsidRPr="00495482">
        <w:rPr>
          <w:lang w:val="fr-FR" w:eastAsia="sl-SI"/>
        </w:rPr>
        <w:t>,</w:t>
      </w:r>
      <w:r w:rsidRPr="00495482">
        <w:rPr>
          <w:lang w:val="fr-FR" w:eastAsia="sl-SI"/>
        </w:rPr>
        <w:t xml:space="preserve"> conformément à la loi sur le subventionnement partiel du travail à temps plein. Un programme</w:t>
      </w:r>
      <w:r w:rsidR="003D1A4F" w:rsidRPr="00495482">
        <w:rPr>
          <w:lang w:val="fr-FR" w:eastAsia="sl-SI"/>
        </w:rPr>
        <w:t xml:space="preserve"> </w:t>
      </w:r>
      <w:r w:rsidR="009D589F" w:rsidRPr="00495482">
        <w:rPr>
          <w:lang w:val="fr-FR" w:eastAsia="sl-SI"/>
        </w:rPr>
        <w:t>«</w:t>
      </w:r>
      <w:r w:rsidRPr="00495482">
        <w:rPr>
          <w:lang w:val="fr-FR" w:eastAsia="sl-SI"/>
        </w:rPr>
        <w:t>Le savoir réalise les rêves</w:t>
      </w:r>
      <w:r w:rsidR="009D589F" w:rsidRPr="00495482">
        <w:rPr>
          <w:lang w:val="fr-FR" w:eastAsia="sl-SI"/>
        </w:rPr>
        <w:t>»</w:t>
      </w:r>
      <w:r w:rsidRPr="00495482">
        <w:rPr>
          <w:lang w:val="fr-FR" w:eastAsia="sl-SI"/>
        </w:rPr>
        <w:t xml:space="preserve"> également mis en </w:t>
      </w:r>
      <w:r w:rsidR="002328BD" w:rsidRPr="00495482">
        <w:rPr>
          <w:lang w:val="fr-FR" w:eastAsia="sl-SI"/>
        </w:rPr>
        <w:t>œuvre</w:t>
      </w:r>
      <w:r w:rsidR="005D0F0F" w:rsidRPr="00495482">
        <w:rPr>
          <w:lang w:val="fr-FR" w:eastAsia="sl-SI"/>
        </w:rPr>
        <w:t>,</w:t>
      </w:r>
      <w:r w:rsidRPr="00495482">
        <w:rPr>
          <w:lang w:val="fr-FR" w:eastAsia="sl-SI"/>
        </w:rPr>
        <w:t xml:space="preserve"> a permis à 271</w:t>
      </w:r>
      <w:r w:rsidR="002328BD" w:rsidRPr="00495482">
        <w:rPr>
          <w:lang w:val="fr-FR" w:eastAsia="sl-SI"/>
        </w:rPr>
        <w:t> personnes</w:t>
      </w:r>
      <w:r w:rsidRPr="00495482">
        <w:rPr>
          <w:lang w:val="fr-FR" w:eastAsia="sl-SI"/>
        </w:rPr>
        <w:t xml:space="preserve"> de signer un contrat.</w:t>
      </w:r>
      <w:r w:rsidR="003D1A4F" w:rsidRPr="00495482">
        <w:rPr>
          <w:lang w:val="fr-FR" w:eastAsia="sl-SI"/>
        </w:rPr>
        <w:t xml:space="preserve"> </w:t>
      </w:r>
    </w:p>
    <w:p w:rsidR="00317603" w:rsidRPr="00495482" w:rsidRDefault="00317603" w:rsidP="00210F9A">
      <w:pPr>
        <w:pStyle w:val="H23G"/>
        <w:rPr>
          <w:lang w:val="fr-FR" w:eastAsia="sl-SI"/>
        </w:rPr>
      </w:pPr>
      <w:bookmarkStart w:id="15" w:name="_Toc261594108"/>
      <w:r w:rsidRPr="00495482">
        <w:rPr>
          <w:lang w:val="fr-FR" w:eastAsia="sl-SI"/>
        </w:rPr>
        <w:tab/>
      </w:r>
      <w:r w:rsidRPr="00495482">
        <w:rPr>
          <w:lang w:val="fr-FR" w:eastAsia="sl-SI"/>
        </w:rPr>
        <w:tab/>
        <w:t>Programmes destinés à stimuler l</w:t>
      </w:r>
      <w:r w:rsidR="005D0F0F" w:rsidRPr="00495482">
        <w:rPr>
          <w:lang w:val="fr-FR" w:eastAsia="sl-SI"/>
        </w:rPr>
        <w:t>’</w:t>
      </w:r>
      <w:r w:rsidRPr="00495482">
        <w:rPr>
          <w:lang w:val="fr-FR" w:eastAsia="sl-SI"/>
        </w:rPr>
        <w:t>emploi et l</w:t>
      </w:r>
      <w:r w:rsidR="005D0F0F" w:rsidRPr="00495482">
        <w:rPr>
          <w:lang w:val="fr-FR" w:eastAsia="sl-SI"/>
        </w:rPr>
        <w:t>’</w:t>
      </w:r>
      <w:r w:rsidRPr="00495482">
        <w:rPr>
          <w:lang w:val="fr-FR" w:eastAsia="sl-SI"/>
        </w:rPr>
        <w:t xml:space="preserve">emploi indépendant </w:t>
      </w:r>
      <w:bookmarkEnd w:id="15"/>
    </w:p>
    <w:p w:rsidR="00317603" w:rsidRPr="00495482" w:rsidRDefault="00317603" w:rsidP="00210F9A">
      <w:pPr>
        <w:pStyle w:val="SingleTxtG"/>
        <w:rPr>
          <w:lang w:val="fr-FR" w:eastAsia="sl-SI"/>
        </w:rPr>
      </w:pPr>
      <w:r w:rsidRPr="00495482">
        <w:rPr>
          <w:lang w:val="fr-FR" w:eastAsia="sl-SI"/>
        </w:rPr>
        <w:t>63.</w:t>
      </w:r>
      <w:r w:rsidRPr="00495482">
        <w:rPr>
          <w:lang w:val="fr-FR" w:eastAsia="sl-SI"/>
        </w:rPr>
        <w:tab/>
        <w:t>Cette mesure vise à encourager l</w:t>
      </w:r>
      <w:r w:rsidR="005D0F0F" w:rsidRPr="00495482">
        <w:rPr>
          <w:lang w:val="fr-FR" w:eastAsia="sl-SI"/>
        </w:rPr>
        <w:t>’</w:t>
      </w:r>
      <w:r w:rsidRPr="00495482">
        <w:rPr>
          <w:lang w:val="fr-FR" w:eastAsia="sl-SI"/>
        </w:rPr>
        <w:t>emploi grâce à des subventions allouées aux groupes plus difficiles à employer (jeunes</w:t>
      </w:r>
      <w:r w:rsidR="005D0F0F" w:rsidRPr="00495482">
        <w:rPr>
          <w:lang w:val="fr-FR" w:eastAsia="sl-SI"/>
        </w:rPr>
        <w:t>,</w:t>
      </w:r>
      <w:r w:rsidRPr="00495482">
        <w:rPr>
          <w:lang w:val="fr-FR" w:eastAsia="sl-SI"/>
        </w:rPr>
        <w:t xml:space="preserve"> seniors</w:t>
      </w:r>
      <w:r w:rsidR="005D0F0F" w:rsidRPr="00495482">
        <w:rPr>
          <w:lang w:val="fr-FR" w:eastAsia="sl-SI"/>
        </w:rPr>
        <w:t>,</w:t>
      </w:r>
      <w:r w:rsidR="005B1F9A">
        <w:rPr>
          <w:lang w:val="fr-FR" w:eastAsia="sl-SI"/>
        </w:rPr>
        <w:t xml:space="preserve"> </w:t>
      </w:r>
      <w:r w:rsidR="002328BD" w:rsidRPr="00495482">
        <w:rPr>
          <w:lang w:val="fr-FR" w:eastAsia="sl-SI"/>
        </w:rPr>
        <w:t>personnes</w:t>
      </w:r>
      <w:r w:rsidRPr="00495482">
        <w:rPr>
          <w:lang w:val="fr-FR" w:eastAsia="sl-SI"/>
        </w:rPr>
        <w:t xml:space="preserve"> à la recherche d</w:t>
      </w:r>
      <w:r w:rsidR="005D0F0F" w:rsidRPr="00495482">
        <w:rPr>
          <w:lang w:val="fr-FR" w:eastAsia="sl-SI"/>
        </w:rPr>
        <w:t>’</w:t>
      </w:r>
      <w:r w:rsidRPr="00495482">
        <w:rPr>
          <w:lang w:val="fr-FR" w:eastAsia="sl-SI"/>
        </w:rPr>
        <w:t>un premier emploi)</w:t>
      </w:r>
      <w:r w:rsidR="005D0F0F" w:rsidRPr="00495482">
        <w:rPr>
          <w:lang w:val="fr-FR" w:eastAsia="sl-SI"/>
        </w:rPr>
        <w:t>,</w:t>
      </w:r>
      <w:r w:rsidR="003D1A4F" w:rsidRPr="00495482">
        <w:rPr>
          <w:lang w:val="fr-FR" w:eastAsia="sl-SI"/>
        </w:rPr>
        <w:t xml:space="preserve"> </w:t>
      </w:r>
      <w:r w:rsidRPr="00495482">
        <w:rPr>
          <w:lang w:val="fr-FR" w:eastAsia="sl-SI"/>
        </w:rPr>
        <w:t>aux projets de création d</w:t>
      </w:r>
      <w:r w:rsidR="005D0F0F" w:rsidRPr="00495482">
        <w:rPr>
          <w:lang w:val="fr-FR" w:eastAsia="sl-SI"/>
        </w:rPr>
        <w:t>’</w:t>
      </w:r>
      <w:r w:rsidRPr="00495482">
        <w:rPr>
          <w:lang w:val="fr-FR" w:eastAsia="sl-SI"/>
        </w:rPr>
        <w:t>au moins 10 nouveaux emplois</w:t>
      </w:r>
      <w:r w:rsidR="005D0F0F" w:rsidRPr="00495482">
        <w:rPr>
          <w:lang w:val="fr-FR" w:eastAsia="sl-SI"/>
        </w:rPr>
        <w:t>,</w:t>
      </w:r>
      <w:r w:rsidRPr="00495482">
        <w:rPr>
          <w:lang w:val="fr-FR" w:eastAsia="sl-SI"/>
        </w:rPr>
        <w:t xml:space="preserve"> et aux incitations à l</w:t>
      </w:r>
      <w:r w:rsidR="005D0F0F" w:rsidRPr="00495482">
        <w:rPr>
          <w:lang w:val="fr-FR" w:eastAsia="sl-SI"/>
        </w:rPr>
        <w:t>’</w:t>
      </w:r>
      <w:r w:rsidRPr="00495482">
        <w:rPr>
          <w:lang w:val="fr-FR" w:eastAsia="sl-SI"/>
        </w:rPr>
        <w:t>emploi à temps partiel. Selon les dernières données</w:t>
      </w:r>
      <w:r w:rsidR="005D0F0F" w:rsidRPr="00495482">
        <w:rPr>
          <w:lang w:val="fr-FR" w:eastAsia="sl-SI"/>
        </w:rPr>
        <w:t>,</w:t>
      </w:r>
      <w:r w:rsidRPr="00495482">
        <w:rPr>
          <w:lang w:val="fr-FR" w:eastAsia="sl-SI"/>
        </w:rPr>
        <w:t xml:space="preserve"> après deux</w:t>
      </w:r>
      <w:r w:rsidR="002328BD" w:rsidRPr="00495482">
        <w:rPr>
          <w:lang w:val="fr-FR" w:eastAsia="sl-SI"/>
        </w:rPr>
        <w:t> ans</w:t>
      </w:r>
      <w:r w:rsidRPr="00495482">
        <w:rPr>
          <w:rStyle w:val="FootnoteReference"/>
        </w:rPr>
        <w:footnoteReference w:id="31"/>
      </w:r>
      <w:r w:rsidR="005D0F0F" w:rsidRPr="00495482">
        <w:rPr>
          <w:lang w:val="fr-FR" w:eastAsia="sl-SI"/>
        </w:rPr>
        <w:t>,</w:t>
      </w:r>
      <w:r w:rsidRPr="00495482">
        <w:rPr>
          <w:lang w:val="fr-FR" w:eastAsia="sl-SI"/>
        </w:rPr>
        <w:t xml:space="preserve"> quelque 78</w:t>
      </w:r>
      <w:r w:rsidR="005D0F0F" w:rsidRPr="00495482">
        <w:rPr>
          <w:lang w:val="fr-FR" w:eastAsia="sl-SI"/>
        </w:rPr>
        <w:t>%</w:t>
      </w:r>
      <w:r w:rsidRPr="00495482">
        <w:rPr>
          <w:lang w:val="fr-FR" w:eastAsia="sl-SI"/>
        </w:rPr>
        <w:t xml:space="preserve"> des travailleurs indépendants subventionnés en 2007 avaient conservé leur emploi</w:t>
      </w:r>
      <w:r w:rsidR="005D0F0F" w:rsidRPr="00495482">
        <w:rPr>
          <w:lang w:val="fr-FR" w:eastAsia="sl-SI"/>
        </w:rPr>
        <w:t>,</w:t>
      </w:r>
      <w:r w:rsidRPr="00495482">
        <w:rPr>
          <w:lang w:val="fr-FR" w:eastAsia="sl-SI"/>
        </w:rPr>
        <w:t xml:space="preserve"> pourcentage comparable à celui des années précédentes. La mesure concernant l</w:t>
      </w:r>
      <w:r w:rsidR="005D0F0F" w:rsidRPr="00495482">
        <w:rPr>
          <w:lang w:val="fr-FR" w:eastAsia="sl-SI"/>
        </w:rPr>
        <w:t>’</w:t>
      </w:r>
      <w:r w:rsidRPr="00495482">
        <w:rPr>
          <w:lang w:val="fr-FR" w:eastAsia="sl-SI"/>
        </w:rPr>
        <w:t>emploi indépendant est l</w:t>
      </w:r>
      <w:r w:rsidR="005D0F0F" w:rsidRPr="00495482">
        <w:rPr>
          <w:lang w:val="fr-FR" w:eastAsia="sl-SI"/>
        </w:rPr>
        <w:t>’</w:t>
      </w:r>
      <w:r w:rsidRPr="00495482">
        <w:rPr>
          <w:lang w:val="fr-FR" w:eastAsia="sl-SI"/>
        </w:rPr>
        <w:t>une des plus probantes des programmes de la politique dynamique de l</w:t>
      </w:r>
      <w:r w:rsidR="005D0F0F" w:rsidRPr="00495482">
        <w:rPr>
          <w:lang w:val="fr-FR" w:eastAsia="sl-SI"/>
        </w:rPr>
        <w:t>’</w:t>
      </w:r>
      <w:r w:rsidRPr="00495482">
        <w:rPr>
          <w:lang w:val="fr-FR" w:eastAsia="sl-SI"/>
        </w:rPr>
        <w:t xml:space="preserve">emploi au cours des dernières années. </w:t>
      </w:r>
    </w:p>
    <w:p w:rsidR="00317603" w:rsidRPr="00495482" w:rsidRDefault="00317603" w:rsidP="00317603">
      <w:pPr>
        <w:keepNext/>
        <w:keepLines/>
        <w:tabs>
          <w:tab w:val="right" w:pos="851"/>
        </w:tabs>
        <w:spacing w:before="240" w:after="120" w:line="240" w:lineRule="exact"/>
        <w:ind w:left="1134" w:right="1134" w:hanging="1134"/>
        <w:rPr>
          <w:b/>
          <w:lang w:val="fr-FR" w:eastAsia="sl-SI"/>
        </w:rPr>
      </w:pPr>
      <w:bookmarkStart w:id="16" w:name="_Toc261594109"/>
      <w:r w:rsidRPr="00495482">
        <w:rPr>
          <w:b/>
          <w:lang w:val="fr-FR" w:eastAsia="sl-SI"/>
        </w:rPr>
        <w:tab/>
        <w:t>2.</w:t>
      </w:r>
      <w:r w:rsidRPr="00495482">
        <w:rPr>
          <w:b/>
          <w:lang w:val="fr-FR" w:eastAsia="sl-SI"/>
        </w:rPr>
        <w:tab/>
        <w:t>Programmes visant à améliorer l</w:t>
      </w:r>
      <w:r w:rsidR="005D0F0F" w:rsidRPr="00495482">
        <w:rPr>
          <w:b/>
          <w:lang w:val="fr-FR" w:eastAsia="sl-SI"/>
        </w:rPr>
        <w:t>’</w:t>
      </w:r>
      <w:r w:rsidRPr="00495482">
        <w:rPr>
          <w:b/>
          <w:lang w:val="fr-FR" w:eastAsia="sl-SI"/>
        </w:rPr>
        <w:t xml:space="preserve">insertion sociale </w:t>
      </w:r>
      <w:bookmarkEnd w:id="16"/>
    </w:p>
    <w:p w:rsidR="00317603" w:rsidRPr="00495482" w:rsidRDefault="00317603" w:rsidP="00210F9A">
      <w:pPr>
        <w:pStyle w:val="SingleTxtG"/>
        <w:rPr>
          <w:lang w:val="fr-FR" w:eastAsia="sl-SI"/>
        </w:rPr>
      </w:pPr>
      <w:r w:rsidRPr="00495482">
        <w:rPr>
          <w:lang w:val="fr-FR" w:eastAsia="sl-SI"/>
        </w:rPr>
        <w:t>64.</w:t>
      </w:r>
      <w:r w:rsidRPr="00495482">
        <w:rPr>
          <w:lang w:val="fr-FR" w:eastAsia="sl-SI"/>
        </w:rPr>
        <w:tab/>
        <w:t xml:space="preserve">Ces programmes sont organisés pour mettre en </w:t>
      </w:r>
      <w:r w:rsidR="002328BD" w:rsidRPr="00495482">
        <w:rPr>
          <w:lang w:val="fr-FR" w:eastAsia="sl-SI"/>
        </w:rPr>
        <w:t>œuvre</w:t>
      </w:r>
      <w:r w:rsidRPr="00495482">
        <w:rPr>
          <w:lang w:val="fr-FR" w:eastAsia="sl-SI"/>
        </w:rPr>
        <w:t xml:space="preserve"> des projets concernant entre autres</w:t>
      </w:r>
      <w:r w:rsidR="005D0F0F" w:rsidRPr="00495482">
        <w:rPr>
          <w:lang w:val="fr-FR" w:eastAsia="sl-SI"/>
        </w:rPr>
        <w:t>,</w:t>
      </w:r>
      <w:r w:rsidRPr="00495482">
        <w:rPr>
          <w:lang w:val="fr-FR" w:eastAsia="sl-SI"/>
        </w:rPr>
        <w:t xml:space="preserve"> la protection sociale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éducation</w:t>
      </w:r>
      <w:r w:rsidR="005D0F0F" w:rsidRPr="00495482">
        <w:rPr>
          <w:lang w:val="fr-FR" w:eastAsia="sl-SI"/>
        </w:rPr>
        <w:t>,</w:t>
      </w:r>
      <w:r w:rsidRPr="00495482">
        <w:rPr>
          <w:lang w:val="fr-FR" w:eastAsia="sl-SI"/>
        </w:rPr>
        <w:t xml:space="preserve"> la culture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écologie</w:t>
      </w:r>
      <w:r w:rsidR="005D0F0F" w:rsidRPr="00495482">
        <w:rPr>
          <w:lang w:val="fr-FR" w:eastAsia="sl-SI"/>
        </w:rPr>
        <w:t>,</w:t>
      </w:r>
      <w:r w:rsidRPr="00495482">
        <w:rPr>
          <w:lang w:val="fr-FR" w:eastAsia="sl-SI"/>
        </w:rPr>
        <w:t xml:space="preserve"> les équipements collectifs ou l</w:t>
      </w:r>
      <w:r w:rsidR="005D0F0F" w:rsidRPr="00495482">
        <w:rPr>
          <w:lang w:val="fr-FR" w:eastAsia="sl-SI"/>
        </w:rPr>
        <w:t>’</w:t>
      </w:r>
      <w:r w:rsidRPr="00495482">
        <w:rPr>
          <w:lang w:val="fr-FR" w:eastAsia="sl-SI"/>
        </w:rPr>
        <w:t>agriculture</w:t>
      </w:r>
      <w:r w:rsidR="005D0F0F" w:rsidRPr="00495482">
        <w:rPr>
          <w:lang w:val="fr-FR" w:eastAsia="sl-SI"/>
        </w:rPr>
        <w:t>,</w:t>
      </w:r>
      <w:r w:rsidRPr="00495482">
        <w:rPr>
          <w:lang w:val="fr-FR" w:eastAsia="sl-SI"/>
        </w:rPr>
        <w:t xml:space="preserve"> activités pour lesquelles des travaux d</w:t>
      </w:r>
      <w:r w:rsidR="005D0F0F" w:rsidRPr="00495482">
        <w:rPr>
          <w:lang w:val="fr-FR" w:eastAsia="sl-SI"/>
        </w:rPr>
        <w:t>’</w:t>
      </w:r>
      <w:r w:rsidRPr="00495482">
        <w:rPr>
          <w:lang w:val="fr-FR" w:eastAsia="sl-SI"/>
        </w:rPr>
        <w:t>intérêt public ne peuvent être organisés</w:t>
      </w:r>
      <w:r w:rsidR="003D1A4F" w:rsidRPr="00495482">
        <w:rPr>
          <w:lang w:val="fr-FR" w:eastAsia="sl-SI"/>
        </w:rPr>
        <w:t xml:space="preserve"> </w:t>
      </w:r>
      <w:r w:rsidRPr="00495482">
        <w:rPr>
          <w:lang w:val="fr-FR" w:eastAsia="sl-SI"/>
        </w:rPr>
        <w:t>parce qu</w:t>
      </w:r>
      <w:r w:rsidR="005D0F0F" w:rsidRPr="00495482">
        <w:rPr>
          <w:lang w:val="fr-FR" w:eastAsia="sl-SI"/>
        </w:rPr>
        <w:t>’</w:t>
      </w:r>
      <w:r w:rsidRPr="00495482">
        <w:rPr>
          <w:lang w:val="fr-FR" w:eastAsia="sl-SI"/>
        </w:rPr>
        <w:t>ils entraîneraient une concurrence déloyale sur le marché</w:t>
      </w:r>
      <w:r w:rsidR="005D0F0F" w:rsidRPr="00495482">
        <w:rPr>
          <w:lang w:val="fr-FR" w:eastAsia="sl-SI"/>
        </w:rPr>
        <w:t>,</w:t>
      </w:r>
      <w:r w:rsidRPr="00495482">
        <w:rPr>
          <w:lang w:val="fr-FR" w:eastAsia="sl-SI"/>
        </w:rPr>
        <w:t xml:space="preserve"> ou parce qu</w:t>
      </w:r>
      <w:r w:rsidR="005D0F0F" w:rsidRPr="00495482">
        <w:rPr>
          <w:lang w:val="fr-FR" w:eastAsia="sl-SI"/>
        </w:rPr>
        <w:t>’</w:t>
      </w:r>
      <w:r w:rsidRPr="00495482">
        <w:rPr>
          <w:lang w:val="fr-FR" w:eastAsia="sl-SI"/>
        </w:rPr>
        <w:t>il s</w:t>
      </w:r>
      <w:r w:rsidR="005D0F0F" w:rsidRPr="00495482">
        <w:rPr>
          <w:lang w:val="fr-FR" w:eastAsia="sl-SI"/>
        </w:rPr>
        <w:t>’</w:t>
      </w:r>
      <w:r w:rsidRPr="00495482">
        <w:rPr>
          <w:lang w:val="fr-FR" w:eastAsia="sl-SI"/>
        </w:rPr>
        <w:t>agit d</w:t>
      </w:r>
      <w:r w:rsidR="005D0F0F" w:rsidRPr="00495482">
        <w:rPr>
          <w:lang w:val="fr-FR" w:eastAsia="sl-SI"/>
        </w:rPr>
        <w:t>’</w:t>
      </w:r>
      <w:r w:rsidRPr="00495482">
        <w:rPr>
          <w:lang w:val="fr-FR" w:eastAsia="sl-SI"/>
        </w:rPr>
        <w:t>activités à but lucratif.</w:t>
      </w:r>
      <w:r w:rsidR="003D1A4F" w:rsidRPr="00495482">
        <w:rPr>
          <w:lang w:val="fr-FR" w:eastAsia="sl-SI"/>
        </w:rPr>
        <w:t xml:space="preserve"> </w:t>
      </w:r>
      <w:r w:rsidRPr="00495482">
        <w:rPr>
          <w:lang w:val="fr-FR" w:eastAsia="sl-SI"/>
        </w:rPr>
        <w:t>Le développement du programme d</w:t>
      </w:r>
      <w:r w:rsidR="005D0F0F" w:rsidRPr="00495482">
        <w:rPr>
          <w:lang w:val="fr-FR" w:eastAsia="sl-SI"/>
        </w:rPr>
        <w:t>’</w:t>
      </w:r>
      <w:r w:rsidRPr="00495482">
        <w:rPr>
          <w:lang w:val="fr-FR" w:eastAsia="sl-SI"/>
        </w:rPr>
        <w:t>entreprises à vocation sociale est également important et en même temps relativement nouveau; il permet d</w:t>
      </w:r>
      <w:r w:rsidR="005D0F0F" w:rsidRPr="00495482">
        <w:rPr>
          <w:lang w:val="fr-FR" w:eastAsia="sl-SI"/>
        </w:rPr>
        <w:t>’</w:t>
      </w:r>
      <w:r w:rsidRPr="00495482">
        <w:rPr>
          <w:lang w:val="fr-FR" w:eastAsia="sl-SI"/>
        </w:rPr>
        <w:t>encourager l</w:t>
      </w:r>
      <w:r w:rsidR="005D0F0F" w:rsidRPr="00495482">
        <w:rPr>
          <w:lang w:val="fr-FR" w:eastAsia="sl-SI"/>
        </w:rPr>
        <w:t>’</w:t>
      </w:r>
      <w:r w:rsidRPr="00495482">
        <w:rPr>
          <w:lang w:val="fr-FR" w:eastAsia="sl-SI"/>
        </w:rPr>
        <w:t>accès à la formation et à l</w:t>
      </w:r>
      <w:r w:rsidR="005D0F0F" w:rsidRPr="00495482">
        <w:rPr>
          <w:lang w:val="fr-FR" w:eastAsia="sl-SI"/>
        </w:rPr>
        <w:t>’</w:t>
      </w:r>
      <w:r w:rsidRPr="00495482">
        <w:rPr>
          <w:lang w:val="fr-FR" w:eastAsia="sl-SI"/>
        </w:rPr>
        <w:t>emploi des groupes vulnérables. Il a pour objectif de soutenir jusqu</w:t>
      </w:r>
      <w:r w:rsidR="005D0F0F" w:rsidRPr="00495482">
        <w:rPr>
          <w:lang w:val="fr-FR" w:eastAsia="sl-SI"/>
        </w:rPr>
        <w:t>’</w:t>
      </w:r>
      <w:r w:rsidRPr="00495482">
        <w:rPr>
          <w:lang w:val="fr-FR" w:eastAsia="sl-SI"/>
        </w:rPr>
        <w:t>à 10 projets expérimentaux qui</w:t>
      </w:r>
      <w:r w:rsidR="005D0F0F" w:rsidRPr="00495482">
        <w:rPr>
          <w:lang w:val="fr-FR" w:eastAsia="sl-SI"/>
        </w:rPr>
        <w:t>,</w:t>
      </w:r>
      <w:r w:rsidRPr="00495482">
        <w:rPr>
          <w:lang w:val="fr-FR" w:eastAsia="sl-SI"/>
        </w:rPr>
        <w:t xml:space="preserve"> en incluant des activités de formation</w:t>
      </w:r>
      <w:r w:rsidR="005D0F0F" w:rsidRPr="00495482">
        <w:rPr>
          <w:lang w:val="fr-FR" w:eastAsia="sl-SI"/>
        </w:rPr>
        <w:t>,</w:t>
      </w:r>
      <w:r w:rsidRPr="00495482">
        <w:rPr>
          <w:lang w:val="fr-FR" w:eastAsia="sl-SI"/>
        </w:rPr>
        <w:t xml:space="preserve"> concerneront au moins 150</w:t>
      </w:r>
      <w:r w:rsidR="002328BD" w:rsidRPr="00495482">
        <w:rPr>
          <w:lang w:val="fr-FR" w:eastAsia="sl-SI"/>
        </w:rPr>
        <w:t> personnes</w:t>
      </w:r>
      <w:r w:rsidRPr="00495482">
        <w:rPr>
          <w:lang w:val="fr-FR" w:eastAsia="sl-SI"/>
        </w:rPr>
        <w:t xml:space="preserve"> appartenant aux groupes cibles vulnérables et assureront un emploi à plein temps d</w:t>
      </w:r>
      <w:r w:rsidR="005D0F0F" w:rsidRPr="00495482">
        <w:rPr>
          <w:lang w:val="fr-FR" w:eastAsia="sl-SI"/>
        </w:rPr>
        <w:t>’</w:t>
      </w:r>
      <w:r w:rsidRPr="00495482">
        <w:rPr>
          <w:lang w:val="fr-FR" w:eastAsia="sl-SI"/>
        </w:rPr>
        <w:t>une durée minimum d</w:t>
      </w:r>
      <w:r w:rsidR="005D0F0F" w:rsidRPr="00495482">
        <w:rPr>
          <w:lang w:val="fr-FR" w:eastAsia="sl-SI"/>
        </w:rPr>
        <w:t>’</w:t>
      </w:r>
      <w:r w:rsidRPr="00495482">
        <w:rPr>
          <w:lang w:val="fr-FR" w:eastAsia="sl-SI"/>
        </w:rPr>
        <w:t>un an</w:t>
      </w:r>
      <w:r w:rsidR="005D0F0F" w:rsidRPr="00495482">
        <w:rPr>
          <w:lang w:val="fr-FR" w:eastAsia="sl-SI"/>
        </w:rPr>
        <w:t>,</w:t>
      </w:r>
      <w:r w:rsidRPr="00495482">
        <w:rPr>
          <w:lang w:val="fr-FR" w:eastAsia="sl-SI"/>
        </w:rPr>
        <w:t xml:space="preserve"> à au moins 25% </w:t>
      </w:r>
      <w:r w:rsidR="00210F9A" w:rsidRPr="00495482">
        <w:rPr>
          <w:lang w:val="fr-FR" w:eastAsia="sl-SI"/>
        </w:rPr>
        <w:t>des personnes</w:t>
      </w:r>
      <w:r w:rsidRPr="00495482">
        <w:rPr>
          <w:lang w:val="fr-FR" w:eastAsia="sl-SI"/>
        </w:rPr>
        <w:t xml:space="preserve"> issues de ces groupes et ayant participé à la formation. </w:t>
      </w:r>
    </w:p>
    <w:p w:rsidR="00317603" w:rsidRPr="00495482" w:rsidRDefault="00317603" w:rsidP="00210F9A">
      <w:pPr>
        <w:pStyle w:val="H23G"/>
        <w:rPr>
          <w:lang w:val="fr-FR" w:eastAsia="sl-SI"/>
        </w:rPr>
      </w:pPr>
      <w:bookmarkStart w:id="17" w:name="_Toc261594114"/>
      <w:bookmarkStart w:id="18" w:name="_Toc261857421"/>
      <w:r w:rsidRPr="00495482">
        <w:rPr>
          <w:lang w:val="fr-FR" w:eastAsia="sl-SI"/>
        </w:rPr>
        <w:tab/>
      </w:r>
      <w:r w:rsidRPr="00495482">
        <w:rPr>
          <w:lang w:val="fr-FR" w:eastAsia="sl-SI"/>
        </w:rPr>
        <w:tab/>
        <w:t>Situation des groupes désavantagés et marginalis</w:t>
      </w:r>
      <w:bookmarkStart w:id="19" w:name="_Toc261594115"/>
      <w:bookmarkStart w:id="20" w:name="_Toc261857422"/>
      <w:bookmarkEnd w:id="17"/>
      <w:bookmarkEnd w:id="18"/>
      <w:r w:rsidRPr="00495482">
        <w:rPr>
          <w:lang w:val="fr-FR" w:eastAsia="sl-SI"/>
        </w:rPr>
        <w:t>és</w:t>
      </w:r>
    </w:p>
    <w:p w:rsidR="00317603" w:rsidRPr="00495482" w:rsidRDefault="00317603" w:rsidP="00210F9A">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28 des observations finales</w:t>
      </w:r>
      <w:r w:rsidR="003D1A4F" w:rsidRPr="00495482">
        <w:rPr>
          <w:lang w:val="fr-FR" w:eastAsia="sl-SI"/>
        </w:rPr>
        <w:t xml:space="preserve"> </w:t>
      </w:r>
    </w:p>
    <w:p w:rsidR="00317603" w:rsidRPr="00495482" w:rsidRDefault="00317603" w:rsidP="00210F9A">
      <w:pPr>
        <w:pStyle w:val="H23G"/>
        <w:rPr>
          <w:lang w:val="fr-FR" w:eastAsia="sl-SI"/>
        </w:rPr>
      </w:pPr>
      <w:r w:rsidRPr="00495482">
        <w:rPr>
          <w:lang w:val="fr-FR" w:eastAsia="sl-SI"/>
        </w:rPr>
        <w:tab/>
      </w:r>
      <w:r w:rsidRPr="00495482">
        <w:rPr>
          <w:lang w:val="fr-FR" w:eastAsia="sl-SI"/>
        </w:rPr>
        <w:tab/>
        <w:t>Migrants</w:t>
      </w:r>
    </w:p>
    <w:p w:rsidR="00317603" w:rsidRPr="00495482" w:rsidRDefault="00317603" w:rsidP="00210F9A">
      <w:pPr>
        <w:pStyle w:val="SingleTxtG"/>
        <w:rPr>
          <w:lang w:val="fr-FR"/>
        </w:rPr>
      </w:pPr>
      <w:r w:rsidRPr="00495482">
        <w:rPr>
          <w:lang w:val="fr-FR"/>
        </w:rPr>
        <w:t>65.</w:t>
      </w:r>
      <w:r w:rsidRPr="00495482">
        <w:rPr>
          <w:lang w:val="fr-FR"/>
        </w:rPr>
        <w:tab/>
        <w:t>L</w:t>
      </w:r>
      <w:r w:rsidR="005D0F0F" w:rsidRPr="00495482">
        <w:rPr>
          <w:lang w:val="fr-FR"/>
        </w:rPr>
        <w:t>’</w:t>
      </w:r>
      <w:r w:rsidRPr="00495482">
        <w:rPr>
          <w:lang w:val="fr-FR"/>
        </w:rPr>
        <w:t>Assemblée nationale slovène a examiné en 2010 un projet de loi sur l</w:t>
      </w:r>
      <w:r w:rsidR="005D0F0F" w:rsidRPr="00495482">
        <w:rPr>
          <w:lang w:val="fr-FR"/>
        </w:rPr>
        <w:t>’</w:t>
      </w:r>
      <w:r w:rsidRPr="00495482">
        <w:rPr>
          <w:lang w:val="fr-FR"/>
        </w:rPr>
        <w:t>emploi et le travail des étrangers</w:t>
      </w:r>
      <w:r w:rsidRPr="00495482">
        <w:rPr>
          <w:rStyle w:val="FootnoteReference"/>
        </w:rPr>
        <w:footnoteReference w:id="32"/>
      </w:r>
      <w:r w:rsidRPr="00495482">
        <w:rPr>
          <w:lang w:val="fr-FR"/>
        </w:rPr>
        <w:t xml:space="preserve"> qui prévoit avant tout une harmonisation avec la législation de l</w:t>
      </w:r>
      <w:r w:rsidR="005D0F0F" w:rsidRPr="00495482">
        <w:rPr>
          <w:lang w:val="fr-FR"/>
        </w:rPr>
        <w:t>’</w:t>
      </w:r>
      <w:r w:rsidRPr="00495482">
        <w:rPr>
          <w:lang w:val="fr-FR"/>
        </w:rPr>
        <w:t>Union européenne (transposition des directives de l</w:t>
      </w:r>
      <w:r w:rsidR="005D0F0F" w:rsidRPr="00495482">
        <w:rPr>
          <w:lang w:val="fr-FR"/>
        </w:rPr>
        <w:t>’</w:t>
      </w:r>
      <w:r w:rsidRPr="00495482">
        <w:rPr>
          <w:lang w:val="fr-FR"/>
        </w:rPr>
        <w:t>Union européenne</w:t>
      </w:r>
      <w:r w:rsidRPr="00495482">
        <w:rPr>
          <w:rStyle w:val="FootnoteReference"/>
        </w:rPr>
        <w:footnoteReference w:id="33"/>
      </w:r>
      <w:r w:rsidRPr="00495482">
        <w:rPr>
          <w:lang w:val="fr-FR"/>
        </w:rPr>
        <w:t>)</w:t>
      </w:r>
      <w:r w:rsidR="005D0F0F" w:rsidRPr="00495482">
        <w:rPr>
          <w:lang w:val="fr-FR"/>
        </w:rPr>
        <w:t>,</w:t>
      </w:r>
      <w:r w:rsidRPr="00495482">
        <w:rPr>
          <w:lang w:val="fr-FR"/>
        </w:rPr>
        <w:t xml:space="preserve"> consistant à combler les lacunes décelées</w:t>
      </w:r>
      <w:r w:rsidRPr="00495482">
        <w:rPr>
          <w:rStyle w:val="FootnoteReference"/>
        </w:rPr>
        <w:footnoteReference w:id="34"/>
      </w:r>
      <w:r w:rsidRPr="00495482">
        <w:rPr>
          <w:rStyle w:val="FootnoteReference"/>
        </w:rPr>
        <w:t xml:space="preserve"> </w:t>
      </w:r>
      <w:r w:rsidRPr="00495482">
        <w:rPr>
          <w:lang w:val="fr-FR"/>
        </w:rPr>
        <w:t>et à mettre en place des améliorations spécifiques pour offrir des conditions plus propices à l</w:t>
      </w:r>
      <w:r w:rsidR="005D0F0F" w:rsidRPr="00495482">
        <w:rPr>
          <w:lang w:val="fr-FR"/>
        </w:rPr>
        <w:t>’</w:t>
      </w:r>
      <w:r w:rsidRPr="00495482">
        <w:rPr>
          <w:lang w:val="fr-FR"/>
        </w:rPr>
        <w:t>exercice des droits des travailleurs migrants. Le Service slovène de l</w:t>
      </w:r>
      <w:r w:rsidR="005D0F0F" w:rsidRPr="00495482">
        <w:rPr>
          <w:lang w:val="fr-FR"/>
        </w:rPr>
        <w:t>’</w:t>
      </w:r>
      <w:r w:rsidRPr="00495482">
        <w:rPr>
          <w:lang w:val="fr-FR"/>
        </w:rPr>
        <w:t>emploi a également ouvert un centre d</w:t>
      </w:r>
      <w:r w:rsidR="005D0F0F" w:rsidRPr="00495482">
        <w:rPr>
          <w:lang w:val="fr-FR"/>
        </w:rPr>
        <w:t>’</w:t>
      </w:r>
      <w:r w:rsidRPr="00495482">
        <w:rPr>
          <w:lang w:val="fr-FR"/>
        </w:rPr>
        <w:t>information pour les étrangers.</w:t>
      </w:r>
    </w:p>
    <w:bookmarkEnd w:id="19"/>
    <w:bookmarkEnd w:id="20"/>
    <w:p w:rsidR="00317603" w:rsidRPr="00495482" w:rsidRDefault="00317603" w:rsidP="00210F9A">
      <w:pPr>
        <w:pStyle w:val="H23G"/>
        <w:rPr>
          <w:lang w:val="fr-FR" w:eastAsia="sl-SI"/>
        </w:rPr>
      </w:pPr>
      <w:r w:rsidRPr="00495482">
        <w:rPr>
          <w:lang w:val="fr-FR" w:eastAsia="sl-SI"/>
        </w:rPr>
        <w:tab/>
      </w:r>
      <w:r w:rsidRPr="00495482">
        <w:rPr>
          <w:lang w:val="fr-FR" w:eastAsia="sl-SI"/>
        </w:rPr>
        <w:tab/>
        <w:t>Quota de permis de travail</w:t>
      </w:r>
    </w:p>
    <w:p w:rsidR="00317603" w:rsidRPr="00495482" w:rsidRDefault="00317603" w:rsidP="00210F9A">
      <w:pPr>
        <w:pStyle w:val="SingleTxtG"/>
        <w:rPr>
          <w:lang w:val="fr-FR" w:eastAsia="sl-SI"/>
        </w:rPr>
      </w:pPr>
      <w:r w:rsidRPr="00495482">
        <w:rPr>
          <w:lang w:val="fr-FR" w:eastAsia="sl-SI"/>
        </w:rPr>
        <w:t>66.</w:t>
      </w:r>
      <w:r w:rsidRPr="00495482">
        <w:rPr>
          <w:lang w:val="fr-FR" w:eastAsia="sl-SI"/>
        </w:rPr>
        <w:tab/>
        <w:t>De 2004 à 2009</w:t>
      </w:r>
      <w:r w:rsidR="005D0F0F" w:rsidRPr="00495482">
        <w:rPr>
          <w:lang w:val="fr-FR" w:eastAsia="sl-SI"/>
        </w:rPr>
        <w:t>,</w:t>
      </w:r>
      <w:r w:rsidRPr="00495482">
        <w:rPr>
          <w:lang w:val="fr-FR" w:eastAsia="sl-SI"/>
        </w:rPr>
        <w:t xml:space="preserve"> le quota de permis de travail a servi à l</w:t>
      </w:r>
      <w:r w:rsidR="005D0F0F" w:rsidRPr="00495482">
        <w:rPr>
          <w:lang w:val="fr-FR" w:eastAsia="sl-SI"/>
        </w:rPr>
        <w:t>’</w:t>
      </w:r>
      <w:r w:rsidRPr="00495482">
        <w:rPr>
          <w:lang w:val="fr-FR" w:eastAsia="sl-SI"/>
        </w:rPr>
        <w:t>État de mécanisme de régulation principal pour répondre aux besoins du marché du travail. L</w:t>
      </w:r>
      <w:r w:rsidR="005D0F0F" w:rsidRPr="00495482">
        <w:rPr>
          <w:lang w:val="fr-FR" w:eastAsia="sl-SI"/>
        </w:rPr>
        <w:t>’</w:t>
      </w:r>
      <w:r w:rsidRPr="00495482">
        <w:rPr>
          <w:lang w:val="fr-FR" w:eastAsia="sl-SI"/>
        </w:rPr>
        <w:t>État a ainsi satisfait les besoins de l</w:t>
      </w:r>
      <w:r w:rsidR="005D0F0F" w:rsidRPr="00495482">
        <w:rPr>
          <w:lang w:val="fr-FR" w:eastAsia="sl-SI"/>
        </w:rPr>
        <w:t>’</w:t>
      </w:r>
      <w:r w:rsidRPr="00495482">
        <w:rPr>
          <w:lang w:val="fr-FR" w:eastAsia="sl-SI"/>
        </w:rPr>
        <w:t>économie grâce à l</w:t>
      </w:r>
      <w:r w:rsidR="005D0F0F" w:rsidRPr="00495482">
        <w:rPr>
          <w:lang w:val="fr-FR" w:eastAsia="sl-SI"/>
        </w:rPr>
        <w:t>’</w:t>
      </w:r>
      <w:r w:rsidRPr="00495482">
        <w:rPr>
          <w:lang w:val="fr-FR" w:eastAsia="sl-SI"/>
        </w:rPr>
        <w:t>emploi de main-d</w:t>
      </w:r>
      <w:r w:rsidR="005D0F0F" w:rsidRPr="00495482">
        <w:rPr>
          <w:lang w:val="fr-FR" w:eastAsia="sl-SI"/>
        </w:rPr>
        <w:t>’</w:t>
      </w:r>
      <w:r w:rsidRPr="00495482">
        <w:rPr>
          <w:lang w:val="fr-FR" w:eastAsia="sl-SI"/>
        </w:rPr>
        <w:t>œuvre étrangère et à une hausse annuelle du quota de permis de travail délivrés</w:t>
      </w:r>
      <w:r w:rsidR="005D0F0F" w:rsidRPr="00495482">
        <w:rPr>
          <w:lang w:val="fr-FR" w:eastAsia="sl-SI"/>
        </w:rPr>
        <w:t>,</w:t>
      </w:r>
      <w:r w:rsidRPr="00495482">
        <w:rPr>
          <w:lang w:val="fr-FR" w:eastAsia="sl-SI"/>
        </w:rPr>
        <w:t xml:space="preserve"> notamment en 2006</w:t>
      </w:r>
      <w:r w:rsidR="005D0F0F" w:rsidRPr="00495482">
        <w:rPr>
          <w:lang w:val="fr-FR" w:eastAsia="sl-SI"/>
        </w:rPr>
        <w:t>,</w:t>
      </w:r>
      <w:r w:rsidRPr="00495482">
        <w:rPr>
          <w:lang w:val="fr-FR" w:eastAsia="sl-SI"/>
        </w:rPr>
        <w:t xml:space="preserve"> 2007 et 2008. </w:t>
      </w:r>
    </w:p>
    <w:p w:rsidR="00317603" w:rsidRPr="00495482" w:rsidRDefault="00317603" w:rsidP="000F71EA">
      <w:pPr>
        <w:pStyle w:val="SingleTxtG"/>
        <w:rPr>
          <w:lang w:val="fr-FR" w:eastAsia="sl-SI"/>
        </w:rPr>
      </w:pPr>
      <w:r w:rsidRPr="00495482">
        <w:rPr>
          <w:lang w:val="fr-FR" w:eastAsia="sl-SI"/>
        </w:rPr>
        <w:t>67.</w:t>
      </w:r>
      <w:r w:rsidRPr="00495482">
        <w:rPr>
          <w:lang w:val="fr-FR" w:eastAsia="sl-SI"/>
        </w:rPr>
        <w:tab/>
        <w:t>En 2009</w:t>
      </w:r>
      <w:r w:rsidR="005D0F0F" w:rsidRPr="00495482">
        <w:rPr>
          <w:lang w:val="fr-FR" w:eastAsia="sl-SI"/>
        </w:rPr>
        <w:t>,</w:t>
      </w:r>
      <w:r w:rsidRPr="00495482">
        <w:rPr>
          <w:lang w:val="fr-FR" w:eastAsia="sl-SI"/>
        </w:rPr>
        <w:t xml:space="preserve"> compte tenu de la baisse attendue du niveau d</w:t>
      </w:r>
      <w:r w:rsidR="005D0F0F" w:rsidRPr="00495482">
        <w:rPr>
          <w:lang w:val="fr-FR" w:eastAsia="sl-SI"/>
        </w:rPr>
        <w:t>’</w:t>
      </w:r>
      <w:r w:rsidRPr="00495482">
        <w:rPr>
          <w:lang w:val="fr-FR" w:eastAsia="sl-SI"/>
        </w:rPr>
        <w:t>activité</w:t>
      </w:r>
      <w:r w:rsidR="005D0F0F" w:rsidRPr="00495482">
        <w:rPr>
          <w:lang w:val="fr-FR" w:eastAsia="sl-SI"/>
        </w:rPr>
        <w:t>,</w:t>
      </w:r>
      <w:r w:rsidRPr="00495482">
        <w:rPr>
          <w:lang w:val="fr-FR" w:eastAsia="sl-SI"/>
        </w:rPr>
        <w:t xml:space="preserve"> précisément dans les secteurs où le recrutement de main-d</w:t>
      </w:r>
      <w:r w:rsidR="005D0F0F" w:rsidRPr="00495482">
        <w:rPr>
          <w:lang w:val="fr-FR" w:eastAsia="sl-SI"/>
        </w:rPr>
        <w:t>’</w:t>
      </w:r>
      <w:r w:rsidRPr="00495482">
        <w:rPr>
          <w:lang w:val="fr-FR" w:eastAsia="sl-SI"/>
        </w:rPr>
        <w:t>œuvre étrangère avait été le plus important au cours des années précédentes</w:t>
      </w:r>
      <w:r w:rsidR="005D0F0F" w:rsidRPr="00495482">
        <w:rPr>
          <w:lang w:val="fr-FR" w:eastAsia="sl-SI"/>
        </w:rPr>
        <w:t>,</w:t>
      </w:r>
      <w:r w:rsidRPr="00495482">
        <w:rPr>
          <w:lang w:val="fr-FR" w:eastAsia="sl-SI"/>
        </w:rPr>
        <w:t xml:space="preserve"> et compte tenu des prévisions à la hausse du chômage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État a estimé qu</w:t>
      </w:r>
      <w:r w:rsidR="005D0F0F" w:rsidRPr="00495482">
        <w:rPr>
          <w:lang w:val="fr-FR" w:eastAsia="sl-SI"/>
        </w:rPr>
        <w:t>’</w:t>
      </w:r>
      <w:r w:rsidRPr="00495482">
        <w:rPr>
          <w:lang w:val="fr-FR" w:eastAsia="sl-SI"/>
        </w:rPr>
        <w:t>il convenait de réduire la demande de main-d</w:t>
      </w:r>
      <w:r w:rsidR="005D0F0F" w:rsidRPr="00495482">
        <w:rPr>
          <w:lang w:val="fr-FR" w:eastAsia="sl-SI"/>
        </w:rPr>
        <w:t>’</w:t>
      </w:r>
      <w:r w:rsidRPr="00495482">
        <w:rPr>
          <w:lang w:val="fr-FR" w:eastAsia="sl-SI"/>
        </w:rPr>
        <w:t>œuvre qualifiée des pays tiers et a opté pour un quota total de 24 000 permis de travail pour 2009</w:t>
      </w:r>
      <w:r w:rsidR="005D0F0F" w:rsidRPr="00495482">
        <w:rPr>
          <w:lang w:val="fr-FR" w:eastAsia="sl-SI"/>
        </w:rPr>
        <w:t>,</w:t>
      </w:r>
      <w:r w:rsidR="00210F9A" w:rsidRPr="00495482">
        <w:rPr>
          <w:lang w:val="fr-FR" w:eastAsia="sl-SI"/>
        </w:rPr>
        <w:t xml:space="preserve"> inférieur de 25% à celui de </w:t>
      </w:r>
      <w:r w:rsidRPr="00495482">
        <w:rPr>
          <w:lang w:val="fr-FR" w:eastAsia="sl-SI"/>
        </w:rPr>
        <w:t>2008</w:t>
      </w:r>
      <w:r w:rsidRPr="00495482">
        <w:rPr>
          <w:rStyle w:val="FootnoteReference"/>
        </w:rPr>
        <w:footnoteReference w:id="35"/>
      </w:r>
      <w:r w:rsidR="00210F9A" w:rsidRPr="00495482">
        <w:rPr>
          <w:lang w:val="fr-FR" w:eastAsia="sl-SI"/>
        </w:rPr>
        <w:t>.</w:t>
      </w:r>
    </w:p>
    <w:p w:rsidR="00317603" w:rsidRPr="00495482" w:rsidRDefault="00317603" w:rsidP="000F71EA">
      <w:pPr>
        <w:pStyle w:val="SingleTxtG"/>
        <w:rPr>
          <w:lang w:val="fr-FR" w:eastAsia="sl-SI"/>
        </w:rPr>
      </w:pPr>
      <w:r w:rsidRPr="00495482">
        <w:rPr>
          <w:lang w:val="fr-FR" w:eastAsia="sl-SI"/>
        </w:rPr>
        <w:t>68.</w:t>
      </w:r>
      <w:r w:rsidRPr="00495482">
        <w:rPr>
          <w:lang w:val="fr-FR" w:eastAsia="sl-SI"/>
        </w:rPr>
        <w:tab/>
        <w:t>En 2009</w:t>
      </w:r>
      <w:r w:rsidR="005D0F0F" w:rsidRPr="00495482">
        <w:rPr>
          <w:lang w:val="fr-FR" w:eastAsia="sl-SI"/>
        </w:rPr>
        <w:t>,</w:t>
      </w:r>
      <w:r w:rsidRPr="00495482">
        <w:rPr>
          <w:lang w:val="fr-FR" w:eastAsia="sl-SI"/>
        </w:rPr>
        <w:t xml:space="preserve"> un groupe de travail interministériel chargé de mettre en œuvre la résolution sur la politique de la République de Slovénie en matière de migration a été créé</w:t>
      </w:r>
      <w:r w:rsidR="003D1A4F" w:rsidRPr="00495482">
        <w:rPr>
          <w:lang w:val="fr-FR" w:eastAsia="sl-SI"/>
        </w:rPr>
        <w:t xml:space="preserve"> </w:t>
      </w:r>
      <w:r w:rsidRPr="00495482">
        <w:rPr>
          <w:lang w:val="fr-FR" w:eastAsia="sl-SI"/>
        </w:rPr>
        <w:t>pour définir les mesures à adopter en vue d</w:t>
      </w:r>
      <w:r w:rsidR="005D0F0F" w:rsidRPr="00495482">
        <w:rPr>
          <w:lang w:val="fr-FR" w:eastAsia="sl-SI"/>
        </w:rPr>
        <w:t>’</w:t>
      </w:r>
      <w:r w:rsidRPr="00495482">
        <w:rPr>
          <w:lang w:val="fr-FR" w:eastAsia="sl-SI"/>
        </w:rPr>
        <w:t xml:space="preserve">appliquer la politique en question. </w:t>
      </w:r>
      <w:bookmarkStart w:id="21" w:name="_Toc261594116"/>
      <w:bookmarkStart w:id="22" w:name="_Toc261857423"/>
    </w:p>
    <w:p w:rsidR="00317603" w:rsidRPr="00495482" w:rsidRDefault="00317603" w:rsidP="000F71EA">
      <w:pPr>
        <w:pStyle w:val="H23G"/>
        <w:rPr>
          <w:lang w:val="fr-FR" w:eastAsia="sl-SI"/>
        </w:rPr>
      </w:pPr>
      <w:r w:rsidRPr="00495482">
        <w:rPr>
          <w:lang w:val="fr-FR" w:eastAsia="sl-SI"/>
        </w:rPr>
        <w:tab/>
      </w:r>
      <w:r w:rsidRPr="00495482">
        <w:rPr>
          <w:lang w:val="fr-FR" w:eastAsia="sl-SI"/>
        </w:rPr>
        <w:tab/>
        <w:t>Femmes</w:t>
      </w:r>
    </w:p>
    <w:p w:rsidR="00317603" w:rsidRPr="00495482" w:rsidRDefault="00317603" w:rsidP="000F71EA">
      <w:pPr>
        <w:pStyle w:val="SingleTxtG"/>
        <w:rPr>
          <w:lang w:val="fr-FR" w:eastAsia="sl-SI"/>
        </w:rPr>
      </w:pPr>
      <w:r w:rsidRPr="00495482">
        <w:rPr>
          <w:lang w:val="fr-FR" w:eastAsia="sl-SI"/>
        </w:rPr>
        <w:t>69.</w:t>
      </w:r>
      <w:r w:rsidRPr="00495482">
        <w:rPr>
          <w:lang w:val="fr-FR" w:eastAsia="sl-SI"/>
        </w:rPr>
        <w:tab/>
        <w:t>En Slovénie</w:t>
      </w:r>
      <w:r w:rsidR="005D0F0F" w:rsidRPr="00495482">
        <w:rPr>
          <w:lang w:val="fr-FR" w:eastAsia="sl-SI"/>
        </w:rPr>
        <w:t>,</w:t>
      </w:r>
      <w:r w:rsidRPr="00495482">
        <w:rPr>
          <w:lang w:val="fr-FR" w:eastAsia="sl-SI"/>
        </w:rPr>
        <w:t xml:space="preserve"> le taux de disparité entre les sexes au sein de la population active est resté supérieur à 10% ces dernières années</w:t>
      </w:r>
      <w:r w:rsidR="005D0F0F" w:rsidRPr="00495482">
        <w:rPr>
          <w:lang w:val="fr-FR" w:eastAsia="sl-SI"/>
        </w:rPr>
        <w:t>,</w:t>
      </w:r>
      <w:r w:rsidRPr="00495482">
        <w:rPr>
          <w:lang w:val="fr-FR" w:eastAsia="sl-SI"/>
        </w:rPr>
        <w:t xml:space="preserve"> et il a même augmenté d</w:t>
      </w:r>
      <w:r w:rsidR="005D0F0F" w:rsidRPr="00495482">
        <w:rPr>
          <w:lang w:val="fr-FR" w:eastAsia="sl-SI"/>
        </w:rPr>
        <w:t>’</w:t>
      </w:r>
      <w:r w:rsidRPr="00495482">
        <w:rPr>
          <w:lang w:val="fr-FR" w:eastAsia="sl-SI"/>
        </w:rPr>
        <w:t>un point de pourcentage de 2005 à 2009 (passant de 11</w:t>
      </w:r>
      <w:r w:rsidR="005D0F0F" w:rsidRPr="00495482">
        <w:rPr>
          <w:lang w:val="fr-FR" w:eastAsia="sl-SI"/>
        </w:rPr>
        <w:t>,</w:t>
      </w:r>
      <w:r w:rsidRPr="00495482">
        <w:rPr>
          <w:lang w:val="fr-FR" w:eastAsia="sl-SI"/>
        </w:rPr>
        <w:t>68 à 12</w:t>
      </w:r>
      <w:r w:rsidR="005D0F0F" w:rsidRPr="00495482">
        <w:rPr>
          <w:lang w:val="fr-FR" w:eastAsia="sl-SI"/>
        </w:rPr>
        <w:t>,</w:t>
      </w:r>
      <w:r w:rsidRPr="00495482">
        <w:rPr>
          <w:lang w:val="fr-FR" w:eastAsia="sl-SI"/>
        </w:rPr>
        <w:t>94</w:t>
      </w:r>
      <w:r w:rsidR="005D0F0F" w:rsidRPr="00495482">
        <w:rPr>
          <w:lang w:val="fr-FR" w:eastAsia="sl-SI"/>
        </w:rPr>
        <w:t>;</w:t>
      </w:r>
      <w:r w:rsidRPr="00495482">
        <w:rPr>
          <w:lang w:val="fr-FR" w:eastAsia="sl-SI"/>
        </w:rPr>
        <w:t xml:space="preserve"> en 2007</w:t>
      </w:r>
      <w:r w:rsidR="005D0F0F" w:rsidRPr="00495482">
        <w:rPr>
          <w:lang w:val="fr-FR" w:eastAsia="sl-SI"/>
        </w:rPr>
        <w:t>,</w:t>
      </w:r>
      <w:r w:rsidRPr="00495482">
        <w:rPr>
          <w:lang w:val="fr-FR" w:eastAsia="sl-SI"/>
        </w:rPr>
        <w:t xml:space="preserve"> il était même de 13</w:t>
      </w:r>
      <w:r w:rsidR="005D0F0F" w:rsidRPr="00495482">
        <w:rPr>
          <w:lang w:val="fr-FR" w:eastAsia="sl-SI"/>
        </w:rPr>
        <w:t>,</w:t>
      </w:r>
      <w:r w:rsidRPr="00495482">
        <w:rPr>
          <w:lang w:val="fr-FR" w:eastAsia="sl-SI"/>
        </w:rPr>
        <w:t>28%). Cette disparité est particulièrement notable dans le cas des travailleurs indépendants</w:t>
      </w:r>
      <w:r w:rsidR="005D0F0F" w:rsidRPr="00495482">
        <w:rPr>
          <w:lang w:val="fr-FR" w:eastAsia="sl-SI"/>
        </w:rPr>
        <w:t>,</w:t>
      </w:r>
      <w:r w:rsidRPr="00495482">
        <w:rPr>
          <w:lang w:val="fr-FR" w:eastAsia="sl-SI"/>
        </w:rPr>
        <w:t xml:space="preserve"> où elle atteint 43%</w:t>
      </w:r>
      <w:r w:rsidR="005D0F0F" w:rsidRPr="00495482">
        <w:rPr>
          <w:lang w:val="fr-FR" w:eastAsia="sl-SI"/>
        </w:rPr>
        <w:t>,</w:t>
      </w:r>
      <w:r w:rsidRPr="00495482">
        <w:rPr>
          <w:lang w:val="fr-FR" w:eastAsia="sl-SI"/>
        </w:rPr>
        <w:t xml:space="preserve"> très peu de femmes choisissant de devenir entrepreneur ou agriculteur indépendant</w:t>
      </w:r>
      <w:r w:rsidR="005D0F0F" w:rsidRPr="00495482">
        <w:rPr>
          <w:lang w:val="fr-FR" w:eastAsia="sl-SI"/>
        </w:rPr>
        <w:t>,</w:t>
      </w:r>
      <w:r w:rsidRPr="00495482">
        <w:rPr>
          <w:lang w:val="fr-FR" w:eastAsia="sl-SI"/>
        </w:rPr>
        <w:t xml:space="preserve"> bien qu</w:t>
      </w:r>
      <w:r w:rsidR="005D0F0F" w:rsidRPr="00495482">
        <w:rPr>
          <w:lang w:val="fr-FR" w:eastAsia="sl-SI"/>
        </w:rPr>
        <w:t>’</w:t>
      </w:r>
      <w:r w:rsidRPr="00495482">
        <w:rPr>
          <w:lang w:val="fr-FR" w:eastAsia="sl-SI"/>
        </w:rPr>
        <w:t>elle soit plus faible dans le cas des professions libérales et ait également notablement diminué au cours des quatre dernières années (passant de 15</w:t>
      </w:r>
      <w:r w:rsidR="005D0F0F" w:rsidRPr="00495482">
        <w:rPr>
          <w:lang w:val="fr-FR" w:eastAsia="sl-SI"/>
        </w:rPr>
        <w:t>,</w:t>
      </w:r>
      <w:r w:rsidRPr="00495482">
        <w:rPr>
          <w:lang w:val="fr-FR" w:eastAsia="sl-SI"/>
        </w:rPr>
        <w:t>25% en 2005 à 9</w:t>
      </w:r>
      <w:r w:rsidR="005D0F0F" w:rsidRPr="00495482">
        <w:rPr>
          <w:lang w:val="fr-FR" w:eastAsia="sl-SI"/>
        </w:rPr>
        <w:t>,</w:t>
      </w:r>
      <w:r w:rsidRPr="00495482">
        <w:rPr>
          <w:lang w:val="fr-FR" w:eastAsia="sl-SI"/>
        </w:rPr>
        <w:t>81% en 2009).</w:t>
      </w:r>
      <w:r w:rsidR="003D1A4F" w:rsidRPr="00495482">
        <w:rPr>
          <w:lang w:val="fr-FR" w:eastAsia="sl-SI"/>
        </w:rPr>
        <w:t xml:space="preserve"> </w:t>
      </w:r>
    </w:p>
    <w:p w:rsidR="00317603" w:rsidRPr="00495482" w:rsidRDefault="00317603" w:rsidP="000F71EA">
      <w:pPr>
        <w:pStyle w:val="SingleTxtG"/>
        <w:rPr>
          <w:lang w:val="fr-FR" w:eastAsia="sl-SI"/>
        </w:rPr>
      </w:pPr>
      <w:r w:rsidRPr="00495482">
        <w:rPr>
          <w:lang w:val="fr-FR" w:eastAsia="sl-SI"/>
        </w:rPr>
        <w:t>70.</w:t>
      </w:r>
      <w:r w:rsidRPr="00495482">
        <w:rPr>
          <w:lang w:val="fr-FR" w:eastAsia="sl-SI"/>
        </w:rPr>
        <w:tab/>
        <w:t>Le taux d</w:t>
      </w:r>
      <w:r w:rsidR="005D0F0F" w:rsidRPr="00495482">
        <w:rPr>
          <w:lang w:val="fr-FR" w:eastAsia="sl-SI"/>
        </w:rPr>
        <w:t>’</w:t>
      </w:r>
      <w:r w:rsidRPr="00495482">
        <w:rPr>
          <w:lang w:val="fr-FR" w:eastAsia="sl-SI"/>
        </w:rPr>
        <w:t>activité est resté stable entre 2004 et 2008</w:t>
      </w:r>
      <w:r w:rsidRPr="00495482">
        <w:rPr>
          <w:rStyle w:val="FootnoteReference"/>
        </w:rPr>
        <w:footnoteReference w:id="36"/>
      </w:r>
      <w:r w:rsidRPr="00495482">
        <w:rPr>
          <w:lang w:val="fr-FR" w:eastAsia="sl-SI"/>
        </w:rPr>
        <w:t xml:space="preserve"> mais celui des femmes a légèrement progressé</w:t>
      </w:r>
      <w:r w:rsidR="003D1A4F" w:rsidRPr="00495482">
        <w:rPr>
          <w:lang w:val="fr-FR" w:eastAsia="sl-SI"/>
        </w:rPr>
        <w:t xml:space="preserve"> </w:t>
      </w:r>
      <w:r w:rsidRPr="00495482">
        <w:rPr>
          <w:lang w:val="fr-FR" w:eastAsia="sl-SI"/>
        </w:rPr>
        <w:t>(+ 1</w:t>
      </w:r>
      <w:r w:rsidR="005D0F0F" w:rsidRPr="00495482">
        <w:rPr>
          <w:lang w:val="fr-FR" w:eastAsia="sl-SI"/>
        </w:rPr>
        <w:t>,</w:t>
      </w:r>
      <w:r w:rsidRPr="00495482">
        <w:rPr>
          <w:lang w:val="fr-FR" w:eastAsia="sl-SI"/>
        </w:rPr>
        <w:t>2%). Eu égard aux différences en matière d</w:t>
      </w:r>
      <w:r w:rsidR="005D0F0F" w:rsidRPr="00495482">
        <w:rPr>
          <w:lang w:val="fr-FR" w:eastAsia="sl-SI"/>
        </w:rPr>
        <w:t>’</w:t>
      </w:r>
      <w:r w:rsidRPr="00495482">
        <w:rPr>
          <w:lang w:val="fr-FR" w:eastAsia="sl-SI"/>
        </w:rPr>
        <w:t>accès à l</w:t>
      </w:r>
      <w:r w:rsidR="005D0F0F" w:rsidRPr="00495482">
        <w:rPr>
          <w:lang w:val="fr-FR" w:eastAsia="sl-SI"/>
        </w:rPr>
        <w:t>’</w:t>
      </w:r>
      <w:r w:rsidRPr="00495482">
        <w:rPr>
          <w:lang w:val="fr-FR" w:eastAsia="sl-SI"/>
        </w:rPr>
        <w:t>emploi et aux questions d</w:t>
      </w:r>
      <w:r w:rsidR="005D0F0F" w:rsidRPr="00495482">
        <w:rPr>
          <w:lang w:val="fr-FR" w:eastAsia="sl-SI"/>
        </w:rPr>
        <w:t>’</w:t>
      </w:r>
      <w:r w:rsidRPr="00495482">
        <w:rPr>
          <w:lang w:val="fr-FR" w:eastAsia="sl-SI"/>
        </w:rPr>
        <w:t>égalité des salaires</w:t>
      </w:r>
      <w:r w:rsidR="005D0F0F" w:rsidRPr="00495482">
        <w:rPr>
          <w:lang w:val="fr-FR" w:eastAsia="sl-SI"/>
        </w:rPr>
        <w:t>,</w:t>
      </w:r>
      <w:r w:rsidRPr="00495482">
        <w:rPr>
          <w:lang w:val="fr-FR" w:eastAsia="sl-SI"/>
        </w:rPr>
        <w:t xml:space="preserve"> le Ministère du travail a mis en œuvre en 2005 et 2006 un programme intitulé </w:t>
      </w:r>
      <w:r w:rsidRPr="00495482">
        <w:rPr>
          <w:i/>
          <w:lang w:val="fr-FR" w:eastAsia="sl-SI"/>
        </w:rPr>
        <w:t>Aide à l</w:t>
      </w:r>
      <w:r w:rsidR="005D0F0F" w:rsidRPr="00495482">
        <w:rPr>
          <w:i/>
          <w:lang w:val="fr-FR" w:eastAsia="sl-SI"/>
        </w:rPr>
        <w:t>’</w:t>
      </w:r>
      <w:r w:rsidRPr="00495482">
        <w:rPr>
          <w:i/>
          <w:lang w:val="fr-FR" w:eastAsia="sl-SI"/>
        </w:rPr>
        <w:t>emploi des femmes chômeurs de longue durée.</w:t>
      </w:r>
      <w:r w:rsidRPr="00495482">
        <w:rPr>
          <w:lang w:val="fr-FR" w:eastAsia="sl-SI"/>
        </w:rPr>
        <w:t xml:space="preserve"> Le pourcentage des femmes chômeurs enregistrées a ainsi diminué en 2008</w:t>
      </w:r>
      <w:r w:rsidR="005D0F0F" w:rsidRPr="00495482">
        <w:rPr>
          <w:lang w:val="fr-FR" w:eastAsia="sl-SI"/>
        </w:rPr>
        <w:t>,</w:t>
      </w:r>
      <w:r w:rsidRPr="00495482">
        <w:rPr>
          <w:lang w:val="fr-FR" w:eastAsia="sl-SI"/>
        </w:rPr>
        <w:t xml:space="preserve"> et en 2009 il était même inférieur à celui des hommes (50</w:t>
      </w:r>
      <w:r w:rsidR="005D0F0F" w:rsidRPr="00495482">
        <w:rPr>
          <w:lang w:val="fr-FR" w:eastAsia="sl-SI"/>
        </w:rPr>
        <w:t>,</w:t>
      </w:r>
      <w:r w:rsidRPr="00495482">
        <w:rPr>
          <w:lang w:val="fr-FR" w:eastAsia="sl-SI"/>
        </w:rPr>
        <w:t>97</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hommes sans emploi contre 49</w:t>
      </w:r>
      <w:r w:rsidR="005D0F0F" w:rsidRPr="00495482">
        <w:rPr>
          <w:lang w:val="fr-FR" w:eastAsia="sl-SI"/>
        </w:rPr>
        <w:t>,</w:t>
      </w:r>
      <w:r w:rsidRPr="00495482">
        <w:rPr>
          <w:lang w:val="fr-FR" w:eastAsia="sl-SI"/>
        </w:rPr>
        <w:t>13% de femmes)</w:t>
      </w:r>
      <w:r w:rsidR="005D0F0F" w:rsidRPr="00495482">
        <w:rPr>
          <w:lang w:val="fr-FR" w:eastAsia="sl-SI"/>
        </w:rPr>
        <w:t>;</w:t>
      </w:r>
      <w:r w:rsidRPr="00495482">
        <w:rPr>
          <w:lang w:val="fr-FR" w:eastAsia="sl-SI"/>
        </w:rPr>
        <w:t xml:space="preserve"> pendant les deux premiers mois de 2010</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écart s</w:t>
      </w:r>
      <w:r w:rsidR="005D0F0F" w:rsidRPr="00495482">
        <w:rPr>
          <w:lang w:val="fr-FR" w:eastAsia="sl-SI"/>
        </w:rPr>
        <w:t>’</w:t>
      </w:r>
      <w:r w:rsidRPr="00495482">
        <w:rPr>
          <w:lang w:val="fr-FR" w:eastAsia="sl-SI"/>
        </w:rPr>
        <w:t>est encore creusé (52</w:t>
      </w:r>
      <w:r w:rsidR="005D0F0F" w:rsidRPr="00495482">
        <w:rPr>
          <w:lang w:val="fr-FR" w:eastAsia="sl-SI"/>
        </w:rPr>
        <w:t>,</w:t>
      </w:r>
      <w:r w:rsidRPr="00495482">
        <w:rPr>
          <w:lang w:val="fr-FR" w:eastAsia="sl-SI"/>
        </w:rPr>
        <w:t>73% pour les hommes et 47</w:t>
      </w:r>
      <w:r w:rsidR="005D0F0F" w:rsidRPr="00495482">
        <w:rPr>
          <w:lang w:val="fr-FR" w:eastAsia="sl-SI"/>
        </w:rPr>
        <w:t>,</w:t>
      </w:r>
      <w:r w:rsidRPr="00495482">
        <w:rPr>
          <w:lang w:val="fr-FR" w:eastAsia="sl-SI"/>
        </w:rPr>
        <w:t>27% pour les femmes). Malheureusement</w:t>
      </w:r>
      <w:r w:rsidR="005D0F0F" w:rsidRPr="00495482">
        <w:rPr>
          <w:lang w:val="fr-FR" w:eastAsia="sl-SI"/>
        </w:rPr>
        <w:t>,</w:t>
      </w:r>
      <w:r w:rsidRPr="00495482">
        <w:rPr>
          <w:lang w:val="fr-FR" w:eastAsia="sl-SI"/>
        </w:rPr>
        <w:t xml:space="preserve"> un écart subsiste dans la rémunération en raison de la moindre valeur ajoutée des emplois dans les secteurs à fort taux de main-d</w:t>
      </w:r>
      <w:r w:rsidR="005D0F0F" w:rsidRPr="00495482">
        <w:rPr>
          <w:lang w:val="fr-FR" w:eastAsia="sl-SI"/>
        </w:rPr>
        <w:t>’</w:t>
      </w:r>
      <w:r w:rsidRPr="00495482">
        <w:rPr>
          <w:lang w:val="fr-FR" w:eastAsia="sl-SI"/>
        </w:rPr>
        <w:t>œuvre féminine</w:t>
      </w:r>
      <w:r w:rsidR="005D0F0F" w:rsidRPr="00495482">
        <w:rPr>
          <w:lang w:val="fr-FR" w:eastAsia="sl-SI"/>
        </w:rPr>
        <w:t>,</w:t>
      </w:r>
      <w:r w:rsidRPr="00495482">
        <w:rPr>
          <w:lang w:val="fr-FR" w:eastAsia="sl-SI"/>
        </w:rPr>
        <w:t xml:space="preserve"> ce qui explique les salaires moins élevés pratiqués. </w:t>
      </w:r>
    </w:p>
    <w:p w:rsidR="00317603" w:rsidRPr="00495482" w:rsidRDefault="00317603" w:rsidP="00210F9A">
      <w:pPr>
        <w:pStyle w:val="H23G"/>
        <w:rPr>
          <w:lang w:val="fr-FR" w:eastAsia="sl-SI"/>
        </w:rPr>
      </w:pPr>
      <w:bookmarkStart w:id="23" w:name="_Toc261594117"/>
      <w:bookmarkStart w:id="24" w:name="_Toc261857424"/>
      <w:bookmarkEnd w:id="21"/>
      <w:bookmarkEnd w:id="22"/>
      <w:r w:rsidRPr="00495482">
        <w:rPr>
          <w:lang w:val="fr-FR" w:eastAsia="sl-SI"/>
        </w:rPr>
        <w:tab/>
      </w:r>
      <w:r w:rsidRPr="00495482">
        <w:rPr>
          <w:lang w:val="fr-FR" w:eastAsia="sl-SI"/>
        </w:rPr>
        <w:tab/>
        <w:t>Person</w:t>
      </w:r>
      <w:bookmarkEnd w:id="23"/>
      <w:bookmarkEnd w:id="24"/>
      <w:r w:rsidRPr="00495482">
        <w:rPr>
          <w:lang w:val="fr-FR" w:eastAsia="sl-SI"/>
        </w:rPr>
        <w:t>nes handicapées</w:t>
      </w:r>
    </w:p>
    <w:p w:rsidR="00317603" w:rsidRPr="00495482" w:rsidRDefault="00317603" w:rsidP="000F71EA">
      <w:pPr>
        <w:pStyle w:val="SingleTxtG"/>
        <w:rPr>
          <w:lang w:val="fr-FR" w:eastAsia="sl-SI"/>
        </w:rPr>
      </w:pPr>
      <w:r w:rsidRPr="00495482">
        <w:rPr>
          <w:lang w:val="fr-FR" w:eastAsia="sl-SI"/>
        </w:rPr>
        <w:t>71.</w:t>
      </w:r>
      <w:r w:rsidRPr="00495482">
        <w:rPr>
          <w:lang w:val="fr-FR" w:eastAsia="sl-SI"/>
        </w:rPr>
        <w:tab/>
        <w:t>La République de Slovénie souhaite atteindre les mêmes objectifs en matière d</w:t>
      </w:r>
      <w:r w:rsidR="005D0F0F" w:rsidRPr="00495482">
        <w:rPr>
          <w:lang w:val="fr-FR" w:eastAsia="sl-SI"/>
        </w:rPr>
        <w:t>’</w:t>
      </w:r>
      <w:r w:rsidRPr="00495482">
        <w:rPr>
          <w:lang w:val="fr-FR" w:eastAsia="sl-SI"/>
        </w:rPr>
        <w:t xml:space="preserve">emploi </w:t>
      </w:r>
      <w:r w:rsidR="00210F9A" w:rsidRPr="00495482">
        <w:rPr>
          <w:lang w:val="fr-FR" w:eastAsia="sl-SI"/>
        </w:rPr>
        <w:t>des personnes</w:t>
      </w:r>
      <w:r w:rsidRPr="00495482">
        <w:rPr>
          <w:lang w:val="fr-FR" w:eastAsia="sl-SI"/>
        </w:rPr>
        <w:t xml:space="preserve"> handicapées que les autres États comparables membres de l</w:t>
      </w:r>
      <w:r w:rsidR="005D0F0F" w:rsidRPr="00495482">
        <w:rPr>
          <w:lang w:val="fr-FR" w:eastAsia="sl-SI"/>
        </w:rPr>
        <w:t>’</w:t>
      </w:r>
      <w:r w:rsidRPr="00495482">
        <w:rPr>
          <w:lang w:val="fr-FR" w:eastAsia="sl-SI"/>
        </w:rPr>
        <w:t>Union européenne</w:t>
      </w:r>
      <w:r w:rsidR="005D0F0F" w:rsidRPr="00495482">
        <w:rPr>
          <w:lang w:val="fr-FR" w:eastAsia="sl-SI"/>
        </w:rPr>
        <w:t>,</w:t>
      </w:r>
      <w:r w:rsidRPr="00495482">
        <w:rPr>
          <w:lang w:val="fr-FR" w:eastAsia="sl-SI"/>
        </w:rPr>
        <w:t xml:space="preserve"> à savoir offrir un emploi </w:t>
      </w:r>
      <w:r w:rsidR="0038572C">
        <w:rPr>
          <w:lang w:val="fr-FR" w:eastAsia="sl-SI"/>
        </w:rPr>
        <w:t>aux personnes</w:t>
      </w:r>
      <w:r w:rsidRPr="00495482">
        <w:rPr>
          <w:lang w:val="fr-FR" w:eastAsia="sl-SI"/>
        </w:rPr>
        <w:t xml:space="preserve"> handicapées et ainsi garantir leur sécurité matérielle ou sociale. Les politiques et les objectifs d</w:t>
      </w:r>
      <w:r w:rsidR="005D0F0F" w:rsidRPr="00495482">
        <w:rPr>
          <w:lang w:val="fr-FR" w:eastAsia="sl-SI"/>
        </w:rPr>
        <w:t>’</w:t>
      </w:r>
      <w:r w:rsidRPr="00495482">
        <w:rPr>
          <w:lang w:val="fr-FR" w:eastAsia="sl-SI"/>
        </w:rPr>
        <w:t xml:space="preserve">emploi </w:t>
      </w:r>
      <w:r w:rsidR="00210F9A" w:rsidRPr="00495482">
        <w:rPr>
          <w:lang w:val="fr-FR" w:eastAsia="sl-SI"/>
        </w:rPr>
        <w:t>des personnes</w:t>
      </w:r>
      <w:r w:rsidRPr="00495482">
        <w:rPr>
          <w:lang w:val="fr-FR" w:eastAsia="sl-SI"/>
        </w:rPr>
        <w:t xml:space="preserve"> handicapées s</w:t>
      </w:r>
      <w:r w:rsidR="005D0F0F" w:rsidRPr="00495482">
        <w:rPr>
          <w:lang w:val="fr-FR" w:eastAsia="sl-SI"/>
        </w:rPr>
        <w:t>’</w:t>
      </w:r>
      <w:r w:rsidRPr="00495482">
        <w:rPr>
          <w:lang w:val="fr-FR" w:eastAsia="sl-SI"/>
        </w:rPr>
        <w:t xml:space="preserve">appuient sur la </w:t>
      </w:r>
      <w:r w:rsidRPr="00495482">
        <w:rPr>
          <w:i/>
          <w:lang w:val="fr-FR" w:eastAsia="sl-SI"/>
        </w:rPr>
        <w:t>loi sur la réadaptation professionnelle et l</w:t>
      </w:r>
      <w:r w:rsidR="005D0F0F" w:rsidRPr="00495482">
        <w:rPr>
          <w:i/>
          <w:lang w:val="fr-FR" w:eastAsia="sl-SI"/>
        </w:rPr>
        <w:t>’</w:t>
      </w:r>
      <w:r w:rsidRPr="00495482">
        <w:rPr>
          <w:i/>
          <w:lang w:val="fr-FR" w:eastAsia="sl-SI"/>
        </w:rPr>
        <w:t xml:space="preserve">emploi </w:t>
      </w:r>
      <w:r w:rsidR="00210F9A" w:rsidRPr="00495482">
        <w:rPr>
          <w:i/>
          <w:lang w:val="fr-FR" w:eastAsia="sl-SI"/>
        </w:rPr>
        <w:t>des personnes</w:t>
      </w:r>
      <w:r w:rsidRPr="00495482">
        <w:rPr>
          <w:i/>
          <w:lang w:val="fr-FR" w:eastAsia="sl-SI"/>
        </w:rPr>
        <w:t xml:space="preserve"> handicapées</w:t>
      </w:r>
      <w:r w:rsidRPr="00495482">
        <w:rPr>
          <w:rStyle w:val="FootnoteReference"/>
        </w:rPr>
        <w:footnoteReference w:id="37"/>
      </w:r>
      <w:r w:rsidR="005D0F0F" w:rsidRPr="00495482">
        <w:rPr>
          <w:lang w:val="fr-FR" w:eastAsia="sl-SI"/>
        </w:rPr>
        <w:t>,</w:t>
      </w:r>
      <w:r w:rsidRPr="00495482">
        <w:rPr>
          <w:lang w:val="fr-FR" w:eastAsia="sl-SI"/>
        </w:rPr>
        <w:t xml:space="preserve"> adoptée en 2004. Deux projets de loi complémentaires ont fait l</w:t>
      </w:r>
      <w:r w:rsidR="005D0F0F" w:rsidRPr="00495482">
        <w:rPr>
          <w:lang w:val="fr-FR" w:eastAsia="sl-SI"/>
        </w:rPr>
        <w:t>’</w:t>
      </w:r>
      <w:r w:rsidRPr="00495482">
        <w:rPr>
          <w:lang w:val="fr-FR" w:eastAsia="sl-SI"/>
        </w:rPr>
        <w:t>objet d</w:t>
      </w:r>
      <w:r w:rsidR="005D0F0F" w:rsidRPr="00495482">
        <w:rPr>
          <w:lang w:val="fr-FR" w:eastAsia="sl-SI"/>
        </w:rPr>
        <w:t>’</w:t>
      </w:r>
      <w:r w:rsidRPr="00495482">
        <w:rPr>
          <w:lang w:val="fr-FR" w:eastAsia="sl-SI"/>
        </w:rPr>
        <w:t>un débat public</w:t>
      </w:r>
      <w:r w:rsidR="005D0F0F" w:rsidRPr="00495482">
        <w:rPr>
          <w:lang w:val="fr-FR" w:eastAsia="sl-SI"/>
        </w:rPr>
        <w:t>,</w:t>
      </w:r>
      <w:r w:rsidRPr="00495482">
        <w:rPr>
          <w:lang w:val="fr-FR" w:eastAsia="sl-SI"/>
        </w:rPr>
        <w:t xml:space="preserve"> à savoir la loi sur l</w:t>
      </w:r>
      <w:r w:rsidR="005D0F0F" w:rsidRPr="00495482">
        <w:rPr>
          <w:lang w:val="fr-FR" w:eastAsia="sl-SI"/>
        </w:rPr>
        <w:t>’</w:t>
      </w:r>
      <w:r w:rsidRPr="00495482">
        <w:rPr>
          <w:lang w:val="fr-FR" w:eastAsia="sl-SI"/>
        </w:rPr>
        <w:t xml:space="preserve">égalité des chances pour </w:t>
      </w:r>
      <w:r w:rsidR="0014499F" w:rsidRPr="00495482">
        <w:rPr>
          <w:lang w:val="fr-FR" w:eastAsia="sl-SI"/>
        </w:rPr>
        <w:t>les personnes</w:t>
      </w:r>
      <w:r w:rsidRPr="00495482">
        <w:rPr>
          <w:lang w:val="fr-FR" w:eastAsia="sl-SI"/>
        </w:rPr>
        <w:t xml:space="preserve"> handicapées</w:t>
      </w:r>
      <w:r w:rsidRPr="00495482">
        <w:rPr>
          <w:rStyle w:val="FootnoteReference"/>
        </w:rPr>
        <w:footnoteReference w:id="38"/>
      </w:r>
      <w:r w:rsidR="005D0F0F" w:rsidRPr="00495482">
        <w:rPr>
          <w:lang w:val="fr-FR" w:eastAsia="sl-SI"/>
        </w:rPr>
        <w:t>,</w:t>
      </w:r>
      <w:r w:rsidRPr="00495482">
        <w:rPr>
          <w:lang w:val="fr-FR" w:eastAsia="sl-SI"/>
        </w:rPr>
        <w:t xml:space="preserve"> et la loi sur la réadaptation professionnelle et l</w:t>
      </w:r>
      <w:r w:rsidR="005D0F0F" w:rsidRPr="00495482">
        <w:rPr>
          <w:lang w:val="fr-FR" w:eastAsia="sl-SI"/>
        </w:rPr>
        <w:t>’</w:t>
      </w:r>
      <w:r w:rsidRPr="00495482">
        <w:rPr>
          <w:lang w:val="fr-FR" w:eastAsia="sl-SI"/>
        </w:rPr>
        <w:t xml:space="preserve">emploi </w:t>
      </w:r>
      <w:r w:rsidR="00210F9A" w:rsidRPr="00495482">
        <w:rPr>
          <w:lang w:val="fr-FR" w:eastAsia="sl-SI"/>
        </w:rPr>
        <w:t>des personnes</w:t>
      </w:r>
      <w:r w:rsidRPr="00495482">
        <w:rPr>
          <w:lang w:val="fr-FR" w:eastAsia="sl-SI"/>
        </w:rPr>
        <w:t xml:space="preserve"> handicapées.</w:t>
      </w:r>
    </w:p>
    <w:p w:rsidR="00317603" w:rsidRPr="00495482" w:rsidRDefault="00317603" w:rsidP="000F71EA">
      <w:pPr>
        <w:pStyle w:val="SingleTxtG"/>
        <w:rPr>
          <w:lang w:val="fr-FR" w:eastAsia="sl-SI"/>
        </w:rPr>
      </w:pPr>
      <w:r w:rsidRPr="00495482">
        <w:rPr>
          <w:lang w:val="fr-FR" w:eastAsia="sl-SI"/>
        </w:rPr>
        <w:t>72.</w:t>
      </w:r>
      <w:r w:rsidRPr="00495482">
        <w:rPr>
          <w:lang w:val="fr-FR" w:eastAsia="sl-SI"/>
        </w:rPr>
        <w:tab/>
        <w:t>En Slovénie actuellement</w:t>
      </w:r>
      <w:r w:rsidR="005D0F0F" w:rsidRPr="00495482">
        <w:rPr>
          <w:lang w:val="fr-FR" w:eastAsia="sl-SI"/>
        </w:rPr>
        <w:t>,</w:t>
      </w:r>
      <w:r w:rsidRPr="00495482">
        <w:rPr>
          <w:lang w:val="fr-FR" w:eastAsia="sl-SI"/>
        </w:rPr>
        <w:t xml:space="preserve"> environ 34 000</w:t>
      </w:r>
      <w:r w:rsidR="002328BD" w:rsidRPr="00495482">
        <w:rPr>
          <w:lang w:val="fr-FR" w:eastAsia="sl-SI"/>
        </w:rPr>
        <w:t> personnes</w:t>
      </w:r>
      <w:r w:rsidRPr="00495482">
        <w:rPr>
          <w:lang w:val="fr-FR" w:eastAsia="sl-SI"/>
        </w:rPr>
        <w:t xml:space="preserve"> handicapées ont un emploi</w:t>
      </w:r>
      <w:r w:rsidR="005D0F0F" w:rsidRPr="00495482">
        <w:rPr>
          <w:lang w:val="fr-FR" w:eastAsia="sl-SI"/>
        </w:rPr>
        <w:t>,</w:t>
      </w:r>
      <w:r w:rsidRPr="00495482">
        <w:rPr>
          <w:lang w:val="fr-FR" w:eastAsia="sl-SI"/>
        </w:rPr>
        <w:t xml:space="preserve"> soit 4% de la population active. L</w:t>
      </w:r>
      <w:r w:rsidR="005D0F0F" w:rsidRPr="00495482">
        <w:rPr>
          <w:lang w:val="fr-FR" w:eastAsia="sl-SI"/>
        </w:rPr>
        <w:t>’</w:t>
      </w:r>
      <w:r w:rsidRPr="00495482">
        <w:rPr>
          <w:lang w:val="fr-FR" w:eastAsia="sl-SI"/>
        </w:rPr>
        <w:t>application des mesures visant à préserver l</w:t>
      </w:r>
      <w:r w:rsidR="005D0F0F" w:rsidRPr="00495482">
        <w:rPr>
          <w:lang w:val="fr-FR" w:eastAsia="sl-SI"/>
        </w:rPr>
        <w:t>’</w:t>
      </w:r>
      <w:r w:rsidRPr="00495482">
        <w:rPr>
          <w:lang w:val="fr-FR" w:eastAsia="sl-SI"/>
        </w:rPr>
        <w:t xml:space="preserve">emploi </w:t>
      </w:r>
      <w:r w:rsidR="00210F9A" w:rsidRPr="00495482">
        <w:rPr>
          <w:lang w:val="fr-FR" w:eastAsia="sl-SI"/>
        </w:rPr>
        <w:t>des personnes</w:t>
      </w:r>
      <w:r w:rsidRPr="00495482">
        <w:rPr>
          <w:lang w:val="fr-FR" w:eastAsia="sl-SI"/>
        </w:rPr>
        <w:t xml:space="preserve"> handicapées porte ses fruits puisque le nombre total de chômeurs en Slovénie a augmenté de 37% en 2009 et celui des chômeurs handicapés de 16%. </w:t>
      </w:r>
    </w:p>
    <w:p w:rsidR="00317603" w:rsidRPr="00495482" w:rsidRDefault="00317603" w:rsidP="00210F9A">
      <w:pPr>
        <w:pStyle w:val="H23G"/>
        <w:rPr>
          <w:lang w:val="fr-FR" w:eastAsia="sl-SI"/>
        </w:rPr>
      </w:pPr>
      <w:bookmarkStart w:id="25" w:name="_Toc261594118"/>
      <w:bookmarkStart w:id="26" w:name="_Toc261857425"/>
      <w:r w:rsidRPr="00495482">
        <w:rPr>
          <w:lang w:val="fr-FR" w:eastAsia="sl-SI"/>
        </w:rPr>
        <w:tab/>
      </w:r>
      <w:r w:rsidRPr="00495482">
        <w:rPr>
          <w:lang w:val="fr-FR" w:eastAsia="sl-SI"/>
        </w:rPr>
        <w:tab/>
      </w:r>
      <w:bookmarkEnd w:id="25"/>
      <w:bookmarkEnd w:id="26"/>
      <w:r w:rsidRPr="00495482">
        <w:rPr>
          <w:lang w:val="fr-FR" w:eastAsia="sl-SI"/>
        </w:rPr>
        <w:t>Personnes âgées</w:t>
      </w:r>
    </w:p>
    <w:p w:rsidR="00317603" w:rsidRPr="00495482" w:rsidRDefault="00317603" w:rsidP="00AF7925">
      <w:pPr>
        <w:pStyle w:val="SingleTxtG"/>
        <w:rPr>
          <w:lang w:val="fr-FR" w:eastAsia="sl-SI"/>
        </w:rPr>
      </w:pPr>
      <w:r w:rsidRPr="00495482">
        <w:rPr>
          <w:lang w:val="fr-FR" w:eastAsia="sl-SI"/>
        </w:rPr>
        <w:t>73.</w:t>
      </w:r>
      <w:r w:rsidRPr="00495482">
        <w:rPr>
          <w:lang w:val="fr-FR" w:eastAsia="sl-SI"/>
        </w:rPr>
        <w:tab/>
        <w:t>En raison d</w:t>
      </w:r>
      <w:r w:rsidR="005D0F0F" w:rsidRPr="00495482">
        <w:rPr>
          <w:lang w:val="fr-FR" w:eastAsia="sl-SI"/>
        </w:rPr>
        <w:t>’</w:t>
      </w:r>
      <w:r w:rsidRPr="00495482">
        <w:rPr>
          <w:lang w:val="fr-FR" w:eastAsia="sl-SI"/>
        </w:rPr>
        <w:t>un âge de départ à la retraite relativement précoce en Slovénie</w:t>
      </w:r>
      <w:r w:rsidR="005D0F0F" w:rsidRPr="00495482">
        <w:rPr>
          <w:lang w:val="fr-FR" w:eastAsia="sl-SI"/>
        </w:rPr>
        <w:t>,</w:t>
      </w:r>
      <w:r w:rsidRPr="00495482">
        <w:rPr>
          <w:lang w:val="fr-FR" w:eastAsia="sl-SI"/>
        </w:rPr>
        <w:t xml:space="preserve"> des mesures en faveur du vieillissement actif ont été adoptées début 2010. Elles visent essentiellement à relever à 43</w:t>
      </w:r>
      <w:r w:rsidR="005D0F0F" w:rsidRPr="00495482">
        <w:rPr>
          <w:lang w:val="fr-FR" w:eastAsia="sl-SI"/>
        </w:rPr>
        <w:t>,</w:t>
      </w:r>
      <w:r w:rsidRPr="00495482">
        <w:rPr>
          <w:lang w:val="fr-FR" w:eastAsia="sl-SI"/>
        </w:rPr>
        <w:t>5% d</w:t>
      </w:r>
      <w:r w:rsidR="005D0F0F" w:rsidRPr="00495482">
        <w:rPr>
          <w:lang w:val="fr-FR" w:eastAsia="sl-SI"/>
        </w:rPr>
        <w:t>’</w:t>
      </w:r>
      <w:r w:rsidRPr="00495482">
        <w:rPr>
          <w:lang w:val="fr-FR" w:eastAsia="sl-SI"/>
        </w:rPr>
        <w:t>ici à 2013 le taux d</w:t>
      </w:r>
      <w:r w:rsidR="005D0F0F" w:rsidRPr="00495482">
        <w:rPr>
          <w:lang w:val="fr-FR" w:eastAsia="sl-SI"/>
        </w:rPr>
        <w:t>’</w:t>
      </w:r>
      <w:r w:rsidRPr="00495482">
        <w:rPr>
          <w:lang w:val="fr-FR" w:eastAsia="sl-SI"/>
        </w:rPr>
        <w:t xml:space="preserve">emploi moyen </w:t>
      </w:r>
      <w:r w:rsidR="00210F9A" w:rsidRPr="00495482">
        <w:rPr>
          <w:lang w:val="fr-FR" w:eastAsia="sl-SI"/>
        </w:rPr>
        <w:t>des personnes</w:t>
      </w:r>
      <w:r w:rsidRPr="00495482">
        <w:rPr>
          <w:lang w:val="fr-FR" w:eastAsia="sl-SI"/>
        </w:rPr>
        <w:t xml:space="preserve"> de 55 à 64</w:t>
      </w:r>
      <w:r w:rsidR="002328BD" w:rsidRPr="00495482">
        <w:rPr>
          <w:lang w:val="fr-FR" w:eastAsia="sl-SI"/>
        </w:rPr>
        <w:t> ans</w:t>
      </w:r>
      <w:r w:rsidRPr="00495482">
        <w:rPr>
          <w:lang w:val="fr-FR" w:eastAsia="sl-SI"/>
        </w:rPr>
        <w:t>. Les données indiquent également pour 2008 et 2009 une forte aggravation du chômage chez les plus de 50</w:t>
      </w:r>
      <w:r w:rsidR="002328BD" w:rsidRPr="00495482">
        <w:rPr>
          <w:lang w:val="fr-FR" w:eastAsia="sl-SI"/>
        </w:rPr>
        <w:t> ans</w:t>
      </w:r>
      <w:r w:rsidRPr="00495482">
        <w:rPr>
          <w:lang w:val="fr-FR" w:eastAsia="sl-SI"/>
        </w:rPr>
        <w:t xml:space="preserve"> (plus de 6 000</w:t>
      </w:r>
      <w:r w:rsidR="002328BD" w:rsidRPr="00495482">
        <w:rPr>
          <w:lang w:val="fr-FR" w:eastAsia="sl-SI"/>
        </w:rPr>
        <w:t> personnes</w:t>
      </w:r>
      <w:r w:rsidR="005D0F0F" w:rsidRPr="00495482">
        <w:rPr>
          <w:lang w:val="fr-FR" w:eastAsia="sl-SI"/>
        </w:rPr>
        <w:t>,</w:t>
      </w:r>
      <w:r w:rsidRPr="00495482">
        <w:rPr>
          <w:lang w:val="fr-FR" w:eastAsia="sl-SI"/>
        </w:rPr>
        <w:t xml:space="preserve"> soit une augmentation de 45%)</w:t>
      </w:r>
      <w:r w:rsidR="005D0F0F" w:rsidRPr="00495482">
        <w:rPr>
          <w:lang w:val="fr-FR" w:eastAsia="sl-SI"/>
        </w:rPr>
        <w:t>,</w:t>
      </w:r>
      <w:r w:rsidRPr="00495482">
        <w:rPr>
          <w:lang w:val="fr-FR" w:eastAsia="sl-SI"/>
        </w:rPr>
        <w:t xml:space="preserve"> en particulier chez les moins instruites (dont les niveaux d</w:t>
      </w:r>
      <w:r w:rsidR="005D0F0F" w:rsidRPr="00495482">
        <w:rPr>
          <w:lang w:val="fr-FR" w:eastAsia="sl-SI"/>
        </w:rPr>
        <w:t>’</w:t>
      </w:r>
      <w:r w:rsidRPr="00495482">
        <w:rPr>
          <w:lang w:val="fr-FR" w:eastAsia="sl-SI"/>
        </w:rPr>
        <w:t>instruction vont de la 1</w:t>
      </w:r>
      <w:r w:rsidRPr="00495482">
        <w:rPr>
          <w:vertAlign w:val="superscript"/>
          <w:lang w:val="fr-FR" w:eastAsia="sl-SI"/>
        </w:rPr>
        <w:t>ère</w:t>
      </w:r>
      <w:r w:rsidRPr="00495482">
        <w:rPr>
          <w:lang w:val="fr-FR" w:eastAsia="sl-SI"/>
        </w:rPr>
        <w:t xml:space="preserve"> à la 4</w:t>
      </w:r>
      <w:r w:rsidRPr="00495482">
        <w:rPr>
          <w:vertAlign w:val="superscript"/>
          <w:lang w:val="fr-FR" w:eastAsia="sl-SI"/>
        </w:rPr>
        <w:t>e</w:t>
      </w:r>
      <w:r w:rsidR="005B1F9A">
        <w:rPr>
          <w:lang w:val="fr-FR" w:eastAsia="sl-SI"/>
        </w:rPr>
        <w:t> </w:t>
      </w:r>
      <w:r w:rsidRPr="00495482">
        <w:rPr>
          <w:lang w:val="fr-FR" w:eastAsia="sl-SI"/>
        </w:rPr>
        <w:t>année).</w:t>
      </w:r>
    </w:p>
    <w:p w:rsidR="00317603" w:rsidRPr="00495482" w:rsidRDefault="00317603" w:rsidP="00210F9A">
      <w:pPr>
        <w:pStyle w:val="H23G"/>
        <w:rPr>
          <w:lang w:val="fr-FR" w:eastAsia="sl-SI"/>
        </w:rPr>
      </w:pPr>
      <w:bookmarkStart w:id="27" w:name="_Toc261594119"/>
      <w:bookmarkStart w:id="28" w:name="_Toc261857426"/>
      <w:r w:rsidRPr="00495482">
        <w:rPr>
          <w:lang w:val="fr-FR" w:eastAsia="sl-SI"/>
        </w:rPr>
        <w:tab/>
      </w:r>
      <w:r w:rsidRPr="00495482">
        <w:rPr>
          <w:lang w:val="fr-FR" w:eastAsia="sl-SI"/>
        </w:rPr>
        <w:tab/>
      </w:r>
      <w:bookmarkEnd w:id="27"/>
      <w:bookmarkEnd w:id="28"/>
      <w:r w:rsidRPr="00495482">
        <w:rPr>
          <w:lang w:val="fr-FR" w:eastAsia="sl-SI"/>
        </w:rPr>
        <w:t>Jeunes</w:t>
      </w:r>
    </w:p>
    <w:p w:rsidR="00317603" w:rsidRPr="00495482" w:rsidRDefault="00317603" w:rsidP="00AF7925">
      <w:pPr>
        <w:pStyle w:val="SingleTxtG"/>
        <w:rPr>
          <w:lang w:val="fr-FR" w:eastAsia="sl-SI"/>
        </w:rPr>
      </w:pPr>
      <w:r w:rsidRPr="00495482">
        <w:rPr>
          <w:lang w:val="fr-FR" w:eastAsia="sl-SI"/>
        </w:rPr>
        <w:t>74.</w:t>
      </w:r>
      <w:r w:rsidRPr="00495482">
        <w:rPr>
          <w:lang w:val="fr-FR" w:eastAsia="sl-SI"/>
        </w:rPr>
        <w:tab/>
        <w:t>En 2008</w:t>
      </w:r>
      <w:r w:rsidR="005D0F0F" w:rsidRPr="00495482">
        <w:rPr>
          <w:lang w:val="fr-FR" w:eastAsia="sl-SI"/>
        </w:rPr>
        <w:t>,</w:t>
      </w:r>
      <w:r w:rsidRPr="00495482">
        <w:rPr>
          <w:lang w:val="fr-FR" w:eastAsia="sl-SI"/>
        </w:rPr>
        <w:t xml:space="preserve"> 6 669 jeunes sans emploi ont bénéficié des programmes de la politique dynamique de l</w:t>
      </w:r>
      <w:r w:rsidR="005D0F0F" w:rsidRPr="00495482">
        <w:rPr>
          <w:lang w:val="fr-FR" w:eastAsia="sl-SI"/>
        </w:rPr>
        <w:t>’</w:t>
      </w:r>
      <w:r w:rsidRPr="00495482">
        <w:rPr>
          <w:lang w:val="fr-FR" w:eastAsia="sl-SI"/>
        </w:rPr>
        <w:t>emploi. La plupart ont participé aux programmes suivants</w:t>
      </w:r>
      <w:r w:rsidR="005D0F0F" w:rsidRPr="00495482">
        <w:rPr>
          <w:lang w:val="fr-FR" w:eastAsia="sl-SI"/>
        </w:rPr>
        <w:t>:</w:t>
      </w:r>
      <w:r w:rsidRPr="00495482">
        <w:rPr>
          <w:lang w:val="fr-FR" w:eastAsia="sl-SI"/>
        </w:rPr>
        <w:t xml:space="preserve"> enseignement institutionnel (955 jeunes)</w:t>
      </w:r>
      <w:r w:rsidR="005D0F0F" w:rsidRPr="00495482">
        <w:rPr>
          <w:lang w:val="fr-FR" w:eastAsia="sl-SI"/>
        </w:rPr>
        <w:t>,</w:t>
      </w:r>
      <w:r w:rsidRPr="00495482">
        <w:rPr>
          <w:lang w:val="fr-FR" w:eastAsia="sl-SI"/>
        </w:rPr>
        <w:t xml:space="preserve"> enseignement formel (916 jeunes)</w:t>
      </w:r>
      <w:r w:rsidR="005D0F0F" w:rsidRPr="00495482">
        <w:rPr>
          <w:lang w:val="fr-FR" w:eastAsia="sl-SI"/>
        </w:rPr>
        <w:t>,</w:t>
      </w:r>
      <w:r w:rsidRPr="00495482">
        <w:rPr>
          <w:lang w:val="fr-FR" w:eastAsia="sl-SI"/>
        </w:rPr>
        <w:t xml:space="preserve"> formation en cours d</w:t>
      </w:r>
      <w:r w:rsidR="005D0F0F" w:rsidRPr="00495482">
        <w:rPr>
          <w:lang w:val="fr-FR" w:eastAsia="sl-SI"/>
        </w:rPr>
        <w:t>’</w:t>
      </w:r>
      <w:r w:rsidRPr="00495482">
        <w:rPr>
          <w:lang w:val="fr-FR" w:eastAsia="sl-SI"/>
        </w:rPr>
        <w:t>emploi (998 jeunes)</w:t>
      </w:r>
      <w:r w:rsidR="005D0F0F" w:rsidRPr="00495482">
        <w:rPr>
          <w:lang w:val="fr-FR" w:eastAsia="sl-SI"/>
        </w:rPr>
        <w:t>;</w:t>
      </w:r>
      <w:r w:rsidRPr="00495482">
        <w:rPr>
          <w:lang w:val="fr-FR" w:eastAsia="sl-SI"/>
        </w:rPr>
        <w:t xml:space="preserve"> clubs de recherche d</w:t>
      </w:r>
      <w:r w:rsidR="005D0F0F" w:rsidRPr="00495482">
        <w:rPr>
          <w:lang w:val="fr-FR" w:eastAsia="sl-SI"/>
        </w:rPr>
        <w:t>’</w:t>
      </w:r>
      <w:r w:rsidRPr="00495482">
        <w:rPr>
          <w:lang w:val="fr-FR" w:eastAsia="sl-SI"/>
        </w:rPr>
        <w:t>emploi (321 jeunes)</w:t>
      </w:r>
      <w:r w:rsidR="005D0F0F" w:rsidRPr="00495482">
        <w:rPr>
          <w:lang w:val="fr-FR" w:eastAsia="sl-SI"/>
        </w:rPr>
        <w:t>,</w:t>
      </w:r>
      <w:r w:rsidRPr="00495482">
        <w:rPr>
          <w:lang w:val="fr-FR" w:eastAsia="sl-SI"/>
        </w:rPr>
        <w:t xml:space="preserve"> projet d</w:t>
      </w:r>
      <w:r w:rsidR="005D0F0F" w:rsidRPr="00495482">
        <w:rPr>
          <w:lang w:val="fr-FR" w:eastAsia="sl-SI"/>
        </w:rPr>
        <w:t>’</w:t>
      </w:r>
      <w:r w:rsidRPr="00495482">
        <w:rPr>
          <w:lang w:val="fr-FR" w:eastAsia="sl-SI"/>
        </w:rPr>
        <w:t>enseignement pour jeunes adultes (114 jeunes)</w:t>
      </w:r>
      <w:r w:rsidR="005D0F0F" w:rsidRPr="00495482">
        <w:rPr>
          <w:lang w:val="fr-FR" w:eastAsia="sl-SI"/>
        </w:rPr>
        <w:t>,</w:t>
      </w:r>
      <w:r w:rsidRPr="00495482">
        <w:rPr>
          <w:lang w:val="fr-FR" w:eastAsia="sl-SI"/>
        </w:rPr>
        <w:t xml:space="preserve"> stages d</w:t>
      </w:r>
      <w:r w:rsidR="005D0F0F" w:rsidRPr="00495482">
        <w:rPr>
          <w:lang w:val="fr-FR" w:eastAsia="sl-SI"/>
        </w:rPr>
        <w:t>’</w:t>
      </w:r>
      <w:r w:rsidRPr="00495482">
        <w:rPr>
          <w:lang w:val="fr-FR" w:eastAsia="sl-SI"/>
        </w:rPr>
        <w:t>aide à la planification de carrière et à la recherche d</w:t>
      </w:r>
      <w:r w:rsidR="005D0F0F" w:rsidRPr="00495482">
        <w:rPr>
          <w:lang w:val="fr-FR" w:eastAsia="sl-SI"/>
        </w:rPr>
        <w:t>’</w:t>
      </w:r>
      <w:r w:rsidRPr="00495482">
        <w:rPr>
          <w:lang w:val="fr-FR" w:eastAsia="sl-SI"/>
        </w:rPr>
        <w:t>emploi (1 544 jeunes)</w:t>
      </w:r>
      <w:r w:rsidR="005D0F0F" w:rsidRPr="00495482">
        <w:rPr>
          <w:lang w:val="fr-FR" w:eastAsia="sl-SI"/>
        </w:rPr>
        <w:t>,</w:t>
      </w:r>
      <w:r w:rsidRPr="00495482">
        <w:rPr>
          <w:lang w:val="fr-FR" w:eastAsia="sl-SI"/>
        </w:rPr>
        <w:t xml:space="preserve"> travaux publics (342 jeunes)</w:t>
      </w:r>
      <w:r w:rsidR="005D0F0F" w:rsidRPr="00495482">
        <w:rPr>
          <w:lang w:val="fr-FR" w:eastAsia="sl-SI"/>
        </w:rPr>
        <w:t>,</w:t>
      </w:r>
      <w:r w:rsidRPr="00495482">
        <w:rPr>
          <w:lang w:val="fr-FR" w:eastAsia="sl-SI"/>
        </w:rPr>
        <w:t xml:space="preserve"> aide à l</w:t>
      </w:r>
      <w:r w:rsidR="005D0F0F" w:rsidRPr="00495482">
        <w:rPr>
          <w:lang w:val="fr-FR" w:eastAsia="sl-SI"/>
        </w:rPr>
        <w:t>’</w:t>
      </w:r>
      <w:r w:rsidRPr="00495482">
        <w:rPr>
          <w:lang w:val="fr-FR" w:eastAsia="sl-SI"/>
        </w:rPr>
        <w:t>emploi indépendant (271 jeunes)</w:t>
      </w:r>
      <w:r w:rsidR="005D0F0F" w:rsidRPr="00495482">
        <w:rPr>
          <w:lang w:val="fr-FR" w:eastAsia="sl-SI"/>
        </w:rPr>
        <w:t>,</w:t>
      </w:r>
      <w:r w:rsidRPr="00495482">
        <w:rPr>
          <w:lang w:val="fr-FR" w:eastAsia="sl-SI"/>
        </w:rPr>
        <w:t xml:space="preserve"> subventions à l</w:t>
      </w:r>
      <w:r w:rsidR="005D0F0F" w:rsidRPr="00495482">
        <w:rPr>
          <w:lang w:val="fr-FR" w:eastAsia="sl-SI"/>
        </w:rPr>
        <w:t>’</w:t>
      </w:r>
      <w:r w:rsidRPr="00495482">
        <w:rPr>
          <w:lang w:val="fr-FR" w:eastAsia="sl-SI"/>
        </w:rPr>
        <w:t>emploi indépendant (144 jeunes)</w:t>
      </w:r>
      <w:r w:rsidR="005D0F0F" w:rsidRPr="00495482">
        <w:rPr>
          <w:lang w:val="fr-FR" w:eastAsia="sl-SI"/>
        </w:rPr>
        <w:t>,</w:t>
      </w:r>
      <w:r w:rsidRPr="00495482">
        <w:rPr>
          <w:lang w:val="fr-FR" w:eastAsia="sl-SI"/>
        </w:rPr>
        <w:t xml:space="preserve"> expérience professionnelle (737 jeunes).</w:t>
      </w:r>
      <w:r w:rsidR="003D1A4F" w:rsidRPr="00495482">
        <w:rPr>
          <w:lang w:val="fr-FR" w:eastAsia="sl-SI"/>
        </w:rPr>
        <w:t xml:space="preserve"> </w:t>
      </w:r>
    </w:p>
    <w:p w:rsidR="00317603" w:rsidRPr="00495482" w:rsidRDefault="00317603" w:rsidP="00210F9A">
      <w:pPr>
        <w:pStyle w:val="H23G"/>
        <w:rPr>
          <w:lang w:val="fr-FR" w:eastAsia="sl-SI"/>
        </w:rPr>
      </w:pPr>
      <w:r w:rsidRPr="00495482">
        <w:rPr>
          <w:lang w:val="fr-FR" w:eastAsia="sl-SI"/>
        </w:rPr>
        <w:tab/>
      </w:r>
      <w:r w:rsidRPr="00495482">
        <w:rPr>
          <w:lang w:val="fr-FR" w:eastAsia="sl-SI"/>
        </w:rPr>
        <w:tab/>
        <w:t>Roms</w:t>
      </w:r>
    </w:p>
    <w:p w:rsidR="00317603" w:rsidRPr="00495482" w:rsidRDefault="00317603" w:rsidP="00AF7925">
      <w:pPr>
        <w:pStyle w:val="SingleTxtG"/>
        <w:rPr>
          <w:lang w:val="fr-FR" w:eastAsia="sl-SI"/>
        </w:rPr>
      </w:pPr>
      <w:r w:rsidRPr="00495482">
        <w:rPr>
          <w:lang w:val="fr-FR" w:eastAsia="sl-SI"/>
        </w:rPr>
        <w:t>75.</w:t>
      </w:r>
      <w:r w:rsidRPr="00495482">
        <w:rPr>
          <w:lang w:val="fr-FR" w:eastAsia="sl-SI"/>
        </w:rPr>
        <w:tab/>
        <w:t>Le programme national du Gouvernement de la République de Slovénie concernant les mesures en faveur des Roms pour la période 2010-2015 prévoit des mesures particulières pour améliorer l</w:t>
      </w:r>
      <w:r w:rsidR="005D0F0F" w:rsidRPr="00495482">
        <w:rPr>
          <w:lang w:val="fr-FR" w:eastAsia="sl-SI"/>
        </w:rPr>
        <w:t>’</w:t>
      </w:r>
      <w:r w:rsidRPr="00495482">
        <w:rPr>
          <w:lang w:val="fr-FR" w:eastAsia="sl-SI"/>
        </w:rPr>
        <w:t>employabilité des membres de la communauté rom. Le programme des mesures détaillées du Ministère du travail</w:t>
      </w:r>
      <w:r w:rsidR="005D0F0F" w:rsidRPr="00495482">
        <w:rPr>
          <w:lang w:val="fr-FR" w:eastAsia="sl-SI"/>
        </w:rPr>
        <w:t>,</w:t>
      </w:r>
      <w:r w:rsidRPr="00495482">
        <w:rPr>
          <w:lang w:val="fr-FR" w:eastAsia="sl-SI"/>
        </w:rPr>
        <w:t xml:space="preserve"> de la famille et des affaires sociales en définit les modalités d</w:t>
      </w:r>
      <w:r w:rsidR="005D0F0F" w:rsidRPr="00495482">
        <w:rPr>
          <w:lang w:val="fr-FR" w:eastAsia="sl-SI"/>
        </w:rPr>
        <w:t>’</w:t>
      </w:r>
      <w:r w:rsidRPr="00495482">
        <w:rPr>
          <w:lang w:val="fr-FR" w:eastAsia="sl-SI"/>
        </w:rPr>
        <w:t>application dans le domaine de l</w:t>
      </w:r>
      <w:r w:rsidR="005D0F0F" w:rsidRPr="00495482">
        <w:rPr>
          <w:lang w:val="fr-FR" w:eastAsia="sl-SI"/>
        </w:rPr>
        <w:t>’</w:t>
      </w:r>
      <w:r w:rsidRPr="00495482">
        <w:rPr>
          <w:lang w:val="fr-FR" w:eastAsia="sl-SI"/>
        </w:rPr>
        <w:t>emploi et de l</w:t>
      </w:r>
      <w:r w:rsidR="005D0F0F" w:rsidRPr="00495482">
        <w:rPr>
          <w:lang w:val="fr-FR" w:eastAsia="sl-SI"/>
        </w:rPr>
        <w:t>’</w:t>
      </w:r>
      <w:r w:rsidRPr="00495482">
        <w:rPr>
          <w:lang w:val="fr-FR" w:eastAsia="sl-SI"/>
        </w:rPr>
        <w:t xml:space="preserve">insertion sociale. Une attention particulière est également accordée aux Roms en tant que groupe vulnérable dans la </w:t>
      </w:r>
      <w:r w:rsidRPr="00495482">
        <w:rPr>
          <w:i/>
          <w:lang w:val="fr-FR" w:eastAsia="sl-SI"/>
        </w:rPr>
        <w:t>résolution sur le programme national de protection sociale 2006-2010</w:t>
      </w:r>
      <w:r w:rsidRPr="00495482">
        <w:rPr>
          <w:rStyle w:val="FootnoteReference"/>
        </w:rPr>
        <w:footnoteReference w:id="39"/>
      </w:r>
      <w:r w:rsidRPr="00495482">
        <w:rPr>
          <w:lang w:val="fr-FR" w:eastAsia="sl-SI"/>
        </w:rPr>
        <w:t>. En outre</w:t>
      </w:r>
      <w:r w:rsidR="005D0F0F" w:rsidRPr="00495482">
        <w:rPr>
          <w:lang w:val="fr-FR" w:eastAsia="sl-SI"/>
        </w:rPr>
        <w:t>,</w:t>
      </w:r>
      <w:r w:rsidRPr="00495482">
        <w:rPr>
          <w:lang w:val="fr-FR" w:eastAsia="sl-SI"/>
        </w:rPr>
        <w:t xml:space="preserve"> le Ministère du travail</w:t>
      </w:r>
      <w:r w:rsidR="005D0F0F" w:rsidRPr="00495482">
        <w:rPr>
          <w:lang w:val="fr-FR" w:eastAsia="sl-SI"/>
        </w:rPr>
        <w:t>,</w:t>
      </w:r>
      <w:r w:rsidRPr="00495482">
        <w:rPr>
          <w:lang w:val="fr-FR" w:eastAsia="sl-SI"/>
        </w:rPr>
        <w:t xml:space="preserve"> de la famille et des affaires sociales prépare des appels publics à candidatures pour cofinancer des programmes dans le domaine de l</w:t>
      </w:r>
      <w:r w:rsidR="005D0F0F" w:rsidRPr="00495482">
        <w:rPr>
          <w:lang w:val="fr-FR" w:eastAsia="sl-SI"/>
        </w:rPr>
        <w:t>’</w:t>
      </w:r>
      <w:r w:rsidRPr="00495482">
        <w:rPr>
          <w:lang w:val="fr-FR" w:eastAsia="sl-SI"/>
        </w:rPr>
        <w:t xml:space="preserve">assistance sociale et du soutien aux familles. </w:t>
      </w:r>
    </w:p>
    <w:p w:rsidR="00317603" w:rsidRPr="00495482" w:rsidRDefault="00317603" w:rsidP="00210F9A">
      <w:pPr>
        <w:pStyle w:val="H23G"/>
        <w:rPr>
          <w:lang w:val="fr-FR" w:eastAsia="sl-SI"/>
        </w:rPr>
      </w:pPr>
      <w:r w:rsidRPr="00495482">
        <w:rPr>
          <w:lang w:val="fr-FR" w:eastAsia="sl-SI"/>
        </w:rPr>
        <w:tab/>
      </w:r>
      <w:r w:rsidRPr="00495482">
        <w:rPr>
          <w:lang w:val="fr-FR" w:eastAsia="sl-SI"/>
        </w:rPr>
        <w:tab/>
        <w:t>Licenciement abusif</w:t>
      </w:r>
    </w:p>
    <w:p w:rsidR="00317603" w:rsidRPr="00495482" w:rsidRDefault="00317603" w:rsidP="00AF7925">
      <w:pPr>
        <w:pStyle w:val="SingleTxtG"/>
        <w:rPr>
          <w:lang w:val="fr-FR" w:eastAsia="sl-SI"/>
        </w:rPr>
      </w:pPr>
      <w:r w:rsidRPr="00495482">
        <w:rPr>
          <w:lang w:val="fr-FR" w:eastAsia="sl-SI"/>
        </w:rPr>
        <w:t>76.</w:t>
      </w:r>
      <w:r w:rsidRPr="00495482">
        <w:rPr>
          <w:lang w:val="fr-FR" w:eastAsia="sl-SI"/>
        </w:rPr>
        <w:tab/>
        <w:t>La loi sur les relations professionnelles</w:t>
      </w:r>
      <w:r w:rsidRPr="00495482">
        <w:rPr>
          <w:rStyle w:val="FootnoteReference"/>
        </w:rPr>
        <w:footnoteReference w:id="40"/>
      </w:r>
      <w:r w:rsidRPr="00495482">
        <w:rPr>
          <w:lang w:val="fr-FR" w:eastAsia="sl-SI"/>
        </w:rPr>
        <w:t xml:space="preserve"> (dont les dispositions susmentionnées ont déjà été exposées dans le rapport initial) protège les travailleurs contre le licenciement abusif</w:t>
      </w:r>
      <w:r w:rsidR="005D0F0F" w:rsidRPr="00495482">
        <w:rPr>
          <w:lang w:val="fr-FR" w:eastAsia="sl-SI"/>
        </w:rPr>
        <w:t>,</w:t>
      </w:r>
      <w:r w:rsidRPr="00495482">
        <w:rPr>
          <w:lang w:val="fr-FR" w:eastAsia="sl-SI"/>
        </w:rPr>
        <w:t xml:space="preserve"> à la stricte condition qu</w:t>
      </w:r>
      <w:r w:rsidR="005D0F0F" w:rsidRPr="00495482">
        <w:rPr>
          <w:lang w:val="fr-FR" w:eastAsia="sl-SI"/>
        </w:rPr>
        <w:t>’</w:t>
      </w:r>
      <w:r w:rsidRPr="00495482">
        <w:rPr>
          <w:lang w:val="fr-FR" w:eastAsia="sl-SI"/>
        </w:rPr>
        <w:t>il n</w:t>
      </w:r>
      <w:r w:rsidR="005D0F0F" w:rsidRPr="00495482">
        <w:rPr>
          <w:lang w:val="fr-FR" w:eastAsia="sl-SI"/>
        </w:rPr>
        <w:t>’</w:t>
      </w:r>
      <w:r w:rsidRPr="00495482">
        <w:rPr>
          <w:lang w:val="fr-FR" w:eastAsia="sl-SI"/>
        </w:rPr>
        <w:t>existe pas de bien-fondé autorisant l</w:t>
      </w:r>
      <w:r w:rsidR="005D0F0F" w:rsidRPr="00495482">
        <w:rPr>
          <w:lang w:val="fr-FR" w:eastAsia="sl-SI"/>
        </w:rPr>
        <w:t>’</w:t>
      </w:r>
      <w:r w:rsidRPr="00495482">
        <w:rPr>
          <w:lang w:val="fr-FR" w:eastAsia="sl-SI"/>
        </w:rPr>
        <w:t>employeur à annuler le contrat de travail</w:t>
      </w:r>
      <w:r w:rsidR="005D0F0F" w:rsidRPr="00495482">
        <w:rPr>
          <w:lang w:val="fr-FR" w:eastAsia="sl-SI"/>
        </w:rPr>
        <w:t>,</w:t>
      </w:r>
      <w:r w:rsidRPr="00495482">
        <w:rPr>
          <w:lang w:val="fr-FR" w:eastAsia="sl-SI"/>
        </w:rPr>
        <w:t xml:space="preserve"> et ce uniquement dans les cas ou pour des raisons spécifiés par</w:t>
      </w:r>
      <w:r w:rsidR="003D1A4F" w:rsidRPr="00495482">
        <w:rPr>
          <w:lang w:val="fr-FR" w:eastAsia="sl-SI"/>
        </w:rPr>
        <w:t xml:space="preserve"> </w:t>
      </w:r>
      <w:r w:rsidRPr="00495482">
        <w:rPr>
          <w:lang w:val="fr-FR" w:eastAsia="sl-SI"/>
        </w:rPr>
        <w:t xml:space="preserve">la loi. </w:t>
      </w:r>
    </w:p>
    <w:p w:rsidR="00317603" w:rsidRPr="00495482" w:rsidRDefault="00317603" w:rsidP="00317603">
      <w:pPr>
        <w:spacing w:after="120"/>
        <w:ind w:left="1134" w:right="1134"/>
        <w:jc w:val="both"/>
        <w:rPr>
          <w:lang w:val="fr-FR" w:eastAsia="sl-SI"/>
        </w:rPr>
      </w:pPr>
      <w:r w:rsidRPr="00495482">
        <w:rPr>
          <w:lang w:val="fr-FR" w:eastAsia="sl-SI"/>
        </w:rPr>
        <w:t>77.</w:t>
      </w:r>
      <w:r w:rsidRPr="00495482">
        <w:rPr>
          <w:lang w:val="fr-FR" w:eastAsia="sl-SI"/>
        </w:rPr>
        <w:tab/>
        <w:t>En outre</w:t>
      </w:r>
      <w:r w:rsidR="005D0F0F" w:rsidRPr="00495482">
        <w:rPr>
          <w:lang w:val="fr-FR" w:eastAsia="sl-SI"/>
        </w:rPr>
        <w:t>,</w:t>
      </w:r>
      <w:r w:rsidRPr="00495482">
        <w:rPr>
          <w:lang w:val="fr-FR" w:eastAsia="sl-SI"/>
        </w:rPr>
        <w:t xml:space="preserve"> </w:t>
      </w:r>
      <w:r w:rsidR="00657B60" w:rsidRPr="00495482">
        <w:rPr>
          <w:lang w:val="fr-FR" w:eastAsia="sl-SI"/>
        </w:rPr>
        <w:t>l’</w:t>
      </w:r>
      <w:r w:rsidR="003C4F70">
        <w:rPr>
          <w:lang w:val="fr-FR" w:eastAsia="sl-SI"/>
        </w:rPr>
        <w:t>article </w:t>
      </w:r>
      <w:r w:rsidRPr="00495482">
        <w:rPr>
          <w:lang w:val="fr-FR" w:eastAsia="sl-SI"/>
        </w:rPr>
        <w:t>196 du Code pénal</w:t>
      </w:r>
      <w:r w:rsidRPr="00495482">
        <w:rPr>
          <w:rStyle w:val="FootnoteReference"/>
        </w:rPr>
        <w:footnoteReference w:id="41"/>
      </w:r>
      <w:r w:rsidRPr="00495482">
        <w:rPr>
          <w:lang w:val="fr-FR" w:eastAsia="sl-SI"/>
        </w:rPr>
        <w:t xml:space="preserve"> protège également les travailleurs contre les licenciements abusifs et précise que quiconque contrevient aux réglementations concernant la conclusion d</w:t>
      </w:r>
      <w:r w:rsidR="005D0F0F" w:rsidRPr="00495482">
        <w:rPr>
          <w:lang w:val="fr-FR" w:eastAsia="sl-SI"/>
        </w:rPr>
        <w:t>’</w:t>
      </w:r>
      <w:r w:rsidRPr="00495482">
        <w:rPr>
          <w:lang w:val="fr-FR" w:eastAsia="sl-SI"/>
        </w:rPr>
        <w:t>un contrat de travail et la cessation des relations professionnelles</w:t>
      </w:r>
      <w:r w:rsidR="005D0F0F" w:rsidRPr="00495482">
        <w:rPr>
          <w:lang w:val="fr-FR" w:eastAsia="sl-SI"/>
        </w:rPr>
        <w:t>,</w:t>
      </w:r>
      <w:r w:rsidRPr="00495482">
        <w:rPr>
          <w:lang w:val="fr-FR" w:eastAsia="sl-SI"/>
        </w:rPr>
        <w:t xml:space="preserve"> le salaire et autres rémunérations du travail accompli</w:t>
      </w:r>
      <w:r w:rsidR="005D0F0F" w:rsidRPr="00495482">
        <w:rPr>
          <w:lang w:val="fr-FR" w:eastAsia="sl-SI"/>
        </w:rPr>
        <w:t>,</w:t>
      </w:r>
      <w:r w:rsidRPr="00495482">
        <w:rPr>
          <w:lang w:val="fr-FR" w:eastAsia="sl-SI"/>
        </w:rPr>
        <w:t xml:space="preserve"> la durée du travail</w:t>
      </w:r>
      <w:r w:rsidR="005D0F0F" w:rsidRPr="00495482">
        <w:rPr>
          <w:lang w:val="fr-FR" w:eastAsia="sl-SI"/>
        </w:rPr>
        <w:t>,</w:t>
      </w:r>
      <w:r w:rsidR="003D1A4F" w:rsidRPr="00495482">
        <w:rPr>
          <w:lang w:val="fr-FR" w:eastAsia="sl-SI"/>
        </w:rPr>
        <w:t xml:space="preserve"> </w:t>
      </w:r>
      <w:r w:rsidRPr="00495482">
        <w:rPr>
          <w:lang w:val="fr-FR" w:eastAsia="sl-SI"/>
        </w:rPr>
        <w:t>les périodes de repos</w:t>
      </w:r>
      <w:r w:rsidR="005D0F0F" w:rsidRPr="00495482">
        <w:rPr>
          <w:lang w:val="fr-FR" w:eastAsia="sl-SI"/>
        </w:rPr>
        <w:t>,</w:t>
      </w:r>
      <w:r w:rsidRPr="00495482">
        <w:rPr>
          <w:lang w:val="fr-FR" w:eastAsia="sl-SI"/>
        </w:rPr>
        <w:t xml:space="preserve"> les congés annuels ou les absences au travail</w:t>
      </w:r>
      <w:r w:rsidR="005D0F0F" w:rsidRPr="00495482">
        <w:rPr>
          <w:lang w:val="fr-FR" w:eastAsia="sl-SI"/>
        </w:rPr>
        <w:t>,</w:t>
      </w:r>
      <w:r w:rsidRPr="00495482">
        <w:rPr>
          <w:lang w:val="fr-FR" w:eastAsia="sl-SI"/>
        </w:rPr>
        <w:t xml:space="preserve"> la protection des femmes</w:t>
      </w:r>
      <w:r w:rsidR="005D0F0F" w:rsidRPr="00495482">
        <w:rPr>
          <w:lang w:val="fr-FR" w:eastAsia="sl-SI"/>
        </w:rPr>
        <w:t>,</w:t>
      </w:r>
      <w:r w:rsidRPr="00495482">
        <w:rPr>
          <w:lang w:val="fr-FR" w:eastAsia="sl-SI"/>
        </w:rPr>
        <w:t xml:space="preserve"> des jeunes et </w:t>
      </w:r>
      <w:r w:rsidR="00210F9A" w:rsidRPr="00495482">
        <w:rPr>
          <w:lang w:val="fr-FR" w:eastAsia="sl-SI"/>
        </w:rPr>
        <w:t>des personnes</w:t>
      </w:r>
      <w:r w:rsidRPr="00495482">
        <w:rPr>
          <w:lang w:val="fr-FR" w:eastAsia="sl-SI"/>
        </w:rPr>
        <w:t xml:space="preserve"> handicapées</w:t>
      </w:r>
      <w:r w:rsidR="005D0F0F" w:rsidRPr="00495482">
        <w:rPr>
          <w:lang w:val="fr-FR" w:eastAsia="sl-SI"/>
        </w:rPr>
        <w:t>,</w:t>
      </w:r>
      <w:r w:rsidRPr="00495482">
        <w:rPr>
          <w:lang w:val="fr-FR" w:eastAsia="sl-SI"/>
        </w:rPr>
        <w:t xml:space="preserve"> des salariées enceintes et de la parentalité</w:t>
      </w:r>
      <w:r w:rsidR="005D0F0F" w:rsidRPr="00495482">
        <w:rPr>
          <w:lang w:val="fr-FR" w:eastAsia="sl-SI"/>
        </w:rPr>
        <w:t>,</w:t>
      </w:r>
      <w:r w:rsidRPr="00495482">
        <w:rPr>
          <w:lang w:val="fr-FR" w:eastAsia="sl-SI"/>
        </w:rPr>
        <w:t xml:space="preserve"> et la protection des travailleurs âgés</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interdiction des</w:t>
      </w:r>
      <w:r w:rsidR="00FB11E8">
        <w:rPr>
          <w:lang w:val="fr-FR" w:eastAsia="sl-SI"/>
        </w:rPr>
        <w:t xml:space="preserve"> </w:t>
      </w:r>
      <w:r w:rsidR="008F7FB7" w:rsidRPr="00495482">
        <w:rPr>
          <w:lang w:val="fr-FR" w:eastAsia="sl-SI"/>
        </w:rPr>
        <w:t>heures</w:t>
      </w:r>
      <w:r w:rsidRPr="00495482">
        <w:rPr>
          <w:lang w:val="fr-FR" w:eastAsia="sl-SI"/>
        </w:rPr>
        <w:t xml:space="preserve"> supplémentaires ou du travail de nuit</w:t>
      </w:r>
      <w:r w:rsidR="005D0F0F" w:rsidRPr="00495482">
        <w:rPr>
          <w:lang w:val="fr-FR" w:eastAsia="sl-SI"/>
        </w:rPr>
        <w:t>,</w:t>
      </w:r>
      <w:r w:rsidRPr="00495482">
        <w:rPr>
          <w:lang w:val="fr-FR" w:eastAsia="sl-SI"/>
        </w:rPr>
        <w:t xml:space="preserve"> ou le paiement des cotisations prescrites</w:t>
      </w:r>
      <w:r w:rsidR="005D0F0F" w:rsidRPr="00495482">
        <w:rPr>
          <w:lang w:val="fr-FR" w:eastAsia="sl-SI"/>
        </w:rPr>
        <w:t>,</w:t>
      </w:r>
      <w:r w:rsidRPr="00495482">
        <w:rPr>
          <w:lang w:val="fr-FR" w:eastAsia="sl-SI"/>
        </w:rPr>
        <w:t xml:space="preserve"> et prive ainsi un travailleur ou un demandeur d</w:t>
      </w:r>
      <w:r w:rsidR="005D0F0F" w:rsidRPr="00495482">
        <w:rPr>
          <w:lang w:val="fr-FR" w:eastAsia="sl-SI"/>
        </w:rPr>
        <w:t>’</w:t>
      </w:r>
      <w:r w:rsidRPr="00495482">
        <w:rPr>
          <w:lang w:val="fr-FR" w:eastAsia="sl-SI"/>
        </w:rPr>
        <w:t>emploi de ses droits légitimes</w:t>
      </w:r>
      <w:r w:rsidR="005D0F0F" w:rsidRPr="00495482">
        <w:rPr>
          <w:lang w:val="fr-FR" w:eastAsia="sl-SI"/>
        </w:rPr>
        <w:t>,</w:t>
      </w:r>
      <w:r w:rsidRPr="00495482">
        <w:rPr>
          <w:lang w:val="fr-FR" w:eastAsia="sl-SI"/>
        </w:rPr>
        <w:t xml:space="preserve"> ou qui les restreints</w:t>
      </w:r>
      <w:r w:rsidR="005D0F0F" w:rsidRPr="00495482">
        <w:rPr>
          <w:lang w:val="fr-FR" w:eastAsia="sl-SI"/>
        </w:rPr>
        <w:t>,</w:t>
      </w:r>
      <w:r w:rsidRPr="00495482">
        <w:rPr>
          <w:lang w:val="fr-FR" w:eastAsia="sl-SI"/>
        </w:rPr>
        <w:t xml:space="preserve"> sera passible d</w:t>
      </w:r>
      <w:r w:rsidR="005D0F0F" w:rsidRPr="00495482">
        <w:rPr>
          <w:lang w:val="fr-FR" w:eastAsia="sl-SI"/>
        </w:rPr>
        <w:t>’</w:t>
      </w:r>
      <w:r w:rsidRPr="00495482">
        <w:rPr>
          <w:lang w:val="fr-FR" w:eastAsia="sl-SI"/>
        </w:rPr>
        <w:t>une amende ou d</w:t>
      </w:r>
      <w:r w:rsidR="005D0F0F" w:rsidRPr="00495482">
        <w:rPr>
          <w:lang w:val="fr-FR" w:eastAsia="sl-SI"/>
        </w:rPr>
        <w:t>’</w:t>
      </w:r>
      <w:r w:rsidRPr="00495482">
        <w:rPr>
          <w:lang w:val="fr-FR" w:eastAsia="sl-SI"/>
        </w:rPr>
        <w:t>une peine de détention pouvant atteindre un an.</w:t>
      </w:r>
      <w:r w:rsidR="003D1A4F" w:rsidRPr="00495482">
        <w:rPr>
          <w:lang w:val="fr-FR" w:eastAsia="sl-SI"/>
        </w:rPr>
        <w:t xml:space="preserve"> </w:t>
      </w:r>
    </w:p>
    <w:p w:rsidR="00317603" w:rsidRPr="00495482" w:rsidRDefault="00317603" w:rsidP="00317603">
      <w:pPr>
        <w:spacing w:after="120"/>
        <w:ind w:left="1134" w:right="1134"/>
        <w:jc w:val="both"/>
        <w:rPr>
          <w:rFonts w:eastAsia="Calibri"/>
          <w:b/>
          <w:sz w:val="24"/>
          <w:szCs w:val="24"/>
          <w:lang w:val="fr-FR"/>
        </w:rPr>
      </w:pPr>
      <w:r w:rsidRPr="00495482">
        <w:rPr>
          <w:rFonts w:eastAsia="Calibri"/>
          <w:lang w:val="fr-FR"/>
        </w:rPr>
        <w:t>78.</w:t>
      </w:r>
      <w:r w:rsidRPr="00495482">
        <w:rPr>
          <w:rFonts w:eastAsia="Calibri"/>
          <w:lang w:val="fr-FR"/>
        </w:rPr>
        <w:tab/>
      </w:r>
      <w:r w:rsidRPr="00495482">
        <w:rPr>
          <w:lang w:val="fr-FR" w:eastAsia="sl-SI"/>
        </w:rPr>
        <w:t>En ce qui concerne le licenciement abusif d</w:t>
      </w:r>
      <w:r w:rsidR="005D0F0F" w:rsidRPr="00495482">
        <w:rPr>
          <w:lang w:val="fr-FR" w:eastAsia="sl-SI"/>
        </w:rPr>
        <w:t>’</w:t>
      </w:r>
      <w:r w:rsidRPr="00495482">
        <w:rPr>
          <w:lang w:val="fr-FR" w:eastAsia="sl-SI"/>
        </w:rPr>
        <w:t xml:space="preserve">un travailleur et la recommandation énoncée au </w:t>
      </w:r>
      <w:r w:rsidR="00FB11E8">
        <w:rPr>
          <w:lang w:val="fr-FR" w:eastAsia="sl-SI"/>
        </w:rPr>
        <w:t>paragraphe </w:t>
      </w:r>
      <w:r w:rsidRPr="00495482">
        <w:rPr>
          <w:lang w:val="fr-FR" w:eastAsia="sl-SI"/>
        </w:rPr>
        <w:t>23 des observations finales</w:t>
      </w:r>
      <w:r w:rsidR="005D0F0F" w:rsidRPr="00495482">
        <w:rPr>
          <w:lang w:val="fr-FR" w:eastAsia="sl-SI"/>
        </w:rPr>
        <w:t>,</w:t>
      </w:r>
      <w:r w:rsidRPr="00495482">
        <w:rPr>
          <w:lang w:val="fr-FR" w:eastAsia="sl-SI"/>
        </w:rPr>
        <w:t xml:space="preserve"> voir l</w:t>
      </w:r>
      <w:r w:rsidR="005D0F0F" w:rsidRPr="00495482">
        <w:rPr>
          <w:lang w:val="fr-FR" w:eastAsia="sl-SI"/>
        </w:rPr>
        <w:t>’</w:t>
      </w:r>
      <w:r w:rsidRPr="00495482">
        <w:rPr>
          <w:lang w:val="fr-FR" w:eastAsia="sl-SI"/>
        </w:rPr>
        <w:t>arrêt de la Cour suprême</w:t>
      </w:r>
      <w:r w:rsidR="005D0F0F" w:rsidRPr="00495482">
        <w:rPr>
          <w:lang w:val="fr-FR" w:eastAsia="sl-SI"/>
        </w:rPr>
        <w:t>,</w:t>
      </w:r>
      <w:r w:rsidRPr="00495482">
        <w:rPr>
          <w:lang w:val="fr-FR" w:eastAsia="sl-SI"/>
        </w:rPr>
        <w:t xml:space="preserve"> </w:t>
      </w:r>
      <w:r w:rsidR="00635C62">
        <w:rPr>
          <w:szCs w:val="18"/>
        </w:rPr>
        <w:t>n</w:t>
      </w:r>
      <w:r w:rsidR="00635C62" w:rsidRPr="001B12ED">
        <w:rPr>
          <w:szCs w:val="18"/>
          <w:vertAlign w:val="superscript"/>
          <w:lang w:val="fr-FR"/>
        </w:rPr>
        <w:t>o</w:t>
      </w:r>
      <w:r w:rsidR="00635C62">
        <w:rPr>
          <w:szCs w:val="18"/>
        </w:rPr>
        <w:t> </w:t>
      </w:r>
      <w:r w:rsidRPr="00495482">
        <w:rPr>
          <w:lang w:val="fr-FR" w:eastAsia="sl-SI"/>
        </w:rPr>
        <w:t>VDS</w:t>
      </w:r>
      <w:r w:rsidR="005D0F0F" w:rsidRPr="00495482">
        <w:rPr>
          <w:lang w:val="fr-FR" w:eastAsia="sl-SI"/>
        </w:rPr>
        <w:t>,</w:t>
      </w:r>
      <w:r w:rsidRPr="00495482">
        <w:rPr>
          <w:lang w:val="fr-FR" w:eastAsia="sl-SI"/>
        </w:rPr>
        <w:t xml:space="preserve"> jugement Pdp</w:t>
      </w:r>
      <w:r w:rsidR="003D1A4F" w:rsidRPr="00495482">
        <w:rPr>
          <w:lang w:val="fr-FR" w:eastAsia="sl-SI"/>
        </w:rPr>
        <w:t xml:space="preserve"> </w:t>
      </w:r>
      <w:r w:rsidRPr="00495482">
        <w:rPr>
          <w:lang w:val="fr-FR" w:eastAsia="sl-SI"/>
        </w:rPr>
        <w:t>1227/2006</w:t>
      </w:r>
      <w:r w:rsidR="005D0F0F" w:rsidRPr="00495482">
        <w:rPr>
          <w:lang w:val="fr-FR" w:eastAsia="sl-SI"/>
        </w:rPr>
        <w:t>,</w:t>
      </w:r>
      <w:r w:rsidRPr="00495482">
        <w:rPr>
          <w:lang w:val="fr-FR" w:eastAsia="sl-SI"/>
        </w:rPr>
        <w:t xml:space="preserve"> à l</w:t>
      </w:r>
      <w:r w:rsidR="005D0F0F" w:rsidRPr="00495482">
        <w:rPr>
          <w:lang w:val="fr-FR" w:eastAsia="sl-SI"/>
        </w:rPr>
        <w:t>’</w:t>
      </w:r>
      <w:r w:rsidRPr="00495482">
        <w:rPr>
          <w:lang w:val="fr-FR" w:eastAsia="sl-SI"/>
        </w:rPr>
        <w:t>annexe III.</w:t>
      </w:r>
      <w:r w:rsidRPr="00495482">
        <w:rPr>
          <w:rFonts w:eastAsia="Calibri"/>
          <w:b/>
          <w:sz w:val="24"/>
          <w:szCs w:val="24"/>
          <w:lang w:val="fr-FR"/>
        </w:rPr>
        <w:t xml:space="preserve"> </w:t>
      </w:r>
    </w:p>
    <w:p w:rsidR="00317603" w:rsidRPr="00495482" w:rsidRDefault="00317603" w:rsidP="00210F9A">
      <w:pPr>
        <w:pStyle w:val="H1G"/>
        <w:rPr>
          <w:rFonts w:eastAsia="Calibri"/>
          <w:szCs w:val="24"/>
          <w:lang w:val="fr-FR"/>
        </w:rPr>
      </w:pPr>
      <w:r w:rsidRPr="00495482">
        <w:rPr>
          <w:lang w:val="fr-FR"/>
        </w:rPr>
        <w:tab/>
      </w:r>
      <w:r w:rsidRPr="00495482">
        <w:rPr>
          <w:lang w:val="fr-FR"/>
        </w:rPr>
        <w:tab/>
        <w:t>Article 7</w:t>
      </w:r>
      <w:r w:rsidR="00210F9A" w:rsidRPr="00495482">
        <w:rPr>
          <w:lang w:val="fr-FR"/>
        </w:rPr>
        <w:br/>
      </w:r>
      <w:r w:rsidRPr="00495482">
        <w:rPr>
          <w:lang w:val="fr-FR"/>
        </w:rPr>
        <w:t xml:space="preserve">Droit à des conditions de travail justes et favorables </w:t>
      </w:r>
    </w:p>
    <w:p w:rsidR="00317603" w:rsidRPr="00495482" w:rsidRDefault="00317603" w:rsidP="00AF7925">
      <w:pPr>
        <w:pStyle w:val="H23G"/>
        <w:rPr>
          <w:lang w:val="fr-FR" w:eastAsia="sl-SI"/>
        </w:rPr>
      </w:pPr>
      <w:r w:rsidRPr="00495482">
        <w:rPr>
          <w:lang w:val="fr-FR" w:eastAsia="sl-SI"/>
        </w:rPr>
        <w:tab/>
      </w:r>
      <w:r w:rsidRPr="00495482">
        <w:rPr>
          <w:lang w:val="fr-FR" w:eastAsia="sl-SI"/>
        </w:rPr>
        <w:tab/>
        <w:t xml:space="preserve">Salaire minimum </w:t>
      </w:r>
    </w:p>
    <w:p w:rsidR="00317603" w:rsidRPr="00495482" w:rsidRDefault="00317603" w:rsidP="00AF7925">
      <w:pPr>
        <w:pStyle w:val="SingleTxtG"/>
        <w:rPr>
          <w:rFonts w:eastAsia="Calibri"/>
          <w:lang w:val="fr-FR"/>
        </w:rPr>
      </w:pPr>
      <w:r w:rsidRPr="00495482">
        <w:rPr>
          <w:rFonts w:eastAsia="Calibri"/>
          <w:lang w:val="fr-FR"/>
        </w:rPr>
        <w:t>79.</w:t>
      </w:r>
      <w:r w:rsidRPr="00495482">
        <w:rPr>
          <w:rFonts w:eastAsia="Calibri"/>
          <w:lang w:val="fr-FR"/>
        </w:rPr>
        <w:tab/>
      </w:r>
      <w:r w:rsidRPr="00495482">
        <w:rPr>
          <w:lang w:val="fr-FR"/>
        </w:rPr>
        <w:t>Le salaire minimum est fixé par la loi y relative</w:t>
      </w:r>
      <w:r w:rsidRPr="00495482">
        <w:rPr>
          <w:rStyle w:val="FootnoteReference"/>
          <w:rFonts w:eastAsia="Calibri"/>
        </w:rPr>
        <w:footnoteReference w:id="42"/>
      </w:r>
      <w:r w:rsidR="00210F9A" w:rsidRPr="00495482">
        <w:rPr>
          <w:lang w:val="fr-FR"/>
        </w:rPr>
        <w:t>.</w:t>
      </w:r>
      <w:r w:rsidRPr="00495482">
        <w:rPr>
          <w:rFonts w:eastAsia="Calibri"/>
          <w:lang w:val="fr-FR"/>
        </w:rPr>
        <w:t xml:space="preserve"> Depuis mars 2010</w:t>
      </w:r>
      <w:r w:rsidR="005D0F0F" w:rsidRPr="00495482">
        <w:rPr>
          <w:rFonts w:eastAsia="Calibri"/>
          <w:lang w:val="fr-FR"/>
        </w:rPr>
        <w:t>,</w:t>
      </w:r>
      <w:r w:rsidRPr="00495482">
        <w:rPr>
          <w:rFonts w:eastAsia="Calibri"/>
          <w:lang w:val="fr-FR"/>
        </w:rPr>
        <w:t xml:space="preserve"> le salaire minimum versé en contrepartie d</w:t>
      </w:r>
      <w:r w:rsidR="005D0F0F" w:rsidRPr="00495482">
        <w:rPr>
          <w:rFonts w:eastAsia="Calibri"/>
          <w:lang w:val="fr-FR"/>
        </w:rPr>
        <w:t>’</w:t>
      </w:r>
      <w:r w:rsidRPr="00495482">
        <w:rPr>
          <w:rFonts w:eastAsia="Calibri"/>
          <w:lang w:val="fr-FR"/>
        </w:rPr>
        <w:t>un travail accompli était de 734</w:t>
      </w:r>
      <w:r w:rsidR="005D0F0F" w:rsidRPr="00495482">
        <w:rPr>
          <w:rFonts w:eastAsia="Calibri"/>
          <w:lang w:val="fr-FR"/>
        </w:rPr>
        <w:t>,</w:t>
      </w:r>
      <w:r w:rsidRPr="00495482">
        <w:rPr>
          <w:rFonts w:eastAsia="Calibri"/>
          <w:lang w:val="fr-FR"/>
        </w:rPr>
        <w:t>15</w:t>
      </w:r>
      <w:r w:rsidR="00210F9A" w:rsidRPr="00495482">
        <w:rPr>
          <w:rFonts w:eastAsia="Calibri"/>
          <w:lang w:val="fr-FR"/>
        </w:rPr>
        <w:t> euros</w:t>
      </w:r>
      <w:r w:rsidR="005D0F0F" w:rsidRPr="00495482">
        <w:rPr>
          <w:rFonts w:eastAsia="Calibri"/>
          <w:lang w:val="fr-FR"/>
        </w:rPr>
        <w:t>,</w:t>
      </w:r>
      <w:r w:rsidRPr="00495482">
        <w:rPr>
          <w:rFonts w:eastAsia="Calibri"/>
          <w:lang w:val="fr-FR"/>
        </w:rPr>
        <w:t xml:space="preserve"> c</w:t>
      </w:r>
      <w:r w:rsidR="005D0F0F" w:rsidRPr="00495482">
        <w:rPr>
          <w:rFonts w:eastAsia="Calibri"/>
          <w:lang w:val="fr-FR"/>
        </w:rPr>
        <w:t>’</w:t>
      </w:r>
      <w:r w:rsidRPr="00495482">
        <w:rPr>
          <w:rFonts w:eastAsia="Calibri"/>
          <w:lang w:val="fr-FR"/>
        </w:rPr>
        <w:t>est-à-dire 562</w:t>
      </w:r>
      <w:r w:rsidR="005D0F0F" w:rsidRPr="00495482">
        <w:rPr>
          <w:rFonts w:eastAsia="Calibri"/>
          <w:lang w:val="fr-FR"/>
        </w:rPr>
        <w:t>,</w:t>
      </w:r>
      <w:r w:rsidRPr="00495482">
        <w:rPr>
          <w:rFonts w:eastAsia="Calibri"/>
          <w:lang w:val="fr-FR"/>
        </w:rPr>
        <w:t>07</w:t>
      </w:r>
      <w:r w:rsidR="00210F9A" w:rsidRPr="00495482">
        <w:rPr>
          <w:rFonts w:eastAsia="Calibri"/>
          <w:lang w:val="fr-FR"/>
        </w:rPr>
        <w:t> euros</w:t>
      </w:r>
      <w:r w:rsidRPr="00495482">
        <w:rPr>
          <w:rFonts w:eastAsia="Calibri"/>
          <w:lang w:val="fr-FR"/>
        </w:rPr>
        <w:t xml:space="preserve"> nets. La loi l</w:t>
      </w:r>
      <w:r w:rsidR="005D0F0F" w:rsidRPr="00495482">
        <w:rPr>
          <w:rFonts w:eastAsia="Calibri"/>
          <w:lang w:val="fr-FR"/>
        </w:rPr>
        <w:t>’</w:t>
      </w:r>
      <w:r w:rsidRPr="00495482">
        <w:rPr>
          <w:rFonts w:eastAsia="Calibri"/>
          <w:lang w:val="fr-FR"/>
        </w:rPr>
        <w:t>a donc augmenté de 102</w:t>
      </w:r>
      <w:r w:rsidR="00210F9A" w:rsidRPr="00495482">
        <w:rPr>
          <w:rFonts w:eastAsia="Calibri"/>
          <w:lang w:val="fr-FR"/>
        </w:rPr>
        <w:t> euros</w:t>
      </w:r>
      <w:r w:rsidR="005D0F0F" w:rsidRPr="00495482">
        <w:rPr>
          <w:rFonts w:eastAsia="Calibri"/>
          <w:lang w:val="fr-FR"/>
        </w:rPr>
        <w:t>,</w:t>
      </w:r>
      <w:r w:rsidRPr="00495482">
        <w:rPr>
          <w:rFonts w:eastAsia="Calibri"/>
          <w:lang w:val="fr-FR"/>
        </w:rPr>
        <w:t xml:space="preserve"> en fonction de l</w:t>
      </w:r>
      <w:r w:rsidR="005D0F0F" w:rsidRPr="00495482">
        <w:rPr>
          <w:rFonts w:eastAsia="Calibri"/>
          <w:lang w:val="fr-FR"/>
        </w:rPr>
        <w:t>’</w:t>
      </w:r>
      <w:r w:rsidRPr="00495482">
        <w:rPr>
          <w:rFonts w:eastAsia="Calibri"/>
          <w:lang w:val="fr-FR"/>
        </w:rPr>
        <w:t>évaluation minimum du coût de la vie. Le salaire minimum peut en outre être relevé après consultation des partenaires sociaux</w:t>
      </w:r>
      <w:r w:rsidR="005D0F0F" w:rsidRPr="00495482">
        <w:rPr>
          <w:rFonts w:eastAsia="Calibri"/>
          <w:lang w:val="fr-FR"/>
        </w:rPr>
        <w:t>,</w:t>
      </w:r>
      <w:r w:rsidRPr="00495482">
        <w:rPr>
          <w:rFonts w:eastAsia="Calibri"/>
          <w:lang w:val="fr-FR"/>
        </w:rPr>
        <w:t xml:space="preserve"> en tenant compte d</w:t>
      </w:r>
      <w:r w:rsidR="005D0F0F" w:rsidRPr="00495482">
        <w:rPr>
          <w:rFonts w:eastAsia="Calibri"/>
          <w:lang w:val="fr-FR"/>
        </w:rPr>
        <w:t>’</w:t>
      </w:r>
      <w:r w:rsidRPr="00495482">
        <w:rPr>
          <w:rFonts w:eastAsia="Calibri"/>
          <w:lang w:val="fr-FR"/>
        </w:rPr>
        <w:t>autres indices. Sa fixation s</w:t>
      </w:r>
      <w:r w:rsidR="005D0F0F" w:rsidRPr="00495482">
        <w:rPr>
          <w:rFonts w:eastAsia="Calibri"/>
          <w:lang w:val="fr-FR"/>
        </w:rPr>
        <w:t>’</w:t>
      </w:r>
      <w:r w:rsidRPr="00495482">
        <w:rPr>
          <w:rFonts w:eastAsia="Calibri"/>
          <w:lang w:val="fr-FR"/>
        </w:rPr>
        <w:t xml:space="preserve">appuie sur les directives de la Convention </w:t>
      </w:r>
      <w:r w:rsidR="00150B2F">
        <w:rPr>
          <w:szCs w:val="18"/>
        </w:rPr>
        <w:t>n</w:t>
      </w:r>
      <w:r w:rsidR="00150B2F" w:rsidRPr="001B12ED">
        <w:rPr>
          <w:szCs w:val="18"/>
          <w:vertAlign w:val="superscript"/>
          <w:lang w:val="fr-FR"/>
        </w:rPr>
        <w:t>o</w:t>
      </w:r>
      <w:r w:rsidR="00150B2F">
        <w:rPr>
          <w:szCs w:val="18"/>
        </w:rPr>
        <w:t> </w:t>
      </w:r>
      <w:r w:rsidRPr="00495482">
        <w:rPr>
          <w:rFonts w:eastAsia="Calibri"/>
          <w:lang w:val="fr-FR"/>
        </w:rPr>
        <w:t>131 de l</w:t>
      </w:r>
      <w:r w:rsidR="005D0F0F" w:rsidRPr="00495482">
        <w:rPr>
          <w:rFonts w:eastAsia="Calibri"/>
          <w:lang w:val="fr-FR"/>
        </w:rPr>
        <w:t>’</w:t>
      </w:r>
      <w:r w:rsidRPr="00495482">
        <w:rPr>
          <w:rFonts w:eastAsia="Calibri"/>
          <w:lang w:val="fr-FR"/>
        </w:rPr>
        <w:t>Organisation internationale du travail sur la fixation des salaires minima</w:t>
      </w:r>
      <w:r w:rsidRPr="00495482">
        <w:rPr>
          <w:rStyle w:val="FootnoteReference"/>
          <w:rFonts w:eastAsia="Calibri"/>
        </w:rPr>
        <w:footnoteReference w:id="43"/>
      </w:r>
      <w:r w:rsidR="005D0F0F" w:rsidRPr="00495482">
        <w:rPr>
          <w:lang w:val="fr-FR"/>
        </w:rPr>
        <w:t>,</w:t>
      </w:r>
      <w:r w:rsidRPr="00495482">
        <w:rPr>
          <w:lang w:val="fr-FR"/>
        </w:rPr>
        <w:t xml:space="preserve"> et sur les recommandations de sa mise en </w:t>
      </w:r>
      <w:r w:rsidR="002328BD" w:rsidRPr="00495482">
        <w:rPr>
          <w:lang w:val="fr-FR"/>
        </w:rPr>
        <w:t>œuvre</w:t>
      </w:r>
      <w:r w:rsidRPr="00495482">
        <w:rPr>
          <w:lang w:val="fr-FR"/>
        </w:rPr>
        <w:t>. Simultanément</w:t>
      </w:r>
      <w:r w:rsidR="005D0F0F" w:rsidRPr="00495482">
        <w:rPr>
          <w:lang w:val="fr-FR"/>
        </w:rPr>
        <w:t>,</w:t>
      </w:r>
      <w:r w:rsidRPr="00495482">
        <w:rPr>
          <w:lang w:val="fr-FR"/>
        </w:rPr>
        <w:t xml:space="preserve"> la loi portant modification de la loi relative à l</w:t>
      </w:r>
      <w:r w:rsidR="005D0F0F" w:rsidRPr="00495482">
        <w:rPr>
          <w:lang w:val="fr-FR"/>
        </w:rPr>
        <w:t>’</w:t>
      </w:r>
      <w:r w:rsidRPr="00495482">
        <w:rPr>
          <w:lang w:val="fr-FR"/>
        </w:rPr>
        <w:t>impôt sur le revenu est entrée en vigueur</w:t>
      </w:r>
      <w:r w:rsidR="005D0F0F" w:rsidRPr="00495482">
        <w:rPr>
          <w:lang w:val="fr-FR"/>
        </w:rPr>
        <w:t>;</w:t>
      </w:r>
      <w:r w:rsidRPr="00495482">
        <w:rPr>
          <w:lang w:val="fr-FR"/>
        </w:rPr>
        <w:t xml:space="preserve"> elle relève l</w:t>
      </w:r>
      <w:r w:rsidR="005D0F0F" w:rsidRPr="00495482">
        <w:rPr>
          <w:lang w:val="fr-FR"/>
        </w:rPr>
        <w:t>’</w:t>
      </w:r>
      <w:r w:rsidRPr="00495482">
        <w:rPr>
          <w:lang w:val="fr-FR"/>
        </w:rPr>
        <w:t>abattement fiscal général et le revenu seuil considéré pour son application</w:t>
      </w:r>
      <w:r w:rsidR="005D0F0F" w:rsidRPr="00495482">
        <w:rPr>
          <w:lang w:val="fr-FR"/>
        </w:rPr>
        <w:t>,</w:t>
      </w:r>
      <w:r w:rsidRPr="00495482">
        <w:rPr>
          <w:lang w:val="fr-FR"/>
        </w:rPr>
        <w:t xml:space="preserve"> et permet ainsi également d</w:t>
      </w:r>
      <w:r w:rsidR="005D0F0F" w:rsidRPr="00495482">
        <w:rPr>
          <w:lang w:val="fr-FR"/>
        </w:rPr>
        <w:t>’</w:t>
      </w:r>
      <w:r w:rsidRPr="00495482">
        <w:rPr>
          <w:lang w:val="fr-FR"/>
        </w:rPr>
        <w:t>augmenter le salaire minimum. Début 2010</w:t>
      </w:r>
      <w:r w:rsidR="005D0F0F" w:rsidRPr="00495482">
        <w:rPr>
          <w:lang w:val="fr-FR"/>
        </w:rPr>
        <w:t>,</w:t>
      </w:r>
      <w:r w:rsidRPr="00495482">
        <w:rPr>
          <w:lang w:val="fr-FR"/>
        </w:rPr>
        <w:t xml:space="preserve"> environ 16 000</w:t>
      </w:r>
      <w:r w:rsidR="002328BD" w:rsidRPr="00495482">
        <w:rPr>
          <w:lang w:val="fr-FR"/>
        </w:rPr>
        <w:t> personnes</w:t>
      </w:r>
      <w:r w:rsidRPr="00495482">
        <w:rPr>
          <w:lang w:val="fr-FR"/>
        </w:rPr>
        <w:t xml:space="preserve"> percevaient le salaire minimum (voir tableau à l</w:t>
      </w:r>
      <w:r w:rsidR="005D0F0F" w:rsidRPr="00495482">
        <w:rPr>
          <w:lang w:val="fr-FR"/>
        </w:rPr>
        <w:t>’</w:t>
      </w:r>
      <w:r w:rsidRPr="00495482">
        <w:rPr>
          <w:lang w:val="fr-FR"/>
        </w:rPr>
        <w:t xml:space="preserve">annexe I). </w:t>
      </w:r>
    </w:p>
    <w:p w:rsidR="00317603" w:rsidRPr="00495482" w:rsidRDefault="00317603" w:rsidP="00AF7925">
      <w:pPr>
        <w:pStyle w:val="H23G"/>
        <w:rPr>
          <w:lang w:val="fr-FR" w:eastAsia="sl-SI"/>
        </w:rPr>
      </w:pPr>
      <w:r w:rsidRPr="00495482">
        <w:rPr>
          <w:lang w:val="fr-FR" w:eastAsia="sl-SI"/>
        </w:rPr>
        <w:tab/>
      </w:r>
      <w:r w:rsidRPr="00495482">
        <w:rPr>
          <w:lang w:val="fr-FR" w:eastAsia="sl-SI"/>
        </w:rPr>
        <w:tab/>
        <w:t xml:space="preserve">Conditions de travail </w:t>
      </w:r>
    </w:p>
    <w:p w:rsidR="00317603" w:rsidRPr="00495482" w:rsidRDefault="00317603" w:rsidP="00AF7925">
      <w:pPr>
        <w:pStyle w:val="SingleTxtG"/>
        <w:rPr>
          <w:lang w:val="fr-FR" w:eastAsia="sl-SI"/>
        </w:rPr>
      </w:pPr>
      <w:r w:rsidRPr="00495482">
        <w:rPr>
          <w:lang w:val="fr-FR" w:eastAsia="sl-SI"/>
        </w:rPr>
        <w:t>80.</w:t>
      </w:r>
      <w:r w:rsidRPr="00495482">
        <w:rPr>
          <w:lang w:val="fr-FR" w:eastAsia="sl-SI"/>
        </w:rPr>
        <w:tab/>
        <w:t>Depuis le dernier rapport</w:t>
      </w:r>
      <w:r w:rsidR="005D0F0F" w:rsidRPr="00495482">
        <w:rPr>
          <w:lang w:val="fr-FR" w:eastAsia="sl-SI"/>
        </w:rPr>
        <w:t>,</w:t>
      </w:r>
      <w:r w:rsidRPr="00495482">
        <w:rPr>
          <w:lang w:val="fr-FR" w:eastAsia="sl-SI"/>
        </w:rPr>
        <w:t xml:space="preserve"> les modifications apportées à la loi sur les relations professionnelles ont essentiellement concerné les</w:t>
      </w:r>
      <w:r w:rsidR="00AF7925" w:rsidRPr="00495482">
        <w:rPr>
          <w:lang w:val="fr-FR" w:eastAsia="sl-SI"/>
        </w:rPr>
        <w:t xml:space="preserve"> </w:t>
      </w:r>
      <w:r w:rsidR="008F7FB7" w:rsidRPr="00495482">
        <w:rPr>
          <w:lang w:val="fr-FR" w:eastAsia="sl-SI"/>
        </w:rPr>
        <w:t>heures</w:t>
      </w:r>
      <w:r w:rsidRPr="00495482">
        <w:rPr>
          <w:lang w:val="fr-FR" w:eastAsia="sl-SI"/>
        </w:rPr>
        <w:t xml:space="preserve"> supplémentaires (dont la durée annuelle a été réduite de 180 à 170</w:t>
      </w:r>
      <w:r w:rsidR="008F7FB7" w:rsidRPr="00495482">
        <w:rPr>
          <w:lang w:val="fr-FR" w:eastAsia="sl-SI"/>
        </w:rPr>
        <w:t> heures</w:t>
      </w:r>
      <w:r w:rsidR="005D0F0F" w:rsidRPr="00495482">
        <w:rPr>
          <w:lang w:val="fr-FR" w:eastAsia="sl-SI"/>
        </w:rPr>
        <w:t>,</w:t>
      </w:r>
      <w:r w:rsidRPr="00495482">
        <w:rPr>
          <w:lang w:val="fr-FR" w:eastAsia="sl-SI"/>
        </w:rPr>
        <w:t xml:space="preserve"> excepté en cas de consentement écrit du travailleur où elle peut atteindre 230</w:t>
      </w:r>
      <w:r w:rsidR="008F7FB7" w:rsidRPr="00495482">
        <w:rPr>
          <w:lang w:val="fr-FR" w:eastAsia="sl-SI"/>
        </w:rPr>
        <w:t> heures</w:t>
      </w:r>
      <w:r w:rsidRPr="00495482">
        <w:rPr>
          <w:lang w:val="fr-FR" w:eastAsia="sl-SI"/>
        </w:rPr>
        <w:t>)</w:t>
      </w:r>
      <w:r w:rsidR="005D0F0F" w:rsidRPr="00495482">
        <w:rPr>
          <w:lang w:val="fr-FR" w:eastAsia="sl-SI"/>
        </w:rPr>
        <w:t>,</w:t>
      </w:r>
      <w:r w:rsidRPr="00495482">
        <w:rPr>
          <w:lang w:val="fr-FR" w:eastAsia="sl-SI"/>
        </w:rPr>
        <w:t xml:space="preserve"> la question de l</w:t>
      </w:r>
      <w:r w:rsidR="005D0F0F" w:rsidRPr="00495482">
        <w:rPr>
          <w:lang w:val="fr-FR" w:eastAsia="sl-SI"/>
        </w:rPr>
        <w:t>’</w:t>
      </w:r>
      <w:r w:rsidRPr="00495482">
        <w:rPr>
          <w:lang w:val="fr-FR" w:eastAsia="sl-SI"/>
        </w:rPr>
        <w:t>égalité de traitement (les modifications apportées en 2007 à la loi susmentionnée ajoutent que toute différence de traitement pour cause de grossesse ou de congé parental sera considérée comme une discrimination</w:t>
      </w:r>
      <w:r w:rsidR="005D0F0F" w:rsidRPr="00495482">
        <w:rPr>
          <w:lang w:val="fr-FR" w:eastAsia="sl-SI"/>
        </w:rPr>
        <w:t>,</w:t>
      </w:r>
      <w:r w:rsidRPr="00495482">
        <w:rPr>
          <w:lang w:val="fr-FR" w:eastAsia="sl-SI"/>
        </w:rPr>
        <w:t xml:space="preserve"> et que les</w:t>
      </w:r>
      <w:r w:rsidR="003D1A4F" w:rsidRPr="00495482">
        <w:rPr>
          <w:lang w:val="fr-FR" w:eastAsia="sl-SI"/>
        </w:rPr>
        <w:t xml:space="preserve"> </w:t>
      </w:r>
      <w:r w:rsidRPr="00495482">
        <w:rPr>
          <w:lang w:val="fr-FR" w:eastAsia="sl-SI"/>
        </w:rPr>
        <w:t>victimes et celles qui les ont aidées ne peuvent subir les conséquences négatives d</w:t>
      </w:r>
      <w:r w:rsidR="005D0F0F" w:rsidRPr="00495482">
        <w:rPr>
          <w:lang w:val="fr-FR" w:eastAsia="sl-SI"/>
        </w:rPr>
        <w:t>’</w:t>
      </w:r>
      <w:r w:rsidRPr="00495482">
        <w:rPr>
          <w:lang w:val="fr-FR" w:eastAsia="sl-SI"/>
        </w:rPr>
        <w:t>une action visant à interdire la discrimination)</w:t>
      </w:r>
      <w:r w:rsidR="005D0F0F" w:rsidRPr="00495482">
        <w:rPr>
          <w:lang w:val="fr-FR" w:eastAsia="sl-SI"/>
        </w:rPr>
        <w:t>,</w:t>
      </w:r>
      <w:r w:rsidRPr="00495482">
        <w:rPr>
          <w:lang w:val="fr-FR" w:eastAsia="sl-SI"/>
        </w:rPr>
        <w:t xml:space="preserve"> et la question des absences non rémunérées (les modifications à la loi sur les relations professionnelles indiquent qu</w:t>
      </w:r>
      <w:r w:rsidR="005D0F0F" w:rsidRPr="00495482">
        <w:rPr>
          <w:lang w:val="fr-FR" w:eastAsia="sl-SI"/>
        </w:rPr>
        <w:t>’</w:t>
      </w:r>
      <w:r w:rsidRPr="00495482">
        <w:rPr>
          <w:lang w:val="fr-FR" w:eastAsia="sl-SI"/>
        </w:rPr>
        <w:t>un salarié et un employeur peuvent</w:t>
      </w:r>
      <w:r w:rsidR="005D0F0F" w:rsidRPr="00495482">
        <w:rPr>
          <w:lang w:val="fr-FR" w:eastAsia="sl-SI"/>
        </w:rPr>
        <w:t>,</w:t>
      </w:r>
      <w:r w:rsidRPr="00495482">
        <w:rPr>
          <w:lang w:val="fr-FR" w:eastAsia="sl-SI"/>
        </w:rPr>
        <w:t xml:space="preserve"> dans le contrat de travail</w:t>
      </w:r>
      <w:r w:rsidR="005D0F0F" w:rsidRPr="00495482">
        <w:rPr>
          <w:lang w:val="fr-FR" w:eastAsia="sl-SI"/>
        </w:rPr>
        <w:t>,</w:t>
      </w:r>
      <w:r w:rsidRPr="00495482">
        <w:rPr>
          <w:lang w:val="fr-FR" w:eastAsia="sl-SI"/>
        </w:rPr>
        <w:t xml:space="preserve"> convenir d</w:t>
      </w:r>
      <w:r w:rsidR="005D0F0F" w:rsidRPr="00495482">
        <w:rPr>
          <w:lang w:val="fr-FR" w:eastAsia="sl-SI"/>
        </w:rPr>
        <w:t>’</w:t>
      </w:r>
      <w:r w:rsidRPr="00495482">
        <w:rPr>
          <w:lang w:val="fr-FR" w:eastAsia="sl-SI"/>
        </w:rPr>
        <w:t>absences temporaires non rémunérées lors desquelles les droits contractuels et autres droits et devoirs associés à l</w:t>
      </w:r>
      <w:r w:rsidR="005D0F0F" w:rsidRPr="00495482">
        <w:rPr>
          <w:lang w:val="fr-FR" w:eastAsia="sl-SI"/>
        </w:rPr>
        <w:t>’</w:t>
      </w:r>
      <w:r w:rsidRPr="00495482">
        <w:rPr>
          <w:lang w:val="fr-FR" w:eastAsia="sl-SI"/>
        </w:rPr>
        <w:t>emploi et directement liés à l</w:t>
      </w:r>
      <w:r w:rsidR="005D0F0F" w:rsidRPr="00495482">
        <w:rPr>
          <w:lang w:val="fr-FR" w:eastAsia="sl-SI"/>
        </w:rPr>
        <w:t>’</w:t>
      </w:r>
      <w:r w:rsidRPr="00495482">
        <w:rPr>
          <w:lang w:val="fr-FR" w:eastAsia="sl-SI"/>
        </w:rPr>
        <w:t>exécution du travail</w:t>
      </w:r>
      <w:r w:rsidR="005D0F0F" w:rsidRPr="00495482">
        <w:rPr>
          <w:lang w:val="fr-FR" w:eastAsia="sl-SI"/>
        </w:rPr>
        <w:t>,</w:t>
      </w:r>
      <w:r w:rsidRPr="00495482">
        <w:rPr>
          <w:lang w:val="fr-FR" w:eastAsia="sl-SI"/>
        </w:rPr>
        <w:t xml:space="preserve"> sont considérés comme temporairement suspendus</w:t>
      </w:r>
      <w:r w:rsidR="005D0F0F" w:rsidRPr="00495482">
        <w:rPr>
          <w:lang w:val="fr-FR" w:eastAsia="sl-SI"/>
        </w:rPr>
        <w:t>,</w:t>
      </w:r>
      <w:r w:rsidRPr="00495482">
        <w:rPr>
          <w:lang w:val="fr-FR" w:eastAsia="sl-SI"/>
        </w:rPr>
        <w:t xml:space="preserve"> mais l</w:t>
      </w:r>
      <w:r w:rsidR="005D0F0F" w:rsidRPr="00495482">
        <w:rPr>
          <w:lang w:val="fr-FR" w:eastAsia="sl-SI"/>
        </w:rPr>
        <w:t>’</w:t>
      </w:r>
      <w:r w:rsidRPr="00495482">
        <w:rPr>
          <w:lang w:val="fr-FR" w:eastAsia="sl-SI"/>
        </w:rPr>
        <w:t>employé a le droit et l</w:t>
      </w:r>
      <w:r w:rsidR="005D0F0F" w:rsidRPr="00495482">
        <w:rPr>
          <w:lang w:val="fr-FR" w:eastAsia="sl-SI"/>
        </w:rPr>
        <w:t>’</w:t>
      </w:r>
      <w:r w:rsidRPr="00495482">
        <w:rPr>
          <w:lang w:val="fr-FR" w:eastAsia="sl-SI"/>
        </w:rPr>
        <w:t>obligation de revenir travailler au plus tard cinq</w:t>
      </w:r>
      <w:r w:rsidR="00495482">
        <w:rPr>
          <w:lang w:val="fr-FR" w:eastAsia="sl-SI"/>
        </w:rPr>
        <w:t> jours</w:t>
      </w:r>
      <w:r w:rsidRPr="00495482">
        <w:rPr>
          <w:lang w:val="fr-FR" w:eastAsia="sl-SI"/>
        </w:rPr>
        <w:t xml:space="preserve"> après la cessation des raisons de l</w:t>
      </w:r>
      <w:r w:rsidR="005D0F0F" w:rsidRPr="00495482">
        <w:rPr>
          <w:lang w:val="fr-FR" w:eastAsia="sl-SI"/>
        </w:rPr>
        <w:t>’</w:t>
      </w:r>
      <w:r w:rsidRPr="00495482">
        <w:rPr>
          <w:lang w:val="fr-FR" w:eastAsia="sl-SI"/>
        </w:rPr>
        <w:t xml:space="preserve">abrogation temporaire du contrat). </w:t>
      </w:r>
    </w:p>
    <w:p w:rsidR="00317603" w:rsidRPr="00495482" w:rsidRDefault="00317603" w:rsidP="00AF7925">
      <w:pPr>
        <w:pStyle w:val="H23G"/>
        <w:rPr>
          <w:lang w:val="fr-FR" w:eastAsia="sl-SI"/>
        </w:rPr>
      </w:pPr>
      <w:r w:rsidRPr="00495482">
        <w:rPr>
          <w:lang w:val="fr-FR" w:eastAsia="sl-SI"/>
        </w:rPr>
        <w:tab/>
      </w:r>
      <w:r w:rsidRPr="00495482">
        <w:rPr>
          <w:lang w:val="fr-FR" w:eastAsia="sl-SI"/>
        </w:rPr>
        <w:tab/>
        <w:t>Contrat de travail de courte durée</w:t>
      </w:r>
    </w:p>
    <w:p w:rsidR="00317603" w:rsidRPr="00495482" w:rsidRDefault="00317603" w:rsidP="00AF7925">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30 des observations finales</w:t>
      </w:r>
      <w:r w:rsidR="003D1A4F" w:rsidRPr="00495482">
        <w:rPr>
          <w:lang w:val="fr-FR" w:eastAsia="sl-SI"/>
        </w:rPr>
        <w:t xml:space="preserve"> </w:t>
      </w:r>
    </w:p>
    <w:p w:rsidR="00317603" w:rsidRPr="00495482" w:rsidRDefault="00317603" w:rsidP="00AF7925">
      <w:pPr>
        <w:pStyle w:val="SingleTxtG"/>
        <w:rPr>
          <w:lang w:val="fr-FR" w:eastAsia="sl-SI"/>
        </w:rPr>
      </w:pPr>
      <w:r w:rsidRPr="00495482">
        <w:rPr>
          <w:lang w:val="fr-FR" w:eastAsia="sl-SI"/>
        </w:rPr>
        <w:t>81.</w:t>
      </w:r>
      <w:r w:rsidRPr="00495482">
        <w:rPr>
          <w:lang w:val="fr-FR" w:eastAsia="sl-SI"/>
        </w:rPr>
        <w:tab/>
        <w:t>Le droit interne (loi sur les relations professionnelles</w:t>
      </w:r>
      <w:r w:rsidRPr="00495482">
        <w:rPr>
          <w:rStyle w:val="FootnoteReference"/>
        </w:rPr>
        <w:footnoteReference w:id="44"/>
      </w:r>
      <w:r w:rsidRPr="00495482">
        <w:rPr>
          <w:lang w:val="fr-FR" w:eastAsia="sl-SI"/>
        </w:rPr>
        <w:t>) prescrit en règle générale la signature de contrats à durée indéterminée</w:t>
      </w:r>
      <w:r w:rsidR="005D0F0F" w:rsidRPr="00495482">
        <w:rPr>
          <w:lang w:val="fr-FR" w:eastAsia="sl-SI"/>
        </w:rPr>
        <w:t>,</w:t>
      </w:r>
      <w:r w:rsidRPr="00495482">
        <w:rPr>
          <w:lang w:val="fr-FR" w:eastAsia="sl-SI"/>
        </w:rPr>
        <w:t xml:space="preserve"> et il n</w:t>
      </w:r>
      <w:r w:rsidR="005D0F0F" w:rsidRPr="00495482">
        <w:rPr>
          <w:lang w:val="fr-FR" w:eastAsia="sl-SI"/>
        </w:rPr>
        <w:t>’</w:t>
      </w:r>
      <w:r w:rsidRPr="00495482">
        <w:rPr>
          <w:lang w:val="fr-FR" w:eastAsia="sl-SI"/>
        </w:rPr>
        <w:t>autorise qu</w:t>
      </w:r>
      <w:r w:rsidR="005D0F0F" w:rsidRPr="00495482">
        <w:rPr>
          <w:lang w:val="fr-FR" w:eastAsia="sl-SI"/>
        </w:rPr>
        <w:t>’</w:t>
      </w:r>
      <w:r w:rsidRPr="00495482">
        <w:rPr>
          <w:lang w:val="fr-FR" w:eastAsia="sl-SI"/>
        </w:rPr>
        <w:t>un nombre restreint d</w:t>
      </w:r>
      <w:r w:rsidR="005D0F0F" w:rsidRPr="00495482">
        <w:rPr>
          <w:lang w:val="fr-FR" w:eastAsia="sl-SI"/>
        </w:rPr>
        <w:t>’</w:t>
      </w:r>
      <w:r w:rsidRPr="00495482">
        <w:rPr>
          <w:lang w:val="fr-FR" w:eastAsia="sl-SI"/>
        </w:rPr>
        <w:t>exceptions énumérées dans la loi (à l</w:t>
      </w:r>
      <w:r w:rsidR="005D0F0F" w:rsidRPr="00495482">
        <w:rPr>
          <w:lang w:val="fr-FR" w:eastAsia="sl-SI"/>
        </w:rPr>
        <w:t>’</w:t>
      </w:r>
      <w:r w:rsidRPr="00495482">
        <w:rPr>
          <w:lang w:val="fr-FR" w:eastAsia="sl-SI"/>
        </w:rPr>
        <w:t>exclusion de toute autre réglementation)</w:t>
      </w:r>
      <w:r w:rsidR="005D0F0F" w:rsidRPr="00495482">
        <w:rPr>
          <w:lang w:val="fr-FR" w:eastAsia="sl-SI"/>
        </w:rPr>
        <w:t>,</w:t>
      </w:r>
      <w:r w:rsidRPr="00495482">
        <w:rPr>
          <w:lang w:val="fr-FR" w:eastAsia="sl-SI"/>
        </w:rPr>
        <w:t xml:space="preserve"> ou dans les contrats collectifs – mais uniquement au plus haut niveau – lorsque les partenaires sociaux au niveau d</w:t>
      </w:r>
      <w:r w:rsidR="005D0F0F" w:rsidRPr="00495482">
        <w:rPr>
          <w:lang w:val="fr-FR" w:eastAsia="sl-SI"/>
        </w:rPr>
        <w:t>’</w:t>
      </w:r>
      <w:r w:rsidRPr="00495482">
        <w:rPr>
          <w:lang w:val="fr-FR" w:eastAsia="sl-SI"/>
        </w:rPr>
        <w:t>une branche d</w:t>
      </w:r>
      <w:r w:rsidR="005D0F0F" w:rsidRPr="00495482">
        <w:rPr>
          <w:lang w:val="fr-FR" w:eastAsia="sl-SI"/>
        </w:rPr>
        <w:t>’</w:t>
      </w:r>
      <w:r w:rsidRPr="00495482">
        <w:rPr>
          <w:lang w:val="fr-FR" w:eastAsia="sl-SI"/>
        </w:rPr>
        <w:t>activité conviennent d</w:t>
      </w:r>
      <w:r w:rsidR="005D0F0F" w:rsidRPr="00495482">
        <w:rPr>
          <w:lang w:val="fr-FR" w:eastAsia="sl-SI"/>
        </w:rPr>
        <w:t>’</w:t>
      </w:r>
      <w:r w:rsidRPr="00495482">
        <w:rPr>
          <w:lang w:val="fr-FR" w:eastAsia="sl-SI"/>
        </w:rPr>
        <w:t>exceptions. Si un employeur conclut un contrat de travail de courte durée sans tenir compte des cas énumérés</w:t>
      </w:r>
      <w:r w:rsidR="005D0F0F" w:rsidRPr="00495482">
        <w:rPr>
          <w:lang w:val="fr-FR" w:eastAsia="sl-SI"/>
        </w:rPr>
        <w:t>,</w:t>
      </w:r>
      <w:r w:rsidRPr="00495482">
        <w:rPr>
          <w:lang w:val="fr-FR" w:eastAsia="sl-SI"/>
        </w:rPr>
        <w:t xml:space="preserve"> il est en infraction et qui plus est</w:t>
      </w:r>
      <w:r w:rsidR="005D0F0F" w:rsidRPr="00495482">
        <w:rPr>
          <w:lang w:val="fr-FR" w:eastAsia="sl-SI"/>
        </w:rPr>
        <w:t>,</w:t>
      </w:r>
      <w:r w:rsidRPr="00495482">
        <w:rPr>
          <w:lang w:val="fr-FR" w:eastAsia="sl-SI"/>
        </w:rPr>
        <w:t xml:space="preserve"> en vertu de la loi sur les relations professionnelles</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on considère qu</w:t>
      </w:r>
      <w:r w:rsidR="005D0F0F" w:rsidRPr="00495482">
        <w:rPr>
          <w:lang w:val="fr-FR" w:eastAsia="sl-SI"/>
        </w:rPr>
        <w:t>’</w:t>
      </w:r>
      <w:r w:rsidRPr="00495482">
        <w:rPr>
          <w:lang w:val="fr-FR" w:eastAsia="sl-SI"/>
        </w:rPr>
        <w:t xml:space="preserve">un contrat de travail permanent a été conclu. </w:t>
      </w:r>
    </w:p>
    <w:p w:rsidR="00317603" w:rsidRPr="00495482" w:rsidRDefault="00317603" w:rsidP="00AF7925">
      <w:pPr>
        <w:pStyle w:val="SingleTxtG"/>
        <w:rPr>
          <w:lang w:val="fr-FR" w:eastAsia="sl-SI"/>
        </w:rPr>
      </w:pPr>
      <w:r w:rsidRPr="00495482">
        <w:rPr>
          <w:lang w:val="fr-FR" w:eastAsia="sl-SI"/>
        </w:rPr>
        <w:t>82.</w:t>
      </w:r>
      <w:r w:rsidRPr="00495482">
        <w:rPr>
          <w:lang w:val="fr-FR" w:eastAsia="sl-SI"/>
        </w:rPr>
        <w:tab/>
        <w:t>La même sanction et les mêmes conséquences juridiques s</w:t>
      </w:r>
      <w:r w:rsidR="005D0F0F" w:rsidRPr="00495482">
        <w:rPr>
          <w:lang w:val="fr-FR" w:eastAsia="sl-SI"/>
        </w:rPr>
        <w:t>’</w:t>
      </w:r>
      <w:r w:rsidRPr="00495482">
        <w:rPr>
          <w:lang w:val="fr-FR" w:eastAsia="sl-SI"/>
        </w:rPr>
        <w:t>appliquent en cas de non respect par l</w:t>
      </w:r>
      <w:r w:rsidR="005D0F0F" w:rsidRPr="00495482">
        <w:rPr>
          <w:lang w:val="fr-FR" w:eastAsia="sl-SI"/>
        </w:rPr>
        <w:t>’</w:t>
      </w:r>
      <w:r w:rsidRPr="00495482">
        <w:rPr>
          <w:lang w:val="fr-FR" w:eastAsia="sl-SI"/>
        </w:rPr>
        <w:t>employeur de la durée prescrite pour un contrat de travail de courte durée: un employeur peut signer un contrat court avec le même employé</w:t>
      </w:r>
      <w:r w:rsidR="005D0F0F" w:rsidRPr="00495482">
        <w:rPr>
          <w:lang w:val="fr-FR" w:eastAsia="sl-SI"/>
        </w:rPr>
        <w:t>,</w:t>
      </w:r>
      <w:r w:rsidRPr="00495482">
        <w:rPr>
          <w:lang w:val="fr-FR" w:eastAsia="sl-SI"/>
        </w:rPr>
        <w:t xml:space="preserve"> ou plusieurs contrats successifs de ce type pour le même travail</w:t>
      </w:r>
      <w:r w:rsidR="005D0F0F" w:rsidRPr="00495482">
        <w:rPr>
          <w:lang w:val="fr-FR" w:eastAsia="sl-SI"/>
        </w:rPr>
        <w:t>,</w:t>
      </w:r>
      <w:r w:rsidRPr="00495482">
        <w:rPr>
          <w:lang w:val="fr-FR" w:eastAsia="sl-SI"/>
        </w:rPr>
        <w:t xml:space="preserve"> pour une période maximum de deux</w:t>
      </w:r>
      <w:r w:rsidR="002328BD" w:rsidRPr="00495482">
        <w:rPr>
          <w:lang w:val="fr-FR" w:eastAsia="sl-SI"/>
        </w:rPr>
        <w:t> ans</w:t>
      </w:r>
      <w:r w:rsidRPr="00495482">
        <w:rPr>
          <w:lang w:val="fr-FR" w:eastAsia="sl-SI"/>
        </w:rPr>
        <w:t>. Jusqu</w:t>
      </w:r>
      <w:r w:rsidR="005D0F0F" w:rsidRPr="00495482">
        <w:rPr>
          <w:lang w:val="fr-FR" w:eastAsia="sl-SI"/>
        </w:rPr>
        <w:t>’</w:t>
      </w:r>
      <w:r w:rsidRPr="00495482">
        <w:rPr>
          <w:lang w:val="fr-FR" w:eastAsia="sl-SI"/>
        </w:rPr>
        <w:t>à 2007</w:t>
      </w:r>
      <w:r w:rsidR="005D0F0F" w:rsidRPr="00495482">
        <w:rPr>
          <w:lang w:val="fr-FR" w:eastAsia="sl-SI"/>
        </w:rPr>
        <w:t>,</w:t>
      </w:r>
      <w:r w:rsidRPr="00495482">
        <w:rPr>
          <w:lang w:val="fr-FR" w:eastAsia="sl-SI"/>
        </w:rPr>
        <w:t xml:space="preserve"> (2010 pour les petits employeurs)</w:t>
      </w:r>
      <w:r w:rsidR="005D0F0F" w:rsidRPr="00495482">
        <w:rPr>
          <w:lang w:val="fr-FR" w:eastAsia="sl-SI"/>
        </w:rPr>
        <w:t>,</w:t>
      </w:r>
      <w:r w:rsidRPr="00495482">
        <w:rPr>
          <w:lang w:val="fr-FR" w:eastAsia="sl-SI"/>
        </w:rPr>
        <w:t xml:space="preserve"> la durée autorisée d</w:t>
      </w:r>
      <w:r w:rsidR="005D0F0F" w:rsidRPr="00495482">
        <w:rPr>
          <w:lang w:val="fr-FR" w:eastAsia="sl-SI"/>
        </w:rPr>
        <w:t>’</w:t>
      </w:r>
      <w:r w:rsidRPr="00495482">
        <w:rPr>
          <w:lang w:val="fr-FR" w:eastAsia="sl-SI"/>
        </w:rPr>
        <w:t>un contrat court ou de contrats courts successifs était de trois</w:t>
      </w:r>
      <w:r w:rsidR="002328BD" w:rsidRPr="00495482">
        <w:rPr>
          <w:lang w:val="fr-FR" w:eastAsia="sl-SI"/>
        </w:rPr>
        <w:t> ans</w:t>
      </w:r>
      <w:r w:rsidR="005D0F0F" w:rsidRPr="00495482">
        <w:rPr>
          <w:lang w:val="fr-FR" w:eastAsia="sl-SI"/>
        </w:rPr>
        <w:t>;</w:t>
      </w:r>
      <w:r w:rsidRPr="00495482">
        <w:rPr>
          <w:lang w:val="fr-FR" w:eastAsia="sl-SI"/>
        </w:rPr>
        <w:t xml:space="preserve"> la législation régissant ce type de contrats est donc devenue plus restrictive depuis le dernier rapport.</w:t>
      </w:r>
      <w:r w:rsidR="003D1A4F" w:rsidRPr="00495482">
        <w:rPr>
          <w:lang w:val="fr-FR" w:eastAsia="sl-SI"/>
        </w:rPr>
        <w:t xml:space="preserve"> </w:t>
      </w:r>
      <w:r w:rsidRPr="00495482">
        <w:rPr>
          <w:lang w:val="fr-FR" w:eastAsia="sl-SI"/>
        </w:rPr>
        <w:t>Il est extrêmement important</w:t>
      </w:r>
      <w:r w:rsidR="005D0F0F" w:rsidRPr="00495482">
        <w:rPr>
          <w:lang w:val="fr-FR" w:eastAsia="sl-SI"/>
        </w:rPr>
        <w:t>,</w:t>
      </w:r>
      <w:r w:rsidRPr="00495482">
        <w:rPr>
          <w:lang w:val="fr-FR" w:eastAsia="sl-SI"/>
        </w:rPr>
        <w:t xml:space="preserve"> en vertu de la loi sur les relations professionnelles</w:t>
      </w:r>
      <w:r w:rsidR="005D0F0F" w:rsidRPr="00495482">
        <w:rPr>
          <w:lang w:val="fr-FR" w:eastAsia="sl-SI"/>
        </w:rPr>
        <w:t>,</w:t>
      </w:r>
      <w:r w:rsidRPr="00495482">
        <w:rPr>
          <w:lang w:val="fr-FR" w:eastAsia="sl-SI"/>
        </w:rPr>
        <w:t xml:space="preserve"> qu</w:t>
      </w:r>
      <w:r w:rsidR="005D0F0F" w:rsidRPr="00495482">
        <w:rPr>
          <w:lang w:val="fr-FR" w:eastAsia="sl-SI"/>
        </w:rPr>
        <w:t>’</w:t>
      </w:r>
      <w:r w:rsidRPr="00495482">
        <w:rPr>
          <w:lang w:val="fr-FR" w:eastAsia="sl-SI"/>
        </w:rPr>
        <w:t>une interruption pouvant atteindre 3 mois n</w:t>
      </w:r>
      <w:r w:rsidR="005D0F0F" w:rsidRPr="00495482">
        <w:rPr>
          <w:lang w:val="fr-FR" w:eastAsia="sl-SI"/>
        </w:rPr>
        <w:t>’</w:t>
      </w:r>
      <w:r w:rsidRPr="00495482">
        <w:rPr>
          <w:lang w:val="fr-FR" w:eastAsia="sl-SI"/>
        </w:rPr>
        <w:t>implique pas une interruption de la période de deux</w:t>
      </w:r>
      <w:r w:rsidR="002328BD" w:rsidRPr="00495482">
        <w:rPr>
          <w:lang w:val="fr-FR" w:eastAsia="sl-SI"/>
        </w:rPr>
        <w:t> ans</w:t>
      </w:r>
      <w:r w:rsidRPr="00495482">
        <w:rPr>
          <w:lang w:val="fr-FR" w:eastAsia="sl-SI"/>
        </w:rPr>
        <w:t>. Une contrainte encore plus importante lors de la signature de contrats courts successifs consiste à devoir justifier</w:t>
      </w:r>
      <w:r w:rsidR="003D1A4F" w:rsidRPr="00495482">
        <w:rPr>
          <w:lang w:val="fr-FR" w:eastAsia="sl-SI"/>
        </w:rPr>
        <w:t xml:space="preserve"> </w:t>
      </w:r>
      <w:r w:rsidRPr="00495482">
        <w:rPr>
          <w:lang w:val="fr-FR" w:eastAsia="sl-SI"/>
        </w:rPr>
        <w:t xml:space="preserve">chaque nouveau contrat. </w:t>
      </w:r>
    </w:p>
    <w:p w:rsidR="00317603" w:rsidRPr="00495482" w:rsidRDefault="00317603" w:rsidP="00AF7925">
      <w:pPr>
        <w:pStyle w:val="SingleTxtG"/>
        <w:rPr>
          <w:lang w:val="fr-FR" w:eastAsia="sl-SI"/>
        </w:rPr>
      </w:pPr>
      <w:r w:rsidRPr="00495482">
        <w:rPr>
          <w:lang w:val="fr-FR" w:eastAsia="sl-SI"/>
        </w:rPr>
        <w:t>83.</w:t>
      </w:r>
      <w:r w:rsidRPr="00495482">
        <w:rPr>
          <w:lang w:val="fr-FR" w:eastAsia="sl-SI"/>
        </w:rPr>
        <w:tab/>
      </w:r>
      <w:r w:rsidR="00AF7925" w:rsidRPr="00495482">
        <w:rPr>
          <w:lang w:val="fr-FR" w:eastAsia="sl-SI"/>
        </w:rPr>
        <w:t xml:space="preserve">À </w:t>
      </w:r>
      <w:r w:rsidRPr="00495482">
        <w:rPr>
          <w:rFonts w:eastAsia="Tms Rmn"/>
          <w:lang w:val="fr-FR" w:eastAsia="sl-SI"/>
        </w:rPr>
        <w:t>notre avis</w:t>
      </w:r>
      <w:r w:rsidR="005D0F0F" w:rsidRPr="00495482">
        <w:rPr>
          <w:rFonts w:eastAsia="Tms Rmn"/>
          <w:lang w:val="fr-FR" w:eastAsia="sl-SI"/>
        </w:rPr>
        <w:t>,</w:t>
      </w:r>
      <w:r w:rsidRPr="00495482">
        <w:rPr>
          <w:rFonts w:eastAsia="Tms Rmn"/>
          <w:lang w:val="fr-FR" w:eastAsia="sl-SI"/>
        </w:rPr>
        <w:t xml:space="preserve"> une difficulté tient à la connaissance insuffisante de la loi. Un guide des droits du travail a donc été publié sur le site Web du Ministère du travail</w:t>
      </w:r>
      <w:r w:rsidR="005D0F0F" w:rsidRPr="00495482">
        <w:rPr>
          <w:rFonts w:eastAsia="Tms Rmn"/>
          <w:lang w:val="fr-FR" w:eastAsia="sl-SI"/>
        </w:rPr>
        <w:t>,</w:t>
      </w:r>
      <w:r w:rsidRPr="00495482">
        <w:rPr>
          <w:rFonts w:eastAsia="Tms Rmn"/>
          <w:lang w:val="fr-FR" w:eastAsia="sl-SI"/>
        </w:rPr>
        <w:t xml:space="preserve"> de la famille et des affaires sociales</w:t>
      </w:r>
      <w:r w:rsidR="005D0F0F" w:rsidRPr="00495482">
        <w:rPr>
          <w:rFonts w:eastAsia="Tms Rmn"/>
          <w:lang w:val="fr-FR" w:eastAsia="sl-SI"/>
        </w:rPr>
        <w:t>,</w:t>
      </w:r>
      <w:r w:rsidRPr="00495482">
        <w:rPr>
          <w:rFonts w:eastAsia="Tms Rmn"/>
          <w:lang w:val="fr-FR" w:eastAsia="sl-SI"/>
        </w:rPr>
        <w:t xml:space="preserve"> ainsi que les</w:t>
      </w:r>
      <w:r w:rsidR="00AF7925" w:rsidRPr="00495482">
        <w:rPr>
          <w:rFonts w:eastAsia="Tms Rmn"/>
          <w:lang w:val="fr-FR" w:eastAsia="sl-SI"/>
        </w:rPr>
        <w:t xml:space="preserve"> </w:t>
      </w:r>
      <w:r w:rsidR="002D2E66" w:rsidRPr="00495482">
        <w:rPr>
          <w:rFonts w:eastAsia="Tms Rmn"/>
          <w:lang w:val="fr-FR" w:eastAsia="sl-SI"/>
        </w:rPr>
        <w:t>points</w:t>
      </w:r>
      <w:r w:rsidRPr="00495482">
        <w:rPr>
          <w:rFonts w:eastAsia="Tms Rmn"/>
          <w:lang w:val="fr-FR" w:eastAsia="sl-SI"/>
        </w:rPr>
        <w:t xml:space="preserve"> de vue de ce même ministère concernant l</w:t>
      </w:r>
      <w:r w:rsidR="005D0F0F" w:rsidRPr="00495482">
        <w:rPr>
          <w:rFonts w:eastAsia="Tms Rmn"/>
          <w:lang w:val="fr-FR" w:eastAsia="sl-SI"/>
        </w:rPr>
        <w:t>’</w:t>
      </w:r>
      <w:r w:rsidRPr="00495482">
        <w:rPr>
          <w:rFonts w:eastAsia="Tms Rmn"/>
          <w:lang w:val="fr-FR" w:eastAsia="sl-SI"/>
        </w:rPr>
        <w:t xml:space="preserve">application de la loi sur les relations professionnelles. </w:t>
      </w:r>
    </w:p>
    <w:p w:rsidR="00317603" w:rsidRPr="00495482" w:rsidRDefault="00317603" w:rsidP="00AF7925">
      <w:pPr>
        <w:pStyle w:val="H23G"/>
        <w:rPr>
          <w:lang w:val="fr-FR" w:eastAsia="sl-SI"/>
        </w:rPr>
      </w:pPr>
      <w:r w:rsidRPr="00495482">
        <w:rPr>
          <w:lang w:val="fr-FR" w:eastAsia="sl-SI"/>
        </w:rPr>
        <w:tab/>
      </w:r>
      <w:r w:rsidRPr="00495482">
        <w:rPr>
          <w:lang w:val="fr-FR" w:eastAsia="sl-SI"/>
        </w:rPr>
        <w:tab/>
        <w:t xml:space="preserve">Harcèlement sexuel sur le lieu de travail </w:t>
      </w:r>
    </w:p>
    <w:p w:rsidR="00317603" w:rsidRPr="00495482" w:rsidRDefault="00317603" w:rsidP="00AF7925">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29 des observations finales</w:t>
      </w:r>
      <w:r w:rsidR="003D1A4F" w:rsidRPr="00495482">
        <w:rPr>
          <w:lang w:val="fr-FR" w:eastAsia="sl-SI"/>
        </w:rPr>
        <w:t xml:space="preserve"> </w:t>
      </w:r>
    </w:p>
    <w:p w:rsidR="00317603" w:rsidRPr="00495482" w:rsidRDefault="00317603" w:rsidP="00AF7925">
      <w:pPr>
        <w:pStyle w:val="SingleTxtG"/>
        <w:rPr>
          <w:rFonts w:eastAsia="Tms Rmn"/>
          <w:lang w:val="fr-FR"/>
        </w:rPr>
      </w:pPr>
      <w:r w:rsidRPr="00495482">
        <w:rPr>
          <w:lang w:val="fr-FR"/>
        </w:rPr>
        <w:t>84.</w:t>
      </w:r>
      <w:r w:rsidRPr="00495482">
        <w:rPr>
          <w:lang w:val="fr-FR"/>
        </w:rPr>
        <w:tab/>
        <w:t>Les modifications apportées à la loi sur les relations professionnelles</w:t>
      </w:r>
      <w:r w:rsidRPr="00495482">
        <w:rPr>
          <w:rStyle w:val="FootnoteReference"/>
        </w:rPr>
        <w:footnoteReference w:id="45"/>
      </w:r>
      <w:r w:rsidRPr="00495482">
        <w:rPr>
          <w:rFonts w:eastAsia="Tms Rmn"/>
          <w:lang w:val="fr-FR"/>
        </w:rPr>
        <w:t xml:space="preserve"> interdisent expressément le harcèlement sexuel et considèrent qu</w:t>
      </w:r>
      <w:r w:rsidR="005D0F0F" w:rsidRPr="00495482">
        <w:rPr>
          <w:rFonts w:eastAsia="Tms Rmn"/>
          <w:lang w:val="fr-FR"/>
        </w:rPr>
        <w:t>’</w:t>
      </w:r>
      <w:r w:rsidRPr="00495482">
        <w:rPr>
          <w:rFonts w:eastAsia="Tms Rmn"/>
          <w:lang w:val="fr-FR"/>
        </w:rPr>
        <w:t>il s</w:t>
      </w:r>
      <w:r w:rsidR="005D0F0F" w:rsidRPr="00495482">
        <w:rPr>
          <w:rFonts w:eastAsia="Tms Rmn"/>
          <w:lang w:val="fr-FR"/>
        </w:rPr>
        <w:t>’</w:t>
      </w:r>
      <w:r w:rsidRPr="00495482">
        <w:rPr>
          <w:rFonts w:eastAsia="Tms Rmn"/>
          <w:lang w:val="fr-FR"/>
        </w:rPr>
        <w:t>agit d</w:t>
      </w:r>
      <w:r w:rsidR="005D0F0F" w:rsidRPr="00495482">
        <w:rPr>
          <w:rFonts w:eastAsia="Tms Rmn"/>
          <w:lang w:val="fr-FR"/>
        </w:rPr>
        <w:t>’</w:t>
      </w:r>
      <w:r w:rsidRPr="00495482">
        <w:rPr>
          <w:rFonts w:eastAsia="Tms Rmn"/>
          <w:lang w:val="fr-FR"/>
        </w:rPr>
        <w:t>une discrimination passible de sanction comme une infraction à laquelle un inspecteur du travail peut imposer une amende</w:t>
      </w:r>
      <w:r w:rsidR="005D0F0F" w:rsidRPr="00495482">
        <w:rPr>
          <w:rFonts w:eastAsia="Tms Rmn"/>
          <w:lang w:val="fr-FR"/>
        </w:rPr>
        <w:t>,</w:t>
      </w:r>
      <w:r w:rsidRPr="00495482">
        <w:rPr>
          <w:rFonts w:eastAsia="Tms Rmn"/>
          <w:lang w:val="fr-FR"/>
        </w:rPr>
        <w:t xml:space="preserve"> et qui</w:t>
      </w:r>
      <w:r w:rsidR="005D0F0F" w:rsidRPr="00495482">
        <w:rPr>
          <w:rFonts w:eastAsia="Tms Rmn"/>
          <w:lang w:val="fr-FR"/>
        </w:rPr>
        <w:t>,</w:t>
      </w:r>
      <w:r w:rsidRPr="00495482">
        <w:rPr>
          <w:rFonts w:eastAsia="Tms Rmn"/>
          <w:lang w:val="fr-FR"/>
        </w:rPr>
        <w:t xml:space="preserve"> en vertu des dispositions générales du droit civil</w:t>
      </w:r>
      <w:r w:rsidR="005D0F0F" w:rsidRPr="00495482">
        <w:rPr>
          <w:rFonts w:eastAsia="Tms Rmn"/>
          <w:lang w:val="fr-FR"/>
        </w:rPr>
        <w:t>,</w:t>
      </w:r>
      <w:r w:rsidR="003D1A4F" w:rsidRPr="00495482">
        <w:rPr>
          <w:rFonts w:eastAsia="Tms Rmn"/>
          <w:lang w:val="fr-FR"/>
        </w:rPr>
        <w:t xml:space="preserve"> </w:t>
      </w:r>
      <w:r w:rsidRPr="00495482">
        <w:rPr>
          <w:rFonts w:eastAsia="Tms Rmn"/>
          <w:lang w:val="fr-FR"/>
        </w:rPr>
        <w:t>engage la responsabilité de l</w:t>
      </w:r>
      <w:r w:rsidR="005D0F0F" w:rsidRPr="00495482">
        <w:rPr>
          <w:rFonts w:eastAsia="Tms Rmn"/>
          <w:lang w:val="fr-FR"/>
        </w:rPr>
        <w:t>’</w:t>
      </w:r>
      <w:r w:rsidRPr="00495482">
        <w:rPr>
          <w:rFonts w:eastAsia="Tms Rmn"/>
          <w:lang w:val="fr-FR"/>
        </w:rPr>
        <w:t xml:space="preserve">employeur pour les dommages subis par le travailleur. La loi sur les relations professionnelles proscrit également toute sanction infligée au travailleur par son employeur pour cause de refus de harcèlement sexuel. Les dispositions de la loi susmentionnée sont complétées par </w:t>
      </w:r>
      <w:r w:rsidR="00657B60" w:rsidRPr="00495482">
        <w:rPr>
          <w:rFonts w:eastAsia="Tms Rmn"/>
          <w:lang w:val="fr-FR"/>
        </w:rPr>
        <w:t>l’</w:t>
      </w:r>
      <w:r w:rsidR="003C4F70">
        <w:rPr>
          <w:rFonts w:eastAsia="Tms Rmn"/>
          <w:lang w:val="fr-FR"/>
        </w:rPr>
        <w:t>article </w:t>
      </w:r>
      <w:r w:rsidRPr="00495482">
        <w:rPr>
          <w:rFonts w:eastAsia="Tms Rmn"/>
          <w:lang w:val="fr-FR"/>
        </w:rPr>
        <w:t>45</w:t>
      </w:r>
      <w:r w:rsidR="005D0F0F" w:rsidRPr="00495482">
        <w:rPr>
          <w:rFonts w:eastAsia="Tms Rmn"/>
          <w:lang w:val="fr-FR"/>
        </w:rPr>
        <w:t>,</w:t>
      </w:r>
      <w:r w:rsidRPr="00495482">
        <w:rPr>
          <w:rFonts w:eastAsia="Tms Rmn"/>
          <w:lang w:val="fr-FR"/>
        </w:rPr>
        <w:t xml:space="preserve"> également modifié par les amendements de 2007 à la loi</w:t>
      </w:r>
      <w:r w:rsidR="005D0F0F" w:rsidRPr="00495482">
        <w:rPr>
          <w:rFonts w:eastAsia="Tms Rmn"/>
          <w:lang w:val="fr-FR"/>
        </w:rPr>
        <w:t>,</w:t>
      </w:r>
      <w:r w:rsidRPr="00495482">
        <w:rPr>
          <w:rFonts w:eastAsia="Tms Rmn"/>
          <w:lang w:val="fr-FR"/>
        </w:rPr>
        <w:t xml:space="preserve"> qui contraint un employeur à adopter des mesures préventives</w:t>
      </w:r>
      <w:r w:rsidR="005D0F0F" w:rsidRPr="00495482">
        <w:rPr>
          <w:rFonts w:eastAsia="Tms Rmn"/>
          <w:lang w:val="fr-FR"/>
        </w:rPr>
        <w:t>,</w:t>
      </w:r>
      <w:r w:rsidRPr="00495482">
        <w:rPr>
          <w:rFonts w:eastAsia="Tms Rmn"/>
          <w:lang w:val="fr-FR"/>
        </w:rPr>
        <w:t xml:space="preserve"> notamment en offrant un environnement de travail dans lequel nul ne sera exposé à des actes de harcèlement sexuel ou autres</w:t>
      </w:r>
      <w:r w:rsidR="005D0F0F" w:rsidRPr="00495482">
        <w:rPr>
          <w:rFonts w:eastAsia="Tms Rmn"/>
          <w:lang w:val="fr-FR"/>
        </w:rPr>
        <w:t>,</w:t>
      </w:r>
      <w:r w:rsidRPr="00495482">
        <w:rPr>
          <w:rFonts w:eastAsia="Tms Rmn"/>
          <w:lang w:val="fr-FR"/>
        </w:rPr>
        <w:t xml:space="preserve"> ou à des mauvais traitements commis par l</w:t>
      </w:r>
      <w:r w:rsidR="005D0F0F" w:rsidRPr="00495482">
        <w:rPr>
          <w:rFonts w:eastAsia="Tms Rmn"/>
          <w:lang w:val="fr-FR"/>
        </w:rPr>
        <w:t>’</w:t>
      </w:r>
      <w:r w:rsidRPr="00495482">
        <w:rPr>
          <w:rFonts w:eastAsia="Tms Rmn"/>
          <w:lang w:val="fr-FR"/>
        </w:rPr>
        <w:t>employeur</w:t>
      </w:r>
      <w:r w:rsidR="005D0F0F" w:rsidRPr="00495482">
        <w:rPr>
          <w:rFonts w:eastAsia="Tms Rmn"/>
          <w:lang w:val="fr-FR"/>
        </w:rPr>
        <w:t>,</w:t>
      </w:r>
      <w:r w:rsidRPr="00495482">
        <w:rPr>
          <w:rFonts w:eastAsia="Tms Rmn"/>
          <w:lang w:val="fr-FR"/>
        </w:rPr>
        <w:t xml:space="preserve"> un supérieur ou un collègue</w:t>
      </w:r>
      <w:r w:rsidR="005D0F0F" w:rsidRPr="00495482">
        <w:rPr>
          <w:rFonts w:eastAsia="Tms Rmn"/>
          <w:lang w:val="fr-FR"/>
        </w:rPr>
        <w:t>;</w:t>
      </w:r>
      <w:r w:rsidRPr="00495482">
        <w:rPr>
          <w:rFonts w:eastAsia="Tms Rmn"/>
          <w:lang w:val="fr-FR"/>
        </w:rPr>
        <w:t xml:space="preserve"> l</w:t>
      </w:r>
      <w:r w:rsidR="005D0F0F" w:rsidRPr="00495482">
        <w:rPr>
          <w:rFonts w:eastAsia="Tms Rmn"/>
          <w:lang w:val="fr-FR"/>
        </w:rPr>
        <w:t>’</w:t>
      </w:r>
      <w:r w:rsidRPr="00495482">
        <w:rPr>
          <w:rFonts w:eastAsia="Tms Rmn"/>
          <w:lang w:val="fr-FR"/>
        </w:rPr>
        <w:t>employeur est ainsi tenu d</w:t>
      </w:r>
      <w:r w:rsidR="005D0F0F" w:rsidRPr="00495482">
        <w:rPr>
          <w:rFonts w:eastAsia="Tms Rmn"/>
          <w:lang w:val="fr-FR"/>
        </w:rPr>
        <w:t>’</w:t>
      </w:r>
      <w:r w:rsidRPr="00495482">
        <w:rPr>
          <w:rFonts w:eastAsia="Tms Rmn"/>
          <w:lang w:val="fr-FR"/>
        </w:rPr>
        <w:t>adopter à cette fin des mesures de protection adaptées</w:t>
      </w:r>
      <w:r w:rsidR="005D0F0F" w:rsidRPr="00495482">
        <w:rPr>
          <w:rFonts w:eastAsia="Tms Rmn"/>
          <w:lang w:val="fr-FR"/>
        </w:rPr>
        <w:t>,</w:t>
      </w:r>
      <w:r w:rsidRPr="00495482">
        <w:rPr>
          <w:rFonts w:eastAsia="Tms Rmn"/>
          <w:lang w:val="fr-FR"/>
        </w:rPr>
        <w:t xml:space="preserve"> à défaut desquelles il encourt des dommages en responsabilité à l</w:t>
      </w:r>
      <w:r w:rsidR="005D0F0F" w:rsidRPr="00495482">
        <w:rPr>
          <w:rFonts w:eastAsia="Tms Rmn"/>
          <w:lang w:val="fr-FR"/>
        </w:rPr>
        <w:t>’</w:t>
      </w:r>
      <w:r w:rsidRPr="00495482">
        <w:rPr>
          <w:rFonts w:eastAsia="Tms Rmn"/>
          <w:lang w:val="fr-FR"/>
        </w:rPr>
        <w:t xml:space="preserve">égard de son employé. </w:t>
      </w:r>
    </w:p>
    <w:p w:rsidR="00317603" w:rsidRPr="00495482" w:rsidRDefault="00317603" w:rsidP="00AF7925">
      <w:pPr>
        <w:pStyle w:val="SingleTxtG"/>
        <w:rPr>
          <w:lang w:val="fr-FR"/>
        </w:rPr>
      </w:pPr>
      <w:r w:rsidRPr="00495482">
        <w:rPr>
          <w:lang w:val="fr-FR"/>
        </w:rPr>
        <w:t>85.</w:t>
      </w:r>
      <w:r w:rsidRPr="00495482">
        <w:rPr>
          <w:lang w:val="fr-FR"/>
        </w:rPr>
        <w:tab/>
        <w:t xml:space="preserve">Les dispositions de </w:t>
      </w:r>
      <w:r w:rsidR="00657B60" w:rsidRPr="00495482">
        <w:rPr>
          <w:lang w:val="fr-FR"/>
        </w:rPr>
        <w:t>l’</w:t>
      </w:r>
      <w:r w:rsidR="003C4F70">
        <w:rPr>
          <w:lang w:val="fr-FR"/>
        </w:rPr>
        <w:t>article </w:t>
      </w:r>
      <w:r w:rsidRPr="00495482">
        <w:rPr>
          <w:lang w:val="fr-FR"/>
        </w:rPr>
        <w:t>174 du Code pénal</w:t>
      </w:r>
      <w:r w:rsidRPr="00495482">
        <w:rPr>
          <w:rStyle w:val="FootnoteReference"/>
        </w:rPr>
        <w:footnoteReference w:id="46"/>
      </w:r>
      <w:r w:rsidR="005D0F0F" w:rsidRPr="00495482">
        <w:rPr>
          <w:lang w:val="fr-FR"/>
        </w:rPr>
        <w:t>,</w:t>
      </w:r>
      <w:r w:rsidRPr="00495482">
        <w:rPr>
          <w:lang w:val="fr-FR"/>
        </w:rPr>
        <w:t xml:space="preserve"> qui définissent l</w:t>
      </w:r>
      <w:r w:rsidR="005D0F0F" w:rsidRPr="00495482">
        <w:rPr>
          <w:lang w:val="fr-FR"/>
        </w:rPr>
        <w:t>’</w:t>
      </w:r>
      <w:r w:rsidRPr="00495482">
        <w:rPr>
          <w:lang w:val="fr-FR"/>
        </w:rPr>
        <w:t>infraction pénale d</w:t>
      </w:r>
      <w:r w:rsidR="005D0F0F" w:rsidRPr="00495482">
        <w:rPr>
          <w:lang w:val="fr-FR"/>
        </w:rPr>
        <w:t>’</w:t>
      </w:r>
      <w:r w:rsidRPr="00495482">
        <w:rPr>
          <w:lang w:val="fr-FR"/>
        </w:rPr>
        <w:t>atteinte à l</w:t>
      </w:r>
      <w:r w:rsidR="005D0F0F" w:rsidRPr="00495482">
        <w:rPr>
          <w:lang w:val="fr-FR"/>
        </w:rPr>
        <w:t>’</w:t>
      </w:r>
      <w:r w:rsidRPr="00495482">
        <w:rPr>
          <w:lang w:val="fr-FR"/>
        </w:rPr>
        <w:t>intégrité sexuelle par abus de pouvoir</w:t>
      </w:r>
      <w:r w:rsidR="005D0F0F" w:rsidRPr="00495482">
        <w:rPr>
          <w:lang w:val="fr-FR"/>
        </w:rPr>
        <w:t>,</w:t>
      </w:r>
      <w:r w:rsidRPr="00495482">
        <w:rPr>
          <w:lang w:val="fr-FR"/>
        </w:rPr>
        <w:t xml:space="preserve"> prévoient également des sanctions contre le harcèlement sexuel sur le lieu de travail. En vertu des </w:t>
      </w:r>
      <w:r w:rsidR="00AF7925" w:rsidRPr="00495482">
        <w:rPr>
          <w:lang w:val="fr-FR"/>
        </w:rPr>
        <w:t xml:space="preserve">articles </w:t>
      </w:r>
      <w:r w:rsidRPr="00495482">
        <w:rPr>
          <w:lang w:val="fr-FR"/>
        </w:rPr>
        <w:t>susmentionnés</w:t>
      </w:r>
      <w:r w:rsidR="005D0F0F" w:rsidRPr="00495482">
        <w:rPr>
          <w:lang w:val="fr-FR"/>
        </w:rPr>
        <w:t>,</w:t>
      </w:r>
      <w:r w:rsidRPr="00495482">
        <w:rPr>
          <w:lang w:val="fr-FR"/>
        </w:rPr>
        <w:t xml:space="preserve"> quiconque abuse de sa position pour inciter </w:t>
      </w:r>
      <w:r w:rsidR="0014499F" w:rsidRPr="00495482">
        <w:rPr>
          <w:lang w:val="fr-FR"/>
        </w:rPr>
        <w:t>les personnes</w:t>
      </w:r>
      <w:r w:rsidRPr="00495482">
        <w:rPr>
          <w:lang w:val="fr-FR"/>
        </w:rPr>
        <w:t xml:space="preserve"> de l</w:t>
      </w:r>
      <w:r w:rsidR="005D0F0F" w:rsidRPr="00495482">
        <w:rPr>
          <w:lang w:val="fr-FR"/>
        </w:rPr>
        <w:t>’</w:t>
      </w:r>
      <w:r w:rsidRPr="00495482">
        <w:rPr>
          <w:lang w:val="fr-FR"/>
        </w:rPr>
        <w:t>autre sexe ou du même sexe qui lui sont subordonnées ou qui dépendent de lui</w:t>
      </w:r>
      <w:r w:rsidR="005D0F0F" w:rsidRPr="00495482">
        <w:rPr>
          <w:lang w:val="fr-FR"/>
        </w:rPr>
        <w:t>,</w:t>
      </w:r>
      <w:r w:rsidRPr="00495482">
        <w:rPr>
          <w:lang w:val="fr-FR"/>
        </w:rPr>
        <w:t xml:space="preserve"> à avoir des relations sexuelles</w:t>
      </w:r>
      <w:r w:rsidR="005D0F0F" w:rsidRPr="00495482">
        <w:rPr>
          <w:lang w:val="fr-FR"/>
        </w:rPr>
        <w:t>,</w:t>
      </w:r>
      <w:r w:rsidRPr="00495482">
        <w:rPr>
          <w:lang w:val="fr-FR"/>
        </w:rPr>
        <w:t xml:space="preserve"> ou à accomplir ou tolérer tout autre acte de nature sexuelle</w:t>
      </w:r>
      <w:r w:rsidR="005D0F0F" w:rsidRPr="00495482">
        <w:rPr>
          <w:lang w:val="fr-FR"/>
        </w:rPr>
        <w:t>,</w:t>
      </w:r>
      <w:r w:rsidRPr="00495482">
        <w:rPr>
          <w:lang w:val="fr-FR"/>
        </w:rPr>
        <w:t xml:space="preserve"> encourt une peine de détention pouvant atteindre cinq</w:t>
      </w:r>
      <w:r w:rsidR="002328BD" w:rsidRPr="00495482">
        <w:rPr>
          <w:lang w:val="fr-FR"/>
        </w:rPr>
        <w:t> ans</w:t>
      </w:r>
      <w:r w:rsidRPr="00495482">
        <w:rPr>
          <w:lang w:val="fr-FR"/>
        </w:rPr>
        <w:t xml:space="preserve">. </w:t>
      </w:r>
    </w:p>
    <w:p w:rsidR="00317603" w:rsidRPr="00495482" w:rsidRDefault="00317603" w:rsidP="006A4A4D">
      <w:pPr>
        <w:pStyle w:val="H23G"/>
        <w:rPr>
          <w:lang w:val="fr-FR" w:eastAsia="sl-SI"/>
        </w:rPr>
      </w:pPr>
      <w:r w:rsidRPr="00495482">
        <w:rPr>
          <w:lang w:val="fr-FR" w:eastAsia="sl-SI"/>
        </w:rPr>
        <w:tab/>
      </w:r>
      <w:r w:rsidRPr="00495482">
        <w:rPr>
          <w:lang w:val="fr-FR" w:eastAsia="sl-SI"/>
        </w:rPr>
        <w:tab/>
        <w:t xml:space="preserve">Santé et sécurité au travail </w:t>
      </w:r>
    </w:p>
    <w:p w:rsidR="00317603" w:rsidRPr="00495482" w:rsidRDefault="00317603" w:rsidP="006A4A4D">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 xml:space="preserve">31 des observations finales </w:t>
      </w:r>
    </w:p>
    <w:p w:rsidR="00317603" w:rsidRPr="00495482" w:rsidRDefault="00317603" w:rsidP="006A4A4D">
      <w:pPr>
        <w:pStyle w:val="SingleTxtG"/>
        <w:rPr>
          <w:rFonts w:eastAsia="Tms Rmn"/>
          <w:lang w:val="fr-FR"/>
        </w:rPr>
      </w:pPr>
      <w:r w:rsidRPr="00495482">
        <w:rPr>
          <w:lang w:val="fr-FR"/>
        </w:rPr>
        <w:t>86.</w:t>
      </w:r>
      <w:r w:rsidRPr="00495482">
        <w:rPr>
          <w:lang w:val="fr-FR"/>
        </w:rPr>
        <w:tab/>
      </w:r>
      <w:r w:rsidRPr="00495482">
        <w:rPr>
          <w:rFonts w:eastAsia="Tms Rmn"/>
          <w:lang w:val="fr-FR"/>
        </w:rPr>
        <w:t>En application de la législation en vigueur</w:t>
      </w:r>
      <w:r w:rsidR="005D0F0F" w:rsidRPr="00495482">
        <w:rPr>
          <w:rFonts w:eastAsia="Tms Rmn"/>
          <w:lang w:val="fr-FR"/>
        </w:rPr>
        <w:t>,</w:t>
      </w:r>
      <w:r w:rsidRPr="00495482">
        <w:rPr>
          <w:rFonts w:eastAsia="Tms Rmn"/>
          <w:lang w:val="fr-FR"/>
        </w:rPr>
        <w:t xml:space="preserve"> l</w:t>
      </w:r>
      <w:r w:rsidR="005D0F0F" w:rsidRPr="00495482">
        <w:rPr>
          <w:rFonts w:eastAsia="Tms Rmn"/>
          <w:lang w:val="fr-FR"/>
        </w:rPr>
        <w:t>’</w:t>
      </w:r>
      <w:r w:rsidRPr="00495482">
        <w:rPr>
          <w:rFonts w:eastAsia="Tms Rmn"/>
          <w:lang w:val="fr-FR"/>
        </w:rPr>
        <w:t>inspection du travail a reçu des informations concernant 15 011 accidents en 2009</w:t>
      </w:r>
      <w:r w:rsidR="005D0F0F" w:rsidRPr="00495482">
        <w:rPr>
          <w:rFonts w:eastAsia="Tms Rmn"/>
          <w:lang w:val="fr-FR"/>
        </w:rPr>
        <w:t>,</w:t>
      </w:r>
      <w:r w:rsidRPr="00495482">
        <w:rPr>
          <w:rFonts w:eastAsia="Tms Rmn"/>
          <w:lang w:val="fr-FR"/>
        </w:rPr>
        <w:t xml:space="preserve"> c</w:t>
      </w:r>
      <w:r w:rsidR="005D0F0F" w:rsidRPr="00495482">
        <w:rPr>
          <w:rFonts w:eastAsia="Tms Rmn"/>
          <w:lang w:val="fr-FR"/>
        </w:rPr>
        <w:t>’</w:t>
      </w:r>
      <w:r w:rsidRPr="00495482">
        <w:rPr>
          <w:rFonts w:eastAsia="Tms Rmn"/>
          <w:lang w:val="fr-FR"/>
        </w:rPr>
        <w:t>est-à-dire 12% de moins qu</w:t>
      </w:r>
      <w:r w:rsidR="005D0F0F" w:rsidRPr="00495482">
        <w:rPr>
          <w:rFonts w:eastAsia="Tms Rmn"/>
          <w:lang w:val="fr-FR"/>
        </w:rPr>
        <w:t>’</w:t>
      </w:r>
      <w:r w:rsidRPr="00495482">
        <w:rPr>
          <w:rFonts w:eastAsia="Tms Rmn"/>
          <w:lang w:val="fr-FR"/>
        </w:rPr>
        <w:t>en 2008. Le nombre de décès résultant d</w:t>
      </w:r>
      <w:r w:rsidR="005D0F0F" w:rsidRPr="00495482">
        <w:rPr>
          <w:rFonts w:eastAsia="Tms Rmn"/>
          <w:lang w:val="fr-FR"/>
        </w:rPr>
        <w:t>’</w:t>
      </w:r>
      <w:r w:rsidRPr="00495482">
        <w:rPr>
          <w:rFonts w:eastAsia="Tms Rmn"/>
          <w:lang w:val="fr-FR"/>
        </w:rPr>
        <w:t>accidents du travail (25 en 2009) a été inférieur pour la seconde année consécutive. Outre les accidents mortels</w:t>
      </w:r>
      <w:r w:rsidR="005D0F0F" w:rsidRPr="00495482">
        <w:rPr>
          <w:rFonts w:eastAsia="Tms Rmn"/>
          <w:lang w:val="fr-FR"/>
        </w:rPr>
        <w:t>,</w:t>
      </w:r>
      <w:r w:rsidRPr="00495482">
        <w:rPr>
          <w:rFonts w:eastAsia="Tms Rmn"/>
          <w:lang w:val="fr-FR"/>
        </w:rPr>
        <w:t xml:space="preserve"> les inspecteurs ont également enquêté en 2009 sur 216 accidents ayant provoqué des blessures graves</w:t>
      </w:r>
      <w:r w:rsidR="005D0F0F" w:rsidRPr="00495482">
        <w:rPr>
          <w:rFonts w:eastAsia="Tms Rmn"/>
          <w:lang w:val="fr-FR"/>
        </w:rPr>
        <w:t>,</w:t>
      </w:r>
      <w:r w:rsidRPr="00495482">
        <w:rPr>
          <w:rFonts w:eastAsia="Tms Rmn"/>
          <w:lang w:val="fr-FR"/>
        </w:rPr>
        <w:t xml:space="preserve"> c</w:t>
      </w:r>
      <w:r w:rsidR="005D0F0F" w:rsidRPr="00495482">
        <w:rPr>
          <w:rFonts w:eastAsia="Tms Rmn"/>
          <w:lang w:val="fr-FR"/>
        </w:rPr>
        <w:t>’</w:t>
      </w:r>
      <w:r w:rsidRPr="00495482">
        <w:rPr>
          <w:rFonts w:eastAsia="Tms Rmn"/>
          <w:lang w:val="fr-FR"/>
        </w:rPr>
        <w:t>est-à-dire légèrement moins de 40%</w:t>
      </w:r>
      <w:r w:rsidR="003D1A4F" w:rsidRPr="00495482">
        <w:rPr>
          <w:rFonts w:eastAsia="Tms Rmn"/>
          <w:lang w:val="fr-FR"/>
        </w:rPr>
        <w:t xml:space="preserve"> </w:t>
      </w:r>
      <w:r w:rsidRPr="00495482">
        <w:rPr>
          <w:rFonts w:eastAsia="Tms Rmn"/>
          <w:lang w:val="fr-FR"/>
        </w:rPr>
        <w:t>pour l</w:t>
      </w:r>
      <w:r w:rsidR="005D0F0F" w:rsidRPr="00495482">
        <w:rPr>
          <w:rFonts w:eastAsia="Tms Rmn"/>
          <w:lang w:val="fr-FR"/>
        </w:rPr>
        <w:t>’</w:t>
      </w:r>
      <w:r w:rsidRPr="00495482">
        <w:rPr>
          <w:rFonts w:eastAsia="Tms Rmn"/>
          <w:lang w:val="fr-FR"/>
        </w:rPr>
        <w:t>ensemble des accidents du travail graves signalés</w:t>
      </w:r>
      <w:r w:rsidR="005D0F0F" w:rsidRPr="00495482">
        <w:rPr>
          <w:rFonts w:eastAsia="Tms Rmn"/>
          <w:lang w:val="fr-FR"/>
        </w:rPr>
        <w:t>,</w:t>
      </w:r>
      <w:r w:rsidR="006A4A4D" w:rsidRPr="00495482">
        <w:rPr>
          <w:rFonts w:eastAsia="Tms Rmn"/>
          <w:lang w:val="fr-FR"/>
        </w:rPr>
        <w:t xml:space="preserve"> outre 4 </w:t>
      </w:r>
      <w:r w:rsidRPr="00495482">
        <w:rPr>
          <w:rFonts w:eastAsia="Tms Rmn"/>
          <w:lang w:val="fr-FR"/>
        </w:rPr>
        <w:t>accidents collectifs et 4</w:t>
      </w:r>
      <w:r w:rsidR="003D1A4F" w:rsidRPr="00495482">
        <w:rPr>
          <w:rFonts w:eastAsia="Tms Rmn"/>
          <w:lang w:val="fr-FR"/>
        </w:rPr>
        <w:t xml:space="preserve"> </w:t>
      </w:r>
      <w:r w:rsidRPr="00495482">
        <w:rPr>
          <w:rFonts w:eastAsia="Tms Rmn"/>
          <w:lang w:val="fr-FR"/>
        </w:rPr>
        <w:t xml:space="preserve">incidents graves (voir tableau en annexe I). </w:t>
      </w:r>
    </w:p>
    <w:p w:rsidR="00317603" w:rsidRPr="00495482" w:rsidRDefault="00317603" w:rsidP="006A4A4D">
      <w:pPr>
        <w:pStyle w:val="SingleTxtG"/>
        <w:rPr>
          <w:lang w:val="fr-FR"/>
        </w:rPr>
      </w:pPr>
      <w:r w:rsidRPr="00495482">
        <w:rPr>
          <w:lang w:val="fr-FR"/>
        </w:rPr>
        <w:t>87.</w:t>
      </w:r>
      <w:r w:rsidRPr="00495482">
        <w:rPr>
          <w:lang w:val="fr-FR"/>
        </w:rPr>
        <w:tab/>
      </w:r>
      <w:r w:rsidRPr="00495482">
        <w:rPr>
          <w:rFonts w:eastAsia="Tms Rmn"/>
          <w:lang w:val="fr-FR"/>
        </w:rPr>
        <w:t>L</w:t>
      </w:r>
      <w:r w:rsidR="005D0F0F" w:rsidRPr="00495482">
        <w:rPr>
          <w:rFonts w:eastAsia="Tms Rmn"/>
          <w:lang w:val="fr-FR"/>
        </w:rPr>
        <w:t>’</w:t>
      </w:r>
      <w:r w:rsidRPr="00495482">
        <w:rPr>
          <w:rFonts w:eastAsia="Tms Rmn"/>
          <w:lang w:val="fr-FR"/>
        </w:rPr>
        <w:t>inspection des mines traite des accidents du travail susceptibles de se produire dans les secteurs dangereux</w:t>
      </w:r>
      <w:r w:rsidR="005D0F0F" w:rsidRPr="00495482">
        <w:rPr>
          <w:rFonts w:eastAsia="Tms Rmn"/>
          <w:lang w:val="fr-FR"/>
        </w:rPr>
        <w:t>,</w:t>
      </w:r>
      <w:r w:rsidRPr="00495482">
        <w:rPr>
          <w:rFonts w:eastAsia="Tms Rmn"/>
          <w:lang w:val="fr-FR"/>
        </w:rPr>
        <w:t xml:space="preserve"> tels l</w:t>
      </w:r>
      <w:r w:rsidR="005D0F0F" w:rsidRPr="00495482">
        <w:rPr>
          <w:rFonts w:eastAsia="Tms Rmn"/>
          <w:lang w:val="fr-FR"/>
        </w:rPr>
        <w:t>’</w:t>
      </w:r>
      <w:r w:rsidRPr="00495482">
        <w:rPr>
          <w:rFonts w:eastAsia="Tms Rmn"/>
          <w:lang w:val="fr-FR"/>
        </w:rPr>
        <w:t xml:space="preserve">énergie nucléaire et les mines. </w:t>
      </w:r>
    </w:p>
    <w:p w:rsidR="00317603" w:rsidRPr="00495482" w:rsidRDefault="00317603" w:rsidP="006A4A4D">
      <w:pPr>
        <w:pStyle w:val="H23G"/>
        <w:rPr>
          <w:lang w:val="fr-FR" w:eastAsia="sl-SI"/>
        </w:rPr>
      </w:pPr>
      <w:r w:rsidRPr="00495482">
        <w:rPr>
          <w:lang w:val="fr-FR" w:eastAsia="sl-SI"/>
        </w:rPr>
        <w:tab/>
      </w:r>
      <w:r w:rsidRPr="00495482">
        <w:rPr>
          <w:lang w:val="fr-FR" w:eastAsia="sl-SI"/>
        </w:rPr>
        <w:tab/>
        <w:t>Ratification des conventions internationales de l</w:t>
      </w:r>
      <w:r w:rsidR="005D0F0F" w:rsidRPr="00495482">
        <w:rPr>
          <w:lang w:val="fr-FR" w:eastAsia="sl-SI"/>
        </w:rPr>
        <w:t>’</w:t>
      </w:r>
      <w:r w:rsidRPr="00495482">
        <w:rPr>
          <w:lang w:val="fr-FR" w:eastAsia="sl-SI"/>
        </w:rPr>
        <w:t>Organisation internationale du travail</w:t>
      </w:r>
      <w:r w:rsidR="003D1A4F" w:rsidRPr="00495482">
        <w:rPr>
          <w:lang w:val="fr-FR" w:eastAsia="sl-SI"/>
        </w:rPr>
        <w:t xml:space="preserve"> </w:t>
      </w:r>
    </w:p>
    <w:p w:rsidR="00317603" w:rsidRPr="00495482" w:rsidRDefault="00317603" w:rsidP="006A4A4D">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27 des observations finales</w:t>
      </w:r>
    </w:p>
    <w:p w:rsidR="00317603" w:rsidRPr="00495482" w:rsidRDefault="00317603" w:rsidP="006A4A4D">
      <w:pPr>
        <w:pStyle w:val="SingleTxtG"/>
        <w:rPr>
          <w:lang w:val="fr-FR"/>
        </w:rPr>
      </w:pPr>
      <w:r w:rsidRPr="00495482">
        <w:rPr>
          <w:lang w:val="fr-FR"/>
        </w:rPr>
        <w:t>88.</w:t>
      </w:r>
      <w:r w:rsidRPr="00495482">
        <w:rPr>
          <w:lang w:val="fr-FR"/>
        </w:rPr>
        <w:tab/>
        <w:t xml:space="preserve">Le Gouvernement slovène accepte la recommandation de ratification de la Convention </w:t>
      </w:r>
      <w:r w:rsidR="00150B2F">
        <w:rPr>
          <w:szCs w:val="18"/>
        </w:rPr>
        <w:t>n</w:t>
      </w:r>
      <w:r w:rsidR="00150B2F" w:rsidRPr="001B12ED">
        <w:rPr>
          <w:szCs w:val="18"/>
          <w:vertAlign w:val="superscript"/>
          <w:lang w:val="fr-FR"/>
        </w:rPr>
        <w:t>o</w:t>
      </w:r>
      <w:r w:rsidR="00150B2F">
        <w:rPr>
          <w:szCs w:val="18"/>
        </w:rPr>
        <w:t> </w:t>
      </w:r>
      <w:r w:rsidRPr="00495482">
        <w:rPr>
          <w:lang w:val="fr-FR"/>
        </w:rPr>
        <w:t>174 de l</w:t>
      </w:r>
      <w:r w:rsidR="005D0F0F" w:rsidRPr="00495482">
        <w:rPr>
          <w:lang w:val="fr-FR"/>
        </w:rPr>
        <w:t>’</w:t>
      </w:r>
      <w:r w:rsidRPr="00495482">
        <w:rPr>
          <w:lang w:val="fr-FR"/>
        </w:rPr>
        <w:t>OIT (1993) concernant la prévention des accidents industriels majeurs</w:t>
      </w:r>
      <w:r w:rsidRPr="00495482">
        <w:rPr>
          <w:rStyle w:val="FootnoteReference"/>
        </w:rPr>
        <w:footnoteReference w:id="47"/>
      </w:r>
      <w:r w:rsidR="00210F9A" w:rsidRPr="00495482">
        <w:rPr>
          <w:lang w:val="fr-FR"/>
        </w:rPr>
        <w:t>.</w:t>
      </w:r>
      <w:r w:rsidRPr="00495482">
        <w:rPr>
          <w:lang w:val="fr-FR"/>
        </w:rPr>
        <w:t xml:space="preserve"> Il a donc adopté une loi sur la ratification de la Convention</w:t>
      </w:r>
      <w:r w:rsidR="005D0F0F" w:rsidRPr="00495482">
        <w:rPr>
          <w:lang w:val="fr-FR"/>
        </w:rPr>
        <w:t>,</w:t>
      </w:r>
      <w:r w:rsidRPr="00495482">
        <w:rPr>
          <w:lang w:val="fr-FR"/>
        </w:rPr>
        <w:t xml:space="preserve"> le 23 décembre 2009. Pour l</w:t>
      </w:r>
      <w:r w:rsidR="005D0F0F" w:rsidRPr="00495482">
        <w:rPr>
          <w:lang w:val="fr-FR"/>
        </w:rPr>
        <w:t>’</w:t>
      </w:r>
      <w:r w:rsidRPr="00495482">
        <w:rPr>
          <w:lang w:val="fr-FR"/>
        </w:rPr>
        <w:t>heure</w:t>
      </w:r>
      <w:r w:rsidR="005D0F0F" w:rsidRPr="00495482">
        <w:rPr>
          <w:lang w:val="fr-FR"/>
        </w:rPr>
        <w:t>,</w:t>
      </w:r>
      <w:r w:rsidRPr="00495482">
        <w:rPr>
          <w:lang w:val="fr-FR"/>
        </w:rPr>
        <w:t xml:space="preserve"> la Slovénie n</w:t>
      </w:r>
      <w:r w:rsidR="005D0F0F" w:rsidRPr="00495482">
        <w:rPr>
          <w:lang w:val="fr-FR"/>
        </w:rPr>
        <w:t>’</w:t>
      </w:r>
      <w:r w:rsidRPr="00495482">
        <w:rPr>
          <w:lang w:val="fr-FR"/>
        </w:rPr>
        <w:t xml:space="preserve">est pas en mesure de donner une réponse définitive concernant la ratification de la Convention </w:t>
      </w:r>
      <w:r w:rsidR="00150B2F">
        <w:rPr>
          <w:szCs w:val="18"/>
        </w:rPr>
        <w:t>n</w:t>
      </w:r>
      <w:r w:rsidR="00150B2F" w:rsidRPr="001B12ED">
        <w:rPr>
          <w:szCs w:val="18"/>
          <w:vertAlign w:val="superscript"/>
          <w:lang w:val="fr-FR"/>
        </w:rPr>
        <w:t>o</w:t>
      </w:r>
      <w:r w:rsidR="00150B2F">
        <w:rPr>
          <w:szCs w:val="18"/>
        </w:rPr>
        <w:t> </w:t>
      </w:r>
      <w:r w:rsidRPr="00495482">
        <w:rPr>
          <w:lang w:val="fr-FR"/>
        </w:rPr>
        <w:t>118 (1962) sur l</w:t>
      </w:r>
      <w:r w:rsidR="005D0F0F" w:rsidRPr="00495482">
        <w:rPr>
          <w:lang w:val="fr-FR"/>
        </w:rPr>
        <w:t>’</w:t>
      </w:r>
      <w:r w:rsidRPr="00495482">
        <w:rPr>
          <w:lang w:val="fr-FR"/>
        </w:rPr>
        <w:t xml:space="preserve">égalité de traitement en matière de sécurité sociale. </w:t>
      </w:r>
    </w:p>
    <w:p w:rsidR="00317603" w:rsidRPr="00495482" w:rsidRDefault="00317603" w:rsidP="006A4A4D">
      <w:pPr>
        <w:pStyle w:val="H23G"/>
        <w:rPr>
          <w:lang w:val="fr-FR" w:eastAsia="sl-SI"/>
        </w:rPr>
      </w:pPr>
      <w:r w:rsidRPr="00495482">
        <w:rPr>
          <w:lang w:val="fr-FR" w:eastAsia="sl-SI"/>
        </w:rPr>
        <w:tab/>
      </w:r>
      <w:r w:rsidRPr="00495482">
        <w:rPr>
          <w:lang w:val="fr-FR" w:eastAsia="sl-SI"/>
        </w:rPr>
        <w:tab/>
        <w:t>Concilier vie familiale et vie professionnelle</w:t>
      </w:r>
      <w:r w:rsidR="003D1A4F" w:rsidRPr="00495482">
        <w:rPr>
          <w:lang w:val="fr-FR" w:eastAsia="sl-SI"/>
        </w:rPr>
        <w:t xml:space="preserve"> </w:t>
      </w:r>
    </w:p>
    <w:p w:rsidR="00317603" w:rsidRPr="00495482" w:rsidRDefault="00317603" w:rsidP="006A4A4D">
      <w:pPr>
        <w:pStyle w:val="SingleTxtG"/>
        <w:rPr>
          <w:lang w:val="fr-FR"/>
        </w:rPr>
      </w:pPr>
      <w:r w:rsidRPr="00495482">
        <w:rPr>
          <w:lang w:val="fr-FR"/>
        </w:rPr>
        <w:t>89.</w:t>
      </w:r>
      <w:r w:rsidRPr="00495482">
        <w:rPr>
          <w:lang w:val="fr-FR"/>
        </w:rPr>
        <w:tab/>
        <w:t>Les modifications apportées en 2007 à la loi sur les relations professionnelles</w:t>
      </w:r>
      <w:r w:rsidRPr="00495482">
        <w:rPr>
          <w:rStyle w:val="FootnoteReference"/>
        </w:rPr>
        <w:footnoteReference w:id="48"/>
      </w:r>
      <w:r w:rsidR="003D1A4F" w:rsidRPr="00495482">
        <w:rPr>
          <w:lang w:val="fr-FR"/>
        </w:rPr>
        <w:t xml:space="preserve"> </w:t>
      </w:r>
      <w:r w:rsidRPr="00495482">
        <w:rPr>
          <w:lang w:val="fr-FR"/>
        </w:rPr>
        <w:t>visent</w:t>
      </w:r>
      <w:r w:rsidR="003D1A4F" w:rsidRPr="00495482">
        <w:rPr>
          <w:lang w:val="fr-FR"/>
        </w:rPr>
        <w:t xml:space="preserve"> </w:t>
      </w:r>
      <w:r w:rsidRPr="00495482">
        <w:rPr>
          <w:lang w:val="fr-FR"/>
        </w:rPr>
        <w:t>également à concilier plus aisément vie familiale et vie professionnelle</w:t>
      </w:r>
      <w:r w:rsidR="005D0F0F" w:rsidRPr="00495482">
        <w:rPr>
          <w:lang w:val="fr-FR"/>
        </w:rPr>
        <w:t>,</w:t>
      </w:r>
      <w:r w:rsidRPr="00495482">
        <w:rPr>
          <w:lang w:val="fr-FR"/>
        </w:rPr>
        <w:t xml:space="preserve"> plus précisément par une disposition en vertu de laquelle</w:t>
      </w:r>
      <w:r w:rsidR="005D0F0F" w:rsidRPr="00495482">
        <w:rPr>
          <w:lang w:val="fr-FR"/>
        </w:rPr>
        <w:t>,</w:t>
      </w:r>
      <w:r w:rsidRPr="00495482">
        <w:rPr>
          <w:lang w:val="fr-FR"/>
        </w:rPr>
        <w:t xml:space="preserve"> si un salarié propose un aménagement du temps de travail dans le cadre de relations d</w:t>
      </w:r>
      <w:r w:rsidR="005D0F0F" w:rsidRPr="00495482">
        <w:rPr>
          <w:lang w:val="fr-FR"/>
        </w:rPr>
        <w:t>’</w:t>
      </w:r>
      <w:r w:rsidRPr="00495482">
        <w:rPr>
          <w:lang w:val="fr-FR"/>
        </w:rPr>
        <w:t>emploi existantes</w:t>
      </w:r>
      <w:r w:rsidR="005D0F0F" w:rsidRPr="00495482">
        <w:rPr>
          <w:lang w:val="fr-FR"/>
        </w:rPr>
        <w:t>,</w:t>
      </w:r>
      <w:r w:rsidRPr="00495482">
        <w:rPr>
          <w:lang w:val="fr-FR"/>
        </w:rPr>
        <w:t xml:space="preserve"> l</w:t>
      </w:r>
      <w:r w:rsidR="005D0F0F" w:rsidRPr="00495482">
        <w:rPr>
          <w:lang w:val="fr-FR"/>
        </w:rPr>
        <w:t>’</w:t>
      </w:r>
      <w:r w:rsidRPr="00495482">
        <w:rPr>
          <w:lang w:val="fr-FR"/>
        </w:rPr>
        <w:t>employeur doit</w:t>
      </w:r>
      <w:r w:rsidR="005D0F0F" w:rsidRPr="00495482">
        <w:rPr>
          <w:lang w:val="fr-FR"/>
        </w:rPr>
        <w:t>,</w:t>
      </w:r>
      <w:r w:rsidRPr="00495482">
        <w:rPr>
          <w:lang w:val="fr-FR"/>
        </w:rPr>
        <w:t xml:space="preserve"> compte tenu des travaux à effectuer</w:t>
      </w:r>
      <w:r w:rsidR="005D0F0F" w:rsidRPr="00495482">
        <w:rPr>
          <w:lang w:val="fr-FR"/>
        </w:rPr>
        <w:t>,</w:t>
      </w:r>
      <w:r w:rsidRPr="00495482">
        <w:rPr>
          <w:lang w:val="fr-FR"/>
        </w:rPr>
        <w:t xml:space="preserve"> justifier sa décision par écrit (troisième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147 de la loi sur les relations professionnelles)</w:t>
      </w:r>
      <w:r w:rsidR="005D0F0F" w:rsidRPr="00495482">
        <w:rPr>
          <w:lang w:val="fr-FR"/>
        </w:rPr>
        <w:t>,</w:t>
      </w:r>
      <w:r w:rsidRPr="00495482">
        <w:rPr>
          <w:lang w:val="fr-FR"/>
        </w:rPr>
        <w:t xml:space="preserve"> et par une autre disposition selon laquelle les parents d</w:t>
      </w:r>
      <w:r w:rsidR="005D0F0F" w:rsidRPr="00495482">
        <w:rPr>
          <w:lang w:val="fr-FR"/>
        </w:rPr>
        <w:t>’</w:t>
      </w:r>
      <w:r w:rsidRPr="00495482">
        <w:rPr>
          <w:lang w:val="fr-FR"/>
        </w:rPr>
        <w:t>enfants d</w:t>
      </w:r>
      <w:r w:rsidR="005D0F0F" w:rsidRPr="00495482">
        <w:rPr>
          <w:lang w:val="fr-FR"/>
        </w:rPr>
        <w:t>’</w:t>
      </w:r>
      <w:r w:rsidRPr="00495482">
        <w:rPr>
          <w:lang w:val="fr-FR"/>
        </w:rPr>
        <w:t xml:space="preserve">âge scolaire sont habilités à prendre au moins une semaine de leur congé annuel pendant les vacances scolaires (deuxième </w:t>
      </w:r>
      <w:r w:rsidR="00855472">
        <w:rPr>
          <w:lang w:val="fr-FR"/>
        </w:rPr>
        <w:t>paragraphe de</w:t>
      </w:r>
      <w:r w:rsidRPr="00495482">
        <w:rPr>
          <w:lang w:val="fr-FR"/>
        </w:rPr>
        <w:t xml:space="preserve"> </w:t>
      </w:r>
      <w:r w:rsidR="00657B60" w:rsidRPr="00495482">
        <w:rPr>
          <w:lang w:val="fr-FR"/>
        </w:rPr>
        <w:t>l’</w:t>
      </w:r>
      <w:r w:rsidR="003C4F70">
        <w:rPr>
          <w:lang w:val="fr-FR"/>
        </w:rPr>
        <w:t>article </w:t>
      </w:r>
      <w:r w:rsidRPr="00495482">
        <w:rPr>
          <w:lang w:val="fr-FR"/>
        </w:rPr>
        <w:t>165 de la loi susmentionnée).</w:t>
      </w:r>
      <w:r w:rsidR="00210F9A" w:rsidRPr="00495482">
        <w:rPr>
          <w:lang w:val="fr-FR"/>
        </w:rPr>
        <w:t xml:space="preserve"> À </w:t>
      </w:r>
      <w:r w:rsidRPr="00495482">
        <w:rPr>
          <w:lang w:val="fr-FR"/>
        </w:rPr>
        <w:t>l</w:t>
      </w:r>
      <w:r w:rsidR="005D0F0F" w:rsidRPr="00495482">
        <w:rPr>
          <w:lang w:val="fr-FR"/>
        </w:rPr>
        <w:t>’</w:t>
      </w:r>
      <w:r w:rsidRPr="00495482">
        <w:rPr>
          <w:lang w:val="fr-FR"/>
        </w:rPr>
        <w:t>automne 2006</w:t>
      </w:r>
      <w:r w:rsidR="005D0F0F" w:rsidRPr="00495482">
        <w:rPr>
          <w:lang w:val="fr-FR"/>
        </w:rPr>
        <w:t>,</w:t>
      </w:r>
      <w:r w:rsidRPr="00495482">
        <w:rPr>
          <w:lang w:val="fr-FR"/>
        </w:rPr>
        <w:t xml:space="preserve"> un projet de label décerné aux entreprises favorables aux familles a été lancé en Slovénie. Le 15 mai 2007</w:t>
      </w:r>
      <w:r w:rsidR="005D0F0F" w:rsidRPr="00495482">
        <w:rPr>
          <w:lang w:val="fr-FR"/>
        </w:rPr>
        <w:t>,</w:t>
      </w:r>
      <w:r w:rsidRPr="00495482">
        <w:rPr>
          <w:lang w:val="fr-FR"/>
        </w:rPr>
        <w:t xml:space="preserve"> 32 entreprises slovènes ont ainsi été les premières à recevoir pour trois</w:t>
      </w:r>
      <w:r w:rsidR="002328BD" w:rsidRPr="00495482">
        <w:rPr>
          <w:lang w:val="fr-FR"/>
        </w:rPr>
        <w:t> ans</w:t>
      </w:r>
      <w:r w:rsidRPr="00495482">
        <w:rPr>
          <w:lang w:val="fr-FR"/>
        </w:rPr>
        <w:t xml:space="preserve"> ce label</w:t>
      </w:r>
      <w:r w:rsidR="005D0F0F" w:rsidRPr="00495482">
        <w:rPr>
          <w:lang w:val="fr-FR"/>
        </w:rPr>
        <w:t>,</w:t>
      </w:r>
      <w:r w:rsidR="003D1A4F" w:rsidRPr="00495482">
        <w:rPr>
          <w:lang w:val="fr-FR"/>
        </w:rPr>
        <w:t xml:space="preserve"> </w:t>
      </w:r>
      <w:r w:rsidRPr="00495482">
        <w:rPr>
          <w:lang w:val="fr-FR"/>
        </w:rPr>
        <w:t>décerné par le Ministère du travail</w:t>
      </w:r>
      <w:r w:rsidR="005D0F0F" w:rsidRPr="00495482">
        <w:rPr>
          <w:lang w:val="fr-FR"/>
        </w:rPr>
        <w:t>,</w:t>
      </w:r>
      <w:r w:rsidRPr="00495482">
        <w:rPr>
          <w:lang w:val="fr-FR"/>
        </w:rPr>
        <w:t xml:space="preserve"> de la famille et des affaires sociales</w:t>
      </w:r>
      <w:r w:rsidR="005D0F0F" w:rsidRPr="00495482">
        <w:rPr>
          <w:lang w:val="fr-FR"/>
        </w:rPr>
        <w:t>,</w:t>
      </w:r>
      <w:r w:rsidRPr="00495482">
        <w:rPr>
          <w:lang w:val="fr-FR"/>
        </w:rPr>
        <w:t xml:space="preserve"> lequel</w:t>
      </w:r>
      <w:r w:rsidR="003D1A4F" w:rsidRPr="00495482">
        <w:rPr>
          <w:lang w:val="fr-FR"/>
        </w:rPr>
        <w:t xml:space="preserve"> </w:t>
      </w:r>
      <w:r w:rsidRPr="00495482">
        <w:rPr>
          <w:lang w:val="fr-FR"/>
        </w:rPr>
        <w:t xml:space="preserve">a lui-même reçu le label en question. </w:t>
      </w:r>
    </w:p>
    <w:p w:rsidR="00317603" w:rsidRPr="00495482" w:rsidRDefault="00317603" w:rsidP="00210F9A">
      <w:pPr>
        <w:pStyle w:val="H1G"/>
        <w:rPr>
          <w:szCs w:val="24"/>
          <w:lang w:val="fr-FR" w:eastAsia="sl-SI"/>
        </w:rPr>
      </w:pPr>
      <w:r w:rsidRPr="00495482">
        <w:rPr>
          <w:lang w:val="fr-FR" w:eastAsia="sl-SI"/>
        </w:rPr>
        <w:tab/>
      </w:r>
      <w:r w:rsidRPr="00495482">
        <w:rPr>
          <w:lang w:val="fr-FR" w:eastAsia="sl-SI"/>
        </w:rPr>
        <w:tab/>
        <w:t>Article 8</w:t>
      </w:r>
      <w:r w:rsidR="00210F9A" w:rsidRPr="00495482">
        <w:rPr>
          <w:lang w:val="fr-FR" w:eastAsia="sl-SI"/>
        </w:rPr>
        <w:br/>
      </w:r>
      <w:r w:rsidRPr="00495482">
        <w:rPr>
          <w:lang w:val="fr-FR" w:eastAsia="sl-SI"/>
        </w:rPr>
        <w:t>Droits syndicaux</w:t>
      </w:r>
    </w:p>
    <w:p w:rsidR="00317603" w:rsidRPr="00495482" w:rsidRDefault="00317603" w:rsidP="002E0E70">
      <w:pPr>
        <w:pStyle w:val="SingleTxtG"/>
        <w:rPr>
          <w:lang w:val="fr-FR"/>
        </w:rPr>
      </w:pPr>
      <w:r w:rsidRPr="00495482">
        <w:rPr>
          <w:lang w:val="fr-FR"/>
        </w:rPr>
        <w:t>90.</w:t>
      </w:r>
      <w:r w:rsidRPr="00495482">
        <w:rPr>
          <w:lang w:val="fr-FR"/>
        </w:rPr>
        <w:tab/>
        <w:t>Les dispositions concernant les droits syndicaux sont exposées dans le rapport initial (</w:t>
      </w:r>
      <w:r w:rsidR="00210F9A" w:rsidRPr="00495482">
        <w:rPr>
          <w:lang w:val="fr-FR"/>
        </w:rPr>
        <w:t>par. </w:t>
      </w:r>
      <w:r w:rsidRPr="00495482">
        <w:rPr>
          <w:lang w:val="fr-FR"/>
        </w:rPr>
        <w:t>299 à 361).</w:t>
      </w:r>
    </w:p>
    <w:p w:rsidR="00317603" w:rsidRPr="00495482" w:rsidRDefault="00317603" w:rsidP="002E0E70">
      <w:pPr>
        <w:pStyle w:val="H23G"/>
        <w:rPr>
          <w:lang w:val="fr-FR" w:eastAsia="sl-SI"/>
        </w:rPr>
      </w:pPr>
      <w:r w:rsidRPr="00495482">
        <w:rPr>
          <w:lang w:val="fr-FR" w:eastAsia="sl-SI"/>
        </w:rPr>
        <w:tab/>
      </w:r>
      <w:r w:rsidRPr="00495482">
        <w:rPr>
          <w:lang w:val="fr-FR" w:eastAsia="sl-SI"/>
        </w:rPr>
        <w:tab/>
        <w:t xml:space="preserve">Conventions collectives </w:t>
      </w:r>
    </w:p>
    <w:p w:rsidR="00317603" w:rsidRPr="00495482" w:rsidRDefault="00317603" w:rsidP="002E0E70">
      <w:pPr>
        <w:pStyle w:val="SingleTxtG"/>
        <w:rPr>
          <w:lang w:val="fr-FR"/>
        </w:rPr>
      </w:pPr>
      <w:r w:rsidRPr="00495482">
        <w:rPr>
          <w:lang w:val="fr-FR"/>
        </w:rPr>
        <w:t>91.</w:t>
      </w:r>
      <w:r w:rsidRPr="00495482">
        <w:rPr>
          <w:lang w:val="fr-FR"/>
        </w:rPr>
        <w:tab/>
        <w:t>En République de Slovénie</w:t>
      </w:r>
      <w:r w:rsidR="005D0F0F" w:rsidRPr="00495482">
        <w:rPr>
          <w:lang w:val="fr-FR"/>
        </w:rPr>
        <w:t>,</w:t>
      </w:r>
      <w:r w:rsidRPr="00495482">
        <w:rPr>
          <w:lang w:val="fr-FR"/>
        </w:rPr>
        <w:t xml:space="preserve"> les conventions collectives sont régies par la loi y relative</w:t>
      </w:r>
      <w:r w:rsidRPr="00495482">
        <w:rPr>
          <w:rStyle w:val="FootnoteReference"/>
        </w:rPr>
        <w:footnoteReference w:id="49"/>
      </w:r>
      <w:r w:rsidR="00813156" w:rsidRPr="00495482">
        <w:rPr>
          <w:lang w:val="fr-FR"/>
        </w:rPr>
        <w:t>,</w:t>
      </w:r>
      <w:r w:rsidRPr="00495482">
        <w:rPr>
          <w:lang w:val="fr-FR"/>
        </w:rPr>
        <w:t xml:space="preserve"> entrée en vigueur en mai 2006 et qui a mis en place les principales modifications du système</w:t>
      </w:r>
      <w:r w:rsidR="005D0F0F" w:rsidRPr="00495482">
        <w:rPr>
          <w:lang w:val="fr-FR"/>
        </w:rPr>
        <w:t>,</w:t>
      </w:r>
      <w:r w:rsidRPr="00495482">
        <w:rPr>
          <w:lang w:val="fr-FR"/>
        </w:rPr>
        <w:t xml:space="preserve"> notamment à des fins d</w:t>
      </w:r>
      <w:r w:rsidR="005D0F0F" w:rsidRPr="00495482">
        <w:rPr>
          <w:lang w:val="fr-FR"/>
        </w:rPr>
        <w:t>’</w:t>
      </w:r>
      <w:r w:rsidRPr="00495482">
        <w:rPr>
          <w:lang w:val="fr-FR"/>
        </w:rPr>
        <w:t>harmonisation avec les documents internationaux et essentiellement avec l</w:t>
      </w:r>
      <w:r w:rsidR="005D0F0F" w:rsidRPr="00495482">
        <w:rPr>
          <w:lang w:val="fr-FR"/>
        </w:rPr>
        <w:t>’</w:t>
      </w:r>
      <w:r w:rsidRPr="00495482">
        <w:rPr>
          <w:lang w:val="fr-FR"/>
        </w:rPr>
        <w:t>ensemble des conventions de l</w:t>
      </w:r>
      <w:r w:rsidR="005D0F0F" w:rsidRPr="00495482">
        <w:rPr>
          <w:lang w:val="fr-FR"/>
        </w:rPr>
        <w:t>’</w:t>
      </w:r>
      <w:r w:rsidRPr="00495482">
        <w:rPr>
          <w:lang w:val="fr-FR"/>
        </w:rPr>
        <w:t>Organisation internationale du travail et la Charte sociale européenne qu</w:t>
      </w:r>
      <w:r w:rsidR="005D0F0F" w:rsidRPr="00495482">
        <w:rPr>
          <w:lang w:val="fr-FR"/>
        </w:rPr>
        <w:t>’</w:t>
      </w:r>
      <w:r w:rsidRPr="00495482">
        <w:rPr>
          <w:lang w:val="fr-FR"/>
        </w:rPr>
        <w:t>elle a ratifiées. La loi sur les conventions collectives fondée sur le principe élémentaire selon lequel la signature de conventions collectives doit être libre et volontaire</w:t>
      </w:r>
      <w:r w:rsidR="005D0F0F" w:rsidRPr="00495482">
        <w:rPr>
          <w:lang w:val="fr-FR"/>
        </w:rPr>
        <w:t>,</w:t>
      </w:r>
      <w:r w:rsidRPr="00495482">
        <w:rPr>
          <w:lang w:val="fr-FR"/>
        </w:rPr>
        <w:t xml:space="preserve"> n</w:t>
      </w:r>
      <w:r w:rsidR="005D0F0F" w:rsidRPr="00495482">
        <w:rPr>
          <w:lang w:val="fr-FR"/>
        </w:rPr>
        <w:t>’</w:t>
      </w:r>
      <w:r w:rsidRPr="00495482">
        <w:rPr>
          <w:lang w:val="fr-FR"/>
        </w:rPr>
        <w:t>impose donc pas d</w:t>
      </w:r>
      <w:r w:rsidR="005D0F0F" w:rsidRPr="00495482">
        <w:rPr>
          <w:lang w:val="fr-FR"/>
        </w:rPr>
        <w:t>’</w:t>
      </w:r>
      <w:r w:rsidRPr="00495482">
        <w:rPr>
          <w:lang w:val="fr-FR"/>
        </w:rPr>
        <w:t>obligation ni quant à leur signature</w:t>
      </w:r>
      <w:r w:rsidR="005D0F0F" w:rsidRPr="00495482">
        <w:rPr>
          <w:lang w:val="fr-FR"/>
        </w:rPr>
        <w:t>,</w:t>
      </w:r>
      <w:r w:rsidRPr="00495482">
        <w:rPr>
          <w:lang w:val="fr-FR"/>
        </w:rPr>
        <w:t xml:space="preserve"> ni quant à leur contenu</w:t>
      </w:r>
      <w:r w:rsidR="003D1A4F" w:rsidRPr="00495482">
        <w:rPr>
          <w:lang w:val="fr-FR"/>
        </w:rPr>
        <w:t xml:space="preserve"> </w:t>
      </w:r>
      <w:r w:rsidRPr="00495482">
        <w:rPr>
          <w:lang w:val="fr-FR"/>
        </w:rPr>
        <w:t>et de même</w:t>
      </w:r>
      <w:r w:rsidR="005D0F0F" w:rsidRPr="00495482">
        <w:rPr>
          <w:lang w:val="fr-FR"/>
        </w:rPr>
        <w:t>,</w:t>
      </w:r>
      <w:r w:rsidRPr="00495482">
        <w:rPr>
          <w:lang w:val="fr-FR"/>
        </w:rPr>
        <w:t xml:space="preserve"> ne spécifie pas leur type et le niveau auquel elles doivent être conclues.</w:t>
      </w:r>
      <w:r w:rsidR="003D1A4F" w:rsidRPr="00495482">
        <w:rPr>
          <w:lang w:val="fr-FR"/>
        </w:rPr>
        <w:t xml:space="preserve"> </w:t>
      </w:r>
    </w:p>
    <w:p w:rsidR="00317603" w:rsidRPr="00495482" w:rsidRDefault="00317603" w:rsidP="00EB3C6C">
      <w:pPr>
        <w:pStyle w:val="SingleTxtG"/>
        <w:keepNext/>
        <w:rPr>
          <w:lang w:val="fr-FR"/>
        </w:rPr>
      </w:pPr>
      <w:r w:rsidRPr="00495482">
        <w:rPr>
          <w:lang w:val="fr-FR"/>
        </w:rPr>
        <w:t>92.</w:t>
      </w:r>
      <w:r w:rsidRPr="00495482">
        <w:rPr>
          <w:lang w:val="fr-FR"/>
        </w:rPr>
        <w:tab/>
        <w:t>La loi sur les conventions collectives met en place diverses innovations par rapport au précédent système de règlementation des conventions collectives</w:t>
      </w:r>
      <w:r w:rsidR="005D0F0F" w:rsidRPr="00495482">
        <w:rPr>
          <w:lang w:val="fr-FR"/>
        </w:rPr>
        <w:t>,</w:t>
      </w:r>
      <w:r w:rsidRPr="00495482">
        <w:rPr>
          <w:lang w:val="fr-FR"/>
        </w:rPr>
        <w:t xml:space="preserve"> à savoir</w:t>
      </w:r>
      <w:r w:rsidR="005D0F0F" w:rsidRPr="00495482">
        <w:rPr>
          <w:lang w:val="fr-FR"/>
        </w:rPr>
        <w:t>:</w:t>
      </w:r>
      <w:r w:rsidRPr="00495482">
        <w:rPr>
          <w:lang w:val="fr-FR"/>
        </w:rPr>
        <w:t xml:space="preserve"> </w:t>
      </w:r>
    </w:p>
    <w:p w:rsidR="00317603" w:rsidRPr="00495482" w:rsidRDefault="00210F9A" w:rsidP="00210F9A">
      <w:pPr>
        <w:pStyle w:val="Bullet1G"/>
        <w:rPr>
          <w:szCs w:val="22"/>
          <w:lang w:val="fr-FR" w:eastAsia="sl-SI"/>
        </w:rPr>
      </w:pPr>
      <w:r w:rsidRPr="00495482">
        <w:rPr>
          <w:szCs w:val="22"/>
          <w:lang w:val="fr-FR" w:eastAsia="sl-SI"/>
        </w:rPr>
        <w:t>L’</w:t>
      </w:r>
      <w:r w:rsidRPr="00495482">
        <w:rPr>
          <w:lang w:val="fr-FR" w:eastAsia="sl-SI"/>
        </w:rPr>
        <w:t xml:space="preserve">adoption du principe de conclusion librement consentie de conventions collectives; </w:t>
      </w:r>
    </w:p>
    <w:p w:rsidR="00317603" w:rsidRPr="00495482" w:rsidRDefault="00210F9A" w:rsidP="00210F9A">
      <w:pPr>
        <w:pStyle w:val="Bullet1G"/>
        <w:rPr>
          <w:lang w:val="fr-FR" w:eastAsia="sl-SI"/>
        </w:rPr>
      </w:pPr>
      <w:r w:rsidRPr="00495482">
        <w:rPr>
          <w:lang w:val="fr-FR" w:eastAsia="sl-SI"/>
        </w:rPr>
        <w:t xml:space="preserve">La loi indique des exceptions au principe général selon lequel une convention collective sectorielle ne peut qu’être plus favorable aux travailleurs qu’une convention collective de portée plus générale. Elle régit la possibilité pour une convention collective dont le champ d’application est plus étendu, de fixer des droits et des conditions de travail différents ou moins favorables aux travailleurs, par une convention collective de portée plus restrictive, dans le but d’obtenir une méthode plus transparente de règlement des situations de crise; </w:t>
      </w:r>
    </w:p>
    <w:p w:rsidR="00317603" w:rsidRPr="00495482" w:rsidRDefault="002E0E70" w:rsidP="00210F9A">
      <w:pPr>
        <w:pStyle w:val="Bullet1G"/>
        <w:rPr>
          <w:szCs w:val="22"/>
          <w:lang w:val="fr-FR" w:eastAsia="sl-SI"/>
        </w:rPr>
      </w:pPr>
      <w:r w:rsidRPr="00495482">
        <w:rPr>
          <w:lang w:val="fr-FR" w:eastAsia="sl-SI"/>
        </w:rPr>
        <w:t xml:space="preserve">La </w:t>
      </w:r>
      <w:r w:rsidR="00210F9A" w:rsidRPr="00495482">
        <w:rPr>
          <w:lang w:val="fr-FR" w:eastAsia="sl-SI"/>
        </w:rPr>
        <w:t xml:space="preserve">possibilité d’adhésion ultérieure à une convention collective existante; </w:t>
      </w:r>
    </w:p>
    <w:p w:rsidR="00317603" w:rsidRPr="00495482" w:rsidRDefault="00210F9A" w:rsidP="00210F9A">
      <w:pPr>
        <w:pStyle w:val="Bullet1G"/>
        <w:rPr>
          <w:lang w:val="fr-FR" w:eastAsia="sl-SI"/>
        </w:rPr>
      </w:pPr>
      <w:r w:rsidRPr="00495482">
        <w:rPr>
          <w:lang w:val="fr-FR" w:eastAsia="sl-SI"/>
        </w:rPr>
        <w:t xml:space="preserve">Moyennant certaines conditions, la loi susmentionnée prévoit également d’étendre et de généraliser la validité des conventions collectives conclues qui ne s’appliquent plus exclusivement aux parties signataires ou à leurs membres. </w:t>
      </w:r>
    </w:p>
    <w:p w:rsidR="00317603" w:rsidRPr="00495482" w:rsidRDefault="00317603" w:rsidP="002E0E70">
      <w:pPr>
        <w:pStyle w:val="SingleTxtG"/>
        <w:rPr>
          <w:lang w:val="fr-FR"/>
        </w:rPr>
      </w:pPr>
      <w:r w:rsidRPr="00495482">
        <w:rPr>
          <w:lang w:val="fr-FR"/>
        </w:rPr>
        <w:t>93.</w:t>
      </w:r>
      <w:r w:rsidRPr="00495482">
        <w:rPr>
          <w:lang w:val="fr-FR"/>
        </w:rPr>
        <w:tab/>
        <w:t>S</w:t>
      </w:r>
      <w:r w:rsidR="005D0F0F" w:rsidRPr="00495482">
        <w:rPr>
          <w:lang w:val="fr-FR"/>
        </w:rPr>
        <w:t>’</w:t>
      </w:r>
      <w:r w:rsidRPr="00495482">
        <w:rPr>
          <w:lang w:val="fr-FR"/>
        </w:rPr>
        <w:t xml:space="preserve">agissant de la recommandation figurant au </w:t>
      </w:r>
      <w:r w:rsidR="00FB11E8">
        <w:rPr>
          <w:lang w:val="fr-FR"/>
        </w:rPr>
        <w:t>paragraphe </w:t>
      </w:r>
      <w:r w:rsidRPr="00495482">
        <w:rPr>
          <w:lang w:val="fr-FR"/>
        </w:rPr>
        <w:t>23</w:t>
      </w:r>
      <w:r w:rsidR="005D0F0F" w:rsidRPr="00495482">
        <w:rPr>
          <w:lang w:val="fr-FR"/>
        </w:rPr>
        <w:t>,</w:t>
      </w:r>
      <w:r w:rsidRPr="00495482">
        <w:rPr>
          <w:lang w:val="fr-FR"/>
        </w:rPr>
        <w:t xml:space="preserve"> par laquelle le Comité préconise à l</w:t>
      </w:r>
      <w:r w:rsidR="005D0F0F" w:rsidRPr="00495482">
        <w:rPr>
          <w:lang w:val="fr-FR"/>
        </w:rPr>
        <w:t>’</w:t>
      </w:r>
      <w:r w:rsidRPr="00495482">
        <w:rPr>
          <w:lang w:val="fr-FR"/>
        </w:rPr>
        <w:t>État partie de citer dans son prochain rapport des exemples de jurisprudence concernant la mise en œuvre du Pacte</w:t>
      </w:r>
      <w:r w:rsidR="005D0F0F" w:rsidRPr="00495482">
        <w:rPr>
          <w:lang w:val="fr-FR"/>
        </w:rPr>
        <w:t>,</w:t>
      </w:r>
      <w:r w:rsidRPr="00495482">
        <w:rPr>
          <w:lang w:val="fr-FR"/>
        </w:rPr>
        <w:t xml:space="preserve"> l</w:t>
      </w:r>
      <w:r w:rsidR="005D0F0F" w:rsidRPr="00495482">
        <w:rPr>
          <w:lang w:val="fr-FR"/>
        </w:rPr>
        <w:t>’</w:t>
      </w:r>
      <w:r w:rsidRPr="00495482">
        <w:rPr>
          <w:lang w:val="fr-FR"/>
        </w:rPr>
        <w:t>annexe III contient des arrêts de la Cour suprême ayant trait au droit de grève (</w:t>
      </w:r>
      <w:r w:rsidR="00150B2F">
        <w:rPr>
          <w:szCs w:val="18"/>
        </w:rPr>
        <w:t>n</w:t>
      </w:r>
      <w:r w:rsidR="00150B2F" w:rsidRPr="001B12ED">
        <w:rPr>
          <w:szCs w:val="18"/>
          <w:vertAlign w:val="superscript"/>
          <w:lang w:val="fr-FR"/>
        </w:rPr>
        <w:t>o</w:t>
      </w:r>
      <w:r w:rsidR="00150B2F">
        <w:rPr>
          <w:szCs w:val="18"/>
        </w:rPr>
        <w:t> </w:t>
      </w:r>
      <w:r w:rsidRPr="00495482">
        <w:rPr>
          <w:lang w:val="fr-FR"/>
        </w:rPr>
        <w:t>de référence</w:t>
      </w:r>
      <w:r w:rsidR="005D0F0F" w:rsidRPr="00495482">
        <w:rPr>
          <w:lang w:val="fr-FR"/>
        </w:rPr>
        <w:t>:</w:t>
      </w:r>
      <w:r w:rsidRPr="00495482">
        <w:rPr>
          <w:lang w:val="fr-FR"/>
        </w:rPr>
        <w:t xml:space="preserve"> VDS décision Pdp 379/99.</w:t>
      </w:r>
    </w:p>
    <w:p w:rsidR="00317603" w:rsidRPr="00495482" w:rsidRDefault="00317603" w:rsidP="00210F9A">
      <w:pPr>
        <w:pStyle w:val="H1G"/>
        <w:rPr>
          <w:szCs w:val="24"/>
          <w:lang w:val="fr-FR" w:eastAsia="sl-SI"/>
        </w:rPr>
      </w:pPr>
      <w:r w:rsidRPr="00495482">
        <w:rPr>
          <w:lang w:val="fr-FR" w:eastAsia="sl-SI"/>
        </w:rPr>
        <w:tab/>
      </w:r>
      <w:r w:rsidRPr="00495482">
        <w:rPr>
          <w:lang w:val="fr-FR" w:eastAsia="sl-SI"/>
        </w:rPr>
        <w:tab/>
        <w:t>Article 9</w:t>
      </w:r>
      <w:r w:rsidR="00210F9A" w:rsidRPr="00495482">
        <w:rPr>
          <w:lang w:val="fr-FR" w:eastAsia="sl-SI"/>
        </w:rPr>
        <w:br/>
      </w:r>
      <w:r w:rsidRPr="00495482">
        <w:rPr>
          <w:lang w:val="fr-FR" w:eastAsia="sl-SI"/>
        </w:rPr>
        <w:t>Droit à la sécurité sociale</w:t>
      </w:r>
    </w:p>
    <w:p w:rsidR="00317603" w:rsidRPr="00495482" w:rsidRDefault="00317603" w:rsidP="002E0E70">
      <w:pPr>
        <w:pStyle w:val="SingleTxtG"/>
        <w:rPr>
          <w:lang w:val="fr-FR"/>
        </w:rPr>
      </w:pPr>
      <w:r w:rsidRPr="00495482">
        <w:rPr>
          <w:lang w:val="fr-FR"/>
        </w:rPr>
        <w:t>94.</w:t>
      </w:r>
      <w:r w:rsidRPr="00495482">
        <w:rPr>
          <w:lang w:val="fr-FR"/>
        </w:rPr>
        <w:tab/>
        <w:t>En 2008</w:t>
      </w:r>
      <w:r w:rsidR="005D0F0F" w:rsidRPr="00495482">
        <w:rPr>
          <w:lang w:val="fr-FR"/>
        </w:rPr>
        <w:t>,</w:t>
      </w:r>
      <w:r w:rsidRPr="00495482">
        <w:rPr>
          <w:lang w:val="fr-FR"/>
        </w:rPr>
        <w:t xml:space="preserve"> la République de Slovénie a consacré 5</w:t>
      </w:r>
      <w:r w:rsidR="005D0F0F" w:rsidRPr="00495482">
        <w:rPr>
          <w:lang w:val="fr-FR"/>
        </w:rPr>
        <w:t>,</w:t>
      </w:r>
      <w:r w:rsidRPr="00495482">
        <w:rPr>
          <w:lang w:val="fr-FR"/>
        </w:rPr>
        <w:t>3 milliards d</w:t>
      </w:r>
      <w:r w:rsidR="005D0F0F" w:rsidRPr="00495482">
        <w:rPr>
          <w:lang w:val="fr-FR"/>
        </w:rPr>
        <w:t>’</w:t>
      </w:r>
      <w:r w:rsidRPr="00495482">
        <w:rPr>
          <w:lang w:val="fr-FR"/>
        </w:rPr>
        <w:t>euros aux prestations en espèces</w:t>
      </w:r>
      <w:r w:rsidR="005D0F0F" w:rsidRPr="00495482">
        <w:rPr>
          <w:lang w:val="fr-FR"/>
        </w:rPr>
        <w:t>,</w:t>
      </w:r>
      <w:r w:rsidRPr="00495482">
        <w:rPr>
          <w:lang w:val="fr-FR"/>
        </w:rPr>
        <w:t xml:space="preserve"> c</w:t>
      </w:r>
      <w:r w:rsidR="005D0F0F" w:rsidRPr="00495482">
        <w:rPr>
          <w:lang w:val="fr-FR"/>
        </w:rPr>
        <w:t>’</w:t>
      </w:r>
      <w:r w:rsidRPr="00495482">
        <w:rPr>
          <w:lang w:val="fr-FR"/>
        </w:rPr>
        <w:t>est-à-dire 14</w:t>
      </w:r>
      <w:r w:rsidR="005D0F0F" w:rsidRPr="00495482">
        <w:rPr>
          <w:lang w:val="fr-FR"/>
        </w:rPr>
        <w:t>,</w:t>
      </w:r>
      <w:r w:rsidRPr="00495482">
        <w:rPr>
          <w:lang w:val="fr-FR"/>
        </w:rPr>
        <w:t>48% de son PIB (produit intérieur brut). Eu égard à la structure et à la part du PIB</w:t>
      </w:r>
      <w:r w:rsidR="005D0F0F" w:rsidRPr="00495482">
        <w:rPr>
          <w:lang w:val="fr-FR"/>
        </w:rPr>
        <w:t>,</w:t>
      </w:r>
      <w:r w:rsidRPr="00495482">
        <w:rPr>
          <w:lang w:val="fr-FR"/>
        </w:rPr>
        <w:t xml:space="preserve"> en 2008 la majorité des fonds a été consacrée aux retraites. Au second semestre 2009</w:t>
      </w:r>
      <w:r w:rsidR="005D0F0F" w:rsidRPr="00495482">
        <w:rPr>
          <w:lang w:val="fr-FR"/>
        </w:rPr>
        <w:t>,</w:t>
      </w:r>
      <w:r w:rsidRPr="00495482">
        <w:rPr>
          <w:lang w:val="fr-FR"/>
        </w:rPr>
        <w:t xml:space="preserve"> 103 638 </w:t>
      </w:r>
      <w:r w:rsidR="008F7FB7" w:rsidRPr="00495482">
        <w:rPr>
          <w:lang w:val="fr-FR"/>
        </w:rPr>
        <w:t>autres personnes</w:t>
      </w:r>
      <w:r w:rsidRPr="00495482">
        <w:rPr>
          <w:lang w:val="fr-FR"/>
        </w:rPr>
        <w:t xml:space="preserve"> à risque se sont ajoutées au nombre des bénéficiaires de l</w:t>
      </w:r>
      <w:r w:rsidR="005D0F0F" w:rsidRPr="00495482">
        <w:rPr>
          <w:lang w:val="fr-FR"/>
        </w:rPr>
        <w:t>’</w:t>
      </w:r>
      <w:r w:rsidRPr="00495482">
        <w:rPr>
          <w:lang w:val="fr-FR"/>
        </w:rPr>
        <w:t>aide sociale ponctuelle.</w:t>
      </w:r>
    </w:p>
    <w:p w:rsidR="00317603" w:rsidRPr="00495482" w:rsidRDefault="00317603" w:rsidP="002E0E70">
      <w:pPr>
        <w:pStyle w:val="SingleTxtG"/>
        <w:rPr>
          <w:lang w:val="fr-FR"/>
        </w:rPr>
      </w:pPr>
      <w:r w:rsidRPr="00495482">
        <w:rPr>
          <w:lang w:val="fr-FR"/>
        </w:rPr>
        <w:t>95.</w:t>
      </w:r>
      <w:r w:rsidRPr="00495482">
        <w:rPr>
          <w:lang w:val="fr-FR"/>
        </w:rPr>
        <w:tab/>
        <w:t>Par rapport à 2007</w:t>
      </w:r>
      <w:r w:rsidR="005D0F0F" w:rsidRPr="00495482">
        <w:rPr>
          <w:lang w:val="fr-FR"/>
        </w:rPr>
        <w:t>,</w:t>
      </w:r>
      <w:r w:rsidRPr="00495482">
        <w:rPr>
          <w:lang w:val="fr-FR"/>
        </w:rPr>
        <w:t xml:space="preserve"> les fonds alloués aux programmes de protection sociale en Slovénie ont été augmentés d</w:t>
      </w:r>
      <w:r w:rsidR="005D0F0F" w:rsidRPr="00495482">
        <w:rPr>
          <w:lang w:val="fr-FR"/>
        </w:rPr>
        <w:t>’</w:t>
      </w:r>
      <w:r w:rsidRPr="00495482">
        <w:rPr>
          <w:lang w:val="fr-FR"/>
        </w:rPr>
        <w:t>un peu plus de 8% en 2008</w:t>
      </w:r>
      <w:r w:rsidR="005D0F0F" w:rsidRPr="00495482">
        <w:rPr>
          <w:lang w:val="fr-FR"/>
        </w:rPr>
        <w:t>,</w:t>
      </w:r>
      <w:r w:rsidRPr="00495482">
        <w:rPr>
          <w:lang w:val="fr-FR"/>
        </w:rPr>
        <w:t xml:space="preserve"> c</w:t>
      </w:r>
      <w:r w:rsidR="005D0F0F" w:rsidRPr="00495482">
        <w:rPr>
          <w:lang w:val="fr-FR"/>
        </w:rPr>
        <w:t>’</w:t>
      </w:r>
      <w:r w:rsidRPr="00495482">
        <w:rPr>
          <w:lang w:val="fr-FR"/>
        </w:rPr>
        <w:t>est-à-dire un peu moins de 3% en termes réels. Depuis 1996</w:t>
      </w:r>
      <w:r w:rsidR="005D0F0F" w:rsidRPr="00495482">
        <w:rPr>
          <w:lang w:val="fr-FR"/>
        </w:rPr>
        <w:t>,</w:t>
      </w:r>
      <w:r w:rsidRPr="00495482">
        <w:rPr>
          <w:lang w:val="fr-FR"/>
        </w:rPr>
        <w:t xml:space="preserve"> les dépenses affectées aux programmes de protection sociale ont augmenté en moyenne en termes réels d</w:t>
      </w:r>
      <w:r w:rsidR="005D0F0F" w:rsidRPr="00495482">
        <w:rPr>
          <w:lang w:val="fr-FR"/>
        </w:rPr>
        <w:t>’</w:t>
      </w:r>
      <w:r w:rsidRPr="00495482">
        <w:rPr>
          <w:lang w:val="fr-FR"/>
        </w:rPr>
        <w:t>un peu plus de 3% chaque année. En 2008</w:t>
      </w:r>
      <w:r w:rsidR="005D0F0F" w:rsidRPr="00495482">
        <w:rPr>
          <w:lang w:val="fr-FR"/>
        </w:rPr>
        <w:t>,</w:t>
      </w:r>
      <w:r w:rsidRPr="00495482">
        <w:rPr>
          <w:lang w:val="fr-FR"/>
        </w:rPr>
        <w:t xml:space="preserve"> la Slovénie a consacré un peu plus d</w:t>
      </w:r>
      <w:r w:rsidR="005D0F0F" w:rsidRPr="00495482">
        <w:rPr>
          <w:lang w:val="fr-FR"/>
        </w:rPr>
        <w:t>’</w:t>
      </w:r>
      <w:r w:rsidRPr="00495482">
        <w:rPr>
          <w:lang w:val="fr-FR"/>
        </w:rPr>
        <w:t>un cinquième de son PIB à l</w:t>
      </w:r>
      <w:r w:rsidR="005D0F0F" w:rsidRPr="00495482">
        <w:rPr>
          <w:lang w:val="fr-FR"/>
        </w:rPr>
        <w:t>’</w:t>
      </w:r>
      <w:r w:rsidRPr="00495482">
        <w:rPr>
          <w:lang w:val="fr-FR"/>
        </w:rPr>
        <w:t>aide sociale</w:t>
      </w:r>
      <w:r w:rsidR="005D0F0F" w:rsidRPr="00495482">
        <w:rPr>
          <w:lang w:val="fr-FR"/>
        </w:rPr>
        <w:t>,</w:t>
      </w:r>
      <w:r w:rsidRPr="00495482">
        <w:rPr>
          <w:lang w:val="fr-FR"/>
        </w:rPr>
        <w:t xml:space="preserve"> soit plus de 0</w:t>
      </w:r>
      <w:r w:rsidR="005D0F0F" w:rsidRPr="00495482">
        <w:rPr>
          <w:lang w:val="fr-FR"/>
        </w:rPr>
        <w:t>,</w:t>
      </w:r>
      <w:r w:rsidR="002E0E70" w:rsidRPr="00495482">
        <w:rPr>
          <w:lang w:val="fr-FR"/>
        </w:rPr>
        <w:t>2 </w:t>
      </w:r>
      <w:r w:rsidRPr="00495482">
        <w:rPr>
          <w:lang w:val="fr-FR"/>
        </w:rPr>
        <w:t>point de pourcentage par rapport à l</w:t>
      </w:r>
      <w:r w:rsidR="005D0F0F" w:rsidRPr="00495482">
        <w:rPr>
          <w:lang w:val="fr-FR"/>
        </w:rPr>
        <w:t>’</w:t>
      </w:r>
      <w:r w:rsidRPr="00495482">
        <w:rPr>
          <w:lang w:val="fr-FR"/>
        </w:rPr>
        <w:t>année précédente. La plus grande part (un peu plus de 18%) a été allouée aux domaines suivants</w:t>
      </w:r>
      <w:r w:rsidR="005D0F0F" w:rsidRPr="00495482">
        <w:rPr>
          <w:lang w:val="fr-FR"/>
        </w:rPr>
        <w:t>:</w:t>
      </w:r>
      <w:r w:rsidRPr="00495482">
        <w:rPr>
          <w:lang w:val="fr-FR"/>
        </w:rPr>
        <w:t xml:space="preserve"> vieillesse</w:t>
      </w:r>
      <w:r w:rsidR="005D0F0F" w:rsidRPr="00495482">
        <w:rPr>
          <w:lang w:val="fr-FR"/>
        </w:rPr>
        <w:t>,</w:t>
      </w:r>
      <w:r w:rsidRPr="00495482">
        <w:rPr>
          <w:lang w:val="fr-FR"/>
        </w:rPr>
        <w:t xml:space="preserve"> maladie/soins de santé</w:t>
      </w:r>
      <w:r w:rsidR="005D0F0F" w:rsidRPr="00495482">
        <w:rPr>
          <w:lang w:val="fr-FR"/>
        </w:rPr>
        <w:t>,</w:t>
      </w:r>
      <w:r w:rsidRPr="00495482">
        <w:rPr>
          <w:lang w:val="fr-FR"/>
        </w:rPr>
        <w:t xml:space="preserve"> prestations parentales et handicap. Les cotisations sociales couvrent un peu plus des deux tiers du financement des programmes de protection sociale. En 2008</w:t>
      </w:r>
      <w:r w:rsidR="005D0F0F" w:rsidRPr="00495482">
        <w:rPr>
          <w:lang w:val="fr-FR"/>
        </w:rPr>
        <w:t>,</w:t>
      </w:r>
      <w:r w:rsidRPr="00495482">
        <w:rPr>
          <w:lang w:val="fr-FR"/>
        </w:rPr>
        <w:t xml:space="preserve"> la part patronale a couvert un peu plus d</w:t>
      </w:r>
      <w:r w:rsidR="005D0F0F" w:rsidRPr="00495482">
        <w:rPr>
          <w:lang w:val="fr-FR"/>
        </w:rPr>
        <w:t>’</w:t>
      </w:r>
      <w:r w:rsidRPr="00495482">
        <w:rPr>
          <w:lang w:val="fr-FR"/>
        </w:rPr>
        <w:t>un quart de l</w:t>
      </w:r>
      <w:r w:rsidR="005D0F0F" w:rsidRPr="00495482">
        <w:rPr>
          <w:lang w:val="fr-FR"/>
        </w:rPr>
        <w:t>’</w:t>
      </w:r>
      <w:r w:rsidRPr="00495482">
        <w:rPr>
          <w:lang w:val="fr-FR"/>
        </w:rPr>
        <w:t>ensemble des fonds alloués à la protection sociale</w:t>
      </w:r>
      <w:r w:rsidR="005D0F0F" w:rsidRPr="00495482">
        <w:rPr>
          <w:lang w:val="fr-FR"/>
        </w:rPr>
        <w:t>,</w:t>
      </w:r>
      <w:r w:rsidRPr="00495482">
        <w:rPr>
          <w:lang w:val="fr-FR"/>
        </w:rPr>
        <w:t xml:space="preserve"> et la part des assurés un peu plus des deux cinquièmes. Un peu moins d</w:t>
      </w:r>
      <w:r w:rsidR="005D0F0F" w:rsidRPr="00495482">
        <w:rPr>
          <w:lang w:val="fr-FR"/>
        </w:rPr>
        <w:t>’</w:t>
      </w:r>
      <w:r w:rsidRPr="00495482">
        <w:rPr>
          <w:lang w:val="fr-FR"/>
        </w:rPr>
        <w:t>un tiers des fonds provenait de l</w:t>
      </w:r>
      <w:r w:rsidR="005D0F0F" w:rsidRPr="00495482">
        <w:rPr>
          <w:lang w:val="fr-FR"/>
        </w:rPr>
        <w:t>’</w:t>
      </w:r>
      <w:r w:rsidRPr="00495482">
        <w:rPr>
          <w:lang w:val="fr-FR"/>
        </w:rPr>
        <w:t>État et d</w:t>
      </w:r>
      <w:r w:rsidR="005D0F0F" w:rsidRPr="00495482">
        <w:rPr>
          <w:lang w:val="fr-FR"/>
        </w:rPr>
        <w:t>’</w:t>
      </w:r>
      <w:r w:rsidRPr="00495482">
        <w:rPr>
          <w:lang w:val="fr-FR"/>
        </w:rPr>
        <w:t xml:space="preserve">autres sources. </w:t>
      </w:r>
    </w:p>
    <w:p w:rsidR="00317603" w:rsidRPr="00495482" w:rsidRDefault="00317603" w:rsidP="000C5CC5">
      <w:pPr>
        <w:pStyle w:val="H23G"/>
        <w:rPr>
          <w:lang w:val="fr-FR" w:eastAsia="sl-SI"/>
        </w:rPr>
      </w:pPr>
      <w:r w:rsidRPr="00495482">
        <w:rPr>
          <w:lang w:val="fr-FR" w:eastAsia="sl-SI"/>
        </w:rPr>
        <w:tab/>
      </w:r>
      <w:r w:rsidRPr="00495482">
        <w:rPr>
          <w:lang w:val="fr-FR" w:eastAsia="sl-SI"/>
        </w:rPr>
        <w:tab/>
        <w:t>Assurance maladie</w:t>
      </w:r>
    </w:p>
    <w:p w:rsidR="00317603" w:rsidRPr="00495482" w:rsidRDefault="00317603" w:rsidP="00495482">
      <w:pPr>
        <w:pStyle w:val="SingleTxtG"/>
        <w:rPr>
          <w:lang w:val="fr-FR"/>
        </w:rPr>
      </w:pPr>
      <w:r w:rsidRPr="00495482">
        <w:rPr>
          <w:lang w:val="fr-FR"/>
        </w:rPr>
        <w:t>96.</w:t>
      </w:r>
      <w:r w:rsidRPr="00495482">
        <w:rPr>
          <w:lang w:val="fr-FR"/>
        </w:rPr>
        <w:tab/>
        <w:t>Les modifications à la loi sur les soins de santé et l</w:t>
      </w:r>
      <w:r w:rsidR="005D0F0F" w:rsidRPr="00495482">
        <w:rPr>
          <w:lang w:val="fr-FR"/>
        </w:rPr>
        <w:t>’</w:t>
      </w:r>
      <w:r w:rsidRPr="00495482">
        <w:rPr>
          <w:lang w:val="fr-FR"/>
        </w:rPr>
        <w:t>assurance maladie</w:t>
      </w:r>
      <w:r w:rsidRPr="00495482">
        <w:rPr>
          <w:rStyle w:val="FootnoteReference"/>
        </w:rPr>
        <w:footnoteReference w:id="50"/>
      </w:r>
      <w:r w:rsidRPr="00495482">
        <w:rPr>
          <w:lang w:val="fr-FR"/>
        </w:rPr>
        <w:t xml:space="preserve"> entrée en vigueur le 24 août 2008</w:t>
      </w:r>
      <w:r w:rsidR="005D0F0F" w:rsidRPr="00495482">
        <w:rPr>
          <w:lang w:val="fr-FR"/>
        </w:rPr>
        <w:t>,</w:t>
      </w:r>
      <w:r w:rsidRPr="00495482">
        <w:rPr>
          <w:lang w:val="fr-FR"/>
        </w:rPr>
        <w:t xml:space="preserve"> ont apporté à l</w:t>
      </w:r>
      <w:r w:rsidR="005D0F0F" w:rsidRPr="00495482">
        <w:rPr>
          <w:lang w:val="fr-FR"/>
        </w:rPr>
        <w:t>’</w:t>
      </w:r>
      <w:r w:rsidRPr="00495482">
        <w:rPr>
          <w:lang w:val="fr-FR"/>
        </w:rPr>
        <w:t>assurance maladie obligatoire les innovations essentielles suivantes</w:t>
      </w:r>
      <w:r w:rsidR="005D0F0F" w:rsidRPr="00495482">
        <w:rPr>
          <w:lang w:val="fr-FR"/>
        </w:rPr>
        <w:t>:</w:t>
      </w:r>
    </w:p>
    <w:p w:rsidR="00317603" w:rsidRPr="00495482" w:rsidRDefault="00317603" w:rsidP="00495482">
      <w:pPr>
        <w:pStyle w:val="SingleTxtG"/>
        <w:rPr>
          <w:lang w:eastAsia="sl-SI"/>
        </w:rPr>
      </w:pPr>
      <w:r w:rsidRPr="00495482">
        <w:rPr>
          <w:lang w:val="fr-FR" w:eastAsia="sl-SI"/>
        </w:rPr>
        <w:tab/>
        <w:t>1</w:t>
      </w:r>
      <w:r w:rsidR="00495482" w:rsidRPr="00495482">
        <w:rPr>
          <w:lang w:val="fr-FR" w:eastAsia="sl-SI"/>
        </w:rPr>
        <w:t>.</w:t>
      </w:r>
      <w:r w:rsidRPr="00495482">
        <w:rPr>
          <w:lang w:val="fr-FR" w:eastAsia="sl-SI"/>
        </w:rPr>
        <w:tab/>
        <w:t>La fixation de critères plus précis pour bénéficier de l</w:t>
      </w:r>
      <w:r w:rsidR="005D0F0F" w:rsidRPr="00495482">
        <w:rPr>
          <w:lang w:val="fr-FR" w:eastAsia="sl-SI"/>
        </w:rPr>
        <w:t>’</w:t>
      </w:r>
      <w:r w:rsidRPr="00495482">
        <w:rPr>
          <w:lang w:val="fr-FR" w:eastAsia="sl-SI"/>
        </w:rPr>
        <w:t xml:space="preserve">assurance maladie en vertu du point 21 du premier alinéa de </w:t>
      </w:r>
      <w:r w:rsidR="00657B60" w:rsidRPr="00495482">
        <w:rPr>
          <w:lang w:val="fr-FR" w:eastAsia="sl-SI"/>
        </w:rPr>
        <w:t>l’</w:t>
      </w:r>
      <w:r w:rsidR="003C4F70">
        <w:rPr>
          <w:lang w:val="fr-FR" w:eastAsia="sl-SI"/>
        </w:rPr>
        <w:t>article </w:t>
      </w:r>
      <w:r w:rsidRPr="00495482">
        <w:rPr>
          <w:lang w:val="fr-FR" w:eastAsia="sl-SI"/>
        </w:rPr>
        <w:t>15 de la loi sur les soins de santé et l</w:t>
      </w:r>
      <w:r w:rsidR="005D0F0F" w:rsidRPr="00495482">
        <w:rPr>
          <w:lang w:val="fr-FR" w:eastAsia="sl-SI"/>
        </w:rPr>
        <w:t>’</w:t>
      </w:r>
      <w:r w:rsidRPr="00495482">
        <w:rPr>
          <w:lang w:val="fr-FR" w:eastAsia="sl-SI"/>
        </w:rPr>
        <w:t>assurance maladie. Ces critères sont spécifiés dans les règles relatives aux critères de fixation des conditions de revenus</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épargne et de ressources aux fins d</w:t>
      </w:r>
      <w:r w:rsidR="005D0F0F" w:rsidRPr="00495482">
        <w:rPr>
          <w:lang w:val="fr-FR" w:eastAsia="sl-SI"/>
        </w:rPr>
        <w:t>’</w:t>
      </w:r>
      <w:r w:rsidRPr="00495482">
        <w:rPr>
          <w:lang w:val="fr-FR" w:eastAsia="sl-SI"/>
        </w:rPr>
        <w:t>inscription à l</w:t>
      </w:r>
      <w:r w:rsidR="005D0F0F" w:rsidRPr="00495482">
        <w:rPr>
          <w:lang w:val="fr-FR" w:eastAsia="sl-SI"/>
        </w:rPr>
        <w:t>’</w:t>
      </w:r>
      <w:r w:rsidRPr="00495482">
        <w:rPr>
          <w:lang w:val="fr-FR" w:eastAsia="sl-SI"/>
        </w:rPr>
        <w:t>assurance maladie obligatoire</w:t>
      </w:r>
      <w:r w:rsidRPr="00495482">
        <w:rPr>
          <w:rStyle w:val="FootnoteReference"/>
        </w:rPr>
        <w:footnoteReference w:id="51"/>
      </w:r>
      <w:r w:rsidR="003D51E1" w:rsidRPr="00495482">
        <w:rPr>
          <w:lang w:eastAsia="sl-SI"/>
        </w:rPr>
        <w:t>;</w:t>
      </w:r>
    </w:p>
    <w:p w:rsidR="00317603" w:rsidRPr="00495482" w:rsidRDefault="00317603" w:rsidP="00495482">
      <w:pPr>
        <w:pStyle w:val="SingleTxtG"/>
        <w:rPr>
          <w:szCs w:val="22"/>
          <w:lang w:val="fr-FR" w:eastAsia="sl-SI"/>
        </w:rPr>
      </w:pPr>
      <w:r w:rsidRPr="00495482">
        <w:rPr>
          <w:lang w:val="fr-FR" w:eastAsia="sl-SI"/>
        </w:rPr>
        <w:tab/>
        <w:t>2</w:t>
      </w:r>
      <w:r w:rsidR="00495482" w:rsidRPr="00495482">
        <w:rPr>
          <w:lang w:val="fr-FR" w:eastAsia="sl-SI"/>
        </w:rPr>
        <w:t>.</w:t>
      </w:r>
      <w:r w:rsidRPr="00495482">
        <w:rPr>
          <w:lang w:val="fr-FR" w:eastAsia="sl-SI"/>
        </w:rPr>
        <w:tab/>
        <w:t>Une disposition spéciale de l</w:t>
      </w:r>
      <w:r w:rsidR="005D0F0F" w:rsidRPr="00495482">
        <w:rPr>
          <w:lang w:val="fr-FR" w:eastAsia="sl-SI"/>
        </w:rPr>
        <w:t>’</w:t>
      </w:r>
      <w:r w:rsidRPr="00495482">
        <w:rPr>
          <w:lang w:val="fr-FR" w:eastAsia="sl-SI"/>
        </w:rPr>
        <w:t xml:space="preserve">assurance maladie obligatoire concerne </w:t>
      </w:r>
      <w:r w:rsidR="0014499F" w:rsidRPr="00495482">
        <w:rPr>
          <w:lang w:val="fr-FR" w:eastAsia="sl-SI"/>
        </w:rPr>
        <w:t>les personnes</w:t>
      </w:r>
      <w:r w:rsidRPr="00495482">
        <w:rPr>
          <w:lang w:val="fr-FR" w:eastAsia="sl-SI"/>
        </w:rPr>
        <w:t xml:space="preserve"> condamnées et les détenus. La loi susmentionnée définit également</w:t>
      </w:r>
      <w:r w:rsidR="005D0F0F" w:rsidRPr="00495482">
        <w:rPr>
          <w:lang w:val="fr-FR" w:eastAsia="sl-SI"/>
        </w:rPr>
        <w:t>,</w:t>
      </w:r>
      <w:r w:rsidRPr="00495482">
        <w:rPr>
          <w:lang w:val="fr-FR" w:eastAsia="sl-SI"/>
        </w:rPr>
        <w:t xml:space="preserve"> entre autres</w:t>
      </w:r>
      <w:r w:rsidR="005D0F0F" w:rsidRPr="00495482">
        <w:rPr>
          <w:lang w:val="fr-FR" w:eastAsia="sl-SI"/>
        </w:rPr>
        <w:t>,</w:t>
      </w:r>
      <w:r w:rsidRPr="00495482">
        <w:rPr>
          <w:lang w:val="fr-FR" w:eastAsia="sl-SI"/>
        </w:rPr>
        <w:t xml:space="preserve"> </w:t>
      </w:r>
      <w:r w:rsidR="0014499F" w:rsidRPr="00495482">
        <w:rPr>
          <w:lang w:val="fr-FR" w:eastAsia="sl-SI"/>
        </w:rPr>
        <w:t>les personnes</w:t>
      </w:r>
      <w:r w:rsidRPr="00495482">
        <w:rPr>
          <w:lang w:val="fr-FR" w:eastAsia="sl-SI"/>
        </w:rPr>
        <w:t xml:space="preserve"> condamnées et certains détenus comme une nouvelle catégorie d</w:t>
      </w:r>
      <w:r w:rsidR="005D0F0F" w:rsidRPr="00495482">
        <w:rPr>
          <w:lang w:val="fr-FR" w:eastAsia="sl-SI"/>
        </w:rPr>
        <w:t>’</w:t>
      </w:r>
      <w:r w:rsidRPr="00495482">
        <w:rPr>
          <w:lang w:val="fr-FR" w:eastAsia="sl-SI"/>
        </w:rPr>
        <w:t>assurés</w:t>
      </w:r>
      <w:r w:rsidR="005D0F0F" w:rsidRPr="00495482">
        <w:rPr>
          <w:lang w:val="fr-FR" w:eastAsia="sl-SI"/>
        </w:rPr>
        <w:t>;</w:t>
      </w:r>
      <w:r w:rsidRPr="00495482">
        <w:rPr>
          <w:lang w:val="fr-FR" w:eastAsia="sl-SI"/>
        </w:rPr>
        <w:t xml:space="preserve"> </w:t>
      </w:r>
    </w:p>
    <w:p w:rsidR="00317603" w:rsidRPr="00495482" w:rsidRDefault="00317603" w:rsidP="00495482">
      <w:pPr>
        <w:pStyle w:val="SingleTxtG"/>
        <w:rPr>
          <w:lang w:val="fr-FR" w:eastAsia="sl-SI"/>
        </w:rPr>
      </w:pPr>
      <w:r w:rsidRPr="00495482">
        <w:rPr>
          <w:lang w:val="fr-FR" w:eastAsia="sl-SI"/>
        </w:rPr>
        <w:tab/>
        <w:t>3</w:t>
      </w:r>
      <w:r w:rsidR="00495482" w:rsidRPr="00495482">
        <w:rPr>
          <w:lang w:val="fr-FR" w:eastAsia="sl-SI"/>
        </w:rPr>
        <w:t>.</w:t>
      </w:r>
      <w:r w:rsidRPr="00495482">
        <w:rPr>
          <w:lang w:val="fr-FR" w:eastAsia="sl-SI"/>
        </w:rPr>
        <w:tab/>
        <w:t>Des modifications visant à intégrer les membres de la famille</w:t>
      </w:r>
      <w:r w:rsidR="00206984">
        <w:rPr>
          <w:lang w:val="fr-FR" w:eastAsia="sl-SI"/>
        </w:rPr>
        <w:t xml:space="preserve"> – </w:t>
      </w:r>
      <w:r w:rsidRPr="00495482">
        <w:rPr>
          <w:lang w:val="fr-FR" w:eastAsia="sl-SI"/>
        </w:rPr>
        <w:t>les enfants</w:t>
      </w:r>
      <w:r w:rsidR="00206984">
        <w:rPr>
          <w:lang w:val="fr-FR" w:eastAsia="sl-SI"/>
        </w:rPr>
        <w:t xml:space="preserve"> – </w:t>
      </w:r>
      <w:r w:rsidRPr="00495482">
        <w:rPr>
          <w:lang w:val="fr-FR" w:eastAsia="sl-SI"/>
        </w:rPr>
        <w:t>à l</w:t>
      </w:r>
      <w:r w:rsidR="005D0F0F" w:rsidRPr="00495482">
        <w:rPr>
          <w:lang w:val="fr-FR" w:eastAsia="sl-SI"/>
        </w:rPr>
        <w:t>’</w:t>
      </w:r>
      <w:r w:rsidRPr="00495482">
        <w:rPr>
          <w:lang w:val="fr-FR" w:eastAsia="sl-SI"/>
        </w:rPr>
        <w:t>assurance maladie obligatoire. Pour les enfants d</w:t>
      </w:r>
      <w:r w:rsidR="005D0F0F" w:rsidRPr="00495482">
        <w:rPr>
          <w:lang w:val="fr-FR" w:eastAsia="sl-SI"/>
        </w:rPr>
        <w:t>’</w:t>
      </w:r>
      <w:r w:rsidRPr="00495482">
        <w:rPr>
          <w:lang w:val="fr-FR" w:eastAsia="sl-SI"/>
        </w:rPr>
        <w:t>âge scolaire</w:t>
      </w:r>
      <w:r w:rsidR="005D0F0F" w:rsidRPr="00495482">
        <w:rPr>
          <w:lang w:val="fr-FR" w:eastAsia="sl-SI"/>
        </w:rPr>
        <w:t>,</w:t>
      </w:r>
      <w:r w:rsidRPr="00495482">
        <w:rPr>
          <w:lang w:val="fr-FR" w:eastAsia="sl-SI"/>
        </w:rPr>
        <w:t xml:space="preserve"> la loi fixe un âge limite de 26</w:t>
      </w:r>
      <w:r w:rsidR="002328BD" w:rsidRPr="00495482">
        <w:rPr>
          <w:lang w:val="fr-FR" w:eastAsia="sl-SI"/>
        </w:rPr>
        <w:t> ans</w:t>
      </w:r>
      <w:r w:rsidRPr="00495482">
        <w:rPr>
          <w:lang w:val="fr-FR" w:eastAsia="sl-SI"/>
        </w:rPr>
        <w:t xml:space="preserve"> au-delà duquel ils sont inscrits à l</w:t>
      </w:r>
      <w:r w:rsidR="005D0F0F" w:rsidRPr="00495482">
        <w:rPr>
          <w:lang w:val="fr-FR" w:eastAsia="sl-SI"/>
        </w:rPr>
        <w:t>’</w:t>
      </w:r>
      <w:r w:rsidRPr="00495482">
        <w:rPr>
          <w:lang w:val="fr-FR" w:eastAsia="sl-SI"/>
        </w:rPr>
        <w:t>assurance maladie obligatoire à titre indépendant</w:t>
      </w:r>
      <w:r w:rsidR="005D0F0F" w:rsidRPr="00495482">
        <w:rPr>
          <w:lang w:val="fr-FR" w:eastAsia="sl-SI"/>
        </w:rPr>
        <w:t>;</w:t>
      </w:r>
      <w:r w:rsidRPr="00495482">
        <w:rPr>
          <w:lang w:val="fr-FR" w:eastAsia="sl-SI"/>
        </w:rPr>
        <w:t xml:space="preserve"> </w:t>
      </w:r>
    </w:p>
    <w:p w:rsidR="00317603" w:rsidRPr="00495482" w:rsidRDefault="00C51B9E" w:rsidP="00495482">
      <w:pPr>
        <w:pStyle w:val="SingleTxtG"/>
        <w:rPr>
          <w:szCs w:val="22"/>
          <w:lang w:val="fr-FR" w:eastAsia="sl-SI"/>
        </w:rPr>
      </w:pPr>
      <w:r>
        <w:rPr>
          <w:lang w:val="fr-FR" w:eastAsia="sl-SI"/>
        </w:rPr>
        <w:tab/>
      </w:r>
      <w:r w:rsidR="00317603" w:rsidRPr="00495482">
        <w:rPr>
          <w:lang w:val="fr-FR" w:eastAsia="sl-SI"/>
        </w:rPr>
        <w:t>4</w:t>
      </w:r>
      <w:r w:rsidR="00495482" w:rsidRPr="00495482">
        <w:rPr>
          <w:lang w:val="fr-FR" w:eastAsia="sl-SI"/>
        </w:rPr>
        <w:t>.</w:t>
      </w:r>
      <w:r w:rsidR="00317603" w:rsidRPr="00495482">
        <w:rPr>
          <w:lang w:val="fr-FR" w:eastAsia="sl-SI"/>
        </w:rPr>
        <w:tab/>
        <w:t>Les conditions nécessaires à l</w:t>
      </w:r>
      <w:r w:rsidR="005D0F0F" w:rsidRPr="00495482">
        <w:rPr>
          <w:lang w:val="fr-FR" w:eastAsia="sl-SI"/>
        </w:rPr>
        <w:t>’</w:t>
      </w:r>
      <w:r w:rsidR="00317603" w:rsidRPr="00495482">
        <w:rPr>
          <w:lang w:val="fr-FR" w:eastAsia="sl-SI"/>
        </w:rPr>
        <w:t>élaboration d</w:t>
      </w:r>
      <w:r w:rsidR="005D0F0F" w:rsidRPr="00495482">
        <w:rPr>
          <w:lang w:val="fr-FR" w:eastAsia="sl-SI"/>
        </w:rPr>
        <w:t>’</w:t>
      </w:r>
      <w:r w:rsidR="00317603" w:rsidRPr="00495482">
        <w:rPr>
          <w:lang w:val="fr-FR" w:eastAsia="sl-SI"/>
        </w:rPr>
        <w:t>une nomenclature de médicaments obéissant aux normes les plus largement admises en la matière</w:t>
      </w:r>
      <w:r w:rsidR="005D0F0F" w:rsidRPr="00495482">
        <w:rPr>
          <w:lang w:val="fr-FR" w:eastAsia="sl-SI"/>
        </w:rPr>
        <w:t>;</w:t>
      </w:r>
      <w:r w:rsidR="00317603" w:rsidRPr="00495482">
        <w:rPr>
          <w:lang w:val="fr-FR" w:eastAsia="sl-SI"/>
        </w:rPr>
        <w:t xml:space="preserve"> </w:t>
      </w:r>
    </w:p>
    <w:p w:rsidR="00317603" w:rsidRPr="00495482" w:rsidRDefault="00317603" w:rsidP="00495482">
      <w:pPr>
        <w:pStyle w:val="SingleTxtG"/>
        <w:rPr>
          <w:rFonts w:eastAsia="Tms Rmn"/>
          <w:lang w:val="fr-FR" w:eastAsia="sl-SI"/>
        </w:rPr>
      </w:pPr>
      <w:r w:rsidRPr="00495482">
        <w:rPr>
          <w:rFonts w:eastAsia="Tms Rmn"/>
          <w:lang w:val="fr-FR" w:eastAsia="sl-SI"/>
        </w:rPr>
        <w:tab/>
        <w:t>5</w:t>
      </w:r>
      <w:r w:rsidR="00495482" w:rsidRPr="00495482">
        <w:rPr>
          <w:rFonts w:eastAsia="Tms Rmn"/>
          <w:lang w:val="fr-FR" w:eastAsia="sl-SI"/>
        </w:rPr>
        <w:t>.</w:t>
      </w:r>
      <w:r w:rsidRPr="00495482">
        <w:rPr>
          <w:rFonts w:eastAsia="Tms Rmn"/>
          <w:lang w:val="fr-FR" w:eastAsia="sl-SI"/>
        </w:rPr>
        <w:tab/>
        <w:t>Un nouveau dispositif de remboursement complémentaire qui permet la prise en charge intégrale du coût des services de santé pour les assurés qui perçoivent l</w:t>
      </w:r>
      <w:r w:rsidR="005D0F0F" w:rsidRPr="00495482">
        <w:rPr>
          <w:rFonts w:eastAsia="Tms Rmn"/>
          <w:lang w:val="fr-FR" w:eastAsia="sl-SI"/>
        </w:rPr>
        <w:t>’</w:t>
      </w:r>
      <w:r w:rsidRPr="00495482">
        <w:rPr>
          <w:rFonts w:eastAsia="Tms Rmn"/>
          <w:lang w:val="fr-FR" w:eastAsia="sl-SI"/>
        </w:rPr>
        <w:t>aide sociale en espèces ou qui y sont habilités. Ce complément est couvert par le budget national</w:t>
      </w:r>
      <w:r w:rsidR="005D0F0F" w:rsidRPr="00495482">
        <w:rPr>
          <w:rFonts w:eastAsia="Tms Rmn"/>
          <w:lang w:val="fr-FR" w:eastAsia="sl-SI"/>
        </w:rPr>
        <w:t>;</w:t>
      </w:r>
    </w:p>
    <w:p w:rsidR="00317603" w:rsidRPr="00495482" w:rsidRDefault="00317603" w:rsidP="00495482">
      <w:pPr>
        <w:pStyle w:val="SingleTxtG"/>
        <w:rPr>
          <w:rFonts w:eastAsia="Tms Rmn"/>
          <w:lang w:val="fr-FR" w:eastAsia="sl-SI"/>
        </w:rPr>
      </w:pPr>
      <w:r w:rsidRPr="00495482">
        <w:rPr>
          <w:rFonts w:eastAsia="Tms Rmn"/>
          <w:lang w:val="fr-FR" w:eastAsia="sl-SI"/>
        </w:rPr>
        <w:tab/>
        <w:t>6</w:t>
      </w:r>
      <w:r w:rsidR="00495482" w:rsidRPr="00495482">
        <w:rPr>
          <w:rFonts w:eastAsia="Tms Rmn"/>
          <w:lang w:val="fr-FR" w:eastAsia="sl-SI"/>
        </w:rPr>
        <w:t>.</w:t>
      </w:r>
      <w:r w:rsidRPr="00495482">
        <w:rPr>
          <w:rFonts w:eastAsia="Tms Rmn"/>
          <w:lang w:val="fr-FR" w:eastAsia="sl-SI"/>
        </w:rPr>
        <w:tab/>
        <w:t>L</w:t>
      </w:r>
      <w:r w:rsidR="005D0F0F" w:rsidRPr="00495482">
        <w:rPr>
          <w:rFonts w:eastAsia="Tms Rmn"/>
          <w:lang w:val="fr-FR" w:eastAsia="sl-SI"/>
        </w:rPr>
        <w:t>’</w:t>
      </w:r>
      <w:r w:rsidRPr="00495482">
        <w:rPr>
          <w:rFonts w:eastAsia="Tms Rmn"/>
          <w:lang w:val="fr-FR" w:eastAsia="sl-SI"/>
        </w:rPr>
        <w:t>allègement des critères d</w:t>
      </w:r>
      <w:r w:rsidR="005D0F0F" w:rsidRPr="00495482">
        <w:rPr>
          <w:rFonts w:eastAsia="Tms Rmn"/>
          <w:lang w:val="fr-FR" w:eastAsia="sl-SI"/>
        </w:rPr>
        <w:t>’</w:t>
      </w:r>
      <w:r w:rsidRPr="00495482">
        <w:rPr>
          <w:rFonts w:eastAsia="Tms Rmn"/>
          <w:lang w:val="fr-FR" w:eastAsia="sl-SI"/>
        </w:rPr>
        <w:t>obtention du droit à une indemnité salariale pour le temps consacré aux soins prodigués à un membre de la famille proche. Ce droit n</w:t>
      </w:r>
      <w:r w:rsidR="005D0F0F" w:rsidRPr="00495482">
        <w:rPr>
          <w:rFonts w:eastAsia="Tms Rmn"/>
          <w:lang w:val="fr-FR" w:eastAsia="sl-SI"/>
        </w:rPr>
        <w:t>’</w:t>
      </w:r>
      <w:r w:rsidRPr="00495482">
        <w:rPr>
          <w:rFonts w:eastAsia="Tms Rmn"/>
          <w:lang w:val="fr-FR" w:eastAsia="sl-SI"/>
        </w:rPr>
        <w:t>est plus lié au fait de vivre dans le même foyer.</w:t>
      </w:r>
    </w:p>
    <w:p w:rsidR="00317603" w:rsidRPr="00495482" w:rsidRDefault="00317603" w:rsidP="00495482">
      <w:pPr>
        <w:pStyle w:val="SingleTxtG"/>
        <w:rPr>
          <w:rFonts w:eastAsia="Tms Rmn"/>
          <w:lang w:val="fr-FR" w:eastAsia="sl-SI"/>
        </w:rPr>
      </w:pPr>
      <w:r w:rsidRPr="00495482">
        <w:rPr>
          <w:rFonts w:eastAsia="Tms Rmn"/>
          <w:lang w:val="fr-FR" w:eastAsia="sl-SI"/>
        </w:rPr>
        <w:tab/>
        <w:t>7</w:t>
      </w:r>
      <w:r w:rsidR="00495482" w:rsidRPr="00495482">
        <w:rPr>
          <w:rFonts w:eastAsia="Tms Rmn"/>
          <w:lang w:val="fr-FR" w:eastAsia="sl-SI"/>
        </w:rPr>
        <w:t>.</w:t>
      </w:r>
      <w:r w:rsidRPr="00495482">
        <w:rPr>
          <w:rFonts w:eastAsia="Tms Rmn"/>
          <w:lang w:val="fr-FR" w:eastAsia="sl-SI"/>
        </w:rPr>
        <w:tab/>
        <w:t>Les conditions nécessaires à la conclusion d</w:t>
      </w:r>
      <w:r w:rsidR="005D0F0F" w:rsidRPr="00495482">
        <w:rPr>
          <w:rFonts w:eastAsia="Tms Rmn"/>
          <w:lang w:val="fr-FR" w:eastAsia="sl-SI"/>
        </w:rPr>
        <w:t>’</w:t>
      </w:r>
      <w:r w:rsidRPr="00495482">
        <w:rPr>
          <w:rFonts w:eastAsia="Tms Rmn"/>
          <w:lang w:val="fr-FR" w:eastAsia="sl-SI"/>
        </w:rPr>
        <w:t>un accord particulier avec les fournisseurs d</w:t>
      </w:r>
      <w:r w:rsidR="005D0F0F" w:rsidRPr="00495482">
        <w:rPr>
          <w:rFonts w:eastAsia="Tms Rmn"/>
          <w:lang w:val="fr-FR" w:eastAsia="sl-SI"/>
        </w:rPr>
        <w:t>’</w:t>
      </w:r>
      <w:r w:rsidRPr="00495482">
        <w:rPr>
          <w:rFonts w:eastAsia="Tms Rmn"/>
          <w:lang w:val="fr-FR" w:eastAsia="sl-SI"/>
        </w:rPr>
        <w:t>équipements médico-techniques</w:t>
      </w:r>
      <w:r w:rsidR="005D0F0F" w:rsidRPr="00495482">
        <w:rPr>
          <w:rFonts w:eastAsia="Tms Rmn"/>
          <w:lang w:val="fr-FR" w:eastAsia="sl-SI"/>
        </w:rPr>
        <w:t>;</w:t>
      </w:r>
    </w:p>
    <w:p w:rsidR="00317603" w:rsidRPr="00495482" w:rsidRDefault="00317603" w:rsidP="00495482">
      <w:pPr>
        <w:pStyle w:val="SingleTxtG"/>
        <w:rPr>
          <w:szCs w:val="22"/>
          <w:lang w:val="fr-FR" w:eastAsia="sl-SI"/>
        </w:rPr>
      </w:pPr>
      <w:r w:rsidRPr="00495482">
        <w:rPr>
          <w:rFonts w:eastAsia="Tms Rmn"/>
          <w:lang w:val="fr-FR" w:eastAsia="sl-SI"/>
        </w:rPr>
        <w:tab/>
        <w:t>8</w:t>
      </w:r>
      <w:r w:rsidR="00495482" w:rsidRPr="00495482">
        <w:rPr>
          <w:rFonts w:eastAsia="Tms Rmn"/>
          <w:lang w:val="fr-FR" w:eastAsia="sl-SI"/>
        </w:rPr>
        <w:t>.</w:t>
      </w:r>
      <w:r w:rsidRPr="00495482">
        <w:rPr>
          <w:rFonts w:eastAsia="Tms Rmn"/>
          <w:lang w:val="fr-FR" w:eastAsia="sl-SI"/>
        </w:rPr>
        <w:tab/>
        <w:t>L</w:t>
      </w:r>
      <w:r w:rsidR="005D0F0F" w:rsidRPr="00495482">
        <w:rPr>
          <w:rFonts w:eastAsia="Tms Rmn"/>
          <w:lang w:val="fr-FR" w:eastAsia="sl-SI"/>
        </w:rPr>
        <w:t>’</w:t>
      </w:r>
      <w:r w:rsidRPr="00495482">
        <w:rPr>
          <w:rFonts w:eastAsia="Tms Rmn"/>
          <w:lang w:val="fr-FR" w:eastAsia="sl-SI"/>
        </w:rPr>
        <w:t>attribution de nouvelles compétences aux médecins désignés</w:t>
      </w:r>
      <w:r w:rsidR="005D0F0F" w:rsidRPr="00495482">
        <w:rPr>
          <w:rFonts w:eastAsia="Tms Rmn"/>
          <w:lang w:val="fr-FR" w:eastAsia="sl-SI"/>
        </w:rPr>
        <w:t>,</w:t>
      </w:r>
      <w:r w:rsidRPr="00495482">
        <w:rPr>
          <w:rFonts w:eastAsia="Tms Rmn"/>
          <w:lang w:val="fr-FR" w:eastAsia="sl-SI"/>
        </w:rPr>
        <w:t xml:space="preserve"> désormais chargés au titre des nouvelles dispositions</w:t>
      </w:r>
      <w:r w:rsidR="005D0F0F" w:rsidRPr="00495482">
        <w:rPr>
          <w:rFonts w:eastAsia="Tms Rmn"/>
          <w:lang w:val="fr-FR" w:eastAsia="sl-SI"/>
        </w:rPr>
        <w:t>,</w:t>
      </w:r>
      <w:r w:rsidRPr="00495482">
        <w:rPr>
          <w:rFonts w:eastAsia="Tms Rmn"/>
          <w:lang w:val="fr-FR" w:eastAsia="sl-SI"/>
        </w:rPr>
        <w:t xml:space="preserve"> de fournir un avis écrit sur l</w:t>
      </w:r>
      <w:r w:rsidR="005D0F0F" w:rsidRPr="00495482">
        <w:rPr>
          <w:rFonts w:eastAsia="Tms Rmn"/>
          <w:lang w:val="fr-FR" w:eastAsia="sl-SI"/>
        </w:rPr>
        <w:t>’</w:t>
      </w:r>
      <w:r w:rsidRPr="00495482">
        <w:rPr>
          <w:rFonts w:eastAsia="Tms Rmn"/>
          <w:lang w:val="fr-FR" w:eastAsia="sl-SI"/>
        </w:rPr>
        <w:t>habilitation d</w:t>
      </w:r>
      <w:r w:rsidR="005D0F0F" w:rsidRPr="00495482">
        <w:rPr>
          <w:rFonts w:eastAsia="Tms Rmn"/>
          <w:lang w:val="fr-FR" w:eastAsia="sl-SI"/>
        </w:rPr>
        <w:t>’</w:t>
      </w:r>
      <w:r w:rsidRPr="00495482">
        <w:rPr>
          <w:rFonts w:eastAsia="Tms Rmn"/>
          <w:lang w:val="fr-FR" w:eastAsia="sl-SI"/>
        </w:rPr>
        <w:t>un médecin personnel à délivrer des certificats médicaux.</w:t>
      </w:r>
      <w:r w:rsidR="003D1A4F" w:rsidRPr="00495482">
        <w:rPr>
          <w:rFonts w:eastAsia="Tms Rmn"/>
          <w:lang w:val="fr-FR" w:eastAsia="sl-SI"/>
        </w:rPr>
        <w:t xml:space="preserve"> </w:t>
      </w:r>
    </w:p>
    <w:p w:rsidR="00317603" w:rsidRPr="00495482" w:rsidRDefault="00317603" w:rsidP="00495482">
      <w:pPr>
        <w:pStyle w:val="H23G"/>
        <w:rPr>
          <w:lang w:val="fr-FR" w:eastAsia="sl-SI"/>
        </w:rPr>
      </w:pPr>
      <w:r w:rsidRPr="00495482">
        <w:rPr>
          <w:lang w:val="fr-FR" w:eastAsia="sl-SI"/>
        </w:rPr>
        <w:tab/>
      </w:r>
      <w:r w:rsidRPr="00495482">
        <w:rPr>
          <w:lang w:val="fr-FR" w:eastAsia="sl-SI"/>
        </w:rPr>
        <w:tab/>
        <w:t xml:space="preserve">Indemnité pour arrêt maladie </w:t>
      </w:r>
    </w:p>
    <w:p w:rsidR="00317603" w:rsidRPr="00495482" w:rsidRDefault="00317603" w:rsidP="00317603">
      <w:pPr>
        <w:spacing w:after="120"/>
        <w:ind w:left="1134" w:right="1134"/>
        <w:jc w:val="both"/>
        <w:rPr>
          <w:lang w:val="fr-FR"/>
        </w:rPr>
      </w:pPr>
      <w:r w:rsidRPr="00495482">
        <w:rPr>
          <w:lang w:val="fr-FR"/>
        </w:rPr>
        <w:t>97.</w:t>
      </w:r>
      <w:r w:rsidRPr="00495482">
        <w:rPr>
          <w:lang w:val="fr-FR"/>
        </w:rPr>
        <w:tab/>
        <w:t>En 2009</w:t>
      </w:r>
      <w:r w:rsidR="005D0F0F" w:rsidRPr="00495482">
        <w:rPr>
          <w:lang w:val="fr-FR"/>
        </w:rPr>
        <w:t>,</w:t>
      </w:r>
      <w:r w:rsidRPr="00495482">
        <w:rPr>
          <w:lang w:val="fr-FR"/>
        </w:rPr>
        <w:t xml:space="preserve"> l</w:t>
      </w:r>
      <w:r w:rsidR="005D0F0F" w:rsidRPr="00495482">
        <w:rPr>
          <w:lang w:val="fr-FR"/>
        </w:rPr>
        <w:t>’</w:t>
      </w:r>
      <w:r w:rsidRPr="00495482">
        <w:rPr>
          <w:lang w:val="fr-FR"/>
        </w:rPr>
        <w:t>indemnité pour arrêt de travail a concerné 173 658 assurés et les indemnités imputables à l</w:t>
      </w:r>
      <w:r w:rsidR="005D0F0F" w:rsidRPr="00495482">
        <w:rPr>
          <w:lang w:val="fr-FR"/>
        </w:rPr>
        <w:t>’</w:t>
      </w:r>
      <w:r w:rsidRPr="00495482">
        <w:rPr>
          <w:lang w:val="fr-FR"/>
        </w:rPr>
        <w:t>assurance maladie obligatoire ont représenté en moyenne 27</w:t>
      </w:r>
      <w:r w:rsidR="005D0F0F" w:rsidRPr="00495482">
        <w:rPr>
          <w:lang w:val="fr-FR"/>
        </w:rPr>
        <w:t>,</w:t>
      </w:r>
      <w:r w:rsidRPr="00495482">
        <w:rPr>
          <w:lang w:val="fr-FR"/>
        </w:rPr>
        <w:t>27</w:t>
      </w:r>
      <w:r w:rsidR="00495482">
        <w:rPr>
          <w:lang w:val="fr-FR"/>
        </w:rPr>
        <w:t> jours</w:t>
      </w:r>
      <w:r w:rsidRPr="00495482">
        <w:rPr>
          <w:lang w:val="fr-FR"/>
        </w:rPr>
        <w:t xml:space="preserve"> ouvrables par assuré. L</w:t>
      </w:r>
      <w:r w:rsidR="005D0F0F" w:rsidRPr="00495482">
        <w:rPr>
          <w:lang w:val="fr-FR"/>
        </w:rPr>
        <w:t>’</w:t>
      </w:r>
      <w:r w:rsidRPr="00495482">
        <w:rPr>
          <w:lang w:val="fr-FR"/>
        </w:rPr>
        <w:t>indemnité mensuelle moyenne par assuré s</w:t>
      </w:r>
      <w:r w:rsidR="005D0F0F" w:rsidRPr="00495482">
        <w:rPr>
          <w:lang w:val="fr-FR"/>
        </w:rPr>
        <w:t>’</w:t>
      </w:r>
      <w:r w:rsidRPr="00495482">
        <w:rPr>
          <w:lang w:val="fr-FR"/>
        </w:rPr>
        <w:t>élevait à 827</w:t>
      </w:r>
      <w:r w:rsidR="005D0F0F" w:rsidRPr="00495482">
        <w:rPr>
          <w:lang w:val="fr-FR"/>
        </w:rPr>
        <w:t>,</w:t>
      </w:r>
      <w:r w:rsidRPr="00495482">
        <w:rPr>
          <w:lang w:val="fr-FR"/>
        </w:rPr>
        <w:t>45</w:t>
      </w:r>
      <w:r w:rsidR="00210F9A" w:rsidRPr="00495482">
        <w:rPr>
          <w:lang w:val="fr-FR"/>
        </w:rPr>
        <w:t> euros</w:t>
      </w:r>
      <w:r w:rsidRPr="00495482">
        <w:rPr>
          <w:lang w:val="fr-FR"/>
        </w:rPr>
        <w:t xml:space="preserve"> (salaire brut). </w:t>
      </w:r>
    </w:p>
    <w:p w:rsidR="00317603" w:rsidRPr="00495482" w:rsidRDefault="00317603" w:rsidP="00495482">
      <w:pPr>
        <w:pStyle w:val="H23G"/>
        <w:rPr>
          <w:lang w:val="fr-FR" w:eastAsia="sl-SI"/>
        </w:rPr>
      </w:pPr>
      <w:r w:rsidRPr="00495482">
        <w:rPr>
          <w:lang w:val="fr-FR" w:eastAsia="sl-SI"/>
        </w:rPr>
        <w:tab/>
      </w:r>
      <w:r w:rsidRPr="00495482">
        <w:rPr>
          <w:lang w:val="fr-FR" w:eastAsia="sl-SI"/>
        </w:rPr>
        <w:tab/>
        <w:t>Assurance vieillesse-invalidité</w:t>
      </w:r>
    </w:p>
    <w:p w:rsidR="00317603" w:rsidRPr="00495482" w:rsidRDefault="00317603" w:rsidP="00495482">
      <w:pPr>
        <w:pStyle w:val="SingleTxtG"/>
        <w:rPr>
          <w:lang w:val="fr-FR"/>
        </w:rPr>
      </w:pPr>
      <w:r w:rsidRPr="00495482">
        <w:rPr>
          <w:lang w:val="fr-FR"/>
        </w:rPr>
        <w:t>98.</w:t>
      </w:r>
      <w:r w:rsidRPr="00495482">
        <w:rPr>
          <w:lang w:val="fr-FR"/>
        </w:rPr>
        <w:tab/>
        <w:t>La législation relative à l</w:t>
      </w:r>
      <w:r w:rsidR="005D0F0F" w:rsidRPr="00495482">
        <w:rPr>
          <w:lang w:val="fr-FR"/>
        </w:rPr>
        <w:t>’</w:t>
      </w:r>
      <w:r w:rsidRPr="00495482">
        <w:rPr>
          <w:lang w:val="fr-FR"/>
        </w:rPr>
        <w:t>assurance vieillesse-invalidité n</w:t>
      </w:r>
      <w:r w:rsidR="005D0F0F" w:rsidRPr="00495482">
        <w:rPr>
          <w:lang w:val="fr-FR"/>
        </w:rPr>
        <w:t>’</w:t>
      </w:r>
      <w:r w:rsidRPr="00495482">
        <w:rPr>
          <w:lang w:val="fr-FR"/>
        </w:rPr>
        <w:t>a pas été modifiée pendant la période d</w:t>
      </w:r>
      <w:r w:rsidR="005D0F0F" w:rsidRPr="00495482">
        <w:rPr>
          <w:lang w:val="fr-FR"/>
        </w:rPr>
        <w:t>’</w:t>
      </w:r>
      <w:r w:rsidRPr="00495482">
        <w:rPr>
          <w:lang w:val="fr-FR"/>
        </w:rPr>
        <w:t xml:space="preserve">établissement du rapport. </w:t>
      </w:r>
    </w:p>
    <w:p w:rsidR="00317603" w:rsidRPr="00495482" w:rsidRDefault="00317603" w:rsidP="00495482">
      <w:pPr>
        <w:pStyle w:val="H23G"/>
        <w:rPr>
          <w:lang w:val="fr-FR" w:eastAsia="sl-SI"/>
        </w:rPr>
      </w:pPr>
      <w:r w:rsidRPr="00495482">
        <w:rPr>
          <w:lang w:val="fr-FR" w:eastAsia="sl-SI"/>
        </w:rPr>
        <w:tab/>
      </w:r>
      <w:r w:rsidRPr="00495482">
        <w:rPr>
          <w:lang w:val="fr-FR" w:eastAsia="sl-SI"/>
        </w:rPr>
        <w:tab/>
        <w:t>Assurance chômage</w:t>
      </w:r>
    </w:p>
    <w:p w:rsidR="00317603" w:rsidRPr="00495482" w:rsidRDefault="00317603" w:rsidP="00495482">
      <w:pPr>
        <w:pStyle w:val="SingleTxtG"/>
        <w:rPr>
          <w:lang w:val="fr-FR"/>
        </w:rPr>
      </w:pPr>
      <w:r w:rsidRPr="00495482">
        <w:rPr>
          <w:lang w:val="fr-FR"/>
        </w:rPr>
        <w:t>99.</w:t>
      </w:r>
      <w:r w:rsidRPr="00495482">
        <w:rPr>
          <w:lang w:val="fr-FR"/>
        </w:rPr>
        <w:tab/>
        <w:t>La nouvelle réglementation de la loi sur le marché du travail</w:t>
      </w:r>
      <w:r w:rsidRPr="00495482">
        <w:rPr>
          <w:rStyle w:val="FootnoteReference"/>
        </w:rPr>
        <w:footnoteReference w:id="52"/>
      </w:r>
      <w:r w:rsidRPr="00495482">
        <w:rPr>
          <w:lang w:val="fr-FR"/>
        </w:rPr>
        <w:t xml:space="preserve"> régit l</w:t>
      </w:r>
      <w:r w:rsidR="005D0F0F" w:rsidRPr="00495482">
        <w:rPr>
          <w:lang w:val="fr-FR"/>
        </w:rPr>
        <w:t>’</w:t>
      </w:r>
      <w:r w:rsidRPr="00495482">
        <w:rPr>
          <w:lang w:val="fr-FR"/>
        </w:rPr>
        <w:t>assurance chômage et les droits qui en découlent</w:t>
      </w:r>
      <w:r w:rsidR="005D0F0F" w:rsidRPr="00495482">
        <w:rPr>
          <w:lang w:val="fr-FR"/>
        </w:rPr>
        <w:t>,</w:t>
      </w:r>
      <w:r w:rsidRPr="00495482">
        <w:rPr>
          <w:lang w:val="fr-FR"/>
        </w:rPr>
        <w:t xml:space="preserve"> dont le plus important</w:t>
      </w:r>
      <w:r w:rsidR="005D0F0F" w:rsidRPr="00495482">
        <w:rPr>
          <w:lang w:val="fr-FR"/>
        </w:rPr>
        <w:t>:</w:t>
      </w:r>
      <w:r w:rsidRPr="00495482">
        <w:rPr>
          <w:lang w:val="fr-FR"/>
        </w:rPr>
        <w:t xml:space="preserve"> le droit aux prestations de chômage. Les prestations de chômage versées à l</w:t>
      </w:r>
      <w:r w:rsidR="005D0F0F" w:rsidRPr="00495482">
        <w:rPr>
          <w:lang w:val="fr-FR"/>
        </w:rPr>
        <w:t>’</w:t>
      </w:r>
      <w:r w:rsidRPr="00495482">
        <w:rPr>
          <w:lang w:val="fr-FR"/>
        </w:rPr>
        <w:t>assuré pendant les trois premiers mois représentent 80% de l</w:t>
      </w:r>
      <w:r w:rsidR="005D0F0F" w:rsidRPr="00495482">
        <w:rPr>
          <w:lang w:val="fr-FR"/>
        </w:rPr>
        <w:t>’</w:t>
      </w:r>
      <w:r w:rsidRPr="00495482">
        <w:rPr>
          <w:lang w:val="fr-FR"/>
        </w:rPr>
        <w:t>allocation de base (elle-même calculée à partir du salaire mensuel moyen perçu par l</w:t>
      </w:r>
      <w:r w:rsidR="005D0F0F" w:rsidRPr="00495482">
        <w:rPr>
          <w:lang w:val="fr-FR"/>
        </w:rPr>
        <w:t>’</w:t>
      </w:r>
      <w:r w:rsidRPr="00495482">
        <w:rPr>
          <w:lang w:val="fr-FR"/>
        </w:rPr>
        <w:t>assuré pendant les huit mois qui ont précédé la cessation d</w:t>
      </w:r>
      <w:r w:rsidR="005D0F0F" w:rsidRPr="00495482">
        <w:rPr>
          <w:lang w:val="fr-FR"/>
        </w:rPr>
        <w:t>’</w:t>
      </w:r>
      <w:r w:rsidRPr="00495482">
        <w:rPr>
          <w:lang w:val="fr-FR"/>
        </w:rPr>
        <w:t>emploi). Pour les mois suivants</w:t>
      </w:r>
      <w:r w:rsidR="005D0F0F" w:rsidRPr="00495482">
        <w:rPr>
          <w:lang w:val="fr-FR"/>
        </w:rPr>
        <w:t>,</w:t>
      </w:r>
      <w:r w:rsidRPr="00495482">
        <w:rPr>
          <w:lang w:val="fr-FR"/>
        </w:rPr>
        <w:t xml:space="preserve"> l</w:t>
      </w:r>
      <w:r w:rsidR="005D0F0F" w:rsidRPr="00495482">
        <w:rPr>
          <w:lang w:val="fr-FR"/>
        </w:rPr>
        <w:t>’</w:t>
      </w:r>
      <w:r w:rsidRPr="00495482">
        <w:rPr>
          <w:lang w:val="fr-FR"/>
        </w:rPr>
        <w:t>allocation de chômage représente 60% de l</w:t>
      </w:r>
      <w:r w:rsidR="005D0F0F" w:rsidRPr="00495482">
        <w:rPr>
          <w:lang w:val="fr-FR"/>
        </w:rPr>
        <w:t>’</w:t>
      </w:r>
      <w:r w:rsidRPr="00495482">
        <w:rPr>
          <w:lang w:val="fr-FR"/>
        </w:rPr>
        <w:t>allocation de base. Elle ne peut être inférieure à 350</w:t>
      </w:r>
      <w:r w:rsidR="00210F9A" w:rsidRPr="00495482">
        <w:rPr>
          <w:lang w:val="fr-FR"/>
        </w:rPr>
        <w:t> euros</w:t>
      </w:r>
      <w:r w:rsidR="005D0F0F" w:rsidRPr="00495482">
        <w:rPr>
          <w:lang w:val="fr-FR"/>
        </w:rPr>
        <w:t>,</w:t>
      </w:r>
      <w:r w:rsidRPr="00495482">
        <w:rPr>
          <w:lang w:val="fr-FR"/>
        </w:rPr>
        <w:t xml:space="preserve"> ni supérieure au triple du montant de l</w:t>
      </w:r>
      <w:r w:rsidR="005D0F0F" w:rsidRPr="00495482">
        <w:rPr>
          <w:lang w:val="fr-FR"/>
        </w:rPr>
        <w:t>’</w:t>
      </w:r>
      <w:r w:rsidRPr="00495482">
        <w:rPr>
          <w:lang w:val="fr-FR"/>
        </w:rPr>
        <w:t>allocation de base. Le droit à l</w:t>
      </w:r>
      <w:r w:rsidR="005D0F0F" w:rsidRPr="00495482">
        <w:rPr>
          <w:lang w:val="fr-FR"/>
        </w:rPr>
        <w:t>’</w:t>
      </w:r>
      <w:r w:rsidRPr="00495482">
        <w:rPr>
          <w:lang w:val="fr-FR"/>
        </w:rPr>
        <w:t>aide sociale</w:t>
      </w:r>
      <w:r w:rsidR="005D0F0F" w:rsidRPr="00495482">
        <w:rPr>
          <w:lang w:val="fr-FR"/>
        </w:rPr>
        <w:t>,</w:t>
      </w:r>
      <w:r w:rsidRPr="00495482">
        <w:rPr>
          <w:lang w:val="fr-FR"/>
        </w:rPr>
        <w:t xml:space="preserve"> qui relevait de la loi sur l</w:t>
      </w:r>
      <w:r w:rsidR="005D0F0F" w:rsidRPr="00495482">
        <w:rPr>
          <w:lang w:val="fr-FR"/>
        </w:rPr>
        <w:t>’</w:t>
      </w:r>
      <w:r w:rsidRPr="00495482">
        <w:rPr>
          <w:lang w:val="fr-FR"/>
        </w:rPr>
        <w:t>emploi et l</w:t>
      </w:r>
      <w:r w:rsidR="005D0F0F" w:rsidRPr="00495482">
        <w:rPr>
          <w:lang w:val="fr-FR"/>
        </w:rPr>
        <w:t>’</w:t>
      </w:r>
      <w:r w:rsidRPr="00495482">
        <w:rPr>
          <w:lang w:val="fr-FR"/>
        </w:rPr>
        <w:t>assurance chômage</w:t>
      </w:r>
      <w:r w:rsidRPr="00495482">
        <w:rPr>
          <w:rStyle w:val="FootnoteReference"/>
        </w:rPr>
        <w:footnoteReference w:id="53"/>
      </w:r>
      <w:r w:rsidR="003D51E1" w:rsidRPr="00495482">
        <w:rPr>
          <w:lang w:val="fr-FR"/>
        </w:rPr>
        <w:t>,</w:t>
      </w:r>
      <w:r w:rsidRPr="00495482">
        <w:rPr>
          <w:lang w:val="fr-FR"/>
        </w:rPr>
        <w:t xml:space="preserve"> a été abrogé en 2007 et</w:t>
      </w:r>
      <w:r w:rsidR="005D0F0F" w:rsidRPr="00495482">
        <w:rPr>
          <w:lang w:val="fr-FR"/>
        </w:rPr>
        <w:t>,</w:t>
      </w:r>
      <w:r w:rsidRPr="00495482">
        <w:rPr>
          <w:lang w:val="fr-FR"/>
        </w:rPr>
        <w:t xml:space="preserve"> à des fins de transparence et de clarté de l</w:t>
      </w:r>
      <w:r w:rsidR="005D0F0F" w:rsidRPr="00495482">
        <w:rPr>
          <w:lang w:val="fr-FR"/>
        </w:rPr>
        <w:t>’</w:t>
      </w:r>
      <w:r w:rsidRPr="00495482">
        <w:rPr>
          <w:lang w:val="fr-FR"/>
        </w:rPr>
        <w:t>ensemble des documents juridiques</w:t>
      </w:r>
      <w:r w:rsidR="005D0F0F" w:rsidRPr="00495482">
        <w:rPr>
          <w:lang w:val="fr-FR"/>
        </w:rPr>
        <w:t>,</w:t>
      </w:r>
      <w:r w:rsidRPr="00495482">
        <w:rPr>
          <w:lang w:val="fr-FR"/>
        </w:rPr>
        <w:t xml:space="preserve"> il a été inscrit dans une loi indépendante.</w:t>
      </w:r>
      <w:r w:rsidR="003D1A4F" w:rsidRPr="00495482">
        <w:rPr>
          <w:lang w:val="fr-FR"/>
        </w:rPr>
        <w:t xml:space="preserve"> </w:t>
      </w:r>
    </w:p>
    <w:p w:rsidR="00317603" w:rsidRPr="00495482" w:rsidRDefault="00317603" w:rsidP="00495482">
      <w:pPr>
        <w:pStyle w:val="SingleTxtG"/>
        <w:rPr>
          <w:lang w:val="fr-FR"/>
        </w:rPr>
      </w:pPr>
      <w:r w:rsidRPr="00495482">
        <w:rPr>
          <w:lang w:val="fr-FR"/>
        </w:rPr>
        <w:t>100.</w:t>
      </w:r>
      <w:r w:rsidRPr="00495482">
        <w:rPr>
          <w:lang w:val="fr-FR"/>
        </w:rPr>
        <w:tab/>
        <w:t>De 2000 à 2008</w:t>
      </w:r>
      <w:r w:rsidR="005D0F0F" w:rsidRPr="00495482">
        <w:rPr>
          <w:lang w:val="fr-FR"/>
        </w:rPr>
        <w:t>,</w:t>
      </w:r>
      <w:r w:rsidRPr="00495482">
        <w:rPr>
          <w:lang w:val="fr-FR"/>
        </w:rPr>
        <w:t xml:space="preserve"> période de baisse progressive du chômage</w:t>
      </w:r>
      <w:r w:rsidR="005D0F0F" w:rsidRPr="00495482">
        <w:rPr>
          <w:lang w:val="fr-FR"/>
        </w:rPr>
        <w:t>,</w:t>
      </w:r>
      <w:r w:rsidRPr="00495482">
        <w:rPr>
          <w:lang w:val="fr-FR"/>
        </w:rPr>
        <w:t xml:space="preserve"> le nombre des bénéficiaires de l</w:t>
      </w:r>
      <w:r w:rsidR="005D0F0F" w:rsidRPr="00495482">
        <w:rPr>
          <w:lang w:val="fr-FR"/>
        </w:rPr>
        <w:t>’</w:t>
      </w:r>
      <w:r w:rsidRPr="00495482">
        <w:rPr>
          <w:lang w:val="fr-FR"/>
        </w:rPr>
        <w:t>allocation de chômage et de l</w:t>
      </w:r>
      <w:r w:rsidR="005D0F0F" w:rsidRPr="00495482">
        <w:rPr>
          <w:lang w:val="fr-FR"/>
        </w:rPr>
        <w:t>’</w:t>
      </w:r>
      <w:r w:rsidRPr="00495482">
        <w:rPr>
          <w:lang w:val="fr-FR"/>
        </w:rPr>
        <w:t>aide en espèces a diminué de moitié</w:t>
      </w:r>
      <w:r w:rsidR="005D0F0F" w:rsidRPr="00495482">
        <w:rPr>
          <w:lang w:val="fr-FR"/>
        </w:rPr>
        <w:t>,</w:t>
      </w:r>
      <w:r w:rsidRPr="00495482">
        <w:rPr>
          <w:lang w:val="fr-FR"/>
        </w:rPr>
        <w:t xml:space="preserve"> mais à la fin 2008</w:t>
      </w:r>
      <w:r w:rsidR="005D0F0F" w:rsidRPr="00495482">
        <w:rPr>
          <w:lang w:val="fr-FR"/>
        </w:rPr>
        <w:t>,</w:t>
      </w:r>
      <w:r w:rsidRPr="00495482">
        <w:rPr>
          <w:lang w:val="fr-FR"/>
        </w:rPr>
        <w:t xml:space="preserve"> il a rapidement augmenté</w:t>
      </w:r>
      <w:r w:rsidR="005D0F0F" w:rsidRPr="00495482">
        <w:rPr>
          <w:lang w:val="fr-FR"/>
        </w:rPr>
        <w:t>,</w:t>
      </w:r>
      <w:r w:rsidRPr="00495482">
        <w:rPr>
          <w:lang w:val="fr-FR"/>
        </w:rPr>
        <w:t xml:space="preserve"> et en 2009 il était en hausse dans tout le pays.</w:t>
      </w:r>
      <w:r w:rsidR="003D1A4F" w:rsidRPr="00495482">
        <w:rPr>
          <w:lang w:val="fr-FR"/>
        </w:rPr>
        <w:t xml:space="preserve"> </w:t>
      </w:r>
    </w:p>
    <w:p w:rsidR="00317603" w:rsidRPr="00495482" w:rsidRDefault="00317603" w:rsidP="00495482">
      <w:pPr>
        <w:pStyle w:val="H23G"/>
        <w:rPr>
          <w:lang w:val="fr-FR" w:eastAsia="sl-SI"/>
        </w:rPr>
      </w:pPr>
      <w:r w:rsidRPr="00495482">
        <w:rPr>
          <w:lang w:val="fr-FR" w:eastAsia="sl-SI"/>
        </w:rPr>
        <w:tab/>
      </w:r>
      <w:r w:rsidRPr="00495482">
        <w:rPr>
          <w:lang w:val="fr-FR" w:eastAsia="sl-SI"/>
        </w:rPr>
        <w:tab/>
        <w:t>Assurance protection parentale</w:t>
      </w:r>
    </w:p>
    <w:p w:rsidR="00317603" w:rsidRPr="00495482" w:rsidRDefault="00317603" w:rsidP="00495482">
      <w:pPr>
        <w:pStyle w:val="SingleTxtG"/>
        <w:rPr>
          <w:lang w:val="fr-FR"/>
        </w:rPr>
      </w:pPr>
      <w:r w:rsidRPr="00495482">
        <w:rPr>
          <w:lang w:val="fr-FR"/>
        </w:rPr>
        <w:t>101.</w:t>
      </w:r>
      <w:r w:rsidRPr="00495482">
        <w:rPr>
          <w:lang w:val="fr-FR"/>
        </w:rPr>
        <w:tab/>
        <w:t>Les droits y relatifs</w:t>
      </w:r>
      <w:r w:rsidR="003D1A4F" w:rsidRPr="00495482">
        <w:rPr>
          <w:lang w:val="fr-FR"/>
        </w:rPr>
        <w:t xml:space="preserve"> </w:t>
      </w:r>
      <w:r w:rsidRPr="00495482">
        <w:rPr>
          <w:lang w:val="fr-FR"/>
        </w:rPr>
        <w:t>ont déjà été exposés dans le rapport initial (</w:t>
      </w:r>
      <w:r w:rsidR="00210F9A" w:rsidRPr="00495482">
        <w:rPr>
          <w:lang w:val="fr-FR"/>
        </w:rPr>
        <w:t>par. </w:t>
      </w:r>
      <w:r w:rsidRPr="00495482">
        <w:rPr>
          <w:lang w:val="fr-FR"/>
        </w:rPr>
        <w:t>474 à 484).</w:t>
      </w:r>
    </w:p>
    <w:p w:rsidR="00317603" w:rsidRPr="00495482" w:rsidRDefault="00317603" w:rsidP="00495482">
      <w:pPr>
        <w:pStyle w:val="SingleTxtG"/>
        <w:rPr>
          <w:lang w:val="fr-FR"/>
        </w:rPr>
      </w:pPr>
      <w:r w:rsidRPr="00495482">
        <w:rPr>
          <w:lang w:val="fr-FR"/>
        </w:rPr>
        <w:t>102.</w:t>
      </w:r>
      <w:r w:rsidRPr="00495482">
        <w:rPr>
          <w:lang w:val="fr-FR"/>
        </w:rPr>
        <w:tab/>
        <w:t>Depuis 2003</w:t>
      </w:r>
      <w:r w:rsidR="005D0F0F" w:rsidRPr="00495482">
        <w:rPr>
          <w:lang w:val="fr-FR"/>
        </w:rPr>
        <w:t>,</w:t>
      </w:r>
      <w:r w:rsidRPr="00495482">
        <w:rPr>
          <w:lang w:val="fr-FR"/>
        </w:rPr>
        <w:t xml:space="preserve"> la loi sur la protection parentale et les prestations familiales</w:t>
      </w:r>
      <w:r w:rsidRPr="00495482">
        <w:rPr>
          <w:rStyle w:val="FootnoteReference"/>
        </w:rPr>
        <w:footnoteReference w:id="54"/>
      </w:r>
      <w:r w:rsidRPr="00495482">
        <w:rPr>
          <w:lang w:val="fr-FR"/>
        </w:rPr>
        <w:t xml:space="preserve"> a été modifiée à deux reprises</w:t>
      </w:r>
      <w:r w:rsidR="005D0F0F" w:rsidRPr="00495482">
        <w:rPr>
          <w:lang w:val="fr-FR"/>
        </w:rPr>
        <w:t>:</w:t>
      </w:r>
      <w:r w:rsidRPr="00495482">
        <w:rPr>
          <w:lang w:val="fr-FR"/>
        </w:rPr>
        <w:t xml:space="preserve"> en 2006 et en 2008. En 2008</w:t>
      </w:r>
      <w:r w:rsidR="005D0F0F" w:rsidRPr="00495482">
        <w:rPr>
          <w:lang w:val="fr-FR"/>
        </w:rPr>
        <w:t>,</w:t>
      </w:r>
      <w:r w:rsidRPr="00495482">
        <w:rPr>
          <w:lang w:val="fr-FR"/>
        </w:rPr>
        <w:t xml:space="preserve"> la modification concernait </w:t>
      </w:r>
      <w:r w:rsidR="00657B60" w:rsidRPr="00495482">
        <w:rPr>
          <w:lang w:val="fr-FR"/>
        </w:rPr>
        <w:t>l’</w:t>
      </w:r>
      <w:r w:rsidR="003C4F70">
        <w:rPr>
          <w:lang w:val="fr-FR"/>
        </w:rPr>
        <w:t>article </w:t>
      </w:r>
      <w:r w:rsidRPr="00495482">
        <w:rPr>
          <w:lang w:val="fr-FR"/>
        </w:rPr>
        <w:t>relatif aux allocations familiales</w:t>
      </w:r>
      <w:r w:rsidR="003D1A4F" w:rsidRPr="00495482">
        <w:rPr>
          <w:lang w:val="fr-FR"/>
        </w:rPr>
        <w:t xml:space="preserve"> </w:t>
      </w:r>
      <w:r w:rsidRPr="00495482">
        <w:rPr>
          <w:lang w:val="fr-FR"/>
        </w:rPr>
        <w:t>(voir explication à la section II). En 2006</w:t>
      </w:r>
      <w:r w:rsidR="005D0F0F" w:rsidRPr="00495482">
        <w:rPr>
          <w:lang w:val="fr-FR"/>
        </w:rPr>
        <w:t>,</w:t>
      </w:r>
      <w:r w:rsidRPr="00495482">
        <w:rPr>
          <w:lang w:val="fr-FR"/>
        </w:rPr>
        <w:t xml:space="preserve"> les modifications apportées ont été les suivantes:</w:t>
      </w:r>
    </w:p>
    <w:p w:rsidR="00317603" w:rsidRPr="00495482" w:rsidRDefault="00495482" w:rsidP="00495482">
      <w:pPr>
        <w:pStyle w:val="SingleTxtG"/>
        <w:rPr>
          <w:lang w:val="fr-FR" w:eastAsia="sl-SI"/>
        </w:rPr>
      </w:pPr>
      <w:r>
        <w:rPr>
          <w:lang w:val="fr-FR" w:eastAsia="sl-SI"/>
        </w:rPr>
        <w:tab/>
        <w:t>1.</w:t>
      </w:r>
      <w:r>
        <w:rPr>
          <w:lang w:val="fr-FR" w:eastAsia="sl-SI"/>
        </w:rPr>
        <w:tab/>
      </w:r>
      <w:r w:rsidRPr="00495482">
        <w:rPr>
          <w:lang w:val="fr-FR" w:eastAsia="sl-SI"/>
        </w:rPr>
        <w:t>Le droit de travailler à temps partiel pour cause de responsabilités parentales a été étendu aux parents non salariés (travailleurs indépendants</w:t>
      </w:r>
      <w:r w:rsidR="005D0F0F" w:rsidRPr="00495482">
        <w:rPr>
          <w:lang w:val="fr-FR" w:eastAsia="sl-SI"/>
        </w:rPr>
        <w:t>,</w:t>
      </w:r>
      <w:r w:rsidR="00317603" w:rsidRPr="00495482">
        <w:rPr>
          <w:lang w:val="fr-FR" w:eastAsia="sl-SI"/>
        </w:rPr>
        <w:t xml:space="preserve"> agriculteurs</w:t>
      </w:r>
      <w:r w:rsidR="005D0F0F" w:rsidRPr="00495482">
        <w:rPr>
          <w:lang w:val="fr-FR" w:eastAsia="sl-SI"/>
        </w:rPr>
        <w:t>,</w:t>
      </w:r>
      <w:r w:rsidRPr="00495482">
        <w:rPr>
          <w:lang w:val="fr-FR" w:eastAsia="sl-SI"/>
        </w:rPr>
        <w:t xml:space="preserve"> etc.) Et également</w:t>
      </w:r>
      <w:r w:rsidR="005D0F0F" w:rsidRPr="00495482">
        <w:rPr>
          <w:lang w:val="fr-FR" w:eastAsia="sl-SI"/>
        </w:rPr>
        <w:t>,</w:t>
      </w:r>
      <w:r w:rsidR="00317603" w:rsidRPr="00495482">
        <w:rPr>
          <w:lang w:val="fr-FR" w:eastAsia="sl-SI"/>
        </w:rPr>
        <w:t xml:space="preserve"> à celui des deux parents qui s</w:t>
      </w:r>
      <w:r w:rsidR="005D0F0F" w:rsidRPr="00495482">
        <w:rPr>
          <w:lang w:val="fr-FR" w:eastAsia="sl-SI"/>
        </w:rPr>
        <w:t>’</w:t>
      </w:r>
      <w:r w:rsidR="00317603" w:rsidRPr="00495482">
        <w:rPr>
          <w:lang w:val="fr-FR" w:eastAsia="sl-SI"/>
        </w:rPr>
        <w:t>occupe de deux enfants jusqu</w:t>
      </w:r>
      <w:r w:rsidR="005D0F0F" w:rsidRPr="00495482">
        <w:rPr>
          <w:lang w:val="fr-FR" w:eastAsia="sl-SI"/>
        </w:rPr>
        <w:t>’</w:t>
      </w:r>
      <w:r w:rsidR="00317603" w:rsidRPr="00495482">
        <w:rPr>
          <w:lang w:val="fr-FR" w:eastAsia="sl-SI"/>
        </w:rPr>
        <w:t>à ce que le plus jeune ait six</w:t>
      </w:r>
      <w:r w:rsidR="002328BD" w:rsidRPr="00495482">
        <w:rPr>
          <w:lang w:val="fr-FR" w:eastAsia="sl-SI"/>
        </w:rPr>
        <w:t> ans</w:t>
      </w:r>
      <w:r w:rsidR="005D0F0F" w:rsidRPr="00495482">
        <w:rPr>
          <w:lang w:val="fr-FR" w:eastAsia="sl-SI"/>
        </w:rPr>
        <w:t>;</w:t>
      </w:r>
      <w:r w:rsidR="00317603" w:rsidRPr="00495482">
        <w:rPr>
          <w:lang w:val="fr-FR" w:eastAsia="sl-SI"/>
        </w:rPr>
        <w:t xml:space="preserve"> </w:t>
      </w:r>
    </w:p>
    <w:p w:rsidR="00317603" w:rsidRPr="00495482" w:rsidRDefault="00495482" w:rsidP="00495482">
      <w:pPr>
        <w:pStyle w:val="SingleTxtG"/>
        <w:rPr>
          <w:lang w:val="fr-FR" w:eastAsia="sl-SI"/>
        </w:rPr>
      </w:pPr>
      <w:r>
        <w:rPr>
          <w:lang w:val="fr-FR" w:eastAsia="sl-SI"/>
        </w:rPr>
        <w:tab/>
        <w:t>2.</w:t>
      </w:r>
      <w:r>
        <w:rPr>
          <w:lang w:val="fr-FR" w:eastAsia="sl-SI"/>
        </w:rPr>
        <w:tab/>
      </w:r>
      <w:r w:rsidRPr="00495482">
        <w:rPr>
          <w:lang w:val="fr-FR" w:eastAsia="sl-SI"/>
        </w:rPr>
        <w:t>Le droit à une rémunération partielle pour cause de perte de revenu a également été étendu à celui des deux parents qui s</w:t>
      </w:r>
      <w:r w:rsidR="005D0F0F" w:rsidRPr="00495482">
        <w:rPr>
          <w:lang w:val="fr-FR" w:eastAsia="sl-SI"/>
        </w:rPr>
        <w:t>’</w:t>
      </w:r>
      <w:r w:rsidR="00317603" w:rsidRPr="00495482">
        <w:rPr>
          <w:lang w:val="fr-FR" w:eastAsia="sl-SI"/>
        </w:rPr>
        <w:t>occupe au moins de deux enfants souffrant d</w:t>
      </w:r>
      <w:r w:rsidR="005D0F0F" w:rsidRPr="00495482">
        <w:rPr>
          <w:lang w:val="fr-FR" w:eastAsia="sl-SI"/>
        </w:rPr>
        <w:t>’</w:t>
      </w:r>
      <w:r w:rsidR="00317603" w:rsidRPr="00495482">
        <w:rPr>
          <w:lang w:val="fr-FR" w:eastAsia="sl-SI"/>
        </w:rPr>
        <w:t>un handicap mental ou moteur modéré ou grave;</w:t>
      </w:r>
    </w:p>
    <w:p w:rsidR="00317603" w:rsidRPr="00495482" w:rsidRDefault="00495482" w:rsidP="00495482">
      <w:pPr>
        <w:pStyle w:val="SingleTxtG"/>
        <w:rPr>
          <w:lang w:val="fr-FR" w:eastAsia="sl-SI"/>
        </w:rPr>
      </w:pPr>
      <w:r>
        <w:rPr>
          <w:lang w:val="fr-FR" w:eastAsia="sl-SI"/>
        </w:rPr>
        <w:tab/>
        <w:t>3.</w:t>
      </w:r>
      <w:r>
        <w:rPr>
          <w:lang w:val="fr-FR" w:eastAsia="sl-SI"/>
        </w:rPr>
        <w:tab/>
      </w:r>
      <w:r w:rsidR="00317603" w:rsidRPr="00495482">
        <w:rPr>
          <w:lang w:val="fr-FR" w:eastAsia="sl-SI"/>
        </w:rPr>
        <w:t>Le droit au paiement des cotisations pour les parents de quatre enfants ou</w:t>
      </w:r>
      <w:r w:rsidR="003D1A4F" w:rsidRPr="00495482">
        <w:rPr>
          <w:lang w:val="fr-FR" w:eastAsia="sl-SI"/>
        </w:rPr>
        <w:t xml:space="preserve"> </w:t>
      </w:r>
      <w:r w:rsidR="00317603" w:rsidRPr="00495482">
        <w:rPr>
          <w:lang w:val="fr-FR" w:eastAsia="sl-SI"/>
        </w:rPr>
        <w:t>plus est aussi spécifié; celui des deux parents qui quitte son emploi pour s</w:t>
      </w:r>
      <w:r w:rsidR="005D0F0F" w:rsidRPr="00495482">
        <w:rPr>
          <w:lang w:val="fr-FR" w:eastAsia="sl-SI"/>
        </w:rPr>
        <w:t>’</w:t>
      </w:r>
      <w:r w:rsidR="00317603" w:rsidRPr="00495482">
        <w:rPr>
          <w:lang w:val="fr-FR" w:eastAsia="sl-SI"/>
        </w:rPr>
        <w:t>occuper d</w:t>
      </w:r>
      <w:r w:rsidR="005D0F0F" w:rsidRPr="00495482">
        <w:rPr>
          <w:lang w:val="fr-FR" w:eastAsia="sl-SI"/>
        </w:rPr>
        <w:t>’</w:t>
      </w:r>
      <w:r w:rsidR="00317603" w:rsidRPr="00495482">
        <w:rPr>
          <w:lang w:val="fr-FR" w:eastAsia="sl-SI"/>
        </w:rPr>
        <w:t>au moins quatre enfants a droit au paiement des cotisations de sécurité sociale calculées sur la base du salaire minimum</w:t>
      </w:r>
      <w:r w:rsidR="005D0F0F" w:rsidRPr="00495482">
        <w:rPr>
          <w:lang w:val="fr-FR" w:eastAsia="sl-SI"/>
        </w:rPr>
        <w:t>,</w:t>
      </w:r>
      <w:r w:rsidR="00317603" w:rsidRPr="00495482">
        <w:rPr>
          <w:lang w:val="fr-FR" w:eastAsia="sl-SI"/>
        </w:rPr>
        <w:t xml:space="preserve"> jusqu</w:t>
      </w:r>
      <w:r w:rsidR="005D0F0F" w:rsidRPr="00495482">
        <w:rPr>
          <w:lang w:val="fr-FR" w:eastAsia="sl-SI"/>
        </w:rPr>
        <w:t>’</w:t>
      </w:r>
      <w:r w:rsidR="00317603" w:rsidRPr="00495482">
        <w:rPr>
          <w:lang w:val="fr-FR" w:eastAsia="sl-SI"/>
        </w:rPr>
        <w:t>à ce que le plus jeune ait dix</w:t>
      </w:r>
      <w:r w:rsidR="002328BD" w:rsidRPr="00495482">
        <w:rPr>
          <w:lang w:val="fr-FR" w:eastAsia="sl-SI"/>
        </w:rPr>
        <w:t> ans</w:t>
      </w:r>
      <w:r w:rsidR="00317603" w:rsidRPr="00495482">
        <w:rPr>
          <w:lang w:val="fr-FR" w:eastAsia="sl-SI"/>
        </w:rPr>
        <w:t>.</w:t>
      </w:r>
      <w:r w:rsidR="003D1A4F" w:rsidRPr="00495482">
        <w:rPr>
          <w:lang w:val="fr-FR" w:eastAsia="sl-SI"/>
        </w:rPr>
        <w:t xml:space="preserve"> </w:t>
      </w:r>
    </w:p>
    <w:p w:rsidR="00317603" w:rsidRPr="00495482" w:rsidRDefault="00317603" w:rsidP="00495482">
      <w:pPr>
        <w:pStyle w:val="SingleTxtG"/>
        <w:rPr>
          <w:lang w:val="fr-FR"/>
        </w:rPr>
      </w:pPr>
      <w:r w:rsidRPr="00495482">
        <w:rPr>
          <w:lang w:val="fr-FR"/>
        </w:rPr>
        <w:t>103.</w:t>
      </w:r>
      <w:r w:rsidRPr="00495482">
        <w:rPr>
          <w:lang w:val="fr-FR"/>
        </w:rPr>
        <w:tab/>
        <w:t>Les amendements apportés à la loi sur la protection parentale et les prestations familiales modifient également quelque peu l</w:t>
      </w:r>
      <w:r w:rsidR="005D0F0F" w:rsidRPr="00495482">
        <w:rPr>
          <w:lang w:val="fr-FR"/>
        </w:rPr>
        <w:t>’</w:t>
      </w:r>
      <w:r w:rsidRPr="00495482">
        <w:rPr>
          <w:lang w:val="fr-FR"/>
        </w:rPr>
        <w:t>exercice des droits déjà en vigueur:</w:t>
      </w:r>
    </w:p>
    <w:p w:rsidR="00317603" w:rsidRPr="00495482" w:rsidRDefault="00317603" w:rsidP="00495482">
      <w:pPr>
        <w:pStyle w:val="SingleTxtG"/>
        <w:rPr>
          <w:lang w:val="fr-FR" w:eastAsia="sl-SI"/>
        </w:rPr>
      </w:pPr>
      <w:r w:rsidRPr="00495482">
        <w:rPr>
          <w:lang w:val="fr-FR" w:eastAsia="sl-SI"/>
        </w:rPr>
        <w:tab/>
        <w:t>1</w:t>
      </w:r>
      <w:r w:rsidR="00495482">
        <w:rPr>
          <w:lang w:val="fr-FR" w:eastAsia="sl-SI"/>
        </w:rPr>
        <w:t>.</w:t>
      </w:r>
      <w:r w:rsidRPr="00495482">
        <w:rPr>
          <w:lang w:val="fr-FR" w:eastAsia="sl-SI"/>
        </w:rPr>
        <w:tab/>
        <w:t>La loi met en place une méthode légèrement différente de recours au congé parental rémunéré</w:t>
      </w:r>
      <w:r w:rsidR="005D0F0F" w:rsidRPr="00495482">
        <w:rPr>
          <w:lang w:val="fr-FR" w:eastAsia="sl-SI"/>
        </w:rPr>
        <w:t>;</w:t>
      </w:r>
      <w:r w:rsidRPr="00495482">
        <w:rPr>
          <w:lang w:val="fr-FR" w:eastAsia="sl-SI"/>
        </w:rPr>
        <w:t xml:space="preserve"> un père peut prendre un congé parental sans solde d</w:t>
      </w:r>
      <w:r w:rsidR="005D0F0F" w:rsidRPr="00495482">
        <w:rPr>
          <w:lang w:val="fr-FR" w:eastAsia="sl-SI"/>
        </w:rPr>
        <w:t>’</w:t>
      </w:r>
      <w:r w:rsidRPr="00495482">
        <w:rPr>
          <w:lang w:val="fr-FR" w:eastAsia="sl-SI"/>
        </w:rPr>
        <w:t>une durée maximale de 75</w:t>
      </w:r>
      <w:r w:rsidR="00495482">
        <w:rPr>
          <w:lang w:val="fr-FR" w:eastAsia="sl-SI"/>
        </w:rPr>
        <w:t> jours</w:t>
      </w:r>
      <w:r w:rsidRPr="00495482">
        <w:rPr>
          <w:lang w:val="fr-FR" w:eastAsia="sl-SI"/>
        </w:rPr>
        <w:t xml:space="preserve"> jusqu</w:t>
      </w:r>
      <w:r w:rsidR="005D0F0F" w:rsidRPr="00495482">
        <w:rPr>
          <w:lang w:val="fr-FR" w:eastAsia="sl-SI"/>
        </w:rPr>
        <w:t>’</w:t>
      </w:r>
      <w:r w:rsidRPr="00495482">
        <w:rPr>
          <w:lang w:val="fr-FR" w:eastAsia="sl-SI"/>
        </w:rPr>
        <w:t>à ce que l</w:t>
      </w:r>
      <w:r w:rsidR="005D0F0F" w:rsidRPr="00495482">
        <w:rPr>
          <w:lang w:val="fr-FR" w:eastAsia="sl-SI"/>
        </w:rPr>
        <w:t>’</w:t>
      </w:r>
      <w:r w:rsidRPr="00495482">
        <w:rPr>
          <w:lang w:val="fr-FR" w:eastAsia="sl-SI"/>
        </w:rPr>
        <w:t>enfant ait trois</w:t>
      </w:r>
      <w:r w:rsidR="002328BD" w:rsidRPr="00495482">
        <w:rPr>
          <w:lang w:val="fr-FR" w:eastAsia="sl-SI"/>
        </w:rPr>
        <w:t> ans</w:t>
      </w:r>
      <w:r w:rsidR="005D0F0F" w:rsidRPr="00495482">
        <w:rPr>
          <w:lang w:val="fr-FR" w:eastAsia="sl-SI"/>
        </w:rPr>
        <w:t>,</w:t>
      </w:r>
      <w:r w:rsidRPr="00495482">
        <w:rPr>
          <w:lang w:val="fr-FR" w:eastAsia="sl-SI"/>
        </w:rPr>
        <w:t xml:space="preserve"> et non jusqu</w:t>
      </w:r>
      <w:r w:rsidR="005D0F0F" w:rsidRPr="00495482">
        <w:rPr>
          <w:lang w:val="fr-FR" w:eastAsia="sl-SI"/>
        </w:rPr>
        <w:t>’</w:t>
      </w:r>
      <w:r w:rsidRPr="00495482">
        <w:rPr>
          <w:lang w:val="fr-FR" w:eastAsia="sl-SI"/>
        </w:rPr>
        <w:t>à ce qu</w:t>
      </w:r>
      <w:r w:rsidR="005D0F0F" w:rsidRPr="00495482">
        <w:rPr>
          <w:lang w:val="fr-FR" w:eastAsia="sl-SI"/>
        </w:rPr>
        <w:t>’</w:t>
      </w:r>
      <w:r w:rsidRPr="00495482">
        <w:rPr>
          <w:lang w:val="fr-FR" w:eastAsia="sl-SI"/>
        </w:rPr>
        <w:t>il ait huit</w:t>
      </w:r>
      <w:r w:rsidR="002328BD" w:rsidRPr="00495482">
        <w:rPr>
          <w:lang w:val="fr-FR" w:eastAsia="sl-SI"/>
        </w:rPr>
        <w:t> ans</w:t>
      </w:r>
      <w:r w:rsidRPr="00495482">
        <w:rPr>
          <w:lang w:val="fr-FR" w:eastAsia="sl-SI"/>
        </w:rPr>
        <w:t xml:space="preserve"> comme la loi le spécifiait auparavant;</w:t>
      </w:r>
    </w:p>
    <w:p w:rsidR="00317603" w:rsidRPr="00495482" w:rsidRDefault="00317603" w:rsidP="00495482">
      <w:pPr>
        <w:pStyle w:val="SingleTxtG"/>
        <w:rPr>
          <w:lang w:val="fr-FR" w:eastAsia="sl-SI"/>
        </w:rPr>
      </w:pPr>
      <w:r w:rsidRPr="00495482">
        <w:rPr>
          <w:lang w:val="fr-FR" w:eastAsia="sl-SI"/>
        </w:rPr>
        <w:tab/>
        <w:t>2</w:t>
      </w:r>
      <w:r w:rsidR="00495482">
        <w:rPr>
          <w:lang w:val="fr-FR" w:eastAsia="sl-SI"/>
        </w:rPr>
        <w:t>.</w:t>
      </w:r>
      <w:r w:rsidRPr="00495482">
        <w:rPr>
          <w:lang w:val="fr-FR" w:eastAsia="sl-SI"/>
        </w:rPr>
        <w:tab/>
        <w:t>La disposition relative au congé parental pour s</w:t>
      </w:r>
      <w:r w:rsidR="005D0F0F" w:rsidRPr="00495482">
        <w:rPr>
          <w:lang w:val="fr-FR" w:eastAsia="sl-SI"/>
        </w:rPr>
        <w:t>’</w:t>
      </w:r>
      <w:r w:rsidRPr="00495482">
        <w:rPr>
          <w:lang w:val="fr-FR" w:eastAsia="sl-SI"/>
        </w:rPr>
        <w:t>occuper d</w:t>
      </w:r>
      <w:r w:rsidR="005D0F0F" w:rsidRPr="00495482">
        <w:rPr>
          <w:lang w:val="fr-FR" w:eastAsia="sl-SI"/>
        </w:rPr>
        <w:t>’</w:t>
      </w:r>
      <w:r w:rsidRPr="00495482">
        <w:rPr>
          <w:lang w:val="fr-FR" w:eastAsia="sl-SI"/>
        </w:rPr>
        <w:t>un enfant reste inchangée. Les modifications apportées en 2006 à la loi sur la protection parentale et les prestations familiales ont supprimé la possibilité de faire débuter le congé 45</w:t>
      </w:r>
      <w:r w:rsidR="00495482">
        <w:rPr>
          <w:lang w:val="fr-FR" w:eastAsia="sl-SI"/>
        </w:rPr>
        <w:t> jours</w:t>
      </w:r>
      <w:r w:rsidRPr="00495482">
        <w:rPr>
          <w:lang w:val="fr-FR" w:eastAsia="sl-SI"/>
        </w:rPr>
        <w:t xml:space="preserve"> avant la date prévue de l</w:t>
      </w:r>
      <w:r w:rsidR="005D0F0F" w:rsidRPr="00495482">
        <w:rPr>
          <w:lang w:val="fr-FR" w:eastAsia="sl-SI"/>
        </w:rPr>
        <w:t>’</w:t>
      </w:r>
      <w:r w:rsidRPr="00495482">
        <w:rPr>
          <w:lang w:val="fr-FR" w:eastAsia="sl-SI"/>
        </w:rPr>
        <w:t xml:space="preserve">accouchement; </w:t>
      </w:r>
    </w:p>
    <w:p w:rsidR="00317603" w:rsidRPr="00495482" w:rsidRDefault="00317603" w:rsidP="00495482">
      <w:pPr>
        <w:pStyle w:val="SingleTxtG"/>
        <w:rPr>
          <w:szCs w:val="22"/>
          <w:lang w:val="fr-FR" w:eastAsia="sl-SI"/>
        </w:rPr>
      </w:pPr>
      <w:r w:rsidRPr="00495482">
        <w:rPr>
          <w:lang w:val="fr-FR" w:eastAsia="sl-SI"/>
        </w:rPr>
        <w:tab/>
        <w:t>3</w:t>
      </w:r>
      <w:r w:rsidR="00495482">
        <w:rPr>
          <w:lang w:val="fr-FR" w:eastAsia="sl-SI"/>
        </w:rPr>
        <w:t>.</w:t>
      </w:r>
      <w:r w:rsidRPr="00495482">
        <w:rPr>
          <w:lang w:val="fr-FR" w:eastAsia="sl-SI"/>
        </w:rPr>
        <w:tab/>
        <w:t>Les modifications apportées en 2006 à la loi susmentionnée prévoient qu</w:t>
      </w:r>
      <w:r w:rsidR="005D0F0F" w:rsidRPr="00495482">
        <w:rPr>
          <w:lang w:val="fr-FR" w:eastAsia="sl-SI"/>
        </w:rPr>
        <w:t>’</w:t>
      </w:r>
      <w:r w:rsidRPr="00495482">
        <w:rPr>
          <w:lang w:val="fr-FR" w:eastAsia="sl-SI"/>
        </w:rPr>
        <w:t>un parent adoptif pourra prendre un congé d</w:t>
      </w:r>
      <w:r w:rsidR="005D0F0F" w:rsidRPr="00495482">
        <w:rPr>
          <w:lang w:val="fr-FR" w:eastAsia="sl-SI"/>
        </w:rPr>
        <w:t>’</w:t>
      </w:r>
      <w:r w:rsidRPr="00495482">
        <w:rPr>
          <w:lang w:val="fr-FR" w:eastAsia="sl-SI"/>
        </w:rPr>
        <w:t>adoption au maximum 30</w:t>
      </w:r>
      <w:r w:rsidR="00495482">
        <w:rPr>
          <w:lang w:val="fr-FR" w:eastAsia="sl-SI"/>
        </w:rPr>
        <w:t> jours</w:t>
      </w:r>
      <w:r w:rsidRPr="00495482">
        <w:rPr>
          <w:lang w:val="fr-FR" w:eastAsia="sl-SI"/>
        </w:rPr>
        <w:t xml:space="preserve"> après le placement de l</w:t>
      </w:r>
      <w:r w:rsidR="005D0F0F" w:rsidRPr="00495482">
        <w:rPr>
          <w:lang w:val="fr-FR" w:eastAsia="sl-SI"/>
        </w:rPr>
        <w:t>’</w:t>
      </w:r>
      <w:r w:rsidRPr="00495482">
        <w:rPr>
          <w:lang w:val="fr-FR" w:eastAsia="sl-SI"/>
        </w:rPr>
        <w:t>enfant dans la famille d</w:t>
      </w:r>
      <w:r w:rsidR="005D0F0F" w:rsidRPr="00495482">
        <w:rPr>
          <w:lang w:val="fr-FR" w:eastAsia="sl-SI"/>
        </w:rPr>
        <w:t>’</w:t>
      </w:r>
      <w:r w:rsidRPr="00495482">
        <w:rPr>
          <w:lang w:val="fr-FR" w:eastAsia="sl-SI"/>
        </w:rPr>
        <w:t>accueil. La durée du congé d</w:t>
      </w:r>
      <w:r w:rsidR="005D0F0F" w:rsidRPr="00495482">
        <w:rPr>
          <w:lang w:val="fr-FR" w:eastAsia="sl-SI"/>
        </w:rPr>
        <w:t>’</w:t>
      </w:r>
      <w:r w:rsidRPr="00495482">
        <w:rPr>
          <w:lang w:val="fr-FR" w:eastAsia="sl-SI"/>
        </w:rPr>
        <w:t>adoption est de 150</w:t>
      </w:r>
      <w:r w:rsidR="00495482">
        <w:rPr>
          <w:lang w:val="fr-FR" w:eastAsia="sl-SI"/>
        </w:rPr>
        <w:t> jours</w:t>
      </w:r>
      <w:r w:rsidRPr="00495482">
        <w:rPr>
          <w:lang w:val="fr-FR" w:eastAsia="sl-SI"/>
        </w:rPr>
        <w:t xml:space="preserve"> pour un enfant âgé de 1 à 4</w:t>
      </w:r>
      <w:r w:rsidR="002328BD" w:rsidRPr="00495482">
        <w:rPr>
          <w:lang w:val="fr-FR" w:eastAsia="sl-SI"/>
        </w:rPr>
        <w:t> ans</w:t>
      </w:r>
      <w:r w:rsidR="005D0F0F" w:rsidRPr="00495482">
        <w:rPr>
          <w:lang w:val="fr-FR" w:eastAsia="sl-SI"/>
        </w:rPr>
        <w:t>,</w:t>
      </w:r>
      <w:r w:rsidRPr="00495482">
        <w:rPr>
          <w:lang w:val="fr-FR" w:eastAsia="sl-SI"/>
        </w:rPr>
        <w:t xml:space="preserve"> ou de 120</w:t>
      </w:r>
      <w:r w:rsidR="00495482">
        <w:rPr>
          <w:lang w:val="fr-FR" w:eastAsia="sl-SI"/>
        </w:rPr>
        <w:t> jours</w:t>
      </w:r>
      <w:r w:rsidRPr="00495482">
        <w:rPr>
          <w:lang w:val="fr-FR" w:eastAsia="sl-SI"/>
        </w:rPr>
        <w:t xml:space="preserve"> pour un enfant de 4 à 10</w:t>
      </w:r>
      <w:r w:rsidR="002328BD" w:rsidRPr="00495482">
        <w:rPr>
          <w:lang w:val="fr-FR" w:eastAsia="sl-SI"/>
        </w:rPr>
        <w:t> ans</w:t>
      </w:r>
      <w:r w:rsidRPr="00495482">
        <w:rPr>
          <w:lang w:val="fr-FR" w:eastAsia="sl-SI"/>
        </w:rPr>
        <w:t xml:space="preserve">. </w:t>
      </w:r>
    </w:p>
    <w:p w:rsidR="00317603" w:rsidRPr="00495482" w:rsidRDefault="00317603" w:rsidP="00495482">
      <w:pPr>
        <w:pStyle w:val="SingleTxtG"/>
        <w:rPr>
          <w:lang w:val="fr-FR"/>
        </w:rPr>
      </w:pPr>
      <w:r w:rsidRPr="00495482">
        <w:rPr>
          <w:lang w:val="fr-FR"/>
        </w:rPr>
        <w:t>104.</w:t>
      </w:r>
      <w:r w:rsidRPr="00495482">
        <w:rPr>
          <w:lang w:val="fr-FR"/>
        </w:rPr>
        <w:tab/>
        <w:t>Le nombre moyen des bénéficiaires de l</w:t>
      </w:r>
      <w:r w:rsidR="005D0F0F" w:rsidRPr="00495482">
        <w:rPr>
          <w:lang w:val="fr-FR"/>
        </w:rPr>
        <w:t>’</w:t>
      </w:r>
      <w:r w:rsidRPr="00495482">
        <w:rPr>
          <w:lang w:val="fr-FR"/>
        </w:rPr>
        <w:t>allocation parentale a augmenté entre 2003 et 2009</w:t>
      </w:r>
      <w:r w:rsidR="005D0F0F" w:rsidRPr="00495482">
        <w:rPr>
          <w:lang w:val="fr-FR"/>
        </w:rPr>
        <w:t>,</w:t>
      </w:r>
      <w:r w:rsidRPr="00495482">
        <w:rPr>
          <w:lang w:val="fr-FR"/>
        </w:rPr>
        <w:t xml:space="preserve"> essentiellement en raison du nombre accru des naissances. Les dépenses consacrées à la protection parentale ont aussi augmenté en conséquence. En République de Slovénie</w:t>
      </w:r>
      <w:r w:rsidR="005D0F0F" w:rsidRPr="00495482">
        <w:rPr>
          <w:lang w:val="fr-FR"/>
        </w:rPr>
        <w:t>,</w:t>
      </w:r>
      <w:r w:rsidRPr="00495482">
        <w:rPr>
          <w:lang w:val="fr-FR"/>
        </w:rPr>
        <w:t xml:space="preserve"> le nombre moyen de naissances vivantes par femme s</w:t>
      </w:r>
      <w:r w:rsidR="005D0F0F" w:rsidRPr="00495482">
        <w:rPr>
          <w:lang w:val="fr-FR"/>
        </w:rPr>
        <w:t>’</w:t>
      </w:r>
      <w:r w:rsidRPr="00495482">
        <w:rPr>
          <w:lang w:val="fr-FR"/>
        </w:rPr>
        <w:t>élevait à 1</w:t>
      </w:r>
      <w:r w:rsidR="005D0F0F" w:rsidRPr="00495482">
        <w:rPr>
          <w:lang w:val="fr-FR"/>
        </w:rPr>
        <w:t>,</w:t>
      </w:r>
      <w:r w:rsidRPr="00495482">
        <w:rPr>
          <w:lang w:val="fr-FR"/>
        </w:rPr>
        <w:t>26 en</w:t>
      </w:r>
      <w:r w:rsidR="00B8444E">
        <w:rPr>
          <w:lang w:val="fr-FR"/>
        </w:rPr>
        <w:t xml:space="preserve"> 2000 et à </w:t>
      </w:r>
      <w:r w:rsidRPr="00495482">
        <w:rPr>
          <w:lang w:val="fr-FR"/>
        </w:rPr>
        <w:t>1</w:t>
      </w:r>
      <w:r w:rsidR="005D0F0F" w:rsidRPr="00495482">
        <w:rPr>
          <w:lang w:val="fr-FR"/>
        </w:rPr>
        <w:t>,</w:t>
      </w:r>
      <w:r w:rsidRPr="00495482">
        <w:rPr>
          <w:lang w:val="fr-FR"/>
        </w:rPr>
        <w:t>53 en 2008. Les bénéficiaires de l</w:t>
      </w:r>
      <w:r w:rsidR="005D0F0F" w:rsidRPr="00495482">
        <w:rPr>
          <w:lang w:val="fr-FR"/>
        </w:rPr>
        <w:t>’</w:t>
      </w:r>
      <w:r w:rsidRPr="00495482">
        <w:rPr>
          <w:lang w:val="fr-FR"/>
        </w:rPr>
        <w:t>allocation parentale o</w:t>
      </w:r>
      <w:r w:rsidR="00495482">
        <w:rPr>
          <w:lang w:val="fr-FR"/>
        </w:rPr>
        <w:t>nt été plus nombreux en 2008 et </w:t>
      </w:r>
      <w:r w:rsidRPr="00495482">
        <w:rPr>
          <w:lang w:val="fr-FR"/>
        </w:rPr>
        <w:t>2009 (voir tableaux à l</w:t>
      </w:r>
      <w:r w:rsidR="005D0F0F" w:rsidRPr="00495482">
        <w:rPr>
          <w:lang w:val="fr-FR"/>
        </w:rPr>
        <w:t>’</w:t>
      </w:r>
      <w:r w:rsidRPr="00495482">
        <w:rPr>
          <w:lang w:val="fr-FR"/>
        </w:rPr>
        <w:t>annexe I).</w:t>
      </w:r>
    </w:p>
    <w:p w:rsidR="00317603" w:rsidRPr="00495482" w:rsidRDefault="00317603" w:rsidP="00495482">
      <w:pPr>
        <w:pStyle w:val="H23G"/>
        <w:rPr>
          <w:lang w:val="fr-FR" w:eastAsia="sl-SI"/>
        </w:rPr>
      </w:pPr>
      <w:r w:rsidRPr="00495482">
        <w:rPr>
          <w:lang w:val="fr-FR" w:eastAsia="sl-SI"/>
        </w:rPr>
        <w:tab/>
      </w:r>
      <w:r w:rsidRPr="00495482">
        <w:rPr>
          <w:lang w:val="fr-FR" w:eastAsia="sl-SI"/>
        </w:rPr>
        <w:tab/>
        <w:t>Droit à l</w:t>
      </w:r>
      <w:r w:rsidR="005D0F0F" w:rsidRPr="00495482">
        <w:rPr>
          <w:lang w:val="fr-FR" w:eastAsia="sl-SI"/>
        </w:rPr>
        <w:t>’</w:t>
      </w:r>
      <w:r w:rsidRPr="00495482">
        <w:rPr>
          <w:lang w:val="fr-FR" w:eastAsia="sl-SI"/>
        </w:rPr>
        <w:t>aide sociale sous forme de prestations en espèces</w:t>
      </w:r>
    </w:p>
    <w:p w:rsidR="00317603" w:rsidRPr="00495482" w:rsidRDefault="00317603" w:rsidP="00495482">
      <w:pPr>
        <w:pStyle w:val="SingleTxtG"/>
        <w:rPr>
          <w:lang w:val="fr-FR"/>
        </w:rPr>
      </w:pPr>
      <w:r w:rsidRPr="00495482">
        <w:rPr>
          <w:lang w:val="fr-FR"/>
        </w:rPr>
        <w:t>105.</w:t>
      </w:r>
      <w:r w:rsidRPr="00495482">
        <w:rPr>
          <w:lang w:val="fr-FR"/>
        </w:rPr>
        <w:tab/>
        <w:t>Depuis le 1</w:t>
      </w:r>
      <w:r w:rsidRPr="00495482">
        <w:rPr>
          <w:vertAlign w:val="superscript"/>
          <w:lang w:val="fr-FR"/>
        </w:rPr>
        <w:t>er</w:t>
      </w:r>
      <w:r w:rsidRPr="00495482">
        <w:rPr>
          <w:lang w:val="fr-FR"/>
        </w:rPr>
        <w:t xml:space="preserve"> janvier 2004</w:t>
      </w:r>
      <w:r w:rsidR="005D0F0F" w:rsidRPr="00495482">
        <w:rPr>
          <w:lang w:val="fr-FR"/>
        </w:rPr>
        <w:t>,</w:t>
      </w:r>
      <w:r w:rsidRPr="00495482">
        <w:rPr>
          <w:lang w:val="fr-FR"/>
        </w:rPr>
        <w:t xml:space="preserve"> la loi sur l</w:t>
      </w:r>
      <w:r w:rsidR="005D0F0F" w:rsidRPr="00495482">
        <w:rPr>
          <w:lang w:val="fr-FR"/>
        </w:rPr>
        <w:t>’</w:t>
      </w:r>
      <w:r w:rsidRPr="00495482">
        <w:rPr>
          <w:lang w:val="fr-FR"/>
        </w:rPr>
        <w:t>assistance sociale et les services sociaux</w:t>
      </w:r>
      <w:r w:rsidRPr="00495482">
        <w:rPr>
          <w:rStyle w:val="FootnoteReference"/>
        </w:rPr>
        <w:footnoteReference w:id="55"/>
      </w:r>
      <w:r w:rsidRPr="00495482">
        <w:rPr>
          <w:lang w:val="fr-FR"/>
        </w:rPr>
        <w:t xml:space="preserve"> a été modifiée à deux reprises: début 2004</w:t>
      </w:r>
      <w:r w:rsidR="005D0F0F" w:rsidRPr="00495482">
        <w:rPr>
          <w:lang w:val="fr-FR"/>
        </w:rPr>
        <w:t>,</w:t>
      </w:r>
      <w:r w:rsidRPr="00495482">
        <w:rPr>
          <w:lang w:val="fr-FR"/>
        </w:rPr>
        <w:t xml:space="preserve"> aucune modification majeure n</w:t>
      </w:r>
      <w:r w:rsidR="005D0F0F" w:rsidRPr="00495482">
        <w:rPr>
          <w:lang w:val="fr-FR"/>
        </w:rPr>
        <w:t>’</w:t>
      </w:r>
      <w:r w:rsidRPr="00495482">
        <w:rPr>
          <w:lang w:val="fr-FR"/>
        </w:rPr>
        <w:t>a été apportée à l</w:t>
      </w:r>
      <w:r w:rsidR="005D0F0F" w:rsidRPr="00495482">
        <w:rPr>
          <w:lang w:val="fr-FR"/>
        </w:rPr>
        <w:t>’</w:t>
      </w:r>
      <w:r w:rsidRPr="00495482">
        <w:rPr>
          <w:lang w:val="fr-FR"/>
        </w:rPr>
        <w:t>aide sociale sous forme de prestations en espèces</w:t>
      </w:r>
      <w:r w:rsidR="005D0F0F" w:rsidRPr="00495482">
        <w:rPr>
          <w:lang w:val="fr-FR"/>
        </w:rPr>
        <w:t>;</w:t>
      </w:r>
      <w:r w:rsidRPr="00495482">
        <w:rPr>
          <w:lang w:val="fr-FR"/>
        </w:rPr>
        <w:t xml:space="preserve"> en 2006</w:t>
      </w:r>
      <w:r w:rsidR="005D0F0F" w:rsidRPr="00495482">
        <w:rPr>
          <w:lang w:val="fr-FR"/>
        </w:rPr>
        <w:t>,</w:t>
      </w:r>
      <w:r w:rsidRPr="00495482">
        <w:rPr>
          <w:lang w:val="fr-FR"/>
        </w:rPr>
        <w:t xml:space="preserve"> diverses mesures de sauvegarde complémentaires ont été mises en place</w:t>
      </w:r>
      <w:r w:rsidR="005D0F0F" w:rsidRPr="00495482">
        <w:rPr>
          <w:lang w:val="fr-FR"/>
        </w:rPr>
        <w:t>,</w:t>
      </w:r>
      <w:r w:rsidRPr="00495482">
        <w:rPr>
          <w:lang w:val="fr-FR"/>
        </w:rPr>
        <w:t xml:space="preserve"> en vue d</w:t>
      </w:r>
      <w:r w:rsidR="005D0F0F" w:rsidRPr="00495482">
        <w:rPr>
          <w:lang w:val="fr-FR"/>
        </w:rPr>
        <w:t>’</w:t>
      </w:r>
      <w:r w:rsidRPr="00495482">
        <w:rPr>
          <w:lang w:val="fr-FR"/>
        </w:rPr>
        <w:t>améliorer l</w:t>
      </w:r>
      <w:r w:rsidR="005D0F0F" w:rsidRPr="00495482">
        <w:rPr>
          <w:lang w:val="fr-FR"/>
        </w:rPr>
        <w:t>’</w:t>
      </w:r>
      <w:r w:rsidRPr="00495482">
        <w:rPr>
          <w:lang w:val="fr-FR"/>
        </w:rPr>
        <w:t>efficacité de ce type d</w:t>
      </w:r>
      <w:r w:rsidR="005D0F0F" w:rsidRPr="00495482">
        <w:rPr>
          <w:lang w:val="fr-FR"/>
        </w:rPr>
        <w:t>’</w:t>
      </w:r>
      <w:r w:rsidRPr="00495482">
        <w:rPr>
          <w:lang w:val="fr-FR"/>
        </w:rPr>
        <w:t>assistance. Elles résident dans le respect du principe selon lequel un individu est</w:t>
      </w:r>
      <w:r w:rsidR="005D0F0F" w:rsidRPr="00495482">
        <w:rPr>
          <w:lang w:val="fr-FR"/>
        </w:rPr>
        <w:t>,</w:t>
      </w:r>
      <w:r w:rsidRPr="00495482">
        <w:rPr>
          <w:lang w:val="fr-FR"/>
        </w:rPr>
        <w:t xml:space="preserve"> dans la limite de ses capacités</w:t>
      </w:r>
      <w:r w:rsidR="005D0F0F" w:rsidRPr="00495482">
        <w:rPr>
          <w:lang w:val="fr-FR"/>
        </w:rPr>
        <w:t>,</w:t>
      </w:r>
      <w:r w:rsidRPr="00495482">
        <w:rPr>
          <w:lang w:val="fr-FR"/>
        </w:rPr>
        <w:t xml:space="preserve"> responsable de sa propre subsistance et de celle </w:t>
      </w:r>
      <w:r w:rsidR="00210F9A" w:rsidRPr="00495482">
        <w:rPr>
          <w:lang w:val="fr-FR"/>
        </w:rPr>
        <w:t>des personnes</w:t>
      </w:r>
      <w:r w:rsidRPr="00495482">
        <w:rPr>
          <w:lang w:val="fr-FR"/>
        </w:rPr>
        <w:t xml:space="preserve"> dont il a la charge</w:t>
      </w:r>
      <w:r w:rsidR="005D0F0F" w:rsidRPr="00495482">
        <w:rPr>
          <w:lang w:val="fr-FR"/>
        </w:rPr>
        <w:t>,</w:t>
      </w:r>
      <w:r w:rsidRPr="00495482">
        <w:rPr>
          <w:lang w:val="fr-FR"/>
        </w:rPr>
        <w:t xml:space="preserve"> et que l</w:t>
      </w:r>
      <w:r w:rsidR="005D0F0F" w:rsidRPr="00495482">
        <w:rPr>
          <w:lang w:val="fr-FR"/>
        </w:rPr>
        <w:t>’</w:t>
      </w:r>
      <w:r w:rsidRPr="00495482">
        <w:rPr>
          <w:lang w:val="fr-FR"/>
        </w:rPr>
        <w:t>aide sociale publique versée sous forme de prestations en espèces n</w:t>
      </w:r>
      <w:r w:rsidR="005D0F0F" w:rsidRPr="00495482">
        <w:rPr>
          <w:lang w:val="fr-FR"/>
        </w:rPr>
        <w:t>’</w:t>
      </w:r>
      <w:r w:rsidRPr="00495482">
        <w:rPr>
          <w:lang w:val="fr-FR"/>
        </w:rPr>
        <w:t>est accordée qu</w:t>
      </w:r>
      <w:r w:rsidR="005D0F0F" w:rsidRPr="00495482">
        <w:rPr>
          <w:lang w:val="fr-FR"/>
        </w:rPr>
        <w:t>’</w:t>
      </w:r>
      <w:r w:rsidRPr="00495482">
        <w:rPr>
          <w:lang w:val="fr-FR"/>
        </w:rPr>
        <w:t>en dernier ressort. La loi étend les motifs de non attribution de ce type d</w:t>
      </w:r>
      <w:r w:rsidR="005D0F0F" w:rsidRPr="00495482">
        <w:rPr>
          <w:lang w:val="fr-FR"/>
        </w:rPr>
        <w:t>’</w:t>
      </w:r>
      <w:r w:rsidRPr="00495482">
        <w:rPr>
          <w:lang w:val="fr-FR"/>
        </w:rPr>
        <w:t>assistance à une personne qui vit avec d</w:t>
      </w:r>
      <w:r w:rsidR="005D0F0F" w:rsidRPr="00495482">
        <w:rPr>
          <w:lang w:val="fr-FR"/>
        </w:rPr>
        <w:t>’</w:t>
      </w:r>
      <w:r w:rsidRPr="00495482">
        <w:rPr>
          <w:lang w:val="fr-FR"/>
        </w:rPr>
        <w:t>autres; en cas de demande d</w:t>
      </w:r>
      <w:r w:rsidR="005D0F0F" w:rsidRPr="00495482">
        <w:rPr>
          <w:lang w:val="fr-FR"/>
        </w:rPr>
        <w:t>’</w:t>
      </w:r>
      <w:r w:rsidRPr="00495482">
        <w:rPr>
          <w:lang w:val="fr-FR"/>
        </w:rPr>
        <w:t>aide sociale exceptionnelle sous forme de prestations en espèces</w:t>
      </w:r>
      <w:r w:rsidR="005D0F0F" w:rsidRPr="00495482">
        <w:rPr>
          <w:lang w:val="fr-FR"/>
        </w:rPr>
        <w:t>,</w:t>
      </w:r>
      <w:r w:rsidRPr="00495482">
        <w:rPr>
          <w:lang w:val="fr-FR"/>
        </w:rPr>
        <w:t xml:space="preserve"> l</w:t>
      </w:r>
      <w:r w:rsidR="005D0F0F" w:rsidRPr="00495482">
        <w:rPr>
          <w:lang w:val="fr-FR"/>
        </w:rPr>
        <w:t>’</w:t>
      </w:r>
      <w:r w:rsidRPr="00495482">
        <w:rPr>
          <w:lang w:val="fr-FR"/>
        </w:rPr>
        <w:t>objet et le niveau de l</w:t>
      </w:r>
      <w:r w:rsidR="005D0F0F" w:rsidRPr="00495482">
        <w:rPr>
          <w:lang w:val="fr-FR"/>
        </w:rPr>
        <w:t>’</w:t>
      </w:r>
      <w:r w:rsidRPr="00495482">
        <w:rPr>
          <w:lang w:val="fr-FR"/>
        </w:rPr>
        <w:t>aide doivent être précisés lors de la demande et prouvés lors de sa perception; le remboursement des sommes injustement perçues est également prescrit. Depuis le 1</w:t>
      </w:r>
      <w:r w:rsidRPr="00495482">
        <w:rPr>
          <w:vertAlign w:val="superscript"/>
          <w:lang w:val="fr-FR"/>
        </w:rPr>
        <w:t>er</w:t>
      </w:r>
      <w:r w:rsidRPr="00495482">
        <w:rPr>
          <w:lang w:val="fr-FR"/>
        </w:rPr>
        <w:t xml:space="preserve"> juillet 2010</w:t>
      </w:r>
      <w:r w:rsidR="005D0F0F" w:rsidRPr="00495482">
        <w:rPr>
          <w:lang w:val="fr-FR"/>
        </w:rPr>
        <w:t>,</w:t>
      </w:r>
      <w:r w:rsidRPr="00495482">
        <w:rPr>
          <w:lang w:val="fr-FR"/>
        </w:rPr>
        <w:t xml:space="preserve"> le montant de base du revenu minimum est de 226</w:t>
      </w:r>
      <w:r w:rsidR="005D0F0F" w:rsidRPr="00495482">
        <w:rPr>
          <w:lang w:val="fr-FR"/>
        </w:rPr>
        <w:t>,</w:t>
      </w:r>
      <w:r w:rsidRPr="00495482">
        <w:rPr>
          <w:lang w:val="fr-FR"/>
        </w:rPr>
        <w:t>80</w:t>
      </w:r>
      <w:r w:rsidR="00210F9A" w:rsidRPr="00495482">
        <w:rPr>
          <w:lang w:val="fr-FR"/>
        </w:rPr>
        <w:t> euros</w:t>
      </w:r>
      <w:r w:rsidRPr="00495482">
        <w:rPr>
          <w:lang w:val="fr-FR"/>
        </w:rPr>
        <w:t xml:space="preserve"> et l</w:t>
      </w:r>
      <w:r w:rsidR="005D0F0F" w:rsidRPr="00495482">
        <w:rPr>
          <w:lang w:val="fr-FR"/>
        </w:rPr>
        <w:t>’</w:t>
      </w:r>
      <w:r w:rsidRPr="00495482">
        <w:rPr>
          <w:lang w:val="fr-FR"/>
        </w:rPr>
        <w:t>aide sociale en espèces s</w:t>
      </w:r>
      <w:r w:rsidR="005D0F0F" w:rsidRPr="00495482">
        <w:rPr>
          <w:lang w:val="fr-FR"/>
        </w:rPr>
        <w:t>’</w:t>
      </w:r>
      <w:r w:rsidRPr="00495482">
        <w:rPr>
          <w:lang w:val="fr-FR"/>
        </w:rPr>
        <w:t>élève en moyenne à 229</w:t>
      </w:r>
      <w:r w:rsidR="005D0F0F" w:rsidRPr="00495482">
        <w:rPr>
          <w:lang w:val="fr-FR"/>
        </w:rPr>
        <w:t>,</w:t>
      </w:r>
      <w:r w:rsidRPr="00495482">
        <w:rPr>
          <w:lang w:val="fr-FR"/>
        </w:rPr>
        <w:t>15</w:t>
      </w:r>
      <w:r w:rsidR="00210F9A" w:rsidRPr="00495482">
        <w:rPr>
          <w:lang w:val="fr-FR"/>
        </w:rPr>
        <w:t> euros</w:t>
      </w:r>
      <w:r w:rsidRPr="00495482">
        <w:rPr>
          <w:lang w:val="fr-FR"/>
        </w:rPr>
        <w:t>. En raison de la déflation</w:t>
      </w:r>
      <w:r w:rsidR="005D0F0F" w:rsidRPr="00495482">
        <w:rPr>
          <w:lang w:val="fr-FR"/>
        </w:rPr>
        <w:t>,</w:t>
      </w:r>
      <w:r w:rsidRPr="00495482">
        <w:rPr>
          <w:lang w:val="fr-FR"/>
        </w:rPr>
        <w:t xml:space="preserve"> le revenu minimum en 2010 est resté inchangé et il est de 226</w:t>
      </w:r>
      <w:r w:rsidR="005D0F0F" w:rsidRPr="00495482">
        <w:rPr>
          <w:lang w:val="fr-FR"/>
        </w:rPr>
        <w:t>,</w:t>
      </w:r>
      <w:r w:rsidRPr="00495482">
        <w:rPr>
          <w:lang w:val="fr-FR"/>
        </w:rPr>
        <w:t>80</w:t>
      </w:r>
      <w:r w:rsidR="00210F9A" w:rsidRPr="00495482">
        <w:rPr>
          <w:lang w:val="fr-FR"/>
        </w:rPr>
        <w:t> euros</w:t>
      </w:r>
      <w:r w:rsidRPr="00495482">
        <w:rPr>
          <w:lang w:val="fr-FR"/>
        </w:rPr>
        <w:t xml:space="preserve">. </w:t>
      </w:r>
    </w:p>
    <w:p w:rsidR="00317603" w:rsidRPr="00495482" w:rsidRDefault="00317603" w:rsidP="00495482">
      <w:pPr>
        <w:pStyle w:val="SingleTxtG"/>
        <w:rPr>
          <w:rFonts w:eastAsia="Tms Rmn"/>
          <w:lang w:val="fr-FR" w:eastAsia="sl-SI"/>
        </w:rPr>
      </w:pPr>
      <w:r w:rsidRPr="00495482">
        <w:rPr>
          <w:lang w:val="fr-FR"/>
        </w:rPr>
        <w:t>106.</w:t>
      </w:r>
      <w:r w:rsidRPr="00495482">
        <w:rPr>
          <w:lang w:val="fr-FR"/>
        </w:rPr>
        <w:tab/>
      </w:r>
      <w:r w:rsidRPr="00495482">
        <w:rPr>
          <w:rFonts w:eastAsia="Tms Rmn"/>
          <w:lang w:val="fr-FR" w:eastAsia="sl-SI"/>
        </w:rPr>
        <w:t>Une aide sociale exceptionnelle peut être accordée dans des circonstances exceptionnelles. Elle peut aussi être accordée quand un demandeur ne relève pas des cas d</w:t>
      </w:r>
      <w:r w:rsidR="005D0F0F" w:rsidRPr="00495482">
        <w:rPr>
          <w:rFonts w:eastAsia="Tms Rmn"/>
          <w:lang w:val="fr-FR" w:eastAsia="sl-SI"/>
        </w:rPr>
        <w:t>’</w:t>
      </w:r>
      <w:r w:rsidRPr="00495482">
        <w:rPr>
          <w:rFonts w:eastAsia="Tms Rmn"/>
          <w:lang w:val="fr-FR" w:eastAsia="sl-SI"/>
        </w:rPr>
        <w:t>attribution de ce type d</w:t>
      </w:r>
      <w:r w:rsidR="005D0F0F" w:rsidRPr="00495482">
        <w:rPr>
          <w:rFonts w:eastAsia="Tms Rmn"/>
          <w:lang w:val="fr-FR" w:eastAsia="sl-SI"/>
        </w:rPr>
        <w:t>’</w:t>
      </w:r>
      <w:r w:rsidRPr="00495482">
        <w:rPr>
          <w:rFonts w:eastAsia="Tms Rmn"/>
          <w:lang w:val="fr-FR" w:eastAsia="sl-SI"/>
        </w:rPr>
        <w:t>aide</w:t>
      </w:r>
      <w:r w:rsidR="005D0F0F" w:rsidRPr="00495482">
        <w:rPr>
          <w:rFonts w:eastAsia="Tms Rmn"/>
          <w:lang w:val="fr-FR" w:eastAsia="sl-SI"/>
        </w:rPr>
        <w:t>,</w:t>
      </w:r>
      <w:r w:rsidRPr="00495482">
        <w:rPr>
          <w:rFonts w:eastAsia="Tms Rmn"/>
          <w:lang w:val="fr-FR" w:eastAsia="sl-SI"/>
        </w:rPr>
        <w:t xml:space="preserve"> mais qu</w:t>
      </w:r>
      <w:r w:rsidR="005D0F0F" w:rsidRPr="00495482">
        <w:rPr>
          <w:rFonts w:eastAsia="Tms Rmn"/>
          <w:lang w:val="fr-FR" w:eastAsia="sl-SI"/>
        </w:rPr>
        <w:t>’</w:t>
      </w:r>
      <w:r w:rsidRPr="00495482">
        <w:rPr>
          <w:rFonts w:eastAsia="Tms Rmn"/>
          <w:lang w:val="fr-FR" w:eastAsia="sl-SI"/>
        </w:rPr>
        <w:t>il se trouve en situation de risque matériel</w:t>
      </w:r>
      <w:r w:rsidR="005D0F0F" w:rsidRPr="00495482">
        <w:rPr>
          <w:rFonts w:eastAsia="Tms Rmn"/>
          <w:lang w:val="fr-FR" w:eastAsia="sl-SI"/>
        </w:rPr>
        <w:t>,</w:t>
      </w:r>
      <w:r w:rsidRPr="00495482">
        <w:rPr>
          <w:rFonts w:eastAsia="Tms Rmn"/>
          <w:lang w:val="fr-FR" w:eastAsia="sl-SI"/>
        </w:rPr>
        <w:t xml:space="preserve"> pour des raisons qu</w:t>
      </w:r>
      <w:r w:rsidR="005D0F0F" w:rsidRPr="00495482">
        <w:rPr>
          <w:rFonts w:eastAsia="Tms Rmn"/>
          <w:lang w:val="fr-FR" w:eastAsia="sl-SI"/>
        </w:rPr>
        <w:t>’</w:t>
      </w:r>
      <w:r w:rsidRPr="00495482">
        <w:rPr>
          <w:rFonts w:eastAsia="Tms Rmn"/>
          <w:lang w:val="fr-FR" w:eastAsia="sl-SI"/>
        </w:rPr>
        <w:t xml:space="preserve">il ne maîtrise pas. </w:t>
      </w:r>
    </w:p>
    <w:p w:rsidR="00317603" w:rsidRPr="00495482" w:rsidRDefault="00317603" w:rsidP="00495482">
      <w:pPr>
        <w:pStyle w:val="SingleTxtG"/>
        <w:rPr>
          <w:lang w:val="fr-FR"/>
        </w:rPr>
      </w:pPr>
      <w:r w:rsidRPr="00495482">
        <w:rPr>
          <w:lang w:val="fr-FR"/>
        </w:rPr>
        <w:t>107.</w:t>
      </w:r>
      <w:r w:rsidRPr="00495482">
        <w:rPr>
          <w:lang w:val="fr-FR"/>
        </w:rPr>
        <w:tab/>
        <w:t>En mars 2010</w:t>
      </w:r>
      <w:r w:rsidR="005D0F0F" w:rsidRPr="00495482">
        <w:rPr>
          <w:lang w:val="fr-FR"/>
        </w:rPr>
        <w:t>,</w:t>
      </w:r>
      <w:r w:rsidRPr="00495482">
        <w:rPr>
          <w:lang w:val="fr-FR"/>
        </w:rPr>
        <w:t xml:space="preserve"> presque 55 000 bénéficiaires percevaient une aide sociale en espèces d</w:t>
      </w:r>
      <w:r w:rsidR="005D0F0F" w:rsidRPr="00495482">
        <w:rPr>
          <w:lang w:val="fr-FR"/>
        </w:rPr>
        <w:t>’</w:t>
      </w:r>
      <w:r w:rsidRPr="00495482">
        <w:rPr>
          <w:lang w:val="fr-FR"/>
        </w:rPr>
        <w:t>un montant de 230</w:t>
      </w:r>
      <w:r w:rsidR="00210F9A" w:rsidRPr="00495482">
        <w:rPr>
          <w:lang w:val="fr-FR"/>
        </w:rPr>
        <w:t> euros</w:t>
      </w:r>
      <w:r w:rsidR="005D0F0F" w:rsidRPr="00495482">
        <w:rPr>
          <w:lang w:val="fr-FR"/>
        </w:rPr>
        <w:t>,</w:t>
      </w:r>
      <w:r w:rsidRPr="00495482">
        <w:rPr>
          <w:lang w:val="fr-FR"/>
        </w:rPr>
        <w:t xml:space="preserve"> ce qui signifie une hausse du nombre mensuel moyen de bénéficiaires de presque 10 000 (voir tableaux à l</w:t>
      </w:r>
      <w:r w:rsidR="005D0F0F" w:rsidRPr="00495482">
        <w:rPr>
          <w:lang w:val="fr-FR"/>
        </w:rPr>
        <w:t>’</w:t>
      </w:r>
      <w:r w:rsidRPr="00495482">
        <w:rPr>
          <w:lang w:val="fr-FR"/>
        </w:rPr>
        <w:t xml:space="preserve">annexe I). </w:t>
      </w:r>
    </w:p>
    <w:p w:rsidR="00317603" w:rsidRPr="00495482" w:rsidRDefault="00317603" w:rsidP="003F6BB1">
      <w:pPr>
        <w:pStyle w:val="H1G"/>
        <w:rPr>
          <w:lang w:val="fr-FR" w:eastAsia="sl-SI"/>
        </w:rPr>
      </w:pPr>
      <w:r w:rsidRPr="00495482">
        <w:rPr>
          <w:lang w:val="fr-FR" w:eastAsia="sl-SI"/>
        </w:rPr>
        <w:tab/>
      </w:r>
      <w:r w:rsidRPr="00495482">
        <w:rPr>
          <w:lang w:val="fr-FR" w:eastAsia="sl-SI"/>
        </w:rPr>
        <w:tab/>
        <w:t>Article 10</w:t>
      </w:r>
      <w:r w:rsidR="003F6BB1">
        <w:rPr>
          <w:lang w:val="fr-FR" w:eastAsia="sl-SI"/>
        </w:rPr>
        <w:br/>
      </w:r>
      <w:r w:rsidRPr="00495482">
        <w:rPr>
          <w:lang w:val="fr-FR" w:eastAsia="sl-SI"/>
        </w:rPr>
        <w:t>Protection de la famille</w:t>
      </w:r>
      <w:r w:rsidR="005D0F0F" w:rsidRPr="00495482">
        <w:rPr>
          <w:lang w:val="fr-FR" w:eastAsia="sl-SI"/>
        </w:rPr>
        <w:t>,</w:t>
      </w:r>
      <w:r w:rsidRPr="00495482">
        <w:rPr>
          <w:lang w:val="fr-FR" w:eastAsia="sl-SI"/>
        </w:rPr>
        <w:t xml:space="preserve"> des mères et des enfants </w:t>
      </w:r>
    </w:p>
    <w:p w:rsidR="00317603" w:rsidRPr="00495482" w:rsidRDefault="00317603" w:rsidP="003F6BB1">
      <w:pPr>
        <w:pStyle w:val="H23G"/>
        <w:rPr>
          <w:lang w:val="fr-FR" w:eastAsia="sl-SI"/>
        </w:rPr>
      </w:pPr>
      <w:r w:rsidRPr="00495482">
        <w:rPr>
          <w:lang w:val="fr-FR" w:eastAsia="sl-SI"/>
        </w:rPr>
        <w:tab/>
      </w:r>
      <w:r w:rsidRPr="00495482">
        <w:rPr>
          <w:lang w:val="fr-FR" w:eastAsia="sl-SI"/>
        </w:rPr>
        <w:tab/>
        <w:t xml:space="preserve">Mariage </w:t>
      </w:r>
    </w:p>
    <w:p w:rsidR="00317603" w:rsidRPr="00495482" w:rsidRDefault="00317603" w:rsidP="00317603">
      <w:pPr>
        <w:spacing w:after="120"/>
        <w:ind w:left="1134" w:right="1134"/>
        <w:jc w:val="both"/>
        <w:rPr>
          <w:lang w:val="fr-FR"/>
        </w:rPr>
      </w:pPr>
      <w:r w:rsidRPr="00495482">
        <w:rPr>
          <w:lang w:val="fr-FR"/>
        </w:rPr>
        <w:t>108.</w:t>
      </w:r>
      <w:r w:rsidRPr="00495482">
        <w:rPr>
          <w:lang w:val="fr-FR"/>
        </w:rPr>
        <w:tab/>
        <w:t>Depuis 2003</w:t>
      </w:r>
      <w:r w:rsidR="005D0F0F" w:rsidRPr="00495482">
        <w:rPr>
          <w:lang w:val="fr-FR"/>
        </w:rPr>
        <w:t>,</w:t>
      </w:r>
      <w:r w:rsidRPr="00495482">
        <w:rPr>
          <w:lang w:val="fr-FR"/>
        </w:rPr>
        <w:t xml:space="preserve"> la législation régissant le mariage n</w:t>
      </w:r>
      <w:r w:rsidR="005D0F0F" w:rsidRPr="00495482">
        <w:rPr>
          <w:lang w:val="fr-FR"/>
        </w:rPr>
        <w:t>’</w:t>
      </w:r>
      <w:r w:rsidRPr="00495482">
        <w:rPr>
          <w:lang w:val="fr-FR"/>
        </w:rPr>
        <w:t>a pas été modifiée (égalité des conjoints</w:t>
      </w:r>
      <w:r w:rsidR="005D0F0F" w:rsidRPr="00495482">
        <w:rPr>
          <w:lang w:val="fr-FR"/>
        </w:rPr>
        <w:t>,</w:t>
      </w:r>
      <w:r w:rsidRPr="00495482">
        <w:rPr>
          <w:lang w:val="fr-FR"/>
        </w:rPr>
        <w:t xml:space="preserve"> conclusion et dissolution du mariage et relations patrimoniales entre conjoints)</w:t>
      </w:r>
      <w:r w:rsidRPr="00495482">
        <w:rPr>
          <w:rStyle w:val="FootnoteReference"/>
        </w:rPr>
        <w:footnoteReference w:id="56"/>
      </w:r>
      <w:r w:rsidR="003D51E1" w:rsidRPr="00495482">
        <w:t>.</w:t>
      </w:r>
      <w:r w:rsidRPr="00495482">
        <w:rPr>
          <w:lang w:val="fr-FR"/>
        </w:rPr>
        <w:t xml:space="preserve"> </w:t>
      </w:r>
    </w:p>
    <w:p w:rsidR="00317603" w:rsidRPr="00495482" w:rsidRDefault="00317603" w:rsidP="003F6BB1">
      <w:pPr>
        <w:pStyle w:val="H23G"/>
        <w:rPr>
          <w:lang w:val="fr-FR" w:eastAsia="sl-SI"/>
        </w:rPr>
      </w:pPr>
      <w:r w:rsidRPr="00495482">
        <w:rPr>
          <w:lang w:val="fr-FR" w:eastAsia="sl-SI"/>
        </w:rPr>
        <w:tab/>
      </w:r>
      <w:r w:rsidRPr="00495482">
        <w:rPr>
          <w:lang w:val="fr-FR" w:eastAsia="sl-SI"/>
        </w:rPr>
        <w:tab/>
        <w:t>Protection de la famille</w:t>
      </w:r>
    </w:p>
    <w:p w:rsidR="00317603" w:rsidRPr="00495482" w:rsidRDefault="00317603" w:rsidP="003F6BB1">
      <w:pPr>
        <w:pStyle w:val="H23G"/>
        <w:rPr>
          <w:lang w:val="fr-FR" w:eastAsia="sl-SI"/>
        </w:rPr>
      </w:pPr>
      <w:r w:rsidRPr="00495482">
        <w:rPr>
          <w:lang w:val="fr-FR" w:eastAsia="sl-SI"/>
        </w:rPr>
        <w:tab/>
        <w:t>1.</w:t>
      </w:r>
      <w:r w:rsidRPr="00495482">
        <w:rPr>
          <w:lang w:val="fr-FR" w:eastAsia="sl-SI"/>
        </w:rPr>
        <w:tab/>
        <w:t>Éducation préscolaire</w:t>
      </w:r>
    </w:p>
    <w:p w:rsidR="00317603" w:rsidRPr="00495482" w:rsidRDefault="00317603" w:rsidP="00F627CF">
      <w:pPr>
        <w:pStyle w:val="SingleTxtG"/>
        <w:rPr>
          <w:lang w:val="fr-FR"/>
        </w:rPr>
      </w:pPr>
      <w:r w:rsidRPr="00495482">
        <w:rPr>
          <w:lang w:val="fr-FR"/>
        </w:rPr>
        <w:t>109.</w:t>
      </w:r>
      <w:r w:rsidRPr="00495482">
        <w:rPr>
          <w:lang w:val="fr-FR"/>
        </w:rPr>
        <w:tab/>
        <w:t>Le système de l</w:t>
      </w:r>
      <w:r w:rsidR="005D0F0F" w:rsidRPr="00495482">
        <w:rPr>
          <w:lang w:val="fr-FR"/>
        </w:rPr>
        <w:t>’</w:t>
      </w:r>
      <w:r w:rsidRPr="00495482">
        <w:rPr>
          <w:lang w:val="fr-FR"/>
        </w:rPr>
        <w:t>éducation préscolaire a déjà été exposé dans le rapport initial (</w:t>
      </w:r>
      <w:r w:rsidR="00210F9A" w:rsidRPr="00495482">
        <w:rPr>
          <w:lang w:val="fr-FR"/>
        </w:rPr>
        <w:t>par. </w:t>
      </w:r>
      <w:r w:rsidRPr="00495482">
        <w:rPr>
          <w:lang w:val="fr-FR"/>
        </w:rPr>
        <w:t>766 à 776).</w:t>
      </w:r>
    </w:p>
    <w:p w:rsidR="00317603" w:rsidRPr="00495482" w:rsidRDefault="00317603" w:rsidP="00F627CF">
      <w:pPr>
        <w:pStyle w:val="SingleTxtG"/>
        <w:rPr>
          <w:lang w:val="fr-FR"/>
        </w:rPr>
      </w:pPr>
      <w:r w:rsidRPr="00495482">
        <w:rPr>
          <w:lang w:val="fr-FR"/>
        </w:rPr>
        <w:t>110.</w:t>
      </w:r>
      <w:r w:rsidRPr="00495482">
        <w:rPr>
          <w:lang w:val="fr-FR"/>
        </w:rPr>
        <w:tab/>
        <w:t>Depuis le 1</w:t>
      </w:r>
      <w:r w:rsidRPr="00495482">
        <w:rPr>
          <w:vertAlign w:val="superscript"/>
          <w:lang w:val="fr-FR"/>
        </w:rPr>
        <w:t xml:space="preserve">er </w:t>
      </w:r>
      <w:r w:rsidRPr="00495482">
        <w:rPr>
          <w:lang w:val="fr-FR"/>
        </w:rPr>
        <w:t>septembre 2008</w:t>
      </w:r>
      <w:r w:rsidR="005D0F0F" w:rsidRPr="00495482">
        <w:rPr>
          <w:lang w:val="fr-FR"/>
        </w:rPr>
        <w:t>,</w:t>
      </w:r>
      <w:r w:rsidRPr="00495482">
        <w:rPr>
          <w:lang w:val="fr-FR"/>
        </w:rPr>
        <w:t xml:space="preserve"> l</w:t>
      </w:r>
      <w:r w:rsidR="005D0F0F" w:rsidRPr="00495482">
        <w:rPr>
          <w:lang w:val="fr-FR"/>
        </w:rPr>
        <w:t>’</w:t>
      </w:r>
      <w:r w:rsidRPr="00495482">
        <w:rPr>
          <w:lang w:val="fr-FR"/>
        </w:rPr>
        <w:t>État assure le cofinancement de la participation financière parentale lorsque des parents inscrivent deux enfants ou plus en maternelle. L</w:t>
      </w:r>
      <w:r w:rsidR="005D0F0F" w:rsidRPr="00495482">
        <w:rPr>
          <w:lang w:val="fr-FR"/>
        </w:rPr>
        <w:t>’</w:t>
      </w:r>
      <w:r w:rsidRPr="00495482">
        <w:rPr>
          <w:lang w:val="fr-FR"/>
        </w:rPr>
        <w:t>État finance</w:t>
      </w:r>
      <w:r w:rsidR="005D0F0F" w:rsidRPr="00495482">
        <w:rPr>
          <w:lang w:val="fr-FR"/>
        </w:rPr>
        <w:t>,</w:t>
      </w:r>
      <w:r w:rsidRPr="00495482">
        <w:rPr>
          <w:lang w:val="fr-FR"/>
        </w:rPr>
        <w:t xml:space="preserve"> à hauteur d</w:t>
      </w:r>
      <w:r w:rsidR="005D0F0F" w:rsidRPr="00495482">
        <w:rPr>
          <w:lang w:val="fr-FR"/>
        </w:rPr>
        <w:t>’</w:t>
      </w:r>
      <w:r w:rsidRPr="00495482">
        <w:rPr>
          <w:lang w:val="fr-FR"/>
        </w:rPr>
        <w:t>un montant fixé par décision</w:t>
      </w:r>
      <w:r w:rsidR="005D0F0F" w:rsidRPr="00495482">
        <w:rPr>
          <w:lang w:val="fr-FR"/>
        </w:rPr>
        <w:t>,</w:t>
      </w:r>
      <w:r w:rsidRPr="00495482">
        <w:rPr>
          <w:lang w:val="fr-FR"/>
        </w:rPr>
        <w:t xml:space="preserve"> la participation financière parentale correspondant au coût du programme auquel le ou les enfants plus jeunes participent. Dans ce cas</w:t>
      </w:r>
      <w:r w:rsidR="005D0F0F" w:rsidRPr="00495482">
        <w:rPr>
          <w:lang w:val="fr-FR"/>
        </w:rPr>
        <w:t>,</w:t>
      </w:r>
      <w:r w:rsidRPr="00495482">
        <w:rPr>
          <w:lang w:val="fr-FR"/>
        </w:rPr>
        <w:t xml:space="preserve"> la famille ne paie que pour l</w:t>
      </w:r>
      <w:r w:rsidR="005D0F0F" w:rsidRPr="00495482">
        <w:rPr>
          <w:lang w:val="fr-FR"/>
        </w:rPr>
        <w:t>’</w:t>
      </w:r>
      <w:r w:rsidRPr="00495482">
        <w:rPr>
          <w:lang w:val="fr-FR"/>
        </w:rPr>
        <w:t>aîné et la participation parentale est réduite d</w:t>
      </w:r>
      <w:r w:rsidR="005D0F0F" w:rsidRPr="00495482">
        <w:rPr>
          <w:lang w:val="fr-FR"/>
        </w:rPr>
        <w:t>’</w:t>
      </w:r>
      <w:r w:rsidRPr="00495482">
        <w:rPr>
          <w:lang w:val="fr-FR"/>
        </w:rPr>
        <w:t>une tranche de cotisation</w:t>
      </w:r>
      <w:r w:rsidR="005D0F0F" w:rsidRPr="00495482">
        <w:rPr>
          <w:lang w:val="fr-FR"/>
        </w:rPr>
        <w:t>;</w:t>
      </w:r>
      <w:r w:rsidRPr="00495482">
        <w:rPr>
          <w:lang w:val="fr-FR"/>
        </w:rPr>
        <w:t xml:space="preserve"> tous les autres enfants sont exemptés de droits d</w:t>
      </w:r>
      <w:r w:rsidR="005D0F0F" w:rsidRPr="00495482">
        <w:rPr>
          <w:lang w:val="fr-FR"/>
        </w:rPr>
        <w:t>’</w:t>
      </w:r>
      <w:r w:rsidRPr="00495482">
        <w:rPr>
          <w:lang w:val="fr-FR"/>
        </w:rPr>
        <w:t>inscription. Le 1</w:t>
      </w:r>
      <w:r w:rsidRPr="00495482">
        <w:rPr>
          <w:vertAlign w:val="superscript"/>
          <w:lang w:val="fr-FR"/>
        </w:rPr>
        <w:t>er</w:t>
      </w:r>
      <w:r w:rsidRPr="00495482">
        <w:rPr>
          <w:lang w:val="fr-FR"/>
        </w:rPr>
        <w:t xml:space="preserve"> janvier 2013</w:t>
      </w:r>
      <w:r w:rsidR="005D0F0F" w:rsidRPr="00495482">
        <w:rPr>
          <w:lang w:val="fr-FR"/>
        </w:rPr>
        <w:t>,</w:t>
      </w:r>
      <w:r w:rsidRPr="00495482">
        <w:rPr>
          <w:lang w:val="fr-FR"/>
        </w:rPr>
        <w:t xml:space="preserve"> l</w:t>
      </w:r>
      <w:r w:rsidR="005D0F0F" w:rsidRPr="00495482">
        <w:rPr>
          <w:lang w:val="fr-FR"/>
        </w:rPr>
        <w:t>’</w:t>
      </w:r>
      <w:r w:rsidRPr="00495482">
        <w:rPr>
          <w:lang w:val="fr-FR"/>
        </w:rPr>
        <w:t>État prévoit de cofinancer la participation financière parentale à hauteur de 50% pour tous les enfants âgés de 4 et 5</w:t>
      </w:r>
      <w:r w:rsidR="002328BD" w:rsidRPr="00495482">
        <w:rPr>
          <w:lang w:val="fr-FR"/>
        </w:rPr>
        <w:t> ans</w:t>
      </w:r>
      <w:r w:rsidRPr="00495482">
        <w:rPr>
          <w:lang w:val="fr-FR"/>
        </w:rPr>
        <w:t xml:space="preserve">. </w:t>
      </w:r>
      <w:r w:rsidR="003D51E1" w:rsidRPr="00495482">
        <w:rPr>
          <w:lang w:val="fr-FR"/>
        </w:rPr>
        <w:t xml:space="preserve">À </w:t>
      </w:r>
      <w:r w:rsidRPr="00495482">
        <w:rPr>
          <w:lang w:val="fr-FR"/>
        </w:rPr>
        <w:t>partir du 1</w:t>
      </w:r>
      <w:r w:rsidRPr="00495482">
        <w:rPr>
          <w:vertAlign w:val="superscript"/>
          <w:lang w:val="fr-FR"/>
        </w:rPr>
        <w:t>er</w:t>
      </w:r>
      <w:r w:rsidRPr="00495482">
        <w:rPr>
          <w:lang w:val="fr-FR"/>
        </w:rPr>
        <w:t xml:space="preserve"> janvier 2014</w:t>
      </w:r>
      <w:r w:rsidR="005D0F0F" w:rsidRPr="00495482">
        <w:rPr>
          <w:lang w:val="fr-FR"/>
        </w:rPr>
        <w:t>,</w:t>
      </w:r>
      <w:r w:rsidRPr="00495482">
        <w:rPr>
          <w:lang w:val="fr-FR"/>
        </w:rPr>
        <w:t xml:space="preserve"> ce cofinancement sera accordé pour tous les enfants âgés de 3</w:t>
      </w:r>
      <w:r w:rsidR="002328BD" w:rsidRPr="00495482">
        <w:rPr>
          <w:lang w:val="fr-FR"/>
        </w:rPr>
        <w:t> ans</w:t>
      </w:r>
      <w:r w:rsidRPr="00495482">
        <w:rPr>
          <w:lang w:val="fr-FR"/>
        </w:rPr>
        <w:t>.</w:t>
      </w:r>
    </w:p>
    <w:p w:rsidR="00317603" w:rsidRPr="00495482" w:rsidRDefault="00317603" w:rsidP="00F627CF">
      <w:pPr>
        <w:pStyle w:val="SingleTxtG"/>
        <w:rPr>
          <w:lang w:val="fr-FR"/>
        </w:rPr>
      </w:pPr>
      <w:r w:rsidRPr="00495482">
        <w:rPr>
          <w:lang w:val="fr-FR"/>
        </w:rPr>
        <w:t>111.</w:t>
      </w:r>
      <w:r w:rsidRPr="00495482">
        <w:rPr>
          <w:lang w:val="fr-FR"/>
        </w:rPr>
        <w:tab/>
        <w:t>Les inscriptions des enfants en maternelle progressent</w:t>
      </w:r>
      <w:r w:rsidR="005D0F0F" w:rsidRPr="00495482">
        <w:rPr>
          <w:lang w:val="fr-FR"/>
        </w:rPr>
        <w:t>,</w:t>
      </w:r>
      <w:r w:rsidRPr="00495482">
        <w:rPr>
          <w:lang w:val="fr-FR"/>
        </w:rPr>
        <w:t xml:space="preserve"> mais on peut s</w:t>
      </w:r>
      <w:r w:rsidR="005D0F0F" w:rsidRPr="00495482">
        <w:rPr>
          <w:lang w:val="fr-FR"/>
        </w:rPr>
        <w:t>’</w:t>
      </w:r>
      <w:r w:rsidRPr="00495482">
        <w:rPr>
          <w:lang w:val="fr-FR"/>
        </w:rPr>
        <w:t>attendre à l</w:t>
      </w:r>
      <w:r w:rsidR="005D0F0F" w:rsidRPr="00495482">
        <w:rPr>
          <w:lang w:val="fr-FR"/>
        </w:rPr>
        <w:t>’</w:t>
      </w:r>
      <w:r w:rsidRPr="00495482">
        <w:rPr>
          <w:lang w:val="fr-FR"/>
        </w:rPr>
        <w:t>avenir à un besoin accru en matière de capacités d</w:t>
      </w:r>
      <w:r w:rsidR="005D0F0F" w:rsidRPr="00495482">
        <w:rPr>
          <w:lang w:val="fr-FR"/>
        </w:rPr>
        <w:t>’</w:t>
      </w:r>
      <w:r w:rsidRPr="00495482">
        <w:rPr>
          <w:lang w:val="fr-FR"/>
        </w:rPr>
        <w:t>accueil de ce type de structures. Pour l</w:t>
      </w:r>
      <w:r w:rsidR="005D0F0F" w:rsidRPr="00495482">
        <w:rPr>
          <w:lang w:val="fr-FR"/>
        </w:rPr>
        <w:t>’</w:t>
      </w:r>
      <w:r w:rsidR="00EB3C6C">
        <w:rPr>
          <w:lang w:val="fr-FR"/>
        </w:rPr>
        <w:t>année scolaire 2008/</w:t>
      </w:r>
      <w:r w:rsidRPr="00495482">
        <w:rPr>
          <w:lang w:val="fr-FR"/>
        </w:rPr>
        <w:t>09</w:t>
      </w:r>
      <w:r w:rsidR="005D0F0F" w:rsidRPr="00495482">
        <w:rPr>
          <w:lang w:val="fr-FR"/>
        </w:rPr>
        <w:t>,</w:t>
      </w:r>
      <w:r w:rsidRPr="00495482">
        <w:rPr>
          <w:lang w:val="fr-FR"/>
        </w:rPr>
        <w:t xml:space="preserve"> la Slovénie disposait de 845 maternelles</w:t>
      </w:r>
      <w:r w:rsidR="005D0F0F" w:rsidRPr="00495482">
        <w:rPr>
          <w:lang w:val="fr-FR"/>
        </w:rPr>
        <w:t>,</w:t>
      </w:r>
      <w:r w:rsidRPr="00495482">
        <w:rPr>
          <w:lang w:val="fr-FR"/>
        </w:rPr>
        <w:t xml:space="preserve"> dont 24 privées. Le nombre d</w:t>
      </w:r>
      <w:r w:rsidR="005D0F0F" w:rsidRPr="00495482">
        <w:rPr>
          <w:lang w:val="fr-FR"/>
        </w:rPr>
        <w:t>’</w:t>
      </w:r>
      <w:r w:rsidRPr="00495482">
        <w:rPr>
          <w:lang w:val="fr-FR"/>
        </w:rPr>
        <w:t>enfants inscrits était de 7</w:t>
      </w:r>
      <w:r w:rsidR="005D0F0F" w:rsidRPr="00495482">
        <w:rPr>
          <w:lang w:val="fr-FR"/>
        </w:rPr>
        <w:t>,</w:t>
      </w:r>
      <w:r w:rsidRPr="00495482">
        <w:rPr>
          <w:lang w:val="fr-FR"/>
        </w:rPr>
        <w:t>5% supérieur à celui de l</w:t>
      </w:r>
      <w:r w:rsidR="005D0F0F" w:rsidRPr="00495482">
        <w:rPr>
          <w:lang w:val="fr-FR"/>
        </w:rPr>
        <w:t>’</w:t>
      </w:r>
      <w:r w:rsidRPr="00495482">
        <w:rPr>
          <w:lang w:val="fr-FR"/>
        </w:rPr>
        <w:t>année précédente. Selon les données du Bureau de statistique de la République de Slovénie</w:t>
      </w:r>
      <w:r w:rsidR="005D0F0F" w:rsidRPr="00495482">
        <w:rPr>
          <w:lang w:val="fr-FR"/>
        </w:rPr>
        <w:t>,</w:t>
      </w:r>
      <w:r w:rsidRPr="00495482">
        <w:rPr>
          <w:lang w:val="fr-FR"/>
        </w:rPr>
        <w:t xml:space="preserve"> près de 74% des enfants de la tranche d</w:t>
      </w:r>
      <w:r w:rsidR="005D0F0F" w:rsidRPr="00495482">
        <w:rPr>
          <w:lang w:val="fr-FR"/>
        </w:rPr>
        <w:t>’</w:t>
      </w:r>
      <w:r w:rsidRPr="00495482">
        <w:rPr>
          <w:lang w:val="fr-FR"/>
        </w:rPr>
        <w:t>âge appropriée étaient inscrits en maternelle pendant l</w:t>
      </w:r>
      <w:r w:rsidR="005D0F0F" w:rsidRPr="00495482">
        <w:rPr>
          <w:lang w:val="fr-FR"/>
        </w:rPr>
        <w:t>’</w:t>
      </w:r>
      <w:r w:rsidR="00EB3C6C">
        <w:rPr>
          <w:lang w:val="fr-FR"/>
        </w:rPr>
        <w:t>année scolaire 2009/</w:t>
      </w:r>
      <w:r w:rsidRPr="00495482">
        <w:rPr>
          <w:lang w:val="fr-FR"/>
        </w:rPr>
        <w:t xml:space="preserve">10. </w:t>
      </w:r>
    </w:p>
    <w:p w:rsidR="00317603" w:rsidRPr="00495482" w:rsidRDefault="00317603" w:rsidP="00F627CF">
      <w:pPr>
        <w:pStyle w:val="SingleTxtG"/>
        <w:rPr>
          <w:lang w:val="fr-FR"/>
        </w:rPr>
      </w:pPr>
      <w:r w:rsidRPr="00495482">
        <w:rPr>
          <w:lang w:val="fr-FR"/>
        </w:rPr>
        <w:t>112.</w:t>
      </w:r>
      <w:r w:rsidRPr="00495482">
        <w:rPr>
          <w:lang w:val="fr-FR"/>
        </w:rPr>
        <w:tab/>
        <w:t>Parmi les enfants inscrits en maternelle</w:t>
      </w:r>
      <w:r w:rsidR="005D0F0F" w:rsidRPr="00495482">
        <w:rPr>
          <w:lang w:val="fr-FR"/>
        </w:rPr>
        <w:t>,</w:t>
      </w:r>
      <w:r w:rsidRPr="00495482">
        <w:rPr>
          <w:lang w:val="fr-FR"/>
        </w:rPr>
        <w:t xml:space="preserve"> 850 ont des besoins spéciaux; les trois quarts d</w:t>
      </w:r>
      <w:r w:rsidR="005D0F0F" w:rsidRPr="00495482">
        <w:rPr>
          <w:lang w:val="fr-FR"/>
        </w:rPr>
        <w:t>’</w:t>
      </w:r>
      <w:r w:rsidRPr="00495482">
        <w:rPr>
          <w:lang w:val="fr-FR"/>
        </w:rPr>
        <w:t>entre eux fréquentent des classes ordinaires qui disposent à leur intention d</w:t>
      </w:r>
      <w:r w:rsidR="005D0F0F" w:rsidRPr="00495482">
        <w:rPr>
          <w:lang w:val="fr-FR"/>
        </w:rPr>
        <w:t>’</w:t>
      </w:r>
      <w:r w:rsidRPr="00495482">
        <w:rPr>
          <w:lang w:val="fr-FR"/>
        </w:rPr>
        <w:t>un personnel qualifié complémentaire</w:t>
      </w:r>
      <w:r w:rsidR="005D0F0F" w:rsidRPr="00495482">
        <w:rPr>
          <w:lang w:val="fr-FR"/>
        </w:rPr>
        <w:t>;</w:t>
      </w:r>
      <w:r w:rsidRPr="00495482">
        <w:rPr>
          <w:lang w:val="fr-FR"/>
        </w:rPr>
        <w:t xml:space="preserve"> le quart sont inscrits dans des sections dispensant des programmes adaptés (sections de développement). </w:t>
      </w:r>
    </w:p>
    <w:p w:rsidR="00317603" w:rsidRPr="00495482" w:rsidRDefault="00317603" w:rsidP="00F627CF">
      <w:pPr>
        <w:pStyle w:val="H23G"/>
        <w:rPr>
          <w:lang w:val="fr-FR" w:eastAsia="sl-SI"/>
        </w:rPr>
      </w:pPr>
      <w:r w:rsidRPr="00495482">
        <w:rPr>
          <w:lang w:val="fr-FR" w:eastAsia="sl-SI"/>
        </w:rPr>
        <w:tab/>
        <w:t>2.</w:t>
      </w:r>
      <w:r w:rsidRPr="00495482">
        <w:rPr>
          <w:lang w:val="fr-FR" w:eastAsia="sl-SI"/>
        </w:rPr>
        <w:tab/>
        <w:t>Services et programmes sociaux</w:t>
      </w:r>
      <w:r w:rsidR="003D1A4F" w:rsidRPr="00495482">
        <w:rPr>
          <w:lang w:val="fr-FR" w:eastAsia="sl-SI"/>
        </w:rPr>
        <w:t xml:space="preserve"> </w:t>
      </w:r>
    </w:p>
    <w:p w:rsidR="00317603" w:rsidRPr="00495482" w:rsidRDefault="00317603" w:rsidP="00F627CF">
      <w:pPr>
        <w:pStyle w:val="H23G"/>
        <w:rPr>
          <w:lang w:val="fr-FR" w:eastAsia="sl-SI"/>
        </w:rPr>
      </w:pPr>
      <w:r w:rsidRPr="00495482">
        <w:rPr>
          <w:lang w:val="fr-FR" w:eastAsia="sl-SI"/>
        </w:rPr>
        <w:tab/>
      </w:r>
      <w:r w:rsidRPr="00495482">
        <w:rPr>
          <w:lang w:val="fr-FR" w:eastAsia="sl-SI"/>
        </w:rPr>
        <w:tab/>
        <w:t>Famille d</w:t>
      </w:r>
      <w:r w:rsidR="005D0F0F" w:rsidRPr="00495482">
        <w:rPr>
          <w:lang w:val="fr-FR" w:eastAsia="sl-SI"/>
        </w:rPr>
        <w:t>’</w:t>
      </w:r>
      <w:r w:rsidRPr="00495482">
        <w:rPr>
          <w:lang w:val="fr-FR" w:eastAsia="sl-SI"/>
        </w:rPr>
        <w:t>accueil</w:t>
      </w:r>
    </w:p>
    <w:p w:rsidR="00317603" w:rsidRPr="00495482" w:rsidRDefault="00317603" w:rsidP="00F627CF">
      <w:pPr>
        <w:pStyle w:val="SingleTxtG"/>
        <w:rPr>
          <w:lang w:val="fr-FR"/>
        </w:rPr>
      </w:pPr>
      <w:r w:rsidRPr="00495482">
        <w:rPr>
          <w:lang w:val="fr-FR"/>
        </w:rPr>
        <w:t>113.</w:t>
      </w:r>
      <w:r w:rsidRPr="00495482">
        <w:rPr>
          <w:lang w:val="fr-FR"/>
        </w:rPr>
        <w:tab/>
        <w:t>Début 2003</w:t>
      </w:r>
      <w:r w:rsidR="005D0F0F" w:rsidRPr="00495482">
        <w:rPr>
          <w:lang w:val="fr-FR"/>
        </w:rPr>
        <w:t>,</w:t>
      </w:r>
      <w:r w:rsidRPr="00495482">
        <w:rPr>
          <w:lang w:val="fr-FR"/>
        </w:rPr>
        <w:t xml:space="preserve"> une nouvelle loi relative au placement en famille d</w:t>
      </w:r>
      <w:r w:rsidR="005D0F0F" w:rsidRPr="00495482">
        <w:rPr>
          <w:lang w:val="fr-FR"/>
        </w:rPr>
        <w:t>’</w:t>
      </w:r>
      <w:r w:rsidRPr="00495482">
        <w:rPr>
          <w:lang w:val="fr-FR"/>
        </w:rPr>
        <w:t>accueil est entrée en vigueur</w:t>
      </w:r>
      <w:r w:rsidRPr="00495482">
        <w:rPr>
          <w:rStyle w:val="FootnoteReference"/>
        </w:rPr>
        <w:footnoteReference w:id="57"/>
      </w:r>
      <w:r w:rsidR="003D51E1" w:rsidRPr="00495482">
        <w:rPr>
          <w:lang w:val="fr-FR"/>
        </w:rPr>
        <w:t>;</w:t>
      </w:r>
      <w:r w:rsidRPr="00495482">
        <w:rPr>
          <w:lang w:val="fr-FR"/>
        </w:rPr>
        <w:t xml:space="preserve"> elle régit de manière systématique la mise en œuvre de cette procédure et définit les rôles et tâches de toutes </w:t>
      </w:r>
      <w:r w:rsidR="0014499F" w:rsidRPr="00495482">
        <w:rPr>
          <w:lang w:val="fr-FR"/>
        </w:rPr>
        <w:t>les personnes</w:t>
      </w:r>
      <w:r w:rsidRPr="00495482">
        <w:rPr>
          <w:lang w:val="fr-FR"/>
        </w:rPr>
        <w:t xml:space="preserve"> intervenant dans les activités de placement familial. La loi ne concerne pas les établissements de placement familial en tant que forme de prise en charge des mineurs dans le cadre du droit de la famille</w:t>
      </w:r>
      <w:r w:rsidR="005D0F0F" w:rsidRPr="00495482">
        <w:rPr>
          <w:lang w:val="fr-FR"/>
        </w:rPr>
        <w:t>,</w:t>
      </w:r>
      <w:r w:rsidRPr="00495482">
        <w:rPr>
          <w:lang w:val="fr-FR"/>
        </w:rPr>
        <w:t xml:space="preserve"> cette question étant régie par la loi sur le mariage et les relations familiales</w:t>
      </w:r>
      <w:r w:rsidR="005D0F0F" w:rsidRPr="00495482">
        <w:rPr>
          <w:lang w:val="fr-FR"/>
        </w:rPr>
        <w:t>,</w:t>
      </w:r>
      <w:r w:rsidRPr="00495482">
        <w:rPr>
          <w:lang w:val="fr-FR"/>
        </w:rPr>
        <w:t xml:space="preserve"> mais elle énonce les conditions qu</w:t>
      </w:r>
      <w:r w:rsidR="005D0F0F" w:rsidRPr="00495482">
        <w:rPr>
          <w:lang w:val="fr-FR"/>
        </w:rPr>
        <w:t>’</w:t>
      </w:r>
      <w:r w:rsidRPr="00495482">
        <w:rPr>
          <w:lang w:val="fr-FR"/>
        </w:rPr>
        <w:t>une personne doit remplir pour pouvoir offrir des services de placement familial</w:t>
      </w:r>
      <w:r w:rsidR="005D0F0F" w:rsidRPr="00495482">
        <w:rPr>
          <w:lang w:val="fr-FR"/>
        </w:rPr>
        <w:t>,</w:t>
      </w:r>
      <w:r w:rsidRPr="00495482">
        <w:rPr>
          <w:lang w:val="fr-FR"/>
        </w:rPr>
        <w:t xml:space="preserve"> la procédure à suivre pour obtenir un agrément</w:t>
      </w:r>
      <w:r w:rsidR="005D0F0F" w:rsidRPr="00495482">
        <w:rPr>
          <w:lang w:val="fr-FR"/>
        </w:rPr>
        <w:t>,</w:t>
      </w:r>
      <w:r w:rsidRPr="00495482">
        <w:rPr>
          <w:lang w:val="fr-FR"/>
        </w:rPr>
        <w:t xml:space="preserve"> la méthode de mise en œuvre de ces activités et leur financement; elle réglemente en outre d</w:t>
      </w:r>
      <w:r w:rsidR="005D0F0F" w:rsidRPr="00495482">
        <w:rPr>
          <w:lang w:val="fr-FR"/>
        </w:rPr>
        <w:t>’</w:t>
      </w:r>
      <w:r w:rsidRPr="00495482">
        <w:rPr>
          <w:lang w:val="fr-FR"/>
        </w:rPr>
        <w:t>autres questions connexes.</w:t>
      </w:r>
    </w:p>
    <w:p w:rsidR="00317603" w:rsidRPr="00495482" w:rsidRDefault="00317603" w:rsidP="00162F24">
      <w:pPr>
        <w:pStyle w:val="H23G"/>
        <w:rPr>
          <w:lang w:val="fr-FR" w:eastAsia="sl-SI"/>
        </w:rPr>
      </w:pPr>
      <w:r w:rsidRPr="00495482">
        <w:rPr>
          <w:lang w:val="fr-FR" w:eastAsia="sl-SI"/>
        </w:rPr>
        <w:tab/>
      </w:r>
      <w:r w:rsidRPr="00495482">
        <w:rPr>
          <w:lang w:val="fr-FR" w:eastAsia="sl-SI"/>
        </w:rPr>
        <w:tab/>
        <w:t>Réseau de services sociaux pour</w:t>
      </w:r>
      <w:r w:rsidR="004A1BA9">
        <w:rPr>
          <w:lang w:val="fr-FR" w:eastAsia="sl-SI"/>
        </w:rPr>
        <w:t xml:space="preserve"> </w:t>
      </w:r>
      <w:r w:rsidR="002328BD" w:rsidRPr="00495482">
        <w:rPr>
          <w:lang w:val="fr-FR" w:eastAsia="sl-SI"/>
        </w:rPr>
        <w:t>personnes</w:t>
      </w:r>
      <w:r w:rsidRPr="00495482">
        <w:rPr>
          <w:lang w:val="fr-FR" w:eastAsia="sl-SI"/>
        </w:rPr>
        <w:t xml:space="preserve"> âgées</w:t>
      </w:r>
    </w:p>
    <w:p w:rsidR="00317603" w:rsidRPr="00495482" w:rsidRDefault="00317603" w:rsidP="00162F24">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 xml:space="preserve">35 des observations finales </w:t>
      </w:r>
    </w:p>
    <w:p w:rsidR="00317603" w:rsidRPr="00495482" w:rsidRDefault="00317603" w:rsidP="003C4F70">
      <w:pPr>
        <w:pStyle w:val="SingleTxtG"/>
        <w:rPr>
          <w:lang w:val="fr-FR"/>
        </w:rPr>
      </w:pPr>
      <w:r w:rsidRPr="00495482">
        <w:rPr>
          <w:lang w:val="fr-FR"/>
        </w:rPr>
        <w:t>114.</w:t>
      </w:r>
      <w:r w:rsidRPr="00495482">
        <w:rPr>
          <w:lang w:val="fr-FR"/>
        </w:rPr>
        <w:tab/>
        <w:t>Le 21 septembre 2006</w:t>
      </w:r>
      <w:r w:rsidR="005D0F0F" w:rsidRPr="00495482">
        <w:rPr>
          <w:lang w:val="fr-FR"/>
        </w:rPr>
        <w:t>,</w:t>
      </w:r>
      <w:r w:rsidRPr="00495482">
        <w:rPr>
          <w:lang w:val="fr-FR"/>
        </w:rPr>
        <w:t xml:space="preserve"> le Gouvernement de la République de Slovénie a adopté une stratégie en matière de soins </w:t>
      </w:r>
      <w:r w:rsidR="0038572C">
        <w:rPr>
          <w:lang w:val="fr-FR"/>
        </w:rPr>
        <w:t>aux personnes</w:t>
      </w:r>
      <w:r w:rsidRPr="00495482">
        <w:rPr>
          <w:lang w:val="fr-FR"/>
        </w:rPr>
        <w:t xml:space="preserve"> âgées (ci-après </w:t>
      </w:r>
      <w:r w:rsidR="005D0F0F" w:rsidRPr="00495482">
        <w:rPr>
          <w:lang w:val="fr-FR"/>
        </w:rPr>
        <w:t>«</w:t>
      </w:r>
      <w:r w:rsidRPr="00495482">
        <w:rPr>
          <w:lang w:val="fr-FR"/>
        </w:rPr>
        <w:t>la stratégie</w:t>
      </w:r>
      <w:r w:rsidR="005D0F0F" w:rsidRPr="00495482">
        <w:rPr>
          <w:lang w:val="fr-FR"/>
        </w:rPr>
        <w:t>»</w:t>
      </w:r>
      <w:r w:rsidRPr="00495482">
        <w:rPr>
          <w:lang w:val="fr-FR"/>
        </w:rPr>
        <w:t>)</w:t>
      </w:r>
      <w:r w:rsidR="003D1A4F" w:rsidRPr="00495482">
        <w:rPr>
          <w:lang w:val="fr-FR"/>
        </w:rPr>
        <w:t xml:space="preserve"> </w:t>
      </w:r>
      <w:r w:rsidRPr="00495482">
        <w:rPr>
          <w:lang w:val="fr-FR"/>
        </w:rPr>
        <w:t>mise en œuvre jusqu</w:t>
      </w:r>
      <w:r w:rsidR="005D0F0F" w:rsidRPr="00495482">
        <w:rPr>
          <w:lang w:val="fr-FR"/>
        </w:rPr>
        <w:t>’</w:t>
      </w:r>
      <w:r w:rsidRPr="00495482">
        <w:rPr>
          <w:lang w:val="fr-FR"/>
        </w:rPr>
        <w:t>en 2010</w:t>
      </w:r>
      <w:r w:rsidR="005D0F0F" w:rsidRPr="00495482">
        <w:rPr>
          <w:lang w:val="fr-FR"/>
        </w:rPr>
        <w:t>,</w:t>
      </w:r>
      <w:r w:rsidRPr="00495482">
        <w:rPr>
          <w:lang w:val="fr-FR"/>
        </w:rPr>
        <w:t xml:space="preserve"> en faveur de la solidarité</w:t>
      </w:r>
      <w:r w:rsidR="005D0F0F" w:rsidRPr="00495482">
        <w:rPr>
          <w:lang w:val="fr-FR"/>
        </w:rPr>
        <w:t>,</w:t>
      </w:r>
      <w:r w:rsidRPr="00495482">
        <w:rPr>
          <w:lang w:val="fr-FR"/>
        </w:rPr>
        <w:t xml:space="preserve"> de la coexistence et de la qualité de vie de la population vieillissante. Pour atteindre les objectifs fixés et surveiller les activités correspondantes des ministères</w:t>
      </w:r>
      <w:r w:rsidR="005D0F0F" w:rsidRPr="00495482">
        <w:rPr>
          <w:lang w:val="fr-FR"/>
        </w:rPr>
        <w:t>,</w:t>
      </w:r>
      <w:r w:rsidRPr="00495482">
        <w:rPr>
          <w:lang w:val="fr-FR"/>
        </w:rPr>
        <w:t xml:space="preserve"> le Gouvernement slovène a créé un Conseil en faveur de la coexistence solidaire des générations et de la qualité de vie de la population vieillissante en Slovénie. L</w:t>
      </w:r>
      <w:r w:rsidR="005D0F0F" w:rsidRPr="00495482">
        <w:rPr>
          <w:lang w:val="fr-FR"/>
        </w:rPr>
        <w:t>’</w:t>
      </w:r>
      <w:r w:rsidRPr="00495482">
        <w:rPr>
          <w:lang w:val="fr-FR"/>
        </w:rPr>
        <w:t>adoption de cette stratégie</w:t>
      </w:r>
      <w:r w:rsidRPr="00495482">
        <w:rPr>
          <w:rStyle w:val="FootnoteReference"/>
        </w:rPr>
        <w:footnoteReference w:id="58"/>
      </w:r>
      <w:r w:rsidRPr="00495482">
        <w:rPr>
          <w:lang w:val="fr-FR"/>
        </w:rPr>
        <w:t xml:space="preserve"> visait à harmoniser le travail des ministères responsables avec l</w:t>
      </w:r>
      <w:r w:rsidR="005D0F0F" w:rsidRPr="00495482">
        <w:rPr>
          <w:lang w:val="fr-FR"/>
        </w:rPr>
        <w:t>’</w:t>
      </w:r>
      <w:r w:rsidRPr="00495482">
        <w:rPr>
          <w:lang w:val="fr-FR"/>
        </w:rPr>
        <w:t>économie et la société civile</w:t>
      </w:r>
      <w:r w:rsidR="005D0F0F" w:rsidRPr="00495482">
        <w:rPr>
          <w:lang w:val="fr-FR"/>
        </w:rPr>
        <w:t>,</w:t>
      </w:r>
      <w:r w:rsidRPr="00495482">
        <w:rPr>
          <w:lang w:val="fr-FR"/>
        </w:rPr>
        <w:t xml:space="preserve"> en offrant des conditions propres à préserver la solidarité et la coexistence entre générations vieillissantes</w:t>
      </w:r>
      <w:r w:rsidR="005D0F0F" w:rsidRPr="00495482">
        <w:rPr>
          <w:lang w:val="fr-FR"/>
        </w:rPr>
        <w:t>,</w:t>
      </w:r>
      <w:r w:rsidRPr="00495482">
        <w:rPr>
          <w:lang w:val="fr-FR"/>
        </w:rPr>
        <w:t xml:space="preserve"> les générations d</w:t>
      </w:r>
      <w:r w:rsidR="005D0F0F" w:rsidRPr="00495482">
        <w:rPr>
          <w:lang w:val="fr-FR"/>
        </w:rPr>
        <w:t>’</w:t>
      </w:r>
      <w:r w:rsidRPr="00495482">
        <w:rPr>
          <w:lang w:val="fr-FR"/>
        </w:rPr>
        <w:t>âge moyen et les jeunes</w:t>
      </w:r>
      <w:r w:rsidR="005D0F0F" w:rsidRPr="00495482">
        <w:rPr>
          <w:lang w:val="fr-FR"/>
        </w:rPr>
        <w:t>,</w:t>
      </w:r>
      <w:r w:rsidRPr="00495482">
        <w:rPr>
          <w:lang w:val="fr-FR"/>
        </w:rPr>
        <w:t xml:space="preserve"> et une qualité de vie et de soins à la part rapidement grandissante de la population du troisième âge. </w:t>
      </w:r>
    </w:p>
    <w:p w:rsidR="00317603" w:rsidRPr="00495482" w:rsidRDefault="00317603" w:rsidP="003C4F70">
      <w:pPr>
        <w:pStyle w:val="SingleTxtG"/>
        <w:rPr>
          <w:lang w:val="fr-FR"/>
        </w:rPr>
      </w:pPr>
      <w:r w:rsidRPr="00495482">
        <w:rPr>
          <w:lang w:val="fr-FR"/>
        </w:rPr>
        <w:t>115.</w:t>
      </w:r>
      <w:r w:rsidRPr="00495482">
        <w:rPr>
          <w:lang w:val="fr-FR"/>
        </w:rPr>
        <w:tab/>
        <w:t>En matière de protection sociale</w:t>
      </w:r>
      <w:r w:rsidR="005D0F0F" w:rsidRPr="00495482">
        <w:rPr>
          <w:lang w:val="fr-FR"/>
        </w:rPr>
        <w:t>,</w:t>
      </w:r>
      <w:r w:rsidRPr="00495482">
        <w:rPr>
          <w:lang w:val="fr-FR"/>
        </w:rPr>
        <w:t xml:space="preserve"> la Slovénie a toujours pour objectif d</w:t>
      </w:r>
      <w:r w:rsidR="005D0F0F" w:rsidRPr="00495482">
        <w:rPr>
          <w:lang w:val="fr-FR"/>
        </w:rPr>
        <w:t>’</w:t>
      </w:r>
      <w:r w:rsidRPr="00495482">
        <w:rPr>
          <w:lang w:val="fr-FR"/>
        </w:rPr>
        <w:t>assurer la représentation égale et la disponibilité de programmes et de services sociaux divers et de qualité.</w:t>
      </w:r>
      <w:r w:rsidR="003D1A4F" w:rsidRPr="00495482">
        <w:rPr>
          <w:lang w:val="fr-FR"/>
        </w:rPr>
        <w:t xml:space="preserve"> </w:t>
      </w:r>
    </w:p>
    <w:p w:rsidR="00317603" w:rsidRPr="00495482" w:rsidRDefault="00317603" w:rsidP="00162F24">
      <w:pPr>
        <w:pStyle w:val="H23G"/>
        <w:rPr>
          <w:lang w:val="fr-FR" w:eastAsia="sl-SI"/>
        </w:rPr>
      </w:pPr>
      <w:r w:rsidRPr="00495482">
        <w:rPr>
          <w:lang w:val="fr-FR" w:eastAsia="sl-SI"/>
        </w:rPr>
        <w:tab/>
      </w:r>
      <w:r w:rsidRPr="00495482">
        <w:rPr>
          <w:lang w:val="fr-FR" w:eastAsia="sl-SI"/>
        </w:rPr>
        <w:tab/>
        <w:t>Institutions pour</w:t>
      </w:r>
      <w:r w:rsidR="00162F24">
        <w:rPr>
          <w:lang w:val="fr-FR" w:eastAsia="sl-SI"/>
        </w:rPr>
        <w:t xml:space="preserve"> </w:t>
      </w:r>
      <w:r w:rsidR="002328BD" w:rsidRPr="00495482">
        <w:rPr>
          <w:lang w:val="fr-FR" w:eastAsia="sl-SI"/>
        </w:rPr>
        <w:t>personnes</w:t>
      </w:r>
      <w:r w:rsidRPr="00495482">
        <w:rPr>
          <w:lang w:val="fr-FR" w:eastAsia="sl-SI"/>
        </w:rPr>
        <w:t xml:space="preserve"> âgées (maisons de retraite)</w:t>
      </w:r>
    </w:p>
    <w:p w:rsidR="00317603" w:rsidRPr="00495482" w:rsidRDefault="00317603" w:rsidP="003C4F70">
      <w:pPr>
        <w:pStyle w:val="SingleTxtG"/>
        <w:rPr>
          <w:lang w:val="fr-FR"/>
        </w:rPr>
      </w:pPr>
      <w:r w:rsidRPr="00495482">
        <w:rPr>
          <w:lang w:val="fr-FR"/>
        </w:rPr>
        <w:t xml:space="preserve">116. </w:t>
      </w:r>
      <w:r w:rsidR="00F75D5A">
        <w:rPr>
          <w:lang w:val="fr-FR"/>
        </w:rPr>
        <w:tab/>
      </w:r>
      <w:r w:rsidRPr="00495482">
        <w:rPr>
          <w:lang w:val="fr-FR"/>
        </w:rPr>
        <w:t>La Slovénie dispose déjà de 89 maisons de retraite</w:t>
      </w:r>
      <w:r w:rsidR="005D0F0F" w:rsidRPr="00495482">
        <w:rPr>
          <w:lang w:val="fr-FR"/>
        </w:rPr>
        <w:t>,</w:t>
      </w:r>
      <w:r w:rsidRPr="00495482">
        <w:rPr>
          <w:lang w:val="fr-FR"/>
        </w:rPr>
        <w:t xml:space="preserve"> dont 55</w:t>
      </w:r>
      <w:r w:rsidR="003D1A4F" w:rsidRPr="00495482">
        <w:rPr>
          <w:lang w:val="fr-FR"/>
        </w:rPr>
        <w:t xml:space="preserve"> </w:t>
      </w:r>
      <w:r w:rsidRPr="00495482">
        <w:rPr>
          <w:lang w:val="fr-FR"/>
        </w:rPr>
        <w:t>établissements publics et 34 structures privées jouissant d</w:t>
      </w:r>
      <w:r w:rsidR="005D0F0F" w:rsidRPr="00495482">
        <w:rPr>
          <w:lang w:val="fr-FR"/>
        </w:rPr>
        <w:t>’</w:t>
      </w:r>
      <w:r w:rsidRPr="00495482">
        <w:rPr>
          <w:lang w:val="fr-FR"/>
        </w:rPr>
        <w:t>une concession les autorisant à assurer ce service social. Les maisons de retraite offrent 16 677 places</w:t>
      </w:r>
      <w:r w:rsidR="005D0F0F" w:rsidRPr="00495482">
        <w:rPr>
          <w:lang w:val="fr-FR"/>
        </w:rPr>
        <w:t>,</w:t>
      </w:r>
      <w:r w:rsidRPr="00495482">
        <w:rPr>
          <w:lang w:val="fr-FR"/>
        </w:rPr>
        <w:t xml:space="preserve"> chiffre indiquant la réalisation de l</w:t>
      </w:r>
      <w:r w:rsidR="005D0F0F" w:rsidRPr="00495482">
        <w:rPr>
          <w:lang w:val="fr-FR"/>
        </w:rPr>
        <w:t>’</w:t>
      </w:r>
      <w:r w:rsidRPr="00495482">
        <w:rPr>
          <w:lang w:val="fr-FR"/>
        </w:rPr>
        <w:t>objectif de 5% d</w:t>
      </w:r>
      <w:r w:rsidR="005D0F0F" w:rsidRPr="00495482">
        <w:rPr>
          <w:lang w:val="fr-FR"/>
        </w:rPr>
        <w:t>’</w:t>
      </w:r>
      <w:r w:rsidRPr="00495482">
        <w:rPr>
          <w:lang w:val="fr-FR"/>
        </w:rPr>
        <w:t xml:space="preserve">intégration </w:t>
      </w:r>
      <w:r w:rsidR="00210F9A" w:rsidRPr="00495482">
        <w:rPr>
          <w:lang w:val="fr-FR"/>
        </w:rPr>
        <w:t>des personnes</w:t>
      </w:r>
      <w:r w:rsidRPr="00495482">
        <w:rPr>
          <w:lang w:val="fr-FR"/>
        </w:rPr>
        <w:t xml:space="preserve"> de plus de 65</w:t>
      </w:r>
      <w:r w:rsidR="002328BD" w:rsidRPr="00495482">
        <w:rPr>
          <w:lang w:val="fr-FR"/>
        </w:rPr>
        <w:t> ans</w:t>
      </w:r>
      <w:r w:rsidRPr="00495482">
        <w:rPr>
          <w:lang w:val="fr-FR"/>
        </w:rPr>
        <w:t xml:space="preserve"> dans ce type de structures. La Slovénie dispose en outre de 5 établissements spéciaux de protection sociale. Les soins en institution destinés aux adultes qui ont des besoins spéciaux s</w:t>
      </w:r>
      <w:r w:rsidR="005D0F0F" w:rsidRPr="00495482">
        <w:rPr>
          <w:lang w:val="fr-FR"/>
        </w:rPr>
        <w:t>’</w:t>
      </w:r>
      <w:r w:rsidRPr="00495482">
        <w:rPr>
          <w:lang w:val="fr-FR"/>
        </w:rPr>
        <w:t xml:space="preserve">adressent </w:t>
      </w:r>
      <w:r w:rsidR="0038572C">
        <w:rPr>
          <w:lang w:val="fr-FR"/>
        </w:rPr>
        <w:t>aux personnes</w:t>
      </w:r>
      <w:r w:rsidRPr="00495482">
        <w:rPr>
          <w:lang w:val="fr-FR"/>
        </w:rPr>
        <w:t xml:space="preserve"> atteintes de déficiences mentales ou de troubles psychiques</w:t>
      </w:r>
      <w:r w:rsidR="005D0F0F" w:rsidRPr="00495482">
        <w:rPr>
          <w:lang w:val="fr-FR"/>
        </w:rPr>
        <w:t>,</w:t>
      </w:r>
      <w:r w:rsidRPr="00495482">
        <w:rPr>
          <w:lang w:val="fr-FR"/>
        </w:rPr>
        <w:t xml:space="preserve"> sensoriels ou moteurs.</w:t>
      </w:r>
      <w:r w:rsidR="003D1A4F" w:rsidRPr="00495482">
        <w:rPr>
          <w:lang w:val="fr-FR"/>
        </w:rPr>
        <w:t xml:space="preserve"> </w:t>
      </w:r>
    </w:p>
    <w:p w:rsidR="00317603" w:rsidRPr="00495482" w:rsidRDefault="00317603" w:rsidP="003C4F70">
      <w:pPr>
        <w:pStyle w:val="H23G"/>
        <w:rPr>
          <w:lang w:val="fr-FR" w:eastAsia="sl-SI"/>
        </w:rPr>
      </w:pPr>
      <w:r w:rsidRPr="00495482">
        <w:rPr>
          <w:lang w:val="fr-FR" w:eastAsia="sl-SI"/>
        </w:rPr>
        <w:tab/>
      </w:r>
      <w:r w:rsidRPr="00495482">
        <w:rPr>
          <w:lang w:val="fr-FR" w:eastAsia="sl-SI"/>
        </w:rPr>
        <w:tab/>
        <w:t>Aide à domicile</w:t>
      </w:r>
    </w:p>
    <w:p w:rsidR="00317603" w:rsidRPr="00495482" w:rsidRDefault="00317603" w:rsidP="003C4F70">
      <w:pPr>
        <w:pStyle w:val="SingleTxtG"/>
        <w:rPr>
          <w:lang w:val="fr-FR"/>
        </w:rPr>
      </w:pPr>
      <w:r w:rsidRPr="00495482">
        <w:rPr>
          <w:lang w:val="fr-FR"/>
        </w:rPr>
        <w:t>117.</w:t>
      </w:r>
      <w:r w:rsidRPr="00495482">
        <w:rPr>
          <w:lang w:val="fr-FR"/>
        </w:rPr>
        <w:tab/>
        <w:t>S</w:t>
      </w:r>
      <w:r w:rsidR="005D0F0F" w:rsidRPr="00495482">
        <w:rPr>
          <w:lang w:val="fr-FR"/>
        </w:rPr>
        <w:t>’</w:t>
      </w:r>
      <w:r w:rsidRPr="00495482">
        <w:rPr>
          <w:lang w:val="fr-FR"/>
        </w:rPr>
        <w:t>agissant de l</w:t>
      </w:r>
      <w:r w:rsidR="005D0F0F" w:rsidRPr="00495482">
        <w:rPr>
          <w:lang w:val="fr-FR"/>
        </w:rPr>
        <w:t>’</w:t>
      </w:r>
      <w:r w:rsidRPr="00495482">
        <w:rPr>
          <w:lang w:val="fr-FR"/>
        </w:rPr>
        <w:t>aide à domicile</w:t>
      </w:r>
      <w:r w:rsidR="005D0F0F" w:rsidRPr="00495482">
        <w:rPr>
          <w:lang w:val="fr-FR"/>
        </w:rPr>
        <w:t>,</w:t>
      </w:r>
      <w:r w:rsidRPr="00495482">
        <w:rPr>
          <w:lang w:val="fr-FR"/>
        </w:rPr>
        <w:t xml:space="preserve"> la politique vise à atteindre 10 000 bénéficiaires de plus de 65</w:t>
      </w:r>
      <w:r w:rsidR="002328BD" w:rsidRPr="00495482">
        <w:rPr>
          <w:lang w:val="fr-FR"/>
        </w:rPr>
        <w:t> ans</w:t>
      </w:r>
      <w:r w:rsidRPr="00495482">
        <w:rPr>
          <w:lang w:val="fr-FR"/>
        </w:rPr>
        <w:t xml:space="preserve"> (ils sont actuellement environ 5 600). Chaque année</w:t>
      </w:r>
      <w:r w:rsidR="005D0F0F" w:rsidRPr="00495482">
        <w:rPr>
          <w:lang w:val="fr-FR"/>
        </w:rPr>
        <w:t>,</w:t>
      </w:r>
      <w:r w:rsidRPr="00495482">
        <w:rPr>
          <w:lang w:val="fr-FR"/>
        </w:rPr>
        <w:t xml:space="preserve"> le nombre de municipalités disposant de ce type de service augmente – actuellement</w:t>
      </w:r>
      <w:r w:rsidR="005D0F0F" w:rsidRPr="00495482">
        <w:rPr>
          <w:lang w:val="fr-FR"/>
        </w:rPr>
        <w:t>,</w:t>
      </w:r>
      <w:r w:rsidRPr="00495482">
        <w:rPr>
          <w:lang w:val="fr-FR"/>
        </w:rPr>
        <w:t xml:space="preserve"> seules neuf municipalités plus petites en sont dépourvues. L</w:t>
      </w:r>
      <w:r w:rsidR="005D0F0F" w:rsidRPr="00495482">
        <w:rPr>
          <w:lang w:val="fr-FR"/>
        </w:rPr>
        <w:t>’</w:t>
      </w:r>
      <w:r w:rsidRPr="00495482">
        <w:rPr>
          <w:lang w:val="fr-FR"/>
        </w:rPr>
        <w:t>objectif à long terme consiste à rationaliser l</w:t>
      </w:r>
      <w:r w:rsidR="005D0F0F" w:rsidRPr="00495482">
        <w:rPr>
          <w:lang w:val="fr-FR"/>
        </w:rPr>
        <w:t>’</w:t>
      </w:r>
      <w:r w:rsidRPr="00495482">
        <w:rPr>
          <w:lang w:val="fr-FR"/>
        </w:rPr>
        <w:t>aide à domicile et à combiner ses aspects sociaux et sanitaires</w:t>
      </w:r>
      <w:r w:rsidR="005D0F0F" w:rsidRPr="00495482">
        <w:rPr>
          <w:lang w:val="fr-FR"/>
        </w:rPr>
        <w:t>,</w:t>
      </w:r>
      <w:r w:rsidRPr="00495482">
        <w:rPr>
          <w:lang w:val="fr-FR"/>
        </w:rPr>
        <w:t xml:space="preserve"> grâce à un système d</w:t>
      </w:r>
      <w:r w:rsidR="005D0F0F" w:rsidRPr="00495482">
        <w:rPr>
          <w:lang w:val="fr-FR"/>
        </w:rPr>
        <w:t>’</w:t>
      </w:r>
      <w:r w:rsidRPr="00495482">
        <w:rPr>
          <w:lang w:val="fr-FR"/>
        </w:rPr>
        <w:t xml:space="preserve">assurance de soins de longue durée. Une loi relative aux soins de longue durée et à une assurance de soins de longue durée a déjà été élaborée. </w:t>
      </w:r>
    </w:p>
    <w:p w:rsidR="00317603" w:rsidRPr="00495482" w:rsidRDefault="00317603" w:rsidP="003C4F70">
      <w:pPr>
        <w:pStyle w:val="H23G"/>
        <w:rPr>
          <w:lang w:val="fr-FR" w:eastAsia="sl-SI"/>
        </w:rPr>
      </w:pPr>
      <w:r w:rsidRPr="00495482">
        <w:rPr>
          <w:lang w:val="fr-FR" w:eastAsia="sl-SI"/>
        </w:rPr>
        <w:tab/>
      </w:r>
      <w:r w:rsidRPr="00495482">
        <w:rPr>
          <w:lang w:val="fr-FR" w:eastAsia="sl-SI"/>
        </w:rPr>
        <w:tab/>
        <w:t>Logements protégés</w:t>
      </w:r>
    </w:p>
    <w:p w:rsidR="00317603" w:rsidRPr="00495482" w:rsidRDefault="00317603" w:rsidP="003C4F70">
      <w:pPr>
        <w:pStyle w:val="SingleTxtG"/>
        <w:rPr>
          <w:lang w:val="fr-FR"/>
        </w:rPr>
      </w:pPr>
      <w:r w:rsidRPr="00495482">
        <w:rPr>
          <w:lang w:val="fr-FR"/>
        </w:rPr>
        <w:t>118.</w:t>
      </w:r>
      <w:r w:rsidRPr="00495482">
        <w:rPr>
          <w:lang w:val="fr-FR"/>
        </w:rPr>
        <w:tab/>
        <w:t>Selon les données les plus récentes</w:t>
      </w:r>
      <w:r w:rsidR="003D1A4F" w:rsidRPr="00495482">
        <w:rPr>
          <w:lang w:val="fr-FR"/>
        </w:rPr>
        <w:t xml:space="preserve"> </w:t>
      </w:r>
      <w:r w:rsidRPr="00495482">
        <w:rPr>
          <w:lang w:val="fr-FR"/>
        </w:rPr>
        <w:t>(2010)</w:t>
      </w:r>
      <w:r w:rsidR="005D0F0F" w:rsidRPr="00495482">
        <w:rPr>
          <w:lang w:val="fr-FR"/>
        </w:rPr>
        <w:t>,</w:t>
      </w:r>
      <w:r w:rsidR="003D1A4F" w:rsidRPr="00495482">
        <w:rPr>
          <w:lang w:val="fr-FR"/>
        </w:rPr>
        <w:t xml:space="preserve"> </w:t>
      </w:r>
      <w:r w:rsidRPr="00495482">
        <w:rPr>
          <w:lang w:val="fr-FR"/>
        </w:rPr>
        <w:t xml:space="preserve">la Slovénie dispose de 600 logements protégés et environ 200 sont en cours de construction. </w:t>
      </w:r>
    </w:p>
    <w:p w:rsidR="00317603" w:rsidRPr="00495482" w:rsidRDefault="00317603" w:rsidP="003C4F70">
      <w:pPr>
        <w:pStyle w:val="H23G"/>
        <w:rPr>
          <w:lang w:val="fr-FR" w:eastAsia="sl-SI"/>
        </w:rPr>
      </w:pPr>
      <w:r w:rsidRPr="00495482">
        <w:rPr>
          <w:lang w:val="fr-FR" w:eastAsia="sl-SI"/>
        </w:rPr>
        <w:tab/>
      </w:r>
      <w:r w:rsidRPr="00495482">
        <w:rPr>
          <w:lang w:val="fr-FR" w:eastAsia="sl-SI"/>
        </w:rPr>
        <w:tab/>
        <w:t>Prise en charge à la journée</w:t>
      </w:r>
    </w:p>
    <w:p w:rsidR="00317603" w:rsidRPr="00495482" w:rsidRDefault="00317603" w:rsidP="003C4F70">
      <w:pPr>
        <w:pStyle w:val="SingleTxtG"/>
        <w:rPr>
          <w:lang w:val="fr-FR"/>
        </w:rPr>
      </w:pPr>
      <w:r w:rsidRPr="00495482">
        <w:rPr>
          <w:lang w:val="fr-FR"/>
        </w:rPr>
        <w:t>119.</w:t>
      </w:r>
      <w:r w:rsidRPr="00495482">
        <w:rPr>
          <w:lang w:val="fr-FR"/>
        </w:rPr>
        <w:tab/>
        <w:t>Les données indiquent l</w:t>
      </w:r>
      <w:r w:rsidR="005D0F0F" w:rsidRPr="00495482">
        <w:rPr>
          <w:lang w:val="fr-FR"/>
        </w:rPr>
        <w:t>’</w:t>
      </w:r>
      <w:r w:rsidRPr="00495482">
        <w:rPr>
          <w:lang w:val="fr-FR"/>
        </w:rPr>
        <w:t>existence de 230 places dans les centres de jour. Outre les maisons de retraite</w:t>
      </w:r>
      <w:r w:rsidR="005D0F0F" w:rsidRPr="00495482">
        <w:rPr>
          <w:lang w:val="fr-FR"/>
        </w:rPr>
        <w:t>,</w:t>
      </w:r>
      <w:r w:rsidRPr="00495482">
        <w:rPr>
          <w:lang w:val="fr-FR"/>
        </w:rPr>
        <w:t xml:space="preserve"> des programmes de centres de jour sont également assurés par les organisations non gouvernementales</w:t>
      </w:r>
      <w:r w:rsidR="005D0F0F" w:rsidRPr="00495482">
        <w:rPr>
          <w:lang w:val="fr-FR"/>
        </w:rPr>
        <w:t>,</w:t>
      </w:r>
      <w:r w:rsidRPr="00495482">
        <w:rPr>
          <w:lang w:val="fr-FR"/>
        </w:rPr>
        <w:t xml:space="preserve"> par exemple</w:t>
      </w:r>
      <w:r w:rsidR="005D0F0F" w:rsidRPr="00495482">
        <w:rPr>
          <w:lang w:val="fr-FR"/>
        </w:rPr>
        <w:t>,</w:t>
      </w:r>
      <w:r w:rsidRPr="00495482">
        <w:rPr>
          <w:lang w:val="fr-FR"/>
        </w:rPr>
        <w:t xml:space="preserve"> l</w:t>
      </w:r>
      <w:r w:rsidR="005D0F0F" w:rsidRPr="00495482">
        <w:rPr>
          <w:lang w:val="fr-FR"/>
        </w:rPr>
        <w:t>’</w:t>
      </w:r>
      <w:r w:rsidRPr="00495482">
        <w:rPr>
          <w:lang w:val="fr-FR"/>
        </w:rPr>
        <w:t>organisation Mestna zveza upokojencev Ljubljana (Alliance municipale des retraités de Ljubljana) met en œuvre le programme</w:t>
      </w:r>
      <w:r w:rsidR="005D0F0F" w:rsidRPr="00495482">
        <w:rPr>
          <w:lang w:val="fr-FR"/>
        </w:rPr>
        <w:t>:</w:t>
      </w:r>
      <w:r w:rsidRPr="00495482">
        <w:rPr>
          <w:lang w:val="fr-FR"/>
        </w:rPr>
        <w:t xml:space="preserve"> </w:t>
      </w:r>
      <w:r w:rsidR="00274387" w:rsidRPr="00495482">
        <w:rPr>
          <w:lang w:val="fr-FR"/>
        </w:rPr>
        <w:t>«</w:t>
      </w:r>
      <w:r w:rsidRPr="00495482">
        <w:rPr>
          <w:lang w:val="fr-FR"/>
        </w:rPr>
        <w:t>Activités pour</w:t>
      </w:r>
      <w:r w:rsidR="003C4F70">
        <w:rPr>
          <w:lang w:val="fr-FR"/>
        </w:rPr>
        <w:t xml:space="preserve"> </w:t>
      </w:r>
      <w:r w:rsidR="002328BD" w:rsidRPr="00495482">
        <w:rPr>
          <w:lang w:val="fr-FR"/>
        </w:rPr>
        <w:t>personnes</w:t>
      </w:r>
      <w:r w:rsidRPr="00495482">
        <w:rPr>
          <w:lang w:val="fr-FR"/>
        </w:rPr>
        <w:t xml:space="preserve"> âgées dans un centre de jour</w:t>
      </w:r>
      <w:r w:rsidR="00274387" w:rsidRPr="00495482">
        <w:rPr>
          <w:lang w:val="fr-FR"/>
        </w:rPr>
        <w:t>»</w:t>
      </w:r>
      <w:r w:rsidRPr="00495482">
        <w:rPr>
          <w:lang w:val="fr-FR"/>
        </w:rPr>
        <w:t xml:space="preserve">. </w:t>
      </w:r>
    </w:p>
    <w:p w:rsidR="00317603" w:rsidRPr="00495482" w:rsidRDefault="00317603" w:rsidP="003C4F70">
      <w:pPr>
        <w:pStyle w:val="H23G"/>
        <w:rPr>
          <w:lang w:val="fr-FR" w:eastAsia="sl-SI"/>
        </w:rPr>
      </w:pPr>
      <w:r w:rsidRPr="00495482">
        <w:rPr>
          <w:lang w:val="fr-FR" w:eastAsia="sl-SI"/>
        </w:rPr>
        <w:tab/>
      </w:r>
      <w:r w:rsidRPr="00495482">
        <w:rPr>
          <w:lang w:val="fr-FR" w:eastAsia="sl-SI"/>
        </w:rPr>
        <w:tab/>
        <w:t>Aide à distance</w:t>
      </w:r>
    </w:p>
    <w:p w:rsidR="00317603" w:rsidRPr="00495482" w:rsidRDefault="00317603" w:rsidP="003C4F70">
      <w:pPr>
        <w:pStyle w:val="SingleTxtG"/>
        <w:rPr>
          <w:lang w:val="fr-FR"/>
        </w:rPr>
      </w:pPr>
      <w:r w:rsidRPr="00495482">
        <w:rPr>
          <w:lang w:val="fr-FR"/>
        </w:rPr>
        <w:t>120.</w:t>
      </w:r>
      <w:r w:rsidRPr="00495482">
        <w:rPr>
          <w:lang w:val="fr-FR"/>
        </w:rPr>
        <w:tab/>
        <w:t>Les centres d</w:t>
      </w:r>
      <w:r w:rsidR="005D0F0F" w:rsidRPr="00495482">
        <w:rPr>
          <w:lang w:val="fr-FR"/>
        </w:rPr>
        <w:t>’</w:t>
      </w:r>
      <w:r w:rsidRPr="00495482">
        <w:rPr>
          <w:lang w:val="fr-FR"/>
        </w:rPr>
        <w:t>aide à domicile disposent d</w:t>
      </w:r>
      <w:r w:rsidR="005D0F0F" w:rsidRPr="00495482">
        <w:rPr>
          <w:lang w:val="fr-FR"/>
        </w:rPr>
        <w:t>’</w:t>
      </w:r>
      <w:r w:rsidRPr="00495482">
        <w:rPr>
          <w:lang w:val="fr-FR"/>
        </w:rPr>
        <w:t>un service de garde permanent assuré au moyen d</w:t>
      </w:r>
      <w:r w:rsidR="005D0F0F" w:rsidRPr="00495482">
        <w:rPr>
          <w:lang w:val="fr-FR"/>
        </w:rPr>
        <w:t>’</w:t>
      </w:r>
      <w:r w:rsidRPr="00495482">
        <w:rPr>
          <w:lang w:val="fr-FR"/>
        </w:rPr>
        <w:t>un équipement de téléassistance spécial pour les usagers et les prestataires.</w:t>
      </w:r>
      <w:r w:rsidR="003D1A4F" w:rsidRPr="00495482">
        <w:rPr>
          <w:lang w:val="fr-FR"/>
        </w:rPr>
        <w:t xml:space="preserve"> </w:t>
      </w:r>
      <w:r w:rsidRPr="00495482">
        <w:rPr>
          <w:lang w:val="fr-FR"/>
        </w:rPr>
        <w:t>Dès réception de l</w:t>
      </w:r>
      <w:r w:rsidR="005D0F0F" w:rsidRPr="00495482">
        <w:rPr>
          <w:lang w:val="fr-FR"/>
        </w:rPr>
        <w:t>’</w:t>
      </w:r>
      <w:r w:rsidRPr="00495482">
        <w:rPr>
          <w:lang w:val="fr-FR"/>
        </w:rPr>
        <w:t>appel d</w:t>
      </w:r>
      <w:r w:rsidR="005D0F0F" w:rsidRPr="00495482">
        <w:rPr>
          <w:lang w:val="fr-FR"/>
        </w:rPr>
        <w:t>’</w:t>
      </w:r>
      <w:r w:rsidRPr="00495482">
        <w:rPr>
          <w:lang w:val="fr-FR"/>
        </w:rPr>
        <w:t>un usager</w:t>
      </w:r>
      <w:r w:rsidR="005D0F0F" w:rsidRPr="00495482">
        <w:rPr>
          <w:lang w:val="fr-FR"/>
        </w:rPr>
        <w:t>,</w:t>
      </w:r>
      <w:r w:rsidRPr="00495482">
        <w:rPr>
          <w:lang w:val="fr-FR"/>
        </w:rPr>
        <w:t xml:space="preserve"> l</w:t>
      </w:r>
      <w:r w:rsidR="005D0F0F" w:rsidRPr="00495482">
        <w:rPr>
          <w:lang w:val="fr-FR"/>
        </w:rPr>
        <w:t>’</w:t>
      </w:r>
      <w:r w:rsidRPr="00495482">
        <w:rPr>
          <w:lang w:val="fr-FR"/>
        </w:rPr>
        <w:t>aide est délivrée directement par le réseau social de l</w:t>
      </w:r>
      <w:r w:rsidR="005D0F0F" w:rsidRPr="00495482">
        <w:rPr>
          <w:lang w:val="fr-FR"/>
        </w:rPr>
        <w:t>’</w:t>
      </w:r>
      <w:r w:rsidRPr="00495482">
        <w:rPr>
          <w:lang w:val="fr-FR"/>
        </w:rPr>
        <w:t>usager</w:t>
      </w:r>
      <w:r w:rsidR="005D0F0F" w:rsidRPr="00495482">
        <w:rPr>
          <w:lang w:val="fr-FR"/>
        </w:rPr>
        <w:t>,</w:t>
      </w:r>
      <w:r w:rsidRPr="00495482">
        <w:rPr>
          <w:lang w:val="fr-FR"/>
        </w:rPr>
        <w:t xml:space="preserve"> ou par le prestataire à distance qui intervient avec ses propres agents. La demande étant supérieure aux capacités actuelles en la matière</w:t>
      </w:r>
      <w:r w:rsidR="005D0F0F" w:rsidRPr="00495482">
        <w:rPr>
          <w:lang w:val="fr-FR"/>
        </w:rPr>
        <w:t>,</w:t>
      </w:r>
      <w:r w:rsidRPr="00495482">
        <w:rPr>
          <w:lang w:val="fr-FR"/>
        </w:rPr>
        <w:t xml:space="preserve"> la Slovénie met en place un projet expérimental de centre d</w:t>
      </w:r>
      <w:r w:rsidR="005D0F0F" w:rsidRPr="00495482">
        <w:rPr>
          <w:lang w:val="fr-FR"/>
        </w:rPr>
        <w:t>’</w:t>
      </w:r>
      <w:r w:rsidRPr="00495482">
        <w:rPr>
          <w:lang w:val="fr-FR"/>
        </w:rPr>
        <w:t xml:space="preserve">appels qui rendra ce type de services disponibles dans tout le pays et financièrement plus accessibles aux usagers. </w:t>
      </w:r>
    </w:p>
    <w:p w:rsidR="00317603" w:rsidRPr="00495482" w:rsidRDefault="00317603" w:rsidP="003C4F70">
      <w:pPr>
        <w:pStyle w:val="H23G"/>
        <w:rPr>
          <w:lang w:val="fr-FR" w:eastAsia="sl-SI"/>
        </w:rPr>
      </w:pPr>
      <w:r w:rsidRPr="00495482">
        <w:rPr>
          <w:lang w:val="fr-FR" w:eastAsia="sl-SI"/>
        </w:rPr>
        <w:tab/>
      </w:r>
      <w:r w:rsidRPr="00495482">
        <w:rPr>
          <w:lang w:val="fr-FR" w:eastAsia="sl-SI"/>
        </w:rPr>
        <w:tab/>
        <w:t>Programmes de protection sociale</w:t>
      </w:r>
    </w:p>
    <w:p w:rsidR="00317603" w:rsidRPr="00495482" w:rsidRDefault="00317603" w:rsidP="003C4F70">
      <w:pPr>
        <w:pStyle w:val="SingleTxtG"/>
        <w:rPr>
          <w:lang w:val="fr-FR"/>
        </w:rPr>
      </w:pPr>
      <w:r w:rsidRPr="00495482">
        <w:rPr>
          <w:lang w:val="fr-FR"/>
        </w:rPr>
        <w:t>121.</w:t>
      </w:r>
      <w:r w:rsidRPr="00495482">
        <w:rPr>
          <w:lang w:val="fr-FR"/>
        </w:rPr>
        <w:tab/>
        <w:t>Au cours des dernières années</w:t>
      </w:r>
      <w:r w:rsidR="005D0F0F" w:rsidRPr="00495482">
        <w:rPr>
          <w:lang w:val="fr-FR"/>
        </w:rPr>
        <w:t>,</w:t>
      </w:r>
      <w:r w:rsidRPr="00495482">
        <w:rPr>
          <w:lang w:val="fr-FR"/>
        </w:rPr>
        <w:t xml:space="preserve"> le réseau des programmes consacrés à la coopération intergénérationnelle et à l</w:t>
      </w:r>
      <w:r w:rsidR="005D0F0F" w:rsidRPr="00495482">
        <w:rPr>
          <w:lang w:val="fr-FR"/>
        </w:rPr>
        <w:t>’</w:t>
      </w:r>
      <w:r w:rsidRPr="00495482">
        <w:rPr>
          <w:lang w:val="fr-FR"/>
        </w:rPr>
        <w:t xml:space="preserve">intégration sociale </w:t>
      </w:r>
      <w:r w:rsidR="00210F9A" w:rsidRPr="00495482">
        <w:rPr>
          <w:lang w:val="fr-FR"/>
        </w:rPr>
        <w:t>des personnes</w:t>
      </w:r>
      <w:r w:rsidRPr="00495482">
        <w:rPr>
          <w:lang w:val="fr-FR"/>
        </w:rPr>
        <w:t xml:space="preserve"> âgées a été largement étendu. Au moyen d</w:t>
      </w:r>
      <w:r w:rsidR="005D0F0F" w:rsidRPr="00495482">
        <w:rPr>
          <w:lang w:val="fr-FR"/>
        </w:rPr>
        <w:t>’</w:t>
      </w:r>
      <w:r w:rsidRPr="00495482">
        <w:rPr>
          <w:lang w:val="fr-FR"/>
        </w:rPr>
        <w:t>appels publics à candidatures en faveur du cofinancement des programmes d</w:t>
      </w:r>
      <w:r w:rsidR="005D0F0F" w:rsidRPr="00495482">
        <w:rPr>
          <w:lang w:val="fr-FR"/>
        </w:rPr>
        <w:t>’</w:t>
      </w:r>
      <w:r w:rsidRPr="00495482">
        <w:rPr>
          <w:lang w:val="fr-FR"/>
        </w:rPr>
        <w:t>aide sociale</w:t>
      </w:r>
      <w:r w:rsidR="005D0F0F" w:rsidRPr="00495482">
        <w:rPr>
          <w:lang w:val="fr-FR"/>
        </w:rPr>
        <w:t>,</w:t>
      </w:r>
      <w:r w:rsidRPr="00495482">
        <w:rPr>
          <w:lang w:val="fr-FR"/>
        </w:rPr>
        <w:t xml:space="preserve"> la Slovénie encourage le développement de diverses formes d</w:t>
      </w:r>
      <w:r w:rsidR="005D0F0F" w:rsidRPr="00495482">
        <w:rPr>
          <w:lang w:val="fr-FR"/>
        </w:rPr>
        <w:t>’</w:t>
      </w:r>
      <w:r w:rsidRPr="00495482">
        <w:rPr>
          <w:lang w:val="fr-FR"/>
        </w:rPr>
        <w:t>activités bénévoles organisées et les contacts intergénérationnels dans des groupes d</w:t>
      </w:r>
      <w:r w:rsidR="005D0F0F" w:rsidRPr="00495482">
        <w:rPr>
          <w:lang w:val="fr-FR"/>
        </w:rPr>
        <w:t>’</w:t>
      </w:r>
      <w:r w:rsidRPr="00495482">
        <w:rPr>
          <w:lang w:val="fr-FR"/>
        </w:rPr>
        <w:t>entraide</w:t>
      </w:r>
      <w:r w:rsidR="005D0F0F" w:rsidRPr="00495482">
        <w:rPr>
          <w:lang w:val="fr-FR"/>
        </w:rPr>
        <w:t>,</w:t>
      </w:r>
      <w:r w:rsidRPr="00495482">
        <w:rPr>
          <w:lang w:val="fr-FR"/>
        </w:rPr>
        <w:t xml:space="preserve"> comme les programmes d</w:t>
      </w:r>
      <w:r w:rsidR="005D0F0F" w:rsidRPr="00495482">
        <w:rPr>
          <w:lang w:val="fr-FR"/>
        </w:rPr>
        <w:t>’</w:t>
      </w:r>
      <w:r w:rsidRPr="00495482">
        <w:rPr>
          <w:lang w:val="fr-FR"/>
        </w:rPr>
        <w:t xml:space="preserve">assistance </w:t>
      </w:r>
      <w:r w:rsidR="0038572C">
        <w:rPr>
          <w:lang w:val="fr-FR"/>
        </w:rPr>
        <w:t>aux personnes</w:t>
      </w:r>
      <w:r w:rsidRPr="00495482">
        <w:rPr>
          <w:lang w:val="fr-FR"/>
        </w:rPr>
        <w:t xml:space="preserve"> âgées en situation de risque social</w:t>
      </w:r>
      <w:r w:rsidR="005D0F0F" w:rsidRPr="00495482">
        <w:rPr>
          <w:lang w:val="fr-FR"/>
        </w:rPr>
        <w:t>,</w:t>
      </w:r>
      <w:r w:rsidRPr="00495482">
        <w:rPr>
          <w:lang w:val="fr-FR"/>
        </w:rPr>
        <w:t xml:space="preserve"> les programmes de services téléphoniques de conseil </w:t>
      </w:r>
      <w:r w:rsidR="0038572C">
        <w:rPr>
          <w:lang w:val="fr-FR"/>
        </w:rPr>
        <w:t>aux personnes</w:t>
      </w:r>
      <w:r w:rsidRPr="00495482">
        <w:rPr>
          <w:lang w:val="fr-FR"/>
        </w:rPr>
        <w:t xml:space="preserve"> âgées</w:t>
      </w:r>
      <w:r w:rsidR="005D0F0F" w:rsidRPr="00495482">
        <w:rPr>
          <w:lang w:val="fr-FR"/>
        </w:rPr>
        <w:t>,</w:t>
      </w:r>
      <w:r w:rsidRPr="00495482">
        <w:rPr>
          <w:lang w:val="fr-FR"/>
        </w:rPr>
        <w:t xml:space="preserve"> et les programmes de participation </w:t>
      </w:r>
      <w:r w:rsidR="00210F9A" w:rsidRPr="00495482">
        <w:rPr>
          <w:lang w:val="fr-FR"/>
        </w:rPr>
        <w:t>des personnes</w:t>
      </w:r>
      <w:r w:rsidRPr="00495482">
        <w:rPr>
          <w:lang w:val="fr-FR"/>
        </w:rPr>
        <w:t xml:space="preserve"> âgées aux activités d</w:t>
      </w:r>
      <w:r w:rsidR="005D0F0F" w:rsidRPr="00495482">
        <w:rPr>
          <w:lang w:val="fr-FR"/>
        </w:rPr>
        <w:t>’</w:t>
      </w:r>
      <w:r w:rsidRPr="00495482">
        <w:rPr>
          <w:lang w:val="fr-FR"/>
        </w:rPr>
        <w:t xml:space="preserve">aide à domicile. Il convient de souligner que </w:t>
      </w:r>
      <w:r w:rsidR="0014499F" w:rsidRPr="00495482">
        <w:rPr>
          <w:lang w:val="fr-FR"/>
        </w:rPr>
        <w:t>les personnes</w:t>
      </w:r>
      <w:r w:rsidRPr="00495482">
        <w:rPr>
          <w:lang w:val="fr-FR"/>
        </w:rPr>
        <w:t xml:space="preserve"> âgées participent également selon leurs difficultés</w:t>
      </w:r>
      <w:r w:rsidR="005D0F0F" w:rsidRPr="00495482">
        <w:rPr>
          <w:lang w:val="fr-FR"/>
        </w:rPr>
        <w:t>,</w:t>
      </w:r>
      <w:r w:rsidRPr="00495482">
        <w:rPr>
          <w:lang w:val="fr-FR"/>
        </w:rPr>
        <w:t xml:space="preserve"> à d</w:t>
      </w:r>
      <w:r w:rsidR="005D0F0F" w:rsidRPr="00495482">
        <w:rPr>
          <w:lang w:val="fr-FR"/>
        </w:rPr>
        <w:t>’</w:t>
      </w:r>
      <w:r w:rsidRPr="00495482">
        <w:rPr>
          <w:lang w:val="fr-FR"/>
        </w:rPr>
        <w:t>autres programmes de protection sociale (concernant par exemple</w:t>
      </w:r>
      <w:r w:rsidR="005D0F0F" w:rsidRPr="00495482">
        <w:rPr>
          <w:lang w:val="fr-FR"/>
        </w:rPr>
        <w:t>,</w:t>
      </w:r>
      <w:r w:rsidRPr="00495482">
        <w:rPr>
          <w:lang w:val="fr-FR"/>
        </w:rPr>
        <w:t xml:space="preserve"> l</w:t>
      </w:r>
      <w:r w:rsidR="005D0F0F" w:rsidRPr="00495482">
        <w:rPr>
          <w:lang w:val="fr-FR"/>
        </w:rPr>
        <w:t>’</w:t>
      </w:r>
      <w:r w:rsidRPr="00495482">
        <w:rPr>
          <w:lang w:val="fr-FR"/>
        </w:rPr>
        <w:t xml:space="preserve">aide </w:t>
      </w:r>
      <w:r w:rsidR="0038572C">
        <w:rPr>
          <w:lang w:val="fr-FR"/>
        </w:rPr>
        <w:t>aux personnes</w:t>
      </w:r>
      <w:r w:rsidRPr="00495482">
        <w:rPr>
          <w:lang w:val="fr-FR"/>
        </w:rPr>
        <w:t xml:space="preserve"> souffrant de troubles mentaux durables et à leurs proches</w:t>
      </w:r>
      <w:r w:rsidR="005D0F0F" w:rsidRPr="00495482">
        <w:rPr>
          <w:lang w:val="fr-FR"/>
        </w:rPr>
        <w:t>,</w:t>
      </w:r>
      <w:r w:rsidRPr="00495482">
        <w:rPr>
          <w:lang w:val="fr-FR"/>
        </w:rPr>
        <w:t xml:space="preserve"> l</w:t>
      </w:r>
      <w:r w:rsidR="005D0F0F" w:rsidRPr="00495482">
        <w:rPr>
          <w:lang w:val="fr-FR"/>
        </w:rPr>
        <w:t>’</w:t>
      </w:r>
      <w:r w:rsidRPr="00495482">
        <w:rPr>
          <w:lang w:val="fr-FR"/>
        </w:rPr>
        <w:t>allègement des pressions sociales liées à la consommation d</w:t>
      </w:r>
      <w:r w:rsidR="005D0F0F" w:rsidRPr="00495482">
        <w:rPr>
          <w:lang w:val="fr-FR"/>
        </w:rPr>
        <w:t>’</w:t>
      </w:r>
      <w:r w:rsidRPr="00495482">
        <w:rPr>
          <w:lang w:val="fr-FR"/>
        </w:rPr>
        <w:t>alcool</w:t>
      </w:r>
      <w:r w:rsidR="005D0F0F" w:rsidRPr="00495482">
        <w:rPr>
          <w:lang w:val="fr-FR"/>
        </w:rPr>
        <w:t>,</w:t>
      </w:r>
      <w:r w:rsidRPr="00495482">
        <w:rPr>
          <w:lang w:val="fr-FR"/>
        </w:rPr>
        <w:t xml:space="preserve"> l</w:t>
      </w:r>
      <w:r w:rsidR="005D0F0F" w:rsidRPr="00495482">
        <w:rPr>
          <w:lang w:val="fr-FR"/>
        </w:rPr>
        <w:t>’</w:t>
      </w:r>
      <w:r w:rsidRPr="00495482">
        <w:rPr>
          <w:lang w:val="fr-FR"/>
        </w:rPr>
        <w:t xml:space="preserve">autonomie </w:t>
      </w:r>
      <w:r w:rsidR="00210F9A" w:rsidRPr="00495482">
        <w:rPr>
          <w:lang w:val="fr-FR"/>
        </w:rPr>
        <w:t>des personnes</w:t>
      </w:r>
      <w:r w:rsidRPr="00495482">
        <w:rPr>
          <w:lang w:val="fr-FR"/>
        </w:rPr>
        <w:t xml:space="preserve"> handicapées</w:t>
      </w:r>
      <w:r w:rsidR="005D0F0F" w:rsidRPr="00495482">
        <w:rPr>
          <w:lang w:val="fr-FR"/>
        </w:rPr>
        <w:t>,</w:t>
      </w:r>
      <w:r w:rsidRPr="00495482">
        <w:rPr>
          <w:lang w:val="fr-FR"/>
        </w:rPr>
        <w:t xml:space="preserve"> etc.). </w:t>
      </w:r>
    </w:p>
    <w:p w:rsidR="00317603" w:rsidRPr="00495482" w:rsidRDefault="00317603" w:rsidP="003C4F70">
      <w:pPr>
        <w:pStyle w:val="SingleTxtG"/>
        <w:rPr>
          <w:lang w:val="fr-FR"/>
        </w:rPr>
      </w:pPr>
      <w:r w:rsidRPr="00495482">
        <w:rPr>
          <w:lang w:val="fr-FR"/>
        </w:rPr>
        <w:t>122.</w:t>
      </w:r>
      <w:r w:rsidRPr="00495482">
        <w:rPr>
          <w:lang w:val="fr-FR"/>
        </w:rPr>
        <w:tab/>
        <w:t>Deux documents stratégiques majeurs arrivent à terme à la fin 2010: le programme national de protection sociale 2006-2010</w:t>
      </w:r>
      <w:r w:rsidRPr="00495482">
        <w:rPr>
          <w:rStyle w:val="FootnoteReference"/>
        </w:rPr>
        <w:footnoteReference w:id="59"/>
      </w:r>
      <w:r w:rsidRPr="00495482">
        <w:rPr>
          <w:lang w:val="fr-FR"/>
        </w:rPr>
        <w:t xml:space="preserve"> et la stratégie en matière de soins </w:t>
      </w:r>
      <w:r w:rsidR="0038572C">
        <w:rPr>
          <w:lang w:val="fr-FR"/>
        </w:rPr>
        <w:t>aux personnes</w:t>
      </w:r>
      <w:r w:rsidRPr="00495482">
        <w:rPr>
          <w:lang w:val="fr-FR"/>
        </w:rPr>
        <w:t xml:space="preserve"> âgées 2006-2010</w:t>
      </w:r>
      <w:r w:rsidRPr="00495482">
        <w:rPr>
          <w:rStyle w:val="FootnoteReference"/>
        </w:rPr>
        <w:footnoteReference w:id="60"/>
      </w:r>
      <w:r w:rsidRPr="00495482">
        <w:rPr>
          <w:vertAlign w:val="superscript"/>
          <w:lang w:val="fr-FR"/>
        </w:rPr>
        <w:t>.</w:t>
      </w:r>
      <w:r w:rsidRPr="00495482">
        <w:rPr>
          <w:lang w:val="fr-FR"/>
        </w:rPr>
        <w:t xml:space="preserve"> La Slovénie élabore d</w:t>
      </w:r>
      <w:r w:rsidR="005D0F0F" w:rsidRPr="00495482">
        <w:rPr>
          <w:lang w:val="fr-FR"/>
        </w:rPr>
        <w:t>’</w:t>
      </w:r>
      <w:r w:rsidRPr="00495482">
        <w:rPr>
          <w:lang w:val="fr-FR"/>
        </w:rPr>
        <w:t>ores et déjà plusieurs documents en coopération avec les organismes publics professionnels et les organisations non gouvernementales</w:t>
      </w:r>
      <w:r w:rsidR="005D0F0F" w:rsidRPr="00495482">
        <w:rPr>
          <w:lang w:val="fr-FR"/>
        </w:rPr>
        <w:t>,</w:t>
      </w:r>
      <w:r w:rsidRPr="00495482">
        <w:rPr>
          <w:lang w:val="fr-FR"/>
        </w:rPr>
        <w:t xml:space="preserve"> en particulier l</w:t>
      </w:r>
      <w:r w:rsidR="005D0F0F" w:rsidRPr="00495482">
        <w:rPr>
          <w:lang w:val="fr-FR"/>
        </w:rPr>
        <w:t>’</w:t>
      </w:r>
      <w:r w:rsidRPr="00495482">
        <w:rPr>
          <w:lang w:val="fr-FR"/>
        </w:rPr>
        <w:t>Alliance des sociétés de retraités de Slovénie</w:t>
      </w:r>
      <w:r w:rsidR="005D0F0F" w:rsidRPr="00495482">
        <w:rPr>
          <w:lang w:val="fr-FR"/>
        </w:rPr>
        <w:t>,</w:t>
      </w:r>
      <w:r w:rsidRPr="00495482">
        <w:rPr>
          <w:lang w:val="fr-FR"/>
        </w:rPr>
        <w:t xml:space="preserve"> avec laquelle le ministère a également signé un accord de coopération pour toutes les décisions importantes concernant la population âgée.</w:t>
      </w:r>
      <w:r w:rsidR="003D1A4F" w:rsidRPr="00495482">
        <w:rPr>
          <w:lang w:val="fr-FR"/>
        </w:rPr>
        <w:t xml:space="preserve"> </w:t>
      </w:r>
    </w:p>
    <w:p w:rsidR="00317603" w:rsidRPr="00495482" w:rsidRDefault="00317603" w:rsidP="003C4F70">
      <w:pPr>
        <w:pStyle w:val="H23G"/>
        <w:rPr>
          <w:lang w:val="fr-FR" w:eastAsia="sl-SI"/>
        </w:rPr>
      </w:pPr>
      <w:r w:rsidRPr="00495482">
        <w:rPr>
          <w:lang w:val="fr-FR" w:eastAsia="sl-SI"/>
        </w:rPr>
        <w:tab/>
        <w:t>3.</w:t>
      </w:r>
      <w:r w:rsidRPr="00495482">
        <w:rPr>
          <w:lang w:val="fr-FR" w:eastAsia="sl-SI"/>
        </w:rPr>
        <w:tab/>
        <w:t>Protection de la maternité</w:t>
      </w:r>
    </w:p>
    <w:p w:rsidR="00317603" w:rsidRPr="00495482" w:rsidRDefault="00317603" w:rsidP="003C4F70">
      <w:pPr>
        <w:pStyle w:val="SingleTxtG"/>
        <w:rPr>
          <w:lang w:val="fr-FR"/>
        </w:rPr>
      </w:pPr>
      <w:r w:rsidRPr="00495482">
        <w:rPr>
          <w:lang w:val="fr-FR"/>
        </w:rPr>
        <w:t>123.</w:t>
      </w:r>
      <w:r w:rsidRPr="00495482">
        <w:rPr>
          <w:lang w:val="fr-FR"/>
        </w:rPr>
        <w:tab/>
        <w:t>Depuis le dernier rapport</w:t>
      </w:r>
      <w:r w:rsidR="005D0F0F" w:rsidRPr="00495482">
        <w:rPr>
          <w:lang w:val="fr-FR"/>
        </w:rPr>
        <w:t>,</w:t>
      </w:r>
      <w:r w:rsidRPr="00495482">
        <w:rPr>
          <w:lang w:val="fr-FR"/>
        </w:rPr>
        <w:t xml:space="preserve"> la loi sur les relations professionnelles de 2007 a été modifiée: elle étend la protection contre les licenciements ou la cessation d</w:t>
      </w:r>
      <w:r w:rsidR="005D0F0F" w:rsidRPr="00495482">
        <w:rPr>
          <w:lang w:val="fr-FR"/>
        </w:rPr>
        <w:t>’</w:t>
      </w:r>
      <w:r w:rsidRPr="00495482">
        <w:rPr>
          <w:lang w:val="fr-FR"/>
        </w:rPr>
        <w:t>activité aux</w:t>
      </w:r>
      <w:r w:rsidR="003D1A4F" w:rsidRPr="00495482">
        <w:rPr>
          <w:lang w:val="fr-FR"/>
        </w:rPr>
        <w:t xml:space="preserve"> </w:t>
      </w:r>
      <w:r w:rsidRPr="00495482">
        <w:rPr>
          <w:lang w:val="fr-FR"/>
        </w:rPr>
        <w:t>salariées pendant leur grossesse et toute la durée de l</w:t>
      </w:r>
      <w:r w:rsidR="005D0F0F" w:rsidRPr="00495482">
        <w:rPr>
          <w:lang w:val="fr-FR"/>
        </w:rPr>
        <w:t>’</w:t>
      </w:r>
      <w:r w:rsidRPr="00495482">
        <w:rPr>
          <w:lang w:val="fr-FR"/>
        </w:rPr>
        <w:t>allaitement de leur enfant</w:t>
      </w:r>
      <w:r w:rsidR="005D0F0F" w:rsidRPr="00495482">
        <w:rPr>
          <w:lang w:val="fr-FR"/>
        </w:rPr>
        <w:t>,</w:t>
      </w:r>
      <w:r w:rsidRPr="00495482">
        <w:rPr>
          <w:lang w:val="fr-FR"/>
        </w:rPr>
        <w:t xml:space="preserve"> et aux parents pendant le congé parental avec arrêt de travail complet et un mois après l</w:t>
      </w:r>
      <w:r w:rsidR="005D0F0F" w:rsidRPr="00495482">
        <w:rPr>
          <w:lang w:val="fr-FR"/>
        </w:rPr>
        <w:t>’</w:t>
      </w:r>
      <w:r w:rsidRPr="00495482">
        <w:rPr>
          <w:lang w:val="fr-FR"/>
        </w:rPr>
        <w:t>expiration de ce congé. La loi sur les relations professionnelles impose à l</w:t>
      </w:r>
      <w:r w:rsidR="005D0F0F" w:rsidRPr="00495482">
        <w:rPr>
          <w:lang w:val="fr-FR"/>
        </w:rPr>
        <w:t>’</w:t>
      </w:r>
      <w:r w:rsidRPr="00495482">
        <w:rPr>
          <w:lang w:val="fr-FR"/>
        </w:rPr>
        <w:t>employeur de garantir à son employé le droit à un arrêt de travail complet ou partiel à des fins de congé parental</w:t>
      </w:r>
      <w:r w:rsidR="005D0F0F" w:rsidRPr="00495482">
        <w:rPr>
          <w:lang w:val="fr-FR"/>
        </w:rPr>
        <w:t>,</w:t>
      </w:r>
      <w:r w:rsidRPr="00495482">
        <w:rPr>
          <w:lang w:val="fr-FR"/>
        </w:rPr>
        <w:t xml:space="preserve"> énoncé dans la loi sur la protection parentale et les prestations familiales. </w:t>
      </w:r>
    </w:p>
    <w:p w:rsidR="00317603" w:rsidRPr="00495482" w:rsidRDefault="00317603" w:rsidP="0038572C">
      <w:pPr>
        <w:pStyle w:val="H23G"/>
        <w:rPr>
          <w:lang w:val="fr-FR" w:eastAsia="sl-SI"/>
        </w:rPr>
      </w:pPr>
      <w:r w:rsidRPr="00495482">
        <w:rPr>
          <w:lang w:val="fr-FR" w:eastAsia="sl-SI"/>
        </w:rPr>
        <w:tab/>
      </w:r>
      <w:r w:rsidRPr="00495482">
        <w:rPr>
          <w:lang w:val="fr-FR" w:eastAsia="sl-SI"/>
        </w:rPr>
        <w:tab/>
        <w:t>Prestations familiales</w:t>
      </w:r>
    </w:p>
    <w:p w:rsidR="00317603" w:rsidRPr="00495482" w:rsidRDefault="00317603" w:rsidP="003C4F70">
      <w:pPr>
        <w:pStyle w:val="SingleTxtG"/>
        <w:rPr>
          <w:lang w:val="fr-FR"/>
        </w:rPr>
      </w:pPr>
      <w:r w:rsidRPr="00495482">
        <w:rPr>
          <w:lang w:val="fr-FR"/>
        </w:rPr>
        <w:t>124.</w:t>
      </w:r>
      <w:r w:rsidRPr="00495482">
        <w:rPr>
          <w:lang w:val="fr-FR"/>
        </w:rPr>
        <w:tab/>
        <w:t>L</w:t>
      </w:r>
      <w:r w:rsidR="005D0F0F" w:rsidRPr="00495482">
        <w:rPr>
          <w:lang w:val="fr-FR"/>
        </w:rPr>
        <w:t>’</w:t>
      </w:r>
      <w:r w:rsidRPr="00495482">
        <w:rPr>
          <w:lang w:val="fr-FR"/>
        </w:rPr>
        <w:t>assurance protection parentale a été décrite dans la section du rapport initial relative à la sécurité sociale et aux prestations familiales</w:t>
      </w:r>
      <w:r w:rsidR="003D1A4F" w:rsidRPr="00495482">
        <w:rPr>
          <w:lang w:val="fr-FR"/>
        </w:rPr>
        <w:t xml:space="preserve"> </w:t>
      </w:r>
      <w:r w:rsidRPr="00495482">
        <w:rPr>
          <w:lang w:val="fr-FR"/>
        </w:rPr>
        <w:t>(</w:t>
      </w:r>
      <w:r w:rsidR="00210F9A" w:rsidRPr="00495482">
        <w:rPr>
          <w:lang w:val="fr-FR"/>
        </w:rPr>
        <w:t>par. </w:t>
      </w:r>
      <w:r w:rsidRPr="00495482">
        <w:rPr>
          <w:lang w:val="fr-FR"/>
        </w:rPr>
        <w:t>545 à 570).</w:t>
      </w:r>
    </w:p>
    <w:p w:rsidR="00317603" w:rsidRPr="00495482" w:rsidRDefault="00317603" w:rsidP="003C4F70">
      <w:pPr>
        <w:pStyle w:val="SingleTxtG"/>
        <w:rPr>
          <w:lang w:val="fr-FR"/>
        </w:rPr>
      </w:pPr>
      <w:r w:rsidRPr="00495482">
        <w:rPr>
          <w:lang w:val="fr-FR"/>
        </w:rPr>
        <w:t>125.</w:t>
      </w:r>
      <w:r w:rsidRPr="00495482">
        <w:rPr>
          <w:lang w:val="fr-FR"/>
        </w:rPr>
        <w:tab/>
        <w:t>La loi sur la protection parentale et les prestations familiales</w:t>
      </w:r>
      <w:r w:rsidRPr="00495482">
        <w:rPr>
          <w:rStyle w:val="FootnoteReference"/>
        </w:rPr>
        <w:footnoteReference w:id="61"/>
      </w:r>
      <w:r w:rsidRPr="00495482">
        <w:rPr>
          <w:lang w:val="fr-FR"/>
        </w:rPr>
        <w:t xml:space="preserve"> énonce les prestations familiales existantes</w:t>
      </w:r>
      <w:r w:rsidR="005D0F0F" w:rsidRPr="00495482">
        <w:rPr>
          <w:lang w:val="fr-FR"/>
        </w:rPr>
        <w:t>,</w:t>
      </w:r>
      <w:r w:rsidRPr="00495482">
        <w:rPr>
          <w:lang w:val="fr-FR"/>
        </w:rPr>
        <w:t xml:space="preserve"> à savoir</w:t>
      </w:r>
      <w:r w:rsidR="005D0F0F" w:rsidRPr="00495482">
        <w:rPr>
          <w:lang w:val="fr-FR"/>
        </w:rPr>
        <w:t>:</w:t>
      </w:r>
      <w:r w:rsidRPr="00495482">
        <w:rPr>
          <w:lang w:val="fr-FR"/>
        </w:rPr>
        <w:t xml:space="preserve"> l</w:t>
      </w:r>
      <w:r w:rsidR="005D0F0F" w:rsidRPr="00495482">
        <w:rPr>
          <w:lang w:val="fr-FR"/>
        </w:rPr>
        <w:t>’</w:t>
      </w:r>
      <w:r w:rsidRPr="00495482">
        <w:rPr>
          <w:lang w:val="fr-FR"/>
        </w:rPr>
        <w:t>allocation parentale</w:t>
      </w:r>
      <w:r w:rsidR="005D0F0F" w:rsidRPr="00495482">
        <w:rPr>
          <w:lang w:val="fr-FR"/>
        </w:rPr>
        <w:t>,</w:t>
      </w:r>
      <w:r w:rsidRPr="00495482">
        <w:rPr>
          <w:lang w:val="fr-FR"/>
        </w:rPr>
        <w:t xml:space="preserve"> l</w:t>
      </w:r>
      <w:r w:rsidR="005D0F0F" w:rsidRPr="00495482">
        <w:rPr>
          <w:lang w:val="fr-FR"/>
        </w:rPr>
        <w:t>’</w:t>
      </w:r>
      <w:r w:rsidRPr="00495482">
        <w:rPr>
          <w:lang w:val="fr-FR"/>
        </w:rPr>
        <w:t>allocation d</w:t>
      </w:r>
      <w:r w:rsidR="005D0F0F" w:rsidRPr="00495482">
        <w:rPr>
          <w:lang w:val="fr-FR"/>
        </w:rPr>
        <w:t>’</w:t>
      </w:r>
      <w:r w:rsidRPr="00495482">
        <w:rPr>
          <w:lang w:val="fr-FR"/>
        </w:rPr>
        <w:t>assistance à l</w:t>
      </w:r>
      <w:r w:rsidR="005D0F0F" w:rsidRPr="00495482">
        <w:rPr>
          <w:lang w:val="fr-FR"/>
        </w:rPr>
        <w:t>’</w:t>
      </w:r>
      <w:r w:rsidRPr="00495482">
        <w:rPr>
          <w:lang w:val="fr-FR"/>
        </w:rPr>
        <w:t>accouchement</w:t>
      </w:r>
      <w:r w:rsidR="005D0F0F" w:rsidRPr="00495482">
        <w:rPr>
          <w:lang w:val="fr-FR"/>
        </w:rPr>
        <w:t>,</w:t>
      </w:r>
      <w:r w:rsidRPr="00495482">
        <w:rPr>
          <w:lang w:val="fr-FR"/>
        </w:rPr>
        <w:t xml:space="preserve"> l</w:t>
      </w:r>
      <w:r w:rsidR="005D0F0F" w:rsidRPr="00495482">
        <w:rPr>
          <w:lang w:val="fr-FR"/>
        </w:rPr>
        <w:t>’</w:t>
      </w:r>
      <w:r w:rsidRPr="00495482">
        <w:rPr>
          <w:lang w:val="fr-FR"/>
        </w:rPr>
        <w:t>allocation pour enfant à charge</w:t>
      </w:r>
      <w:r w:rsidR="005D0F0F" w:rsidRPr="00495482">
        <w:rPr>
          <w:lang w:val="fr-FR"/>
        </w:rPr>
        <w:t>,</w:t>
      </w:r>
      <w:r w:rsidRPr="00495482">
        <w:rPr>
          <w:lang w:val="fr-FR"/>
        </w:rPr>
        <w:t xml:space="preserve"> l</w:t>
      </w:r>
      <w:r w:rsidR="005D0F0F" w:rsidRPr="00495482">
        <w:rPr>
          <w:lang w:val="fr-FR"/>
        </w:rPr>
        <w:t>’</w:t>
      </w:r>
      <w:r w:rsidRPr="00495482">
        <w:rPr>
          <w:lang w:val="fr-FR"/>
        </w:rPr>
        <w:t>allocation pour famille nombreuse</w:t>
      </w:r>
      <w:r w:rsidR="005D0F0F" w:rsidRPr="00495482">
        <w:rPr>
          <w:lang w:val="fr-FR"/>
        </w:rPr>
        <w:t>,</w:t>
      </w:r>
      <w:r w:rsidRPr="00495482">
        <w:rPr>
          <w:lang w:val="fr-FR"/>
        </w:rPr>
        <w:t xml:space="preserve"> l</w:t>
      </w:r>
      <w:r w:rsidR="005D0F0F" w:rsidRPr="00495482">
        <w:rPr>
          <w:lang w:val="fr-FR"/>
        </w:rPr>
        <w:t>’</w:t>
      </w:r>
      <w:r w:rsidRPr="00495482">
        <w:rPr>
          <w:lang w:val="fr-FR"/>
        </w:rPr>
        <w:t>allocation</w:t>
      </w:r>
      <w:r w:rsidR="003D1A4F" w:rsidRPr="00495482">
        <w:rPr>
          <w:lang w:val="fr-FR"/>
        </w:rPr>
        <w:t xml:space="preserve"> </w:t>
      </w:r>
      <w:r w:rsidRPr="00495482">
        <w:rPr>
          <w:lang w:val="fr-FR"/>
        </w:rPr>
        <w:t>pour la garde d</w:t>
      </w:r>
      <w:r w:rsidR="005D0F0F" w:rsidRPr="00495482">
        <w:rPr>
          <w:lang w:val="fr-FR"/>
        </w:rPr>
        <w:t>’</w:t>
      </w:r>
      <w:r w:rsidRPr="00495482">
        <w:rPr>
          <w:lang w:val="fr-FR"/>
        </w:rPr>
        <w:t>enfants et la compensation partielle de la perte de revenus. Cette loi a été modifiée en 2006 et en 2008</w:t>
      </w:r>
      <w:r w:rsidR="005D0F0F" w:rsidRPr="00495482">
        <w:rPr>
          <w:lang w:val="fr-FR"/>
        </w:rPr>
        <w:t>,</w:t>
      </w:r>
      <w:r w:rsidRPr="00495482">
        <w:rPr>
          <w:lang w:val="fr-FR"/>
        </w:rPr>
        <w:t xml:space="preserve"> respectivement en ce qui concerne l</w:t>
      </w:r>
      <w:r w:rsidR="005D0F0F" w:rsidRPr="00495482">
        <w:rPr>
          <w:lang w:val="fr-FR"/>
        </w:rPr>
        <w:t>’</w:t>
      </w:r>
      <w:r w:rsidRPr="00495482">
        <w:rPr>
          <w:lang w:val="fr-FR"/>
        </w:rPr>
        <w:t>allocation pour famille nombreuse et l</w:t>
      </w:r>
      <w:r w:rsidR="005D0F0F" w:rsidRPr="00495482">
        <w:rPr>
          <w:lang w:val="fr-FR"/>
        </w:rPr>
        <w:t>’</w:t>
      </w:r>
      <w:r w:rsidRPr="00495482">
        <w:rPr>
          <w:lang w:val="fr-FR"/>
        </w:rPr>
        <w:t>allocation pour enfant à charge dont le montant nominal a été relevé de 8</w:t>
      </w:r>
      <w:r w:rsidR="005D0F0F" w:rsidRPr="00495482">
        <w:rPr>
          <w:lang w:val="fr-FR"/>
        </w:rPr>
        <w:t>,</w:t>
      </w:r>
      <w:r w:rsidRPr="00495482">
        <w:rPr>
          <w:lang w:val="fr-FR"/>
        </w:rPr>
        <w:t>4% (janvier 2008)</w:t>
      </w:r>
      <w:r w:rsidR="005D0F0F" w:rsidRPr="00495482">
        <w:rPr>
          <w:lang w:val="fr-FR"/>
        </w:rPr>
        <w:t>,</w:t>
      </w:r>
      <w:r w:rsidRPr="00495482">
        <w:rPr>
          <w:lang w:val="fr-FR"/>
        </w:rPr>
        <w:t xml:space="preserve"> outre la réévaluation ordinaire de 3</w:t>
      </w:r>
      <w:r w:rsidR="005D0F0F" w:rsidRPr="00495482">
        <w:rPr>
          <w:lang w:val="fr-FR"/>
        </w:rPr>
        <w:t>,</w:t>
      </w:r>
      <w:r w:rsidRPr="00495482">
        <w:rPr>
          <w:lang w:val="fr-FR"/>
        </w:rPr>
        <w:t>6%. Le Gouvernement slovène a consacré 246 38</w:t>
      </w:r>
      <w:r w:rsidR="003C4F70">
        <w:rPr>
          <w:lang w:val="fr-FR"/>
        </w:rPr>
        <w:t> </w:t>
      </w:r>
      <w:r w:rsidRPr="00495482">
        <w:rPr>
          <w:lang w:val="fr-FR"/>
        </w:rPr>
        <w:t>555</w:t>
      </w:r>
      <w:r w:rsidR="00210F9A" w:rsidRPr="00495482">
        <w:rPr>
          <w:lang w:val="fr-FR"/>
        </w:rPr>
        <w:t> euros</w:t>
      </w:r>
      <w:r w:rsidRPr="00495482">
        <w:rPr>
          <w:lang w:val="fr-FR"/>
        </w:rPr>
        <w:t xml:space="preserve"> aux allocation</w:t>
      </w:r>
      <w:r w:rsidR="003C4F70">
        <w:rPr>
          <w:lang w:val="fr-FR"/>
        </w:rPr>
        <w:t>s familiales en 2007 et 278 663 </w:t>
      </w:r>
      <w:r w:rsidRPr="00495482">
        <w:rPr>
          <w:lang w:val="fr-FR"/>
        </w:rPr>
        <w:t>498</w:t>
      </w:r>
      <w:r w:rsidR="00210F9A" w:rsidRPr="00495482">
        <w:rPr>
          <w:lang w:val="fr-FR"/>
        </w:rPr>
        <w:t> euros</w:t>
      </w:r>
      <w:r w:rsidRPr="00495482">
        <w:rPr>
          <w:lang w:val="fr-FR"/>
        </w:rPr>
        <w:t xml:space="preserve"> en 2008</w:t>
      </w:r>
      <w:r w:rsidR="005D0F0F" w:rsidRPr="00495482">
        <w:rPr>
          <w:lang w:val="fr-FR"/>
        </w:rPr>
        <w:t>,</w:t>
      </w:r>
      <w:r w:rsidRPr="00495482">
        <w:rPr>
          <w:lang w:val="fr-FR"/>
        </w:rPr>
        <w:t xml:space="preserve"> soit une augmentation de 32 28</w:t>
      </w:r>
      <w:r w:rsidR="003C4F70">
        <w:rPr>
          <w:lang w:val="fr-FR"/>
        </w:rPr>
        <w:t> </w:t>
      </w:r>
      <w:r w:rsidRPr="00495482">
        <w:rPr>
          <w:lang w:val="fr-FR"/>
        </w:rPr>
        <w:t>943</w:t>
      </w:r>
      <w:r w:rsidR="00210F9A" w:rsidRPr="00495482">
        <w:rPr>
          <w:lang w:val="fr-FR"/>
        </w:rPr>
        <w:t> euros</w:t>
      </w:r>
      <w:r w:rsidRPr="00495482">
        <w:rPr>
          <w:lang w:val="fr-FR"/>
        </w:rPr>
        <w:t>. En 2009</w:t>
      </w:r>
      <w:r w:rsidR="005D0F0F" w:rsidRPr="00495482">
        <w:rPr>
          <w:lang w:val="fr-FR"/>
        </w:rPr>
        <w:t>,</w:t>
      </w:r>
      <w:r w:rsidR="003C4F70">
        <w:rPr>
          <w:lang w:val="fr-FR"/>
        </w:rPr>
        <w:t xml:space="preserve"> 225 495 </w:t>
      </w:r>
      <w:r w:rsidRPr="00495482">
        <w:rPr>
          <w:lang w:val="fr-FR"/>
        </w:rPr>
        <w:t>bénéficiaires en moyenne ont perçu des allocations familiales mensuelles. Leur nombre a augmenté de 238 par rapport à l</w:t>
      </w:r>
      <w:r w:rsidR="005D0F0F" w:rsidRPr="00495482">
        <w:rPr>
          <w:lang w:val="fr-FR"/>
        </w:rPr>
        <w:t>’</w:t>
      </w:r>
      <w:r w:rsidRPr="00495482">
        <w:rPr>
          <w:lang w:val="fr-FR"/>
        </w:rPr>
        <w:t>année précédente et il a diminué de 2 036 par rapport à 2007 (voir tableaux à l</w:t>
      </w:r>
      <w:r w:rsidR="005D0F0F" w:rsidRPr="00495482">
        <w:rPr>
          <w:lang w:val="fr-FR"/>
        </w:rPr>
        <w:t>’</w:t>
      </w:r>
      <w:r w:rsidRPr="00495482">
        <w:rPr>
          <w:lang w:val="fr-FR"/>
        </w:rPr>
        <w:t>annexe 1). Au cours des dernières années</w:t>
      </w:r>
      <w:r w:rsidR="005D0F0F" w:rsidRPr="00495482">
        <w:rPr>
          <w:lang w:val="fr-FR"/>
        </w:rPr>
        <w:t>,</w:t>
      </w:r>
      <w:r w:rsidRPr="00495482">
        <w:rPr>
          <w:lang w:val="fr-FR"/>
        </w:rPr>
        <w:t xml:space="preserve"> en moyenne 70% des enfants ont ainsi bénéficié de l</w:t>
      </w:r>
      <w:r w:rsidR="005D0F0F" w:rsidRPr="00495482">
        <w:rPr>
          <w:lang w:val="fr-FR"/>
        </w:rPr>
        <w:t>’</w:t>
      </w:r>
      <w:r w:rsidRPr="00495482">
        <w:rPr>
          <w:lang w:val="fr-FR"/>
        </w:rPr>
        <w:t xml:space="preserve">allocation pour enfant à charge. </w:t>
      </w:r>
    </w:p>
    <w:p w:rsidR="00317603" w:rsidRPr="00495482" w:rsidRDefault="00317603" w:rsidP="003C4F70">
      <w:pPr>
        <w:pStyle w:val="SingleTxtG"/>
        <w:rPr>
          <w:lang w:val="fr-FR"/>
        </w:rPr>
      </w:pPr>
      <w:r w:rsidRPr="00495482">
        <w:rPr>
          <w:lang w:val="fr-FR"/>
        </w:rPr>
        <w:t>126.</w:t>
      </w:r>
      <w:r w:rsidRPr="00495482">
        <w:rPr>
          <w:lang w:val="fr-FR"/>
        </w:rPr>
        <w:tab/>
        <w:t>Depuis 2007</w:t>
      </w:r>
      <w:r w:rsidR="005D0F0F" w:rsidRPr="00495482">
        <w:rPr>
          <w:lang w:val="fr-FR"/>
        </w:rPr>
        <w:t>,</w:t>
      </w:r>
      <w:r w:rsidRPr="00495482">
        <w:rPr>
          <w:lang w:val="fr-FR"/>
        </w:rPr>
        <w:t xml:space="preserve"> l</w:t>
      </w:r>
      <w:r w:rsidR="005D0F0F" w:rsidRPr="00495482">
        <w:rPr>
          <w:lang w:val="fr-FR"/>
        </w:rPr>
        <w:t>’</w:t>
      </w:r>
      <w:r w:rsidRPr="00495482">
        <w:rPr>
          <w:lang w:val="fr-FR"/>
        </w:rPr>
        <w:t>allocation pour famille nombreuse se situe à deux niveaux: un montant inférieur destiné aux familles de trois enfants</w:t>
      </w:r>
      <w:r w:rsidR="005D0F0F" w:rsidRPr="00495482">
        <w:rPr>
          <w:lang w:val="fr-FR"/>
        </w:rPr>
        <w:t>,</w:t>
      </w:r>
      <w:r w:rsidRPr="00495482">
        <w:rPr>
          <w:lang w:val="fr-FR"/>
        </w:rPr>
        <w:t xml:space="preserve"> et un montant supérieur pour celles de quatre enfants ou plus. Le nombre moyen de bénéficiaires augmente chaque année</w:t>
      </w:r>
      <w:r w:rsidR="005D0F0F" w:rsidRPr="00495482">
        <w:rPr>
          <w:lang w:val="fr-FR"/>
        </w:rPr>
        <w:t>,</w:t>
      </w:r>
      <w:r w:rsidRPr="00495482">
        <w:rPr>
          <w:lang w:val="fr-FR"/>
        </w:rPr>
        <w:t xml:space="preserve"> ainsi que les fonds consacrés à ce type d</w:t>
      </w:r>
      <w:r w:rsidR="005D0F0F" w:rsidRPr="00495482">
        <w:rPr>
          <w:lang w:val="fr-FR"/>
        </w:rPr>
        <w:t>’</w:t>
      </w:r>
      <w:r w:rsidRPr="00495482">
        <w:rPr>
          <w:lang w:val="fr-FR"/>
        </w:rPr>
        <w:t xml:space="preserve">allocation (voir tableaux en annexe 1). </w:t>
      </w:r>
    </w:p>
    <w:p w:rsidR="00317603" w:rsidRPr="00495482" w:rsidRDefault="00317603" w:rsidP="003C4F70">
      <w:pPr>
        <w:pStyle w:val="H23G"/>
        <w:rPr>
          <w:lang w:val="fr-FR" w:eastAsia="sl-SI"/>
        </w:rPr>
      </w:pPr>
      <w:r w:rsidRPr="00495482">
        <w:rPr>
          <w:lang w:val="fr-FR" w:eastAsia="sl-SI"/>
        </w:rPr>
        <w:tab/>
        <w:t>4.</w:t>
      </w:r>
      <w:r w:rsidRPr="00495482">
        <w:rPr>
          <w:lang w:val="fr-FR" w:eastAsia="sl-SI"/>
        </w:rPr>
        <w:tab/>
        <w:t xml:space="preserve">Protection des enfants et des adolescents dans le domaine des relations familiales </w:t>
      </w:r>
    </w:p>
    <w:p w:rsidR="00317603" w:rsidRPr="00495482" w:rsidRDefault="00317603" w:rsidP="003C4F70">
      <w:pPr>
        <w:pStyle w:val="SingleTxtG"/>
        <w:keepNext/>
        <w:rPr>
          <w:lang w:val="fr-FR"/>
        </w:rPr>
      </w:pPr>
      <w:r w:rsidRPr="00495482">
        <w:rPr>
          <w:lang w:val="fr-FR"/>
        </w:rPr>
        <w:t>127.</w:t>
      </w:r>
      <w:r w:rsidRPr="00495482">
        <w:rPr>
          <w:lang w:val="fr-FR"/>
        </w:rPr>
        <w:tab/>
        <w:t>La loi sur le mariage et les relations familiales</w:t>
      </w:r>
      <w:r w:rsidRPr="00495482">
        <w:rPr>
          <w:rStyle w:val="FootnoteReference"/>
        </w:rPr>
        <w:footnoteReference w:id="62"/>
      </w:r>
      <w:r w:rsidRPr="00495482">
        <w:rPr>
          <w:lang w:val="fr-FR"/>
        </w:rPr>
        <w:t xml:space="preserve"> a été modifiée en 2004 pour mieux défendre les intérêts de l</w:t>
      </w:r>
      <w:r w:rsidR="005D0F0F" w:rsidRPr="00495482">
        <w:rPr>
          <w:lang w:val="fr-FR"/>
        </w:rPr>
        <w:t>’</w:t>
      </w:r>
      <w:r w:rsidRPr="00495482">
        <w:rPr>
          <w:lang w:val="fr-FR"/>
        </w:rPr>
        <w:t>enfant et également parce qu</w:t>
      </w:r>
      <w:r w:rsidR="005D0F0F" w:rsidRPr="00495482">
        <w:rPr>
          <w:lang w:val="fr-FR"/>
        </w:rPr>
        <w:t>’</w:t>
      </w:r>
      <w:r w:rsidRPr="00495482">
        <w:rPr>
          <w:lang w:val="fr-FR"/>
        </w:rPr>
        <w:t>elle comportait une incompatibilité avec la Constitution slovène constatée lors d</w:t>
      </w:r>
      <w:r w:rsidR="005D0F0F" w:rsidRPr="00495482">
        <w:rPr>
          <w:lang w:val="fr-FR"/>
        </w:rPr>
        <w:t>’</w:t>
      </w:r>
      <w:r w:rsidRPr="00495482">
        <w:rPr>
          <w:lang w:val="fr-FR"/>
        </w:rPr>
        <w:t>une procédure de révision de la constitutionnalité</w:t>
      </w:r>
      <w:r w:rsidR="005D0F0F" w:rsidRPr="00495482">
        <w:rPr>
          <w:lang w:val="fr-FR"/>
        </w:rPr>
        <w:t>,</w:t>
      </w:r>
      <w:r w:rsidRPr="00495482">
        <w:rPr>
          <w:lang w:val="fr-FR"/>
        </w:rPr>
        <w:t xml:space="preserve"> par la décision </w:t>
      </w:r>
      <w:r w:rsidR="00150B2F">
        <w:rPr>
          <w:szCs w:val="18"/>
        </w:rPr>
        <w:t>n</w:t>
      </w:r>
      <w:r w:rsidR="00150B2F" w:rsidRPr="001B12ED">
        <w:rPr>
          <w:szCs w:val="18"/>
          <w:vertAlign w:val="superscript"/>
          <w:lang w:val="fr-FR"/>
        </w:rPr>
        <w:t>o</w:t>
      </w:r>
      <w:r w:rsidR="00150B2F">
        <w:rPr>
          <w:szCs w:val="18"/>
        </w:rPr>
        <w:t> </w:t>
      </w:r>
      <w:r w:rsidRPr="00495482">
        <w:rPr>
          <w:lang w:val="fr-FR"/>
        </w:rPr>
        <w:t>U-I-312/00-40 de la Cour constitutionnelle de la République de Slovénie. Les principales</w:t>
      </w:r>
      <w:r w:rsidR="003D1A4F" w:rsidRPr="00495482">
        <w:rPr>
          <w:lang w:val="fr-FR"/>
        </w:rPr>
        <w:t xml:space="preserve"> </w:t>
      </w:r>
      <w:r w:rsidRPr="00495482">
        <w:rPr>
          <w:lang w:val="fr-FR"/>
        </w:rPr>
        <w:t xml:space="preserve">modifications apportées à la loi sont les suivantes: </w:t>
      </w:r>
    </w:p>
    <w:p w:rsidR="00317603" w:rsidRPr="00495482" w:rsidRDefault="00317603" w:rsidP="003C4F70">
      <w:pPr>
        <w:pStyle w:val="Bullet1G"/>
        <w:rPr>
          <w:lang w:val="fr-FR" w:eastAsia="sl-SI"/>
        </w:rPr>
      </w:pPr>
      <w:r w:rsidRPr="00495482">
        <w:rPr>
          <w:lang w:val="fr-FR" w:eastAsia="sl-SI"/>
        </w:rPr>
        <w:t>Les questions relatives aux relations familiales d</w:t>
      </w:r>
      <w:r w:rsidR="005D0F0F" w:rsidRPr="00495482">
        <w:rPr>
          <w:lang w:val="fr-FR" w:eastAsia="sl-SI"/>
        </w:rPr>
        <w:t>’</w:t>
      </w:r>
      <w:r w:rsidRPr="00495482">
        <w:rPr>
          <w:lang w:val="fr-FR" w:eastAsia="sl-SI"/>
        </w:rPr>
        <w:t>un enfant</w:t>
      </w:r>
      <w:r w:rsidR="005D0F0F" w:rsidRPr="00495482">
        <w:rPr>
          <w:lang w:val="fr-FR" w:eastAsia="sl-SI"/>
        </w:rPr>
        <w:t>,</w:t>
      </w:r>
      <w:r w:rsidRPr="00495482">
        <w:rPr>
          <w:lang w:val="fr-FR" w:eastAsia="sl-SI"/>
        </w:rPr>
        <w:t xml:space="preserve"> confiées auparavant aux centres d</w:t>
      </w:r>
      <w:r w:rsidR="005D0F0F" w:rsidRPr="00495482">
        <w:rPr>
          <w:lang w:val="fr-FR" w:eastAsia="sl-SI"/>
        </w:rPr>
        <w:t>’</w:t>
      </w:r>
      <w:r w:rsidRPr="00495482">
        <w:rPr>
          <w:lang w:val="fr-FR" w:eastAsia="sl-SI"/>
        </w:rPr>
        <w:t>action sociale sont transférées aux tribunaux</w:t>
      </w:r>
      <w:r w:rsidR="005D0F0F" w:rsidRPr="00495482">
        <w:rPr>
          <w:lang w:val="fr-FR" w:eastAsia="sl-SI"/>
        </w:rPr>
        <w:t>,</w:t>
      </w:r>
      <w:r w:rsidRPr="00495482">
        <w:rPr>
          <w:lang w:val="fr-FR" w:eastAsia="sl-SI"/>
        </w:rPr>
        <w:t xml:space="preserve"> et la disposition concernant les relations entre un enfant et ses parents et d</w:t>
      </w:r>
      <w:r w:rsidR="005D0F0F" w:rsidRPr="00495482">
        <w:rPr>
          <w:lang w:val="fr-FR" w:eastAsia="sl-SI"/>
        </w:rPr>
        <w:t>’</w:t>
      </w:r>
      <w:r w:rsidR="008F7FB7" w:rsidRPr="00495482">
        <w:rPr>
          <w:lang w:val="fr-FR" w:eastAsia="sl-SI"/>
        </w:rPr>
        <w:t>autres personnes</w:t>
      </w:r>
      <w:r w:rsidR="003E0481">
        <w:rPr>
          <w:lang w:val="fr-FR" w:eastAsia="sl-SI"/>
        </w:rPr>
        <w:t xml:space="preserve"> </w:t>
      </w:r>
      <w:r w:rsidRPr="00495482">
        <w:rPr>
          <w:lang w:val="fr-FR" w:eastAsia="sl-SI"/>
        </w:rPr>
        <w:t xml:space="preserve">est modifiée; </w:t>
      </w:r>
    </w:p>
    <w:p w:rsidR="00317603" w:rsidRPr="00495482" w:rsidRDefault="00317603" w:rsidP="003C4F70">
      <w:pPr>
        <w:pStyle w:val="Bullet1G"/>
        <w:rPr>
          <w:position w:val="-2"/>
          <w:szCs w:val="22"/>
          <w:lang w:val="fr-FR" w:eastAsia="sl-SI"/>
        </w:rPr>
      </w:pPr>
      <w:r w:rsidRPr="00495482">
        <w:rPr>
          <w:lang w:val="fr-FR" w:eastAsia="sl-SI"/>
        </w:rPr>
        <w:t>La possibilité pour les enfants d</w:t>
      </w:r>
      <w:r w:rsidR="005D0F0F" w:rsidRPr="00495482">
        <w:rPr>
          <w:lang w:val="fr-FR" w:eastAsia="sl-SI"/>
        </w:rPr>
        <w:t>’</w:t>
      </w:r>
      <w:r w:rsidRPr="00495482">
        <w:rPr>
          <w:lang w:val="fr-FR" w:eastAsia="sl-SI"/>
        </w:rPr>
        <w:t>exprimer leur opinion;</w:t>
      </w:r>
      <w:r w:rsidR="003D1A4F" w:rsidRPr="00495482">
        <w:rPr>
          <w:lang w:val="fr-FR" w:eastAsia="sl-SI"/>
        </w:rPr>
        <w:t xml:space="preserve"> </w:t>
      </w:r>
    </w:p>
    <w:p w:rsidR="00317603" w:rsidRPr="00495482" w:rsidRDefault="00317603" w:rsidP="003C4F70">
      <w:pPr>
        <w:pStyle w:val="Bullet1G"/>
        <w:rPr>
          <w:position w:val="-2"/>
          <w:szCs w:val="22"/>
          <w:lang w:val="fr-FR" w:eastAsia="sl-SI"/>
        </w:rPr>
      </w:pPr>
      <w:r w:rsidRPr="00495482">
        <w:rPr>
          <w:lang w:val="fr-FR" w:eastAsia="sl-SI"/>
        </w:rPr>
        <w:t>La mise en place de la garde et de la protection conjointes d</w:t>
      </w:r>
      <w:r w:rsidR="005D0F0F" w:rsidRPr="00495482">
        <w:rPr>
          <w:lang w:val="fr-FR" w:eastAsia="sl-SI"/>
        </w:rPr>
        <w:t>’</w:t>
      </w:r>
      <w:r w:rsidRPr="00495482">
        <w:rPr>
          <w:lang w:val="fr-FR" w:eastAsia="sl-SI"/>
        </w:rPr>
        <w:t xml:space="preserve">un enfant; </w:t>
      </w:r>
    </w:p>
    <w:p w:rsidR="00317603" w:rsidRPr="00495482" w:rsidRDefault="00317603" w:rsidP="003C4F70">
      <w:pPr>
        <w:pStyle w:val="Bullet1G"/>
        <w:rPr>
          <w:position w:val="-2"/>
          <w:szCs w:val="22"/>
          <w:lang w:val="fr-FR" w:eastAsia="sl-SI"/>
        </w:rPr>
      </w:pPr>
      <w:r w:rsidRPr="00495482">
        <w:rPr>
          <w:lang w:val="fr-FR" w:eastAsia="sl-SI"/>
        </w:rPr>
        <w:t>L</w:t>
      </w:r>
      <w:r w:rsidR="005D0F0F" w:rsidRPr="00495482">
        <w:rPr>
          <w:lang w:val="fr-FR" w:eastAsia="sl-SI"/>
        </w:rPr>
        <w:t>’</w:t>
      </w:r>
      <w:r w:rsidRPr="00495482">
        <w:rPr>
          <w:lang w:val="fr-FR" w:eastAsia="sl-SI"/>
        </w:rPr>
        <w:t>exercice des droits parentaux.</w:t>
      </w:r>
    </w:p>
    <w:p w:rsidR="00317603" w:rsidRPr="00495482" w:rsidRDefault="00317603" w:rsidP="003C4F70">
      <w:pPr>
        <w:pStyle w:val="H23G"/>
        <w:rPr>
          <w:lang w:val="fr-FR" w:eastAsia="sl-SI"/>
        </w:rPr>
      </w:pPr>
      <w:r w:rsidRPr="00495482">
        <w:rPr>
          <w:lang w:val="fr-FR" w:eastAsia="sl-SI"/>
        </w:rPr>
        <w:tab/>
        <w:t>5.</w:t>
      </w:r>
      <w:r w:rsidRPr="00495482">
        <w:rPr>
          <w:lang w:val="fr-FR" w:eastAsia="sl-SI"/>
        </w:rPr>
        <w:tab/>
        <w:t xml:space="preserve">Protection des enfants et des adolescents dans le domaine de la législation du travail </w:t>
      </w:r>
    </w:p>
    <w:p w:rsidR="00317603" w:rsidRPr="00495482" w:rsidRDefault="00317603" w:rsidP="003C4F70">
      <w:pPr>
        <w:pStyle w:val="SingleTxtG"/>
        <w:rPr>
          <w:lang w:val="fr-FR"/>
        </w:rPr>
      </w:pPr>
      <w:r w:rsidRPr="00495482">
        <w:rPr>
          <w:lang w:val="fr-FR"/>
        </w:rPr>
        <w:t>128.</w:t>
      </w:r>
      <w:r w:rsidRPr="00495482">
        <w:rPr>
          <w:lang w:val="fr-FR"/>
        </w:rPr>
        <w:tab/>
        <w:t>La protection des mineurs dans le domaine de la législation du travail a déjà été exposée dans le rapport initial (</w:t>
      </w:r>
      <w:r w:rsidR="00210F9A" w:rsidRPr="00495482">
        <w:rPr>
          <w:lang w:val="fr-FR"/>
        </w:rPr>
        <w:t>par. </w:t>
      </w:r>
      <w:r w:rsidRPr="00495482">
        <w:rPr>
          <w:lang w:val="fr-FR"/>
        </w:rPr>
        <w:t>629 à 639).</w:t>
      </w:r>
    </w:p>
    <w:p w:rsidR="00317603" w:rsidRPr="00495482" w:rsidRDefault="00317603" w:rsidP="003C4F70">
      <w:pPr>
        <w:pStyle w:val="SingleTxtG"/>
        <w:rPr>
          <w:lang w:val="fr-FR"/>
        </w:rPr>
      </w:pPr>
      <w:r w:rsidRPr="00495482">
        <w:rPr>
          <w:lang w:val="fr-FR"/>
        </w:rPr>
        <w:t>129.</w:t>
      </w:r>
      <w:r w:rsidRPr="00495482">
        <w:rPr>
          <w:lang w:val="fr-FR"/>
        </w:rPr>
        <w:tab/>
        <w:t>Le Code pénal</w:t>
      </w:r>
      <w:r w:rsidRPr="00495482">
        <w:rPr>
          <w:rStyle w:val="FootnoteReference"/>
        </w:rPr>
        <w:footnoteReference w:id="63"/>
      </w:r>
      <w:r w:rsidRPr="00495482">
        <w:rPr>
          <w:lang w:val="fr-FR"/>
        </w:rPr>
        <w:t xml:space="preserve"> ne régit pas directement le travail forcé des enfants mais il met en place des dispositions relatives à la négligence et à la brutalité envers les enfants. Son </w:t>
      </w:r>
      <w:r w:rsidR="003C4F70">
        <w:rPr>
          <w:lang w:val="fr-FR"/>
        </w:rPr>
        <w:t>article </w:t>
      </w:r>
      <w:r w:rsidRPr="00495482">
        <w:rPr>
          <w:lang w:val="fr-FR"/>
        </w:rPr>
        <w:t>192 dispose ainsi que tout parent</w:t>
      </w:r>
      <w:r w:rsidR="005D0F0F" w:rsidRPr="00495482">
        <w:rPr>
          <w:lang w:val="fr-FR"/>
        </w:rPr>
        <w:t>,</w:t>
      </w:r>
      <w:r w:rsidRPr="00495482">
        <w:rPr>
          <w:lang w:val="fr-FR"/>
        </w:rPr>
        <w:t xml:space="preserve"> tuteur</w:t>
      </w:r>
      <w:r w:rsidR="005D0F0F" w:rsidRPr="00495482">
        <w:rPr>
          <w:lang w:val="fr-FR"/>
        </w:rPr>
        <w:t>,</w:t>
      </w:r>
      <w:r w:rsidRPr="00495482">
        <w:rPr>
          <w:lang w:val="fr-FR"/>
        </w:rPr>
        <w:t xml:space="preserve"> famille d</w:t>
      </w:r>
      <w:r w:rsidR="005D0F0F" w:rsidRPr="00495482">
        <w:rPr>
          <w:lang w:val="fr-FR"/>
        </w:rPr>
        <w:t>’</w:t>
      </w:r>
      <w:r w:rsidRPr="00495482">
        <w:rPr>
          <w:lang w:val="fr-FR"/>
        </w:rPr>
        <w:t>accueil</w:t>
      </w:r>
      <w:r w:rsidR="005D0F0F" w:rsidRPr="00495482">
        <w:rPr>
          <w:lang w:val="fr-FR"/>
        </w:rPr>
        <w:t>,</w:t>
      </w:r>
      <w:r w:rsidRPr="00495482">
        <w:rPr>
          <w:lang w:val="fr-FR"/>
        </w:rPr>
        <w:t xml:space="preserve"> ou autre personne</w:t>
      </w:r>
      <w:r w:rsidR="005D0F0F" w:rsidRPr="00495482">
        <w:rPr>
          <w:lang w:val="fr-FR"/>
        </w:rPr>
        <w:t>,</w:t>
      </w:r>
      <w:r w:rsidRPr="00495482">
        <w:rPr>
          <w:lang w:val="fr-FR"/>
        </w:rPr>
        <w:t xml:space="preserve"> qui contraint</w:t>
      </w:r>
      <w:r w:rsidR="003D1A4F" w:rsidRPr="00495482">
        <w:rPr>
          <w:lang w:val="fr-FR"/>
        </w:rPr>
        <w:t xml:space="preserve"> </w:t>
      </w:r>
      <w:r w:rsidRPr="00495482">
        <w:rPr>
          <w:lang w:val="fr-FR"/>
        </w:rPr>
        <w:t>un enfant à</w:t>
      </w:r>
      <w:r w:rsidR="003D1A4F" w:rsidRPr="00495482">
        <w:rPr>
          <w:lang w:val="fr-FR"/>
        </w:rPr>
        <w:t xml:space="preserve"> </w:t>
      </w:r>
      <w:r w:rsidRPr="00495482">
        <w:rPr>
          <w:lang w:val="fr-FR"/>
        </w:rPr>
        <w:t>travailler de façon excessive ou à accomplir des tâches inadaptées à son âge ou qui</w:t>
      </w:r>
      <w:r w:rsidR="005D0F0F" w:rsidRPr="00495482">
        <w:rPr>
          <w:lang w:val="fr-FR"/>
        </w:rPr>
        <w:t>,</w:t>
      </w:r>
      <w:r w:rsidRPr="00495482">
        <w:rPr>
          <w:lang w:val="fr-FR"/>
        </w:rPr>
        <w:t xml:space="preserve"> par intérêt personnel</w:t>
      </w:r>
      <w:r w:rsidR="005D0F0F" w:rsidRPr="00495482">
        <w:rPr>
          <w:lang w:val="fr-FR"/>
        </w:rPr>
        <w:t>,</w:t>
      </w:r>
      <w:r w:rsidRPr="00495482">
        <w:rPr>
          <w:lang w:val="fr-FR"/>
        </w:rPr>
        <w:t xml:space="preserve"> l</w:t>
      </w:r>
      <w:r w:rsidR="005D0F0F" w:rsidRPr="00495482">
        <w:rPr>
          <w:lang w:val="fr-FR"/>
        </w:rPr>
        <w:t>’</w:t>
      </w:r>
      <w:r w:rsidRPr="00495482">
        <w:rPr>
          <w:lang w:val="fr-FR"/>
        </w:rPr>
        <w:t>oblige à mendier ou à adopter un comportement préjudiciable à son développement</w:t>
      </w:r>
      <w:r w:rsidR="005D0F0F" w:rsidRPr="00495482">
        <w:rPr>
          <w:lang w:val="fr-FR"/>
        </w:rPr>
        <w:t>,</w:t>
      </w:r>
      <w:r w:rsidRPr="00495482">
        <w:rPr>
          <w:lang w:val="fr-FR"/>
        </w:rPr>
        <w:t xml:space="preserve"> ou le soumet à des brutalités ou à de mauvais traitements</w:t>
      </w:r>
      <w:r w:rsidR="005D0F0F" w:rsidRPr="00495482">
        <w:rPr>
          <w:lang w:val="fr-FR"/>
        </w:rPr>
        <w:t>,</w:t>
      </w:r>
      <w:r w:rsidRPr="00495482">
        <w:rPr>
          <w:lang w:val="fr-FR"/>
        </w:rPr>
        <w:t xml:space="preserve"> est passible d</w:t>
      </w:r>
      <w:r w:rsidR="005D0F0F" w:rsidRPr="00495482">
        <w:rPr>
          <w:lang w:val="fr-FR"/>
        </w:rPr>
        <w:t>’</w:t>
      </w:r>
      <w:r w:rsidRPr="00495482">
        <w:rPr>
          <w:lang w:val="fr-FR"/>
        </w:rPr>
        <w:t>une peine d</w:t>
      </w:r>
      <w:r w:rsidR="005D0F0F" w:rsidRPr="00495482">
        <w:rPr>
          <w:lang w:val="fr-FR"/>
        </w:rPr>
        <w:t>’</w:t>
      </w:r>
      <w:r w:rsidRPr="00495482">
        <w:rPr>
          <w:lang w:val="fr-FR"/>
        </w:rPr>
        <w:t>emprisonnement pouvant atteindre cinq</w:t>
      </w:r>
      <w:r w:rsidR="002328BD" w:rsidRPr="00495482">
        <w:rPr>
          <w:lang w:val="fr-FR"/>
        </w:rPr>
        <w:t> ans</w:t>
      </w:r>
      <w:r w:rsidRPr="00495482">
        <w:rPr>
          <w:lang w:val="fr-FR"/>
        </w:rPr>
        <w:t xml:space="preserve">. </w:t>
      </w:r>
    </w:p>
    <w:p w:rsidR="00317603" w:rsidRPr="00495482" w:rsidRDefault="00317603" w:rsidP="003C4F70">
      <w:pPr>
        <w:pStyle w:val="SingleTxtG"/>
        <w:rPr>
          <w:lang w:val="fr-FR"/>
        </w:rPr>
      </w:pPr>
      <w:r w:rsidRPr="00495482">
        <w:rPr>
          <w:lang w:val="fr-FR"/>
        </w:rPr>
        <w:t>130.</w:t>
      </w:r>
      <w:r w:rsidRPr="00495482">
        <w:rPr>
          <w:lang w:val="fr-FR"/>
        </w:rPr>
        <w:tab/>
        <w:t>En 2009</w:t>
      </w:r>
      <w:r w:rsidR="005D0F0F" w:rsidRPr="00495482">
        <w:rPr>
          <w:lang w:val="fr-FR"/>
        </w:rPr>
        <w:t>,</w:t>
      </w:r>
      <w:r w:rsidRPr="00495482">
        <w:rPr>
          <w:lang w:val="fr-FR"/>
        </w:rPr>
        <w:t xml:space="preserve"> l</w:t>
      </w:r>
      <w:r w:rsidR="005D0F0F" w:rsidRPr="00495482">
        <w:rPr>
          <w:lang w:val="fr-FR"/>
        </w:rPr>
        <w:t>’</w:t>
      </w:r>
      <w:r w:rsidRPr="00495482">
        <w:rPr>
          <w:lang w:val="fr-FR"/>
        </w:rPr>
        <w:t>inspection du travail n</w:t>
      </w:r>
      <w:r w:rsidR="005D0F0F" w:rsidRPr="00495482">
        <w:rPr>
          <w:lang w:val="fr-FR"/>
        </w:rPr>
        <w:t>’</w:t>
      </w:r>
      <w:r w:rsidRPr="00495482">
        <w:rPr>
          <w:lang w:val="fr-FR"/>
        </w:rPr>
        <w:t>a constaté qu</w:t>
      </w:r>
      <w:r w:rsidR="005D0F0F" w:rsidRPr="00495482">
        <w:rPr>
          <w:lang w:val="fr-FR"/>
        </w:rPr>
        <w:t>’</w:t>
      </w:r>
      <w:r w:rsidRPr="00495482">
        <w:rPr>
          <w:lang w:val="fr-FR"/>
        </w:rPr>
        <w:t>un nombre relativement restreint d</w:t>
      </w:r>
      <w:r w:rsidR="005D0F0F" w:rsidRPr="00495482">
        <w:rPr>
          <w:lang w:val="fr-FR"/>
        </w:rPr>
        <w:t>’</w:t>
      </w:r>
      <w:r w:rsidRPr="00495482">
        <w:rPr>
          <w:lang w:val="fr-FR"/>
        </w:rPr>
        <w:t>infractions touchant au travail de mineurs âgés de moins de 15</w:t>
      </w:r>
      <w:r w:rsidR="002328BD" w:rsidRPr="00495482">
        <w:rPr>
          <w:lang w:val="fr-FR"/>
        </w:rPr>
        <w:t> ans</w:t>
      </w:r>
      <w:r w:rsidR="005D0F0F" w:rsidRPr="00495482">
        <w:rPr>
          <w:lang w:val="fr-FR"/>
        </w:rPr>
        <w:t>,</w:t>
      </w:r>
      <w:r w:rsidRPr="00495482">
        <w:rPr>
          <w:lang w:val="fr-FR"/>
        </w:rPr>
        <w:t xml:space="preserve"> apprentis</w:t>
      </w:r>
      <w:r w:rsidR="005D0F0F" w:rsidRPr="00495482">
        <w:rPr>
          <w:lang w:val="fr-FR"/>
        </w:rPr>
        <w:t>,</w:t>
      </w:r>
      <w:r w:rsidRPr="00495482">
        <w:rPr>
          <w:lang w:val="fr-FR"/>
        </w:rPr>
        <w:t xml:space="preserve"> élèves et étudiants</w:t>
      </w:r>
      <w:r w:rsidR="005D0F0F" w:rsidRPr="00495482">
        <w:rPr>
          <w:lang w:val="fr-FR"/>
        </w:rPr>
        <w:t>,</w:t>
      </w:r>
      <w:r w:rsidRPr="00495482">
        <w:rPr>
          <w:lang w:val="fr-FR"/>
        </w:rPr>
        <w:t xml:space="preserve"> à savoir trois infractions. Une infraction concernant le travail de nuit d</w:t>
      </w:r>
      <w:r w:rsidR="005D0F0F" w:rsidRPr="00495482">
        <w:rPr>
          <w:lang w:val="fr-FR"/>
        </w:rPr>
        <w:t>’</w:t>
      </w:r>
      <w:r w:rsidRPr="00495482">
        <w:rPr>
          <w:lang w:val="fr-FR"/>
        </w:rPr>
        <w:t>élèves et d</w:t>
      </w:r>
      <w:r w:rsidR="005D0F0F" w:rsidRPr="00495482">
        <w:rPr>
          <w:lang w:val="fr-FR"/>
        </w:rPr>
        <w:t>’</w:t>
      </w:r>
      <w:r w:rsidRPr="00495482">
        <w:rPr>
          <w:lang w:val="fr-FR"/>
        </w:rPr>
        <w:t>étudiants a également été relevée en 2009.</w:t>
      </w:r>
      <w:r w:rsidR="003D1A4F" w:rsidRPr="00495482">
        <w:rPr>
          <w:lang w:val="fr-FR"/>
        </w:rPr>
        <w:t xml:space="preserve"> </w:t>
      </w:r>
    </w:p>
    <w:p w:rsidR="00317603" w:rsidRPr="00495482" w:rsidRDefault="00317603" w:rsidP="003C4F70">
      <w:pPr>
        <w:pStyle w:val="H23G"/>
        <w:rPr>
          <w:lang w:val="fr-FR" w:eastAsia="sl-SI"/>
        </w:rPr>
      </w:pPr>
      <w:r w:rsidRPr="00495482">
        <w:rPr>
          <w:lang w:val="fr-FR" w:eastAsia="sl-SI"/>
        </w:rPr>
        <w:tab/>
        <w:t>6.</w:t>
      </w:r>
      <w:r w:rsidRPr="00495482">
        <w:rPr>
          <w:lang w:val="fr-FR" w:eastAsia="sl-SI"/>
        </w:rPr>
        <w:tab/>
        <w:t>Demandeurs de protection internationale</w:t>
      </w:r>
    </w:p>
    <w:p w:rsidR="00317603" w:rsidRPr="00495482" w:rsidRDefault="00317603" w:rsidP="003C4F70">
      <w:pPr>
        <w:pStyle w:val="SingleTxtG"/>
        <w:rPr>
          <w:lang w:val="fr-FR"/>
        </w:rPr>
      </w:pPr>
      <w:r w:rsidRPr="00495482">
        <w:rPr>
          <w:lang w:val="fr-FR"/>
        </w:rPr>
        <w:t>131.</w:t>
      </w:r>
      <w:r w:rsidRPr="00495482">
        <w:rPr>
          <w:lang w:val="fr-FR"/>
        </w:rPr>
        <w:tab/>
        <w:t>La loi sur la protection internationale</w:t>
      </w:r>
      <w:r w:rsidRPr="00495482">
        <w:rPr>
          <w:rStyle w:val="FootnoteReference"/>
        </w:rPr>
        <w:footnoteReference w:id="64"/>
      </w:r>
      <w:r w:rsidRPr="00495482">
        <w:rPr>
          <w:lang w:val="fr-FR"/>
        </w:rPr>
        <w:t xml:space="preserve"> (appelée ci-après: la loi)</w:t>
      </w:r>
      <w:r w:rsidR="005D0F0F" w:rsidRPr="00495482">
        <w:rPr>
          <w:lang w:val="fr-FR"/>
        </w:rPr>
        <w:t>,</w:t>
      </w:r>
      <w:r w:rsidRPr="00495482">
        <w:rPr>
          <w:lang w:val="fr-FR"/>
        </w:rPr>
        <w:t xml:space="preserve"> entrée en vigueur en 2008</w:t>
      </w:r>
      <w:r w:rsidR="005D0F0F" w:rsidRPr="00495482">
        <w:rPr>
          <w:lang w:val="fr-FR"/>
        </w:rPr>
        <w:t>,</w:t>
      </w:r>
      <w:r w:rsidRPr="00495482">
        <w:rPr>
          <w:lang w:val="fr-FR"/>
        </w:rPr>
        <w:t xml:space="preserve"> énonce les droits des demandeurs de protection internationale. </w:t>
      </w:r>
    </w:p>
    <w:p w:rsidR="00317603" w:rsidRPr="00495482" w:rsidRDefault="00317603" w:rsidP="003C4F70">
      <w:pPr>
        <w:pStyle w:val="SingleTxtG"/>
        <w:rPr>
          <w:lang w:val="fr-FR"/>
        </w:rPr>
      </w:pPr>
      <w:r w:rsidRPr="00495482">
        <w:rPr>
          <w:lang w:val="fr-FR"/>
        </w:rPr>
        <w:t>132.</w:t>
      </w:r>
      <w:r w:rsidRPr="00495482">
        <w:rPr>
          <w:lang w:val="fr-FR"/>
        </w:rPr>
        <w:tab/>
        <w:t>Les demandeurs de protection internationale (appelés ci-après: demandeurs) ont un droit de résidence en République de Slovénie jusqu</w:t>
      </w:r>
      <w:r w:rsidR="005D0F0F" w:rsidRPr="00495482">
        <w:rPr>
          <w:lang w:val="fr-FR"/>
        </w:rPr>
        <w:t>’</w:t>
      </w:r>
      <w:r w:rsidRPr="00495482">
        <w:rPr>
          <w:lang w:val="fr-FR"/>
        </w:rPr>
        <w:t>au jugement de la procédure y relative qu</w:t>
      </w:r>
      <w:r w:rsidR="005D0F0F" w:rsidRPr="00495482">
        <w:rPr>
          <w:lang w:val="fr-FR"/>
        </w:rPr>
        <w:t>’</w:t>
      </w:r>
      <w:r w:rsidRPr="00495482">
        <w:rPr>
          <w:lang w:val="fr-FR"/>
        </w:rPr>
        <w:t>ils peuvent suivre dans une langue qu</w:t>
      </w:r>
      <w:r w:rsidR="005D0F0F" w:rsidRPr="00495482">
        <w:rPr>
          <w:lang w:val="fr-FR"/>
        </w:rPr>
        <w:t>’</w:t>
      </w:r>
      <w:r w:rsidRPr="00495482">
        <w:rPr>
          <w:lang w:val="fr-FR"/>
        </w:rPr>
        <w:t>ils comprennent</w:t>
      </w:r>
      <w:r w:rsidR="005D0F0F" w:rsidRPr="00495482">
        <w:rPr>
          <w:lang w:val="fr-FR"/>
        </w:rPr>
        <w:t>;</w:t>
      </w:r>
      <w:r w:rsidRPr="00495482">
        <w:rPr>
          <w:lang w:val="fr-FR"/>
        </w:rPr>
        <w:t xml:space="preserve"> ils ont accès à l</w:t>
      </w:r>
      <w:r w:rsidR="005D0F0F" w:rsidRPr="00495482">
        <w:rPr>
          <w:lang w:val="fr-FR"/>
        </w:rPr>
        <w:t>’</w:t>
      </w:r>
      <w:r w:rsidRPr="00495482">
        <w:rPr>
          <w:lang w:val="fr-FR"/>
        </w:rPr>
        <w:t>information et aux services de santé de base s</w:t>
      </w:r>
      <w:r w:rsidR="005D0F0F" w:rsidRPr="00495482">
        <w:rPr>
          <w:lang w:val="fr-FR"/>
        </w:rPr>
        <w:t>’</w:t>
      </w:r>
      <w:r w:rsidRPr="00495482">
        <w:rPr>
          <w:lang w:val="fr-FR"/>
        </w:rPr>
        <w:t>ils résident dans un centre d</w:t>
      </w:r>
      <w:r w:rsidR="005D0F0F" w:rsidRPr="00495482">
        <w:rPr>
          <w:lang w:val="fr-FR"/>
        </w:rPr>
        <w:t>’</w:t>
      </w:r>
      <w:r w:rsidRPr="00495482">
        <w:rPr>
          <w:lang w:val="fr-FR"/>
        </w:rPr>
        <w:t>asile</w:t>
      </w:r>
      <w:r w:rsidR="005D0F0F" w:rsidRPr="00495482">
        <w:rPr>
          <w:lang w:val="fr-FR"/>
        </w:rPr>
        <w:t>,</w:t>
      </w:r>
      <w:r w:rsidRPr="00495482">
        <w:rPr>
          <w:lang w:val="fr-FR"/>
        </w:rPr>
        <w:t xml:space="preserve"> (l</w:t>
      </w:r>
      <w:r w:rsidR="005D0F0F" w:rsidRPr="00495482">
        <w:rPr>
          <w:lang w:val="fr-FR"/>
        </w:rPr>
        <w:t>’</w:t>
      </w:r>
      <w:r w:rsidRPr="00495482">
        <w:rPr>
          <w:lang w:val="fr-FR"/>
        </w:rPr>
        <w:t>État leur fournit l</w:t>
      </w:r>
      <w:r w:rsidR="005D0F0F" w:rsidRPr="00495482">
        <w:rPr>
          <w:lang w:val="fr-FR"/>
        </w:rPr>
        <w:t>’</w:t>
      </w:r>
      <w:r w:rsidRPr="00495482">
        <w:rPr>
          <w:lang w:val="fr-FR"/>
        </w:rPr>
        <w:t>hébergement</w:t>
      </w:r>
      <w:r w:rsidR="005D0F0F" w:rsidRPr="00495482">
        <w:rPr>
          <w:lang w:val="fr-FR"/>
        </w:rPr>
        <w:t>,</w:t>
      </w:r>
      <w:r w:rsidR="003D1A4F" w:rsidRPr="00495482">
        <w:rPr>
          <w:lang w:val="fr-FR"/>
        </w:rPr>
        <w:t xml:space="preserve"> </w:t>
      </w:r>
      <w:r w:rsidRPr="00495482">
        <w:rPr>
          <w:lang w:val="fr-FR"/>
        </w:rPr>
        <w:t>la nourriture</w:t>
      </w:r>
      <w:r w:rsidR="005D0F0F" w:rsidRPr="00495482">
        <w:rPr>
          <w:lang w:val="fr-FR"/>
        </w:rPr>
        <w:t>,</w:t>
      </w:r>
      <w:r w:rsidRPr="00495482">
        <w:rPr>
          <w:lang w:val="fr-FR"/>
        </w:rPr>
        <w:t xml:space="preserve"> des vêtements</w:t>
      </w:r>
      <w:r w:rsidR="005D0F0F" w:rsidRPr="00495482">
        <w:rPr>
          <w:lang w:val="fr-FR"/>
        </w:rPr>
        <w:t>,</w:t>
      </w:r>
      <w:r w:rsidRPr="00495482">
        <w:rPr>
          <w:lang w:val="fr-FR"/>
        </w:rPr>
        <w:t xml:space="preserve"> des chaussures et des accessoires d</w:t>
      </w:r>
      <w:r w:rsidR="005D0F0F" w:rsidRPr="00495482">
        <w:rPr>
          <w:lang w:val="fr-FR"/>
        </w:rPr>
        <w:t>’</w:t>
      </w:r>
      <w:r w:rsidRPr="00495482">
        <w:rPr>
          <w:lang w:val="fr-FR"/>
        </w:rPr>
        <w:t>hygiène); ils ont droit à une aide financière s</w:t>
      </w:r>
      <w:r w:rsidR="005D0F0F" w:rsidRPr="00495482">
        <w:rPr>
          <w:lang w:val="fr-FR"/>
        </w:rPr>
        <w:t>’</w:t>
      </w:r>
      <w:r w:rsidRPr="00495482">
        <w:rPr>
          <w:lang w:val="fr-FR"/>
        </w:rPr>
        <w:t>ils sont logés à une adresse privée</w:t>
      </w:r>
      <w:r w:rsidR="005D0F0F" w:rsidRPr="00495482">
        <w:rPr>
          <w:lang w:val="fr-FR"/>
        </w:rPr>
        <w:t>,</w:t>
      </w:r>
      <w:r w:rsidRPr="00495482">
        <w:rPr>
          <w:lang w:val="fr-FR"/>
        </w:rPr>
        <w:t xml:space="preserve"> à une aide juridictionnelle gratuite</w:t>
      </w:r>
      <w:r w:rsidR="005D0F0F" w:rsidRPr="00495482">
        <w:rPr>
          <w:lang w:val="fr-FR"/>
        </w:rPr>
        <w:t>,</w:t>
      </w:r>
      <w:r w:rsidRPr="00495482">
        <w:rPr>
          <w:lang w:val="fr-FR"/>
        </w:rPr>
        <w:t xml:space="preserve"> à l</w:t>
      </w:r>
      <w:r w:rsidR="005D0F0F" w:rsidRPr="00495482">
        <w:rPr>
          <w:lang w:val="fr-FR"/>
        </w:rPr>
        <w:t>’</w:t>
      </w:r>
      <w:r w:rsidRPr="00495482">
        <w:rPr>
          <w:lang w:val="fr-FR"/>
        </w:rPr>
        <w:t>enseignement primaire obligatoire</w:t>
      </w:r>
      <w:r w:rsidR="005D0F0F" w:rsidRPr="00495482">
        <w:rPr>
          <w:lang w:val="fr-FR"/>
        </w:rPr>
        <w:t>,</w:t>
      </w:r>
      <w:r w:rsidRPr="00495482">
        <w:rPr>
          <w:lang w:val="fr-FR"/>
        </w:rPr>
        <w:t xml:space="preserve"> à l</w:t>
      </w:r>
      <w:r w:rsidR="005D0F0F" w:rsidRPr="00495482">
        <w:rPr>
          <w:lang w:val="fr-FR"/>
        </w:rPr>
        <w:t>’</w:t>
      </w:r>
      <w:r w:rsidRPr="00495482">
        <w:rPr>
          <w:lang w:val="fr-FR"/>
        </w:rPr>
        <w:t>enseignement professionnel</w:t>
      </w:r>
      <w:r w:rsidR="005D0F0F" w:rsidRPr="00495482">
        <w:rPr>
          <w:lang w:val="fr-FR"/>
        </w:rPr>
        <w:t>,</w:t>
      </w:r>
      <w:r w:rsidR="003D1A4F" w:rsidRPr="00495482">
        <w:rPr>
          <w:lang w:val="fr-FR"/>
        </w:rPr>
        <w:t xml:space="preserve"> </w:t>
      </w:r>
      <w:r w:rsidRPr="00495482">
        <w:rPr>
          <w:lang w:val="fr-FR"/>
        </w:rPr>
        <w:t>secondaire</w:t>
      </w:r>
      <w:r w:rsidR="005D0F0F" w:rsidRPr="00495482">
        <w:rPr>
          <w:lang w:val="fr-FR"/>
        </w:rPr>
        <w:t>,</w:t>
      </w:r>
      <w:r w:rsidRPr="00495482">
        <w:rPr>
          <w:lang w:val="fr-FR"/>
        </w:rPr>
        <w:t xml:space="preserve"> supérieur et universitaire</w:t>
      </w:r>
      <w:r w:rsidR="005D0F0F" w:rsidRPr="00495482">
        <w:rPr>
          <w:lang w:val="fr-FR"/>
        </w:rPr>
        <w:t>,</w:t>
      </w:r>
      <w:r w:rsidRPr="00495482">
        <w:rPr>
          <w:lang w:val="fr-FR"/>
        </w:rPr>
        <w:t xml:space="preserve"> dans les mêmes conditions que les ressortissants slovènes</w:t>
      </w:r>
      <w:r w:rsidR="005D0F0F" w:rsidRPr="00495482">
        <w:rPr>
          <w:lang w:val="fr-FR"/>
        </w:rPr>
        <w:t>,</w:t>
      </w:r>
      <w:r w:rsidRPr="00495482">
        <w:rPr>
          <w:lang w:val="fr-FR"/>
        </w:rPr>
        <w:t xml:space="preserve"> à l</w:t>
      </w:r>
      <w:r w:rsidR="005D0F0F" w:rsidRPr="00495482">
        <w:rPr>
          <w:lang w:val="fr-FR"/>
        </w:rPr>
        <w:t>’</w:t>
      </w:r>
      <w:r w:rsidRPr="00495482">
        <w:rPr>
          <w:lang w:val="fr-FR"/>
        </w:rPr>
        <w:t>aide médicale d</w:t>
      </w:r>
      <w:r w:rsidR="005D0F0F" w:rsidRPr="00495482">
        <w:rPr>
          <w:lang w:val="fr-FR"/>
        </w:rPr>
        <w:t>’</w:t>
      </w:r>
      <w:r w:rsidRPr="00495482">
        <w:rPr>
          <w:lang w:val="fr-FR"/>
        </w:rPr>
        <w:t>urgence et au transport d</w:t>
      </w:r>
      <w:r w:rsidR="005D0F0F" w:rsidRPr="00495482">
        <w:rPr>
          <w:lang w:val="fr-FR"/>
        </w:rPr>
        <w:t>’</w:t>
      </w:r>
      <w:r w:rsidRPr="00495482">
        <w:rPr>
          <w:lang w:val="fr-FR"/>
        </w:rPr>
        <w:t>urgence en ambulance sur décision médicale</w:t>
      </w:r>
      <w:r w:rsidR="005D0F0F" w:rsidRPr="00495482">
        <w:rPr>
          <w:lang w:val="fr-FR"/>
        </w:rPr>
        <w:t>,</w:t>
      </w:r>
      <w:r w:rsidRPr="00495482">
        <w:rPr>
          <w:lang w:val="fr-FR"/>
        </w:rPr>
        <w:t xml:space="preserve"> au traitement dentaire d</w:t>
      </w:r>
      <w:r w:rsidR="005D0F0F" w:rsidRPr="00495482">
        <w:rPr>
          <w:lang w:val="fr-FR"/>
        </w:rPr>
        <w:t>’</w:t>
      </w:r>
      <w:r w:rsidRPr="00495482">
        <w:rPr>
          <w:lang w:val="fr-FR"/>
        </w:rPr>
        <w:t>urgence</w:t>
      </w:r>
      <w:r w:rsidR="005D0F0F" w:rsidRPr="00495482">
        <w:rPr>
          <w:lang w:val="fr-FR"/>
        </w:rPr>
        <w:t>,</w:t>
      </w:r>
      <w:r w:rsidRPr="00495482">
        <w:rPr>
          <w:lang w:val="fr-FR"/>
        </w:rPr>
        <w:t xml:space="preserve"> au traitement médical d</w:t>
      </w:r>
      <w:r w:rsidR="005D0F0F" w:rsidRPr="00495482">
        <w:rPr>
          <w:lang w:val="fr-FR"/>
        </w:rPr>
        <w:t>’</w:t>
      </w:r>
      <w:r w:rsidRPr="00495482">
        <w:rPr>
          <w:lang w:val="fr-FR"/>
        </w:rPr>
        <w:t>urgence fondé sur la décision d</w:t>
      </w:r>
      <w:r w:rsidR="005D0F0F" w:rsidRPr="00495482">
        <w:rPr>
          <w:lang w:val="fr-FR"/>
        </w:rPr>
        <w:t>’</w:t>
      </w:r>
      <w:r w:rsidRPr="00495482">
        <w:rPr>
          <w:lang w:val="fr-FR"/>
        </w:rPr>
        <w:t>un médecin de leur choix</w:t>
      </w:r>
      <w:r w:rsidR="005D0F0F" w:rsidRPr="00495482">
        <w:rPr>
          <w:lang w:val="fr-FR"/>
        </w:rPr>
        <w:t>,</w:t>
      </w:r>
      <w:r w:rsidRPr="00495482">
        <w:rPr>
          <w:lang w:val="fr-FR"/>
        </w:rPr>
        <w:t xml:space="preserve"> aux soins de santé pour les femmes</w:t>
      </w:r>
      <w:r w:rsidR="005D0F0F" w:rsidRPr="00495482">
        <w:rPr>
          <w:lang w:val="fr-FR"/>
        </w:rPr>
        <w:t>,</w:t>
      </w:r>
      <w:r w:rsidRPr="00495482">
        <w:rPr>
          <w:lang w:val="fr-FR"/>
        </w:rPr>
        <w:t xml:space="preserve"> (les jeunes demandeurs sont habilités aux soins de santé dans les mêmes conditions que les ressortissants slovènes)</w:t>
      </w:r>
      <w:r w:rsidR="005D0F0F" w:rsidRPr="00495482">
        <w:rPr>
          <w:lang w:val="fr-FR"/>
        </w:rPr>
        <w:t>,</w:t>
      </w:r>
      <w:r w:rsidRPr="00495482">
        <w:rPr>
          <w:lang w:val="fr-FR"/>
        </w:rPr>
        <w:t xml:space="preserve"> au travail et à l</w:t>
      </w:r>
      <w:r w:rsidR="005D0F0F" w:rsidRPr="00495482">
        <w:rPr>
          <w:lang w:val="fr-FR"/>
        </w:rPr>
        <w:t>’</w:t>
      </w:r>
      <w:r w:rsidRPr="00495482">
        <w:rPr>
          <w:lang w:val="fr-FR"/>
        </w:rPr>
        <w:t>emploi (un an après avoir déposé leur demande de protection internationale)</w:t>
      </w:r>
      <w:r w:rsidR="005D0F0F" w:rsidRPr="00495482">
        <w:rPr>
          <w:lang w:val="fr-FR"/>
        </w:rPr>
        <w:t>,</w:t>
      </w:r>
      <w:r w:rsidRPr="00495482">
        <w:rPr>
          <w:lang w:val="fr-FR"/>
        </w:rPr>
        <w:t xml:space="preserve"> et à l</w:t>
      </w:r>
      <w:r w:rsidR="005D0F0F" w:rsidRPr="00495482">
        <w:rPr>
          <w:lang w:val="fr-FR"/>
        </w:rPr>
        <w:t>’</w:t>
      </w:r>
      <w:r w:rsidRPr="00495482">
        <w:rPr>
          <w:lang w:val="fr-FR"/>
        </w:rPr>
        <w:t xml:space="preserve">aide humanitaire. </w:t>
      </w:r>
    </w:p>
    <w:p w:rsidR="00317603" w:rsidRPr="00495482" w:rsidRDefault="00317603" w:rsidP="003C4F70">
      <w:pPr>
        <w:pStyle w:val="SingleTxtG"/>
        <w:rPr>
          <w:lang w:val="fr-FR"/>
        </w:rPr>
      </w:pPr>
      <w:r w:rsidRPr="00495482">
        <w:rPr>
          <w:lang w:val="fr-FR"/>
        </w:rPr>
        <w:t>133.</w:t>
      </w:r>
      <w:r w:rsidRPr="00495482">
        <w:rPr>
          <w:lang w:val="fr-FR"/>
        </w:rPr>
        <w:tab/>
        <w:t>La procédure d</w:t>
      </w:r>
      <w:r w:rsidR="005D0F0F" w:rsidRPr="00495482">
        <w:rPr>
          <w:lang w:val="fr-FR"/>
        </w:rPr>
        <w:t>’</w:t>
      </w:r>
      <w:r w:rsidRPr="00495482">
        <w:rPr>
          <w:lang w:val="fr-FR"/>
        </w:rPr>
        <w:t xml:space="preserve">octroi de la protection internationale accorde une attention particulière à la prise en charge des enfants non accompagnés et des mineurs demandeurs de protection internationale. </w:t>
      </w:r>
    </w:p>
    <w:p w:rsidR="00317603" w:rsidRPr="00495482" w:rsidRDefault="00317603" w:rsidP="003C4F70">
      <w:pPr>
        <w:pStyle w:val="SingleTxtG"/>
        <w:rPr>
          <w:lang w:val="fr-FR"/>
        </w:rPr>
      </w:pPr>
      <w:r w:rsidRPr="00495482">
        <w:rPr>
          <w:lang w:val="fr-FR"/>
        </w:rPr>
        <w:t>134.</w:t>
      </w:r>
      <w:r w:rsidRPr="00495482">
        <w:rPr>
          <w:lang w:val="fr-FR"/>
        </w:rPr>
        <w:tab/>
        <w:t>En juillet 2009</w:t>
      </w:r>
      <w:r w:rsidR="005D0F0F" w:rsidRPr="00495482">
        <w:rPr>
          <w:lang w:val="fr-FR"/>
        </w:rPr>
        <w:t>,</w:t>
      </w:r>
      <w:r w:rsidRPr="00495482">
        <w:rPr>
          <w:lang w:val="fr-FR"/>
        </w:rPr>
        <w:t xml:space="preserve"> l</w:t>
      </w:r>
      <w:r w:rsidR="005D0F0F" w:rsidRPr="00495482">
        <w:rPr>
          <w:lang w:val="fr-FR"/>
        </w:rPr>
        <w:t>’</w:t>
      </w:r>
      <w:r w:rsidRPr="00495482">
        <w:rPr>
          <w:lang w:val="fr-FR"/>
        </w:rPr>
        <w:t>Assemblée nationale de la République de Slovénie a adopté des amendements à la loi sur la protection internationale</w:t>
      </w:r>
      <w:r w:rsidR="005D0F0F" w:rsidRPr="00495482">
        <w:rPr>
          <w:lang w:val="fr-FR"/>
        </w:rPr>
        <w:t>,</w:t>
      </w:r>
      <w:r w:rsidRPr="00495482">
        <w:rPr>
          <w:lang w:val="fr-FR"/>
        </w:rPr>
        <w:t xml:space="preserve"> dont le plus important concerne les conditions d</w:t>
      </w:r>
      <w:r w:rsidR="005D0F0F" w:rsidRPr="00495482">
        <w:rPr>
          <w:lang w:val="fr-FR"/>
        </w:rPr>
        <w:t>’</w:t>
      </w:r>
      <w:r w:rsidRPr="00495482">
        <w:rPr>
          <w:lang w:val="fr-FR"/>
        </w:rPr>
        <w:t>installation en dehors d</w:t>
      </w:r>
      <w:r w:rsidR="005D0F0F" w:rsidRPr="00495482">
        <w:rPr>
          <w:lang w:val="fr-FR"/>
        </w:rPr>
        <w:t>’</w:t>
      </w:r>
      <w:r w:rsidRPr="00495482">
        <w:rPr>
          <w:lang w:val="fr-FR"/>
        </w:rPr>
        <w:t>un centre d</w:t>
      </w:r>
      <w:r w:rsidR="005D0F0F" w:rsidRPr="00495482">
        <w:rPr>
          <w:lang w:val="fr-FR"/>
        </w:rPr>
        <w:t>’</w:t>
      </w:r>
      <w:r w:rsidRPr="00495482">
        <w:rPr>
          <w:lang w:val="fr-FR"/>
        </w:rPr>
        <w:t>asile. En décembre 2010</w:t>
      </w:r>
      <w:r w:rsidR="005D0F0F" w:rsidRPr="00495482">
        <w:rPr>
          <w:lang w:val="fr-FR"/>
        </w:rPr>
        <w:t>,</w:t>
      </w:r>
      <w:r w:rsidRPr="00495482">
        <w:rPr>
          <w:lang w:val="fr-FR"/>
        </w:rPr>
        <w:t xml:space="preserve"> l</w:t>
      </w:r>
      <w:r w:rsidR="005D0F0F" w:rsidRPr="00495482">
        <w:rPr>
          <w:lang w:val="fr-FR"/>
        </w:rPr>
        <w:t>’</w:t>
      </w:r>
      <w:r w:rsidRPr="00495482">
        <w:rPr>
          <w:lang w:val="fr-FR"/>
        </w:rPr>
        <w:t>Assemblée nationale a adopté la loi portant modification de la loi sur la protection internationale qui étend les droits des demandeurs de protection internationale (droit à de l</w:t>
      </w:r>
      <w:r w:rsidR="005D0F0F" w:rsidRPr="00495482">
        <w:rPr>
          <w:lang w:val="fr-FR"/>
        </w:rPr>
        <w:t>’</w:t>
      </w:r>
      <w:r w:rsidRPr="00495482">
        <w:rPr>
          <w:lang w:val="fr-FR"/>
        </w:rPr>
        <w:t>argent de poche</w:t>
      </w:r>
      <w:r w:rsidR="005D0F0F" w:rsidRPr="00495482">
        <w:rPr>
          <w:lang w:val="fr-FR"/>
        </w:rPr>
        <w:t>,</w:t>
      </w:r>
      <w:r w:rsidRPr="00495482">
        <w:rPr>
          <w:lang w:val="fr-FR"/>
        </w:rPr>
        <w:t xml:space="preserve"> droit aux soins de santé pour les jeunes demandeurs</w:t>
      </w:r>
      <w:r w:rsidR="005D0F0F" w:rsidRPr="00495482">
        <w:rPr>
          <w:lang w:val="fr-FR"/>
        </w:rPr>
        <w:t>,</w:t>
      </w:r>
      <w:r w:rsidRPr="00495482">
        <w:rPr>
          <w:lang w:val="fr-FR"/>
        </w:rPr>
        <w:t xml:space="preserve"> dans des conditions identiques à celles des ressortissants slovènes</w:t>
      </w:r>
      <w:r w:rsidR="005D0F0F" w:rsidRPr="00495482">
        <w:rPr>
          <w:lang w:val="fr-FR"/>
        </w:rPr>
        <w:t>,</w:t>
      </w:r>
      <w:r w:rsidRPr="00495482">
        <w:rPr>
          <w:lang w:val="fr-FR"/>
        </w:rPr>
        <w:t xml:space="preserve"> définition plus précise de la notion de tutelle</w:t>
      </w:r>
      <w:r w:rsidR="005D0F0F" w:rsidRPr="00495482">
        <w:rPr>
          <w:lang w:val="fr-FR"/>
        </w:rPr>
        <w:t>,</w:t>
      </w:r>
      <w:r w:rsidRPr="00495482">
        <w:rPr>
          <w:lang w:val="fr-FR"/>
        </w:rPr>
        <w:t xml:space="preserve"> aide juridictionnelle gratuite lors des procédures avec le tribunal administratif et la Cour suprême de la République slovène</w:t>
      </w:r>
      <w:r w:rsidR="005D0F0F" w:rsidRPr="00495482">
        <w:rPr>
          <w:lang w:val="fr-FR"/>
        </w:rPr>
        <w:t>,</w:t>
      </w:r>
      <w:r w:rsidRPr="00495482">
        <w:rPr>
          <w:lang w:val="fr-FR"/>
        </w:rPr>
        <w:t xml:space="preserve"> et droit au travail neuf mois après la demande de protection).</w:t>
      </w:r>
      <w:r w:rsidR="003D1A4F" w:rsidRPr="00495482">
        <w:rPr>
          <w:lang w:val="fr-FR"/>
        </w:rPr>
        <w:t xml:space="preserve"> </w:t>
      </w:r>
    </w:p>
    <w:p w:rsidR="00317603" w:rsidRPr="00495482" w:rsidRDefault="00317603" w:rsidP="003C4F70">
      <w:pPr>
        <w:pStyle w:val="H23G"/>
        <w:rPr>
          <w:snapToGrid w:val="0"/>
          <w:lang w:val="fr-FR" w:eastAsia="sl-SI"/>
        </w:rPr>
      </w:pPr>
      <w:bookmarkStart w:id="29" w:name="_GoBack"/>
      <w:r w:rsidRPr="00495482">
        <w:rPr>
          <w:snapToGrid w:val="0"/>
          <w:lang w:val="fr-FR" w:eastAsia="sl-SI"/>
        </w:rPr>
        <w:tab/>
        <w:t>7.</w:t>
      </w:r>
      <w:r w:rsidRPr="00495482">
        <w:rPr>
          <w:snapToGrid w:val="0"/>
          <w:lang w:val="fr-FR" w:eastAsia="sl-SI"/>
        </w:rPr>
        <w:tab/>
        <w:t xml:space="preserve">Violence </w:t>
      </w:r>
      <w:bookmarkEnd w:id="29"/>
      <w:r w:rsidRPr="00495482">
        <w:rPr>
          <w:snapToGrid w:val="0"/>
          <w:lang w:val="fr-FR" w:eastAsia="sl-SI"/>
        </w:rPr>
        <w:t>familiale</w:t>
      </w:r>
    </w:p>
    <w:p w:rsidR="00317603" w:rsidRPr="00495482" w:rsidRDefault="00317603" w:rsidP="003C4F70">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34 des observations finales</w:t>
      </w:r>
      <w:r w:rsidR="003D1A4F" w:rsidRPr="00495482">
        <w:rPr>
          <w:lang w:val="fr-FR" w:eastAsia="sl-SI"/>
        </w:rPr>
        <w:t xml:space="preserve"> </w:t>
      </w:r>
    </w:p>
    <w:p w:rsidR="00317603" w:rsidRPr="00495482" w:rsidRDefault="00317603" w:rsidP="003C4F70">
      <w:pPr>
        <w:pStyle w:val="SingleTxtG"/>
        <w:rPr>
          <w:lang w:val="fr-FR" w:eastAsia="sl-SI"/>
        </w:rPr>
      </w:pPr>
      <w:r w:rsidRPr="00495482">
        <w:rPr>
          <w:lang w:val="fr-FR" w:eastAsia="sl-SI"/>
        </w:rPr>
        <w:t>135.</w:t>
      </w:r>
      <w:r w:rsidRPr="00495482">
        <w:rPr>
          <w:lang w:val="fr-FR" w:eastAsia="sl-SI"/>
        </w:rPr>
        <w:tab/>
        <w:t>En 2008</w:t>
      </w:r>
      <w:r w:rsidR="005D0F0F" w:rsidRPr="00495482">
        <w:rPr>
          <w:lang w:val="fr-FR" w:eastAsia="sl-SI"/>
        </w:rPr>
        <w:t>,</w:t>
      </w:r>
      <w:r w:rsidRPr="00495482">
        <w:rPr>
          <w:lang w:val="fr-FR" w:eastAsia="sl-SI"/>
        </w:rPr>
        <w:t xml:space="preserve"> la loi sur la prévention de la violence familiale</w:t>
      </w:r>
      <w:r w:rsidRPr="00495482">
        <w:rPr>
          <w:rStyle w:val="FootnoteReference"/>
        </w:rPr>
        <w:footnoteReference w:id="65"/>
      </w:r>
      <w:r w:rsidRPr="00495482">
        <w:rPr>
          <w:lang w:val="fr-FR" w:eastAsia="sl-SI"/>
        </w:rPr>
        <w:t xml:space="preserve"> qui donne une définition de ce type de violence</w:t>
      </w:r>
      <w:r w:rsidR="005D0F0F" w:rsidRPr="00495482">
        <w:rPr>
          <w:lang w:val="fr-FR" w:eastAsia="sl-SI"/>
        </w:rPr>
        <w:t>,</w:t>
      </w:r>
      <w:r w:rsidRPr="00495482">
        <w:rPr>
          <w:lang w:val="fr-FR" w:eastAsia="sl-SI"/>
        </w:rPr>
        <w:t xml:space="preserve"> a été adoptée. Elle a servi de socle au Ministère du travail</w:t>
      </w:r>
      <w:r w:rsidR="005D0F0F" w:rsidRPr="00495482">
        <w:rPr>
          <w:lang w:val="fr-FR" w:eastAsia="sl-SI"/>
        </w:rPr>
        <w:t>,</w:t>
      </w:r>
      <w:r w:rsidRPr="00495482">
        <w:rPr>
          <w:lang w:val="fr-FR" w:eastAsia="sl-SI"/>
        </w:rPr>
        <w:t xml:space="preserve"> de la famille et des affaires sociales</w:t>
      </w:r>
      <w:r w:rsidR="005D0F0F" w:rsidRPr="00495482">
        <w:rPr>
          <w:lang w:val="fr-FR" w:eastAsia="sl-SI"/>
        </w:rPr>
        <w:t>,</w:t>
      </w:r>
      <w:r w:rsidRPr="00495482">
        <w:rPr>
          <w:lang w:val="fr-FR" w:eastAsia="sl-SI"/>
        </w:rPr>
        <w:t xml:space="preserve"> au Ministère de l</w:t>
      </w:r>
      <w:r w:rsidR="005D0F0F" w:rsidRPr="00495482">
        <w:rPr>
          <w:lang w:val="fr-FR" w:eastAsia="sl-SI"/>
        </w:rPr>
        <w:t>’</w:t>
      </w:r>
      <w:r w:rsidRPr="00495482">
        <w:rPr>
          <w:lang w:val="fr-FR" w:eastAsia="sl-SI"/>
        </w:rPr>
        <w:t>intérieur et au Ministère de l</w:t>
      </w:r>
      <w:r w:rsidR="005D0F0F" w:rsidRPr="00495482">
        <w:rPr>
          <w:lang w:val="fr-FR" w:eastAsia="sl-SI"/>
        </w:rPr>
        <w:t>’</w:t>
      </w:r>
      <w:r w:rsidRPr="00495482">
        <w:rPr>
          <w:lang w:val="fr-FR" w:eastAsia="sl-SI"/>
        </w:rPr>
        <w:t xml:space="preserve">éducation et des sports pour publier respectivement les </w:t>
      </w:r>
      <w:r w:rsidR="00274387" w:rsidRPr="00495482">
        <w:rPr>
          <w:lang w:val="fr-FR" w:eastAsia="sl-SI"/>
        </w:rPr>
        <w:t>«</w:t>
      </w:r>
      <w:r w:rsidRPr="00495482">
        <w:rPr>
          <w:lang w:val="fr-FR" w:eastAsia="sl-SI"/>
        </w:rPr>
        <w:t>règles régissant la coopération des pouvoirs publics et les activités des centres d</w:t>
      </w:r>
      <w:r w:rsidR="005D0F0F" w:rsidRPr="00495482">
        <w:rPr>
          <w:lang w:val="fr-FR" w:eastAsia="sl-SI"/>
        </w:rPr>
        <w:t>’</w:t>
      </w:r>
      <w:r w:rsidRPr="00495482">
        <w:rPr>
          <w:lang w:val="fr-FR" w:eastAsia="sl-SI"/>
        </w:rPr>
        <w:t>action sociale</w:t>
      </w:r>
      <w:r w:rsidR="005D0F0F" w:rsidRPr="00495482">
        <w:rPr>
          <w:lang w:val="fr-FR" w:eastAsia="sl-SI"/>
        </w:rPr>
        <w:t>,</w:t>
      </w:r>
      <w:r w:rsidRPr="00495482">
        <w:rPr>
          <w:lang w:val="fr-FR" w:eastAsia="sl-SI"/>
        </w:rPr>
        <w:t xml:space="preserve"> des équipes pluridisciplinaires</w:t>
      </w:r>
      <w:r w:rsidR="005D0F0F" w:rsidRPr="00495482">
        <w:rPr>
          <w:lang w:val="fr-FR" w:eastAsia="sl-SI"/>
        </w:rPr>
        <w:t>,</w:t>
      </w:r>
      <w:r w:rsidRPr="00495482">
        <w:rPr>
          <w:lang w:val="fr-FR" w:eastAsia="sl-SI"/>
        </w:rPr>
        <w:t xml:space="preserve"> et des services régionaux</w:t>
      </w:r>
      <w:r w:rsidR="005D0F0F" w:rsidRPr="00495482">
        <w:rPr>
          <w:lang w:val="fr-FR" w:eastAsia="sl-SI"/>
        </w:rPr>
        <w:t>,</w:t>
      </w:r>
      <w:r w:rsidRPr="00495482">
        <w:rPr>
          <w:lang w:val="fr-FR" w:eastAsia="sl-SI"/>
        </w:rPr>
        <w:t xml:space="preserve"> en vue de traiter la question de la violence familiale</w:t>
      </w:r>
      <w:r w:rsidR="00274387" w:rsidRPr="00495482">
        <w:rPr>
          <w:lang w:val="fr-FR" w:eastAsia="sl-SI"/>
        </w:rPr>
        <w:t>»</w:t>
      </w:r>
      <w:r w:rsidRPr="00495482">
        <w:rPr>
          <w:rStyle w:val="FootnoteReference"/>
        </w:rPr>
        <w:footnoteReference w:id="66"/>
      </w:r>
      <w:r w:rsidR="005D0F0F" w:rsidRPr="00495482">
        <w:rPr>
          <w:lang w:val="fr-FR" w:eastAsia="sl-SI"/>
        </w:rPr>
        <w:t>,</w:t>
      </w:r>
      <w:r w:rsidRPr="00495482">
        <w:rPr>
          <w:lang w:val="fr-FR" w:eastAsia="sl-SI"/>
        </w:rPr>
        <w:t xml:space="preserve"> </w:t>
      </w:r>
      <w:r w:rsidR="00274387" w:rsidRPr="00495482">
        <w:rPr>
          <w:lang w:val="fr-FR" w:eastAsia="sl-SI"/>
        </w:rPr>
        <w:t>«</w:t>
      </w:r>
      <w:r w:rsidRPr="00495482">
        <w:rPr>
          <w:lang w:val="fr-FR" w:eastAsia="sl-SI"/>
        </w:rPr>
        <w:t>les règles régissant la coopération entre la police et les autres autorités en vue de repérer et de prévenir la violence familiale</w:t>
      </w:r>
      <w:r w:rsidR="00274387" w:rsidRPr="00495482">
        <w:rPr>
          <w:lang w:val="fr-FR" w:eastAsia="sl-SI"/>
        </w:rPr>
        <w:t>»</w:t>
      </w:r>
      <w:r w:rsidRPr="00495482">
        <w:rPr>
          <w:rStyle w:val="FootnoteReference"/>
        </w:rPr>
        <w:footnoteReference w:id="67"/>
      </w:r>
      <w:r w:rsidR="00813156" w:rsidRPr="00495482">
        <w:rPr>
          <w:lang w:val="fr-FR" w:eastAsia="sl-SI"/>
        </w:rPr>
        <w:t>,</w:t>
      </w:r>
      <w:r w:rsidRPr="00495482">
        <w:rPr>
          <w:lang w:val="fr-FR" w:eastAsia="sl-SI"/>
        </w:rPr>
        <w:t xml:space="preserve"> et </w:t>
      </w:r>
      <w:r w:rsidR="00274387" w:rsidRPr="00495482">
        <w:rPr>
          <w:lang w:val="fr-FR" w:eastAsia="sl-SI"/>
        </w:rPr>
        <w:t>«</w:t>
      </w:r>
      <w:r w:rsidRPr="00495482">
        <w:rPr>
          <w:lang w:val="fr-FR" w:eastAsia="sl-SI"/>
        </w:rPr>
        <w:t>les règles régissant la manière de traiter</w:t>
      </w:r>
      <w:r w:rsidR="005D0F0F" w:rsidRPr="00495482">
        <w:rPr>
          <w:lang w:val="fr-FR" w:eastAsia="sl-SI"/>
        </w:rPr>
        <w:t>,</w:t>
      </w:r>
      <w:r w:rsidRPr="00495482">
        <w:rPr>
          <w:lang w:val="fr-FR" w:eastAsia="sl-SI"/>
        </w:rPr>
        <w:t xml:space="preserve"> dans les établissements d</w:t>
      </w:r>
      <w:r w:rsidR="005D0F0F" w:rsidRPr="00495482">
        <w:rPr>
          <w:lang w:val="fr-FR" w:eastAsia="sl-SI"/>
        </w:rPr>
        <w:t>’</w:t>
      </w:r>
      <w:r w:rsidRPr="00495482">
        <w:rPr>
          <w:lang w:val="fr-FR" w:eastAsia="sl-SI"/>
        </w:rPr>
        <w:t>enseignement</w:t>
      </w:r>
      <w:r w:rsidR="005D0F0F" w:rsidRPr="00495482">
        <w:rPr>
          <w:lang w:val="fr-FR" w:eastAsia="sl-SI"/>
        </w:rPr>
        <w:t>,</w:t>
      </w:r>
      <w:r w:rsidRPr="00495482">
        <w:rPr>
          <w:lang w:val="fr-FR" w:eastAsia="sl-SI"/>
        </w:rPr>
        <w:t xml:space="preserve"> la question de la violence familiale</w:t>
      </w:r>
      <w:r w:rsidR="00274387" w:rsidRPr="00495482">
        <w:rPr>
          <w:lang w:val="fr-FR" w:eastAsia="sl-SI"/>
        </w:rPr>
        <w:t>»</w:t>
      </w:r>
      <w:r w:rsidRPr="00495482">
        <w:rPr>
          <w:rStyle w:val="FootnoteReference"/>
        </w:rPr>
        <w:footnoteReference w:id="68"/>
      </w:r>
      <w:r w:rsidRPr="00495482">
        <w:rPr>
          <w:lang w:val="fr-FR" w:eastAsia="sl-SI"/>
        </w:rPr>
        <w:t xml:space="preserve">. </w:t>
      </w:r>
    </w:p>
    <w:p w:rsidR="00317603" w:rsidRPr="00495482" w:rsidRDefault="00317603" w:rsidP="003C4F70">
      <w:pPr>
        <w:pStyle w:val="SingleTxtG"/>
        <w:rPr>
          <w:lang w:val="fr-FR" w:eastAsia="sl-SI"/>
        </w:rPr>
      </w:pPr>
      <w:r w:rsidRPr="00495482">
        <w:rPr>
          <w:lang w:val="fr-FR" w:eastAsia="sl-SI"/>
        </w:rPr>
        <w:t>136.</w:t>
      </w:r>
      <w:r w:rsidRPr="00495482">
        <w:rPr>
          <w:lang w:val="fr-FR" w:eastAsia="sl-SI"/>
        </w:rPr>
        <w:tab/>
        <w:t>En 2008</w:t>
      </w:r>
      <w:r w:rsidR="005D0F0F" w:rsidRPr="00495482">
        <w:rPr>
          <w:lang w:val="fr-FR" w:eastAsia="sl-SI"/>
        </w:rPr>
        <w:t>,</w:t>
      </w:r>
      <w:r w:rsidRPr="00495482">
        <w:rPr>
          <w:lang w:val="fr-FR" w:eastAsia="sl-SI"/>
        </w:rPr>
        <w:t xml:space="preserve"> un nouveau Code pénal</w:t>
      </w:r>
      <w:r w:rsidRPr="00495482">
        <w:rPr>
          <w:rStyle w:val="FootnoteReference"/>
        </w:rPr>
        <w:footnoteReference w:id="69"/>
      </w:r>
      <w:r w:rsidRPr="00495482">
        <w:rPr>
          <w:lang w:val="fr-FR" w:eastAsia="sl-SI"/>
        </w:rPr>
        <w:t xml:space="preserve"> a été adopté qui régit de manière différente certaines infractions pénales concernant le mariage</w:t>
      </w:r>
      <w:r w:rsidR="005D0F0F" w:rsidRPr="00495482">
        <w:rPr>
          <w:lang w:val="fr-FR" w:eastAsia="sl-SI"/>
        </w:rPr>
        <w:t>,</w:t>
      </w:r>
      <w:r w:rsidRPr="00495482">
        <w:rPr>
          <w:lang w:val="fr-FR" w:eastAsia="sl-SI"/>
        </w:rPr>
        <w:t xml:space="preserve"> la famille et les enfants. Ainsi</w:t>
      </w:r>
      <w:r w:rsidR="005D0F0F" w:rsidRPr="00495482">
        <w:rPr>
          <w:lang w:val="fr-FR" w:eastAsia="sl-SI"/>
        </w:rPr>
        <w:t>,</w:t>
      </w:r>
      <w:r w:rsidRPr="00495482">
        <w:rPr>
          <w:lang w:val="fr-FR" w:eastAsia="sl-SI"/>
        </w:rPr>
        <w:t xml:space="preserve"> </w:t>
      </w:r>
      <w:r w:rsidR="00657B60" w:rsidRPr="00495482">
        <w:rPr>
          <w:lang w:val="fr-FR" w:eastAsia="sl-SI"/>
        </w:rPr>
        <w:t>l’</w:t>
      </w:r>
      <w:r w:rsidR="003C4F70">
        <w:rPr>
          <w:lang w:val="fr-FR" w:eastAsia="sl-SI"/>
        </w:rPr>
        <w:t>article </w:t>
      </w:r>
      <w:r w:rsidRPr="00495482">
        <w:rPr>
          <w:lang w:val="fr-FR" w:eastAsia="sl-SI"/>
        </w:rPr>
        <w:t>191 au chapitre 5</w:t>
      </w:r>
      <w:r w:rsidRPr="00495482">
        <w:rPr>
          <w:rStyle w:val="FootnoteReference"/>
        </w:rPr>
        <w:footnoteReference w:id="70"/>
      </w:r>
      <w:r w:rsidRPr="00495482">
        <w:rPr>
          <w:lang w:val="fr-FR" w:eastAsia="sl-SI"/>
        </w:rPr>
        <w:t xml:space="preserve"> considère la violence familiale comme une nouvelle infraction pénale. Des sanctions particulières sont à présent prévues pour ce type de cas. </w:t>
      </w:r>
    </w:p>
    <w:p w:rsidR="00317603" w:rsidRPr="00495482" w:rsidRDefault="00317603" w:rsidP="003C4F70">
      <w:pPr>
        <w:pStyle w:val="SingleTxtG"/>
        <w:rPr>
          <w:lang w:eastAsia="sl-SI"/>
        </w:rPr>
      </w:pPr>
      <w:r w:rsidRPr="00495482">
        <w:rPr>
          <w:lang w:val="fr-FR" w:eastAsia="sl-SI"/>
        </w:rPr>
        <w:t>137.</w:t>
      </w:r>
      <w:r w:rsidRPr="00495482">
        <w:rPr>
          <w:lang w:val="fr-FR" w:eastAsia="sl-SI"/>
        </w:rPr>
        <w:tab/>
        <w:t>Dans la version antérieure du Code pénal</w:t>
      </w:r>
      <w:r w:rsidRPr="00495482">
        <w:rPr>
          <w:rStyle w:val="FootnoteReference"/>
        </w:rPr>
        <w:footnoteReference w:id="71"/>
      </w:r>
      <w:r w:rsidR="003D51E1" w:rsidRPr="00495482">
        <w:rPr>
          <w:lang w:val="fr-FR" w:eastAsia="sl-SI"/>
        </w:rPr>
        <w:t>,</w:t>
      </w:r>
      <w:r w:rsidRPr="00495482">
        <w:rPr>
          <w:lang w:val="fr-FR" w:eastAsia="sl-SI"/>
        </w:rPr>
        <w:t xml:space="preserve"> la violence familiale n</w:t>
      </w:r>
      <w:r w:rsidR="005D0F0F" w:rsidRPr="00495482">
        <w:rPr>
          <w:lang w:val="fr-FR" w:eastAsia="sl-SI"/>
        </w:rPr>
        <w:t>’</w:t>
      </w:r>
      <w:r w:rsidRPr="00495482">
        <w:rPr>
          <w:lang w:val="fr-FR" w:eastAsia="sl-SI"/>
        </w:rPr>
        <w:t>était traitée qu</w:t>
      </w:r>
      <w:r w:rsidR="005D0F0F" w:rsidRPr="00495482">
        <w:rPr>
          <w:lang w:val="fr-FR" w:eastAsia="sl-SI"/>
        </w:rPr>
        <w:t>’</w:t>
      </w:r>
      <w:r w:rsidRPr="00495482">
        <w:rPr>
          <w:lang w:val="fr-FR" w:eastAsia="sl-SI"/>
        </w:rPr>
        <w:t>indirectement dans le cadre du comportement violent (</w:t>
      </w:r>
      <w:r w:rsidR="00274387" w:rsidRPr="00495482">
        <w:rPr>
          <w:lang w:val="fr-FR" w:eastAsia="sl-SI"/>
        </w:rPr>
        <w:t>art. </w:t>
      </w:r>
      <w:r w:rsidRPr="00495482">
        <w:rPr>
          <w:lang w:val="fr-FR" w:eastAsia="sl-SI"/>
        </w:rPr>
        <w:t xml:space="preserve">299). Le viol conjugal relève de la définition générale du viol en vertu de </w:t>
      </w:r>
      <w:r w:rsidR="00657B60" w:rsidRPr="00495482">
        <w:rPr>
          <w:lang w:val="fr-FR" w:eastAsia="sl-SI"/>
        </w:rPr>
        <w:t>l’</w:t>
      </w:r>
      <w:r w:rsidR="003C4F70">
        <w:rPr>
          <w:lang w:val="fr-FR" w:eastAsia="sl-SI"/>
        </w:rPr>
        <w:t>article </w:t>
      </w:r>
      <w:r w:rsidRPr="00495482">
        <w:rPr>
          <w:lang w:val="fr-FR" w:eastAsia="sl-SI"/>
        </w:rPr>
        <w:t xml:space="preserve">170 du nouveau Code pénal (qui reprend le texte de </w:t>
      </w:r>
      <w:r w:rsidR="00657B60" w:rsidRPr="00495482">
        <w:rPr>
          <w:lang w:val="fr-FR" w:eastAsia="sl-SI"/>
        </w:rPr>
        <w:t>l’</w:t>
      </w:r>
      <w:r w:rsidR="003C4F70">
        <w:rPr>
          <w:lang w:val="fr-FR" w:eastAsia="sl-SI"/>
        </w:rPr>
        <w:t>article </w:t>
      </w:r>
      <w:r w:rsidRPr="00495482">
        <w:rPr>
          <w:lang w:val="fr-FR" w:eastAsia="sl-SI"/>
        </w:rPr>
        <w:t>180 du Code pénal antérieur). Le Code pénal n</w:t>
      </w:r>
      <w:r w:rsidR="005D0F0F" w:rsidRPr="00495482">
        <w:rPr>
          <w:lang w:val="fr-FR" w:eastAsia="sl-SI"/>
        </w:rPr>
        <w:t>’</w:t>
      </w:r>
      <w:r w:rsidRPr="00495482">
        <w:rPr>
          <w:lang w:val="fr-FR" w:eastAsia="sl-SI"/>
        </w:rPr>
        <w:t>établit pas de distinction entre la définition de l</w:t>
      </w:r>
      <w:r w:rsidR="005D0F0F" w:rsidRPr="00495482">
        <w:rPr>
          <w:lang w:val="fr-FR" w:eastAsia="sl-SI"/>
        </w:rPr>
        <w:t>’</w:t>
      </w:r>
      <w:r w:rsidRPr="00495482">
        <w:rPr>
          <w:lang w:val="fr-FR" w:eastAsia="sl-SI"/>
        </w:rPr>
        <w:t>infraction pénale de viol conjugal et celle de viol commis hors mariage. La seule différence entre les deux tient au motif particulier de poursuite. Si le contrevenant est le conjoint de la victime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infraction pénale peut être poursuivie à la demande de la partie lésée</w:t>
      </w:r>
      <w:r w:rsidRPr="00495482">
        <w:rPr>
          <w:rStyle w:val="FootnoteReference"/>
        </w:rPr>
        <w:footnoteReference w:id="72"/>
      </w:r>
      <w:r w:rsidR="003D51E1" w:rsidRPr="00495482">
        <w:rPr>
          <w:lang w:eastAsia="sl-SI"/>
        </w:rPr>
        <w:t>.</w:t>
      </w:r>
    </w:p>
    <w:p w:rsidR="00317603" w:rsidRPr="00495482" w:rsidRDefault="00317603" w:rsidP="00EC201E">
      <w:pPr>
        <w:pStyle w:val="H23G"/>
        <w:rPr>
          <w:snapToGrid w:val="0"/>
          <w:lang w:val="fr-FR" w:eastAsia="sl-SI"/>
        </w:rPr>
      </w:pPr>
      <w:r w:rsidRPr="00495482">
        <w:rPr>
          <w:snapToGrid w:val="0"/>
          <w:lang w:val="fr-FR" w:eastAsia="sl-SI"/>
        </w:rPr>
        <w:tab/>
      </w:r>
      <w:r w:rsidRPr="00495482">
        <w:rPr>
          <w:snapToGrid w:val="0"/>
          <w:lang w:val="fr-FR" w:eastAsia="sl-SI"/>
        </w:rPr>
        <w:tab/>
        <w:t xml:space="preserve">Résolution sur le programme national de prévention de la violence familiale </w:t>
      </w:r>
    </w:p>
    <w:p w:rsidR="00317603" w:rsidRPr="00495482" w:rsidRDefault="00317603" w:rsidP="00EC201E">
      <w:pPr>
        <w:pStyle w:val="SingleTxtG"/>
        <w:rPr>
          <w:lang w:val="fr-FR" w:eastAsia="sl-SI"/>
        </w:rPr>
      </w:pPr>
      <w:r w:rsidRPr="00495482">
        <w:rPr>
          <w:lang w:val="fr-FR" w:eastAsia="sl-SI"/>
        </w:rPr>
        <w:t>138.</w:t>
      </w:r>
      <w:r w:rsidRPr="00495482">
        <w:rPr>
          <w:lang w:val="fr-FR" w:eastAsia="sl-SI"/>
        </w:rPr>
        <w:tab/>
      </w:r>
      <w:r w:rsidRPr="00495482">
        <w:rPr>
          <w:lang w:val="fr-FR"/>
        </w:rPr>
        <w:t>En</w:t>
      </w:r>
      <w:r w:rsidRPr="00495482">
        <w:rPr>
          <w:lang w:val="fr-FR" w:eastAsia="sl-SI"/>
        </w:rPr>
        <w:t xml:space="preserve"> 2009</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Assemblée nationale de la République de Slovénie a adopté la résolution sur le programme national de prévention de la violence familiale 2009</w:t>
      </w:r>
      <w:r w:rsidR="003E0481">
        <w:rPr>
          <w:lang w:val="fr-FR" w:eastAsia="sl-SI"/>
        </w:rPr>
        <w:noBreakHyphen/>
      </w:r>
      <w:r w:rsidRPr="00495482">
        <w:rPr>
          <w:lang w:val="fr-FR" w:eastAsia="sl-SI"/>
        </w:rPr>
        <w:t>2014</w:t>
      </w:r>
      <w:r w:rsidRPr="00495482">
        <w:rPr>
          <w:rStyle w:val="FootnoteReference"/>
        </w:rPr>
        <w:footnoteReference w:id="73"/>
      </w:r>
      <w:r w:rsidRPr="00495482">
        <w:rPr>
          <w:lang w:val="fr-FR" w:eastAsia="sl-SI"/>
        </w:rPr>
        <w:t xml:space="preserve"> pour réduire les incompatibilités existant dans les textes et dans leur application. Le programme national définit les objectifs</w:t>
      </w:r>
      <w:r w:rsidR="005D0F0F" w:rsidRPr="00495482">
        <w:rPr>
          <w:lang w:val="fr-FR" w:eastAsia="sl-SI"/>
        </w:rPr>
        <w:t>,</w:t>
      </w:r>
      <w:r w:rsidRPr="00495482">
        <w:rPr>
          <w:lang w:val="fr-FR" w:eastAsia="sl-SI"/>
        </w:rPr>
        <w:t xml:space="preserve"> les mesures et les principaux intervenants en matière de prévention et de réduction de la violence familiale</w:t>
      </w:r>
      <w:r w:rsidR="005D0F0F" w:rsidRPr="00495482">
        <w:rPr>
          <w:lang w:val="fr-FR" w:eastAsia="sl-SI"/>
        </w:rPr>
        <w:t>,</w:t>
      </w:r>
      <w:r w:rsidRPr="00495482">
        <w:rPr>
          <w:lang w:val="fr-FR" w:eastAsia="sl-SI"/>
        </w:rPr>
        <w:t xml:space="preserve"> en mettant l</w:t>
      </w:r>
      <w:r w:rsidR="005D0F0F" w:rsidRPr="00495482">
        <w:rPr>
          <w:lang w:val="fr-FR" w:eastAsia="sl-SI"/>
        </w:rPr>
        <w:t>’</w:t>
      </w:r>
      <w:r w:rsidRPr="00495482">
        <w:rPr>
          <w:lang w:val="fr-FR" w:eastAsia="sl-SI"/>
        </w:rPr>
        <w:t>accent essentiellement sur les</w:t>
      </w:r>
      <w:r w:rsidR="003D1A4F" w:rsidRPr="00495482">
        <w:rPr>
          <w:lang w:val="fr-FR" w:eastAsia="sl-SI"/>
        </w:rPr>
        <w:t xml:space="preserve"> </w:t>
      </w:r>
      <w:r w:rsidRPr="00495482">
        <w:rPr>
          <w:lang w:val="fr-FR" w:eastAsia="sl-SI"/>
        </w:rPr>
        <w:t>politiques y relatives des divers ministères</w:t>
      </w:r>
      <w:r w:rsidR="005D0F0F" w:rsidRPr="00495482">
        <w:rPr>
          <w:lang w:val="fr-FR" w:eastAsia="sl-SI"/>
        </w:rPr>
        <w:t>,</w:t>
      </w:r>
      <w:r w:rsidRPr="00495482">
        <w:rPr>
          <w:lang w:val="fr-FR" w:eastAsia="sl-SI"/>
        </w:rPr>
        <w:t xml:space="preserve"> et en garantissant la mise en place de mesures efficaces de réduction de la violence familiale.</w:t>
      </w:r>
      <w:r w:rsidR="003D1A4F" w:rsidRPr="00495482">
        <w:rPr>
          <w:lang w:val="fr-FR" w:eastAsia="sl-SI"/>
        </w:rPr>
        <w:t xml:space="preserve"> </w:t>
      </w:r>
      <w:r w:rsidRPr="00495482">
        <w:rPr>
          <w:lang w:val="fr-FR" w:eastAsia="sl-SI"/>
        </w:rPr>
        <w:t>Des plans d</w:t>
      </w:r>
      <w:r w:rsidR="005D0F0F" w:rsidRPr="00495482">
        <w:rPr>
          <w:lang w:val="fr-FR" w:eastAsia="sl-SI"/>
        </w:rPr>
        <w:t>’</w:t>
      </w:r>
      <w:r w:rsidRPr="00495482">
        <w:rPr>
          <w:lang w:val="fr-FR" w:eastAsia="sl-SI"/>
        </w:rPr>
        <w:t>action biannuels définissent les objectifs concrets et les stratégies de leur mise en œuvre. Le Gouvernement slovène a adopté le premier plan d</w:t>
      </w:r>
      <w:r w:rsidR="005D0F0F" w:rsidRPr="00495482">
        <w:rPr>
          <w:lang w:val="fr-FR" w:eastAsia="sl-SI"/>
        </w:rPr>
        <w:t>’</w:t>
      </w:r>
      <w:r w:rsidRPr="00495482">
        <w:rPr>
          <w:lang w:val="fr-FR" w:eastAsia="sl-SI"/>
        </w:rPr>
        <w:t>action en mai 2010. L</w:t>
      </w:r>
      <w:r w:rsidR="005D0F0F" w:rsidRPr="00495482">
        <w:rPr>
          <w:lang w:val="fr-FR" w:eastAsia="sl-SI"/>
        </w:rPr>
        <w:t>’</w:t>
      </w:r>
      <w:r w:rsidRPr="00495482">
        <w:rPr>
          <w:lang w:val="fr-FR" w:eastAsia="sl-SI"/>
        </w:rPr>
        <w:t>un des chapitres traite des activités déployées pour changer les attitudes sociales et culturelles des deux sexes</w:t>
      </w:r>
      <w:r w:rsidR="005D0F0F" w:rsidRPr="00495482">
        <w:rPr>
          <w:lang w:val="fr-FR" w:eastAsia="sl-SI"/>
        </w:rPr>
        <w:t>,</w:t>
      </w:r>
      <w:r w:rsidRPr="00495482">
        <w:rPr>
          <w:lang w:val="fr-FR" w:eastAsia="sl-SI"/>
        </w:rPr>
        <w:t xml:space="preserve"> surmonter les préjugés et éliminer les comportements et les pratiques fondés sur l</w:t>
      </w:r>
      <w:r w:rsidR="005D0F0F" w:rsidRPr="00495482">
        <w:rPr>
          <w:lang w:val="fr-FR" w:eastAsia="sl-SI"/>
        </w:rPr>
        <w:t>’</w:t>
      </w:r>
      <w:r w:rsidRPr="00495482">
        <w:rPr>
          <w:lang w:val="fr-FR" w:eastAsia="sl-SI"/>
        </w:rPr>
        <w:t>idée de supériorité ou d</w:t>
      </w:r>
      <w:r w:rsidR="005D0F0F" w:rsidRPr="00495482">
        <w:rPr>
          <w:lang w:val="fr-FR" w:eastAsia="sl-SI"/>
        </w:rPr>
        <w:t>’</w:t>
      </w:r>
      <w:r w:rsidRPr="00495482">
        <w:rPr>
          <w:lang w:val="fr-FR" w:eastAsia="sl-SI"/>
        </w:rPr>
        <w:t>infériorité de l</w:t>
      </w:r>
      <w:r w:rsidR="005D0F0F" w:rsidRPr="00495482">
        <w:rPr>
          <w:lang w:val="fr-FR" w:eastAsia="sl-SI"/>
        </w:rPr>
        <w:t>’</w:t>
      </w:r>
      <w:r w:rsidRPr="00495482">
        <w:rPr>
          <w:lang w:val="fr-FR" w:eastAsia="sl-SI"/>
        </w:rPr>
        <w:t>un des deux sexes</w:t>
      </w:r>
      <w:r w:rsidR="005D0F0F" w:rsidRPr="00495482">
        <w:rPr>
          <w:lang w:val="fr-FR" w:eastAsia="sl-SI"/>
        </w:rPr>
        <w:t>,</w:t>
      </w:r>
      <w:r w:rsidRPr="00495482">
        <w:rPr>
          <w:lang w:val="fr-FR" w:eastAsia="sl-SI"/>
        </w:rPr>
        <w:t xml:space="preserve"> ou les rôles stéréotypés des hommes et des femmes. </w:t>
      </w:r>
    </w:p>
    <w:p w:rsidR="00317603" w:rsidRPr="00495482" w:rsidRDefault="00317603" w:rsidP="00317603">
      <w:pPr>
        <w:keepNext/>
        <w:keepLines/>
        <w:tabs>
          <w:tab w:val="right" w:pos="851"/>
        </w:tabs>
        <w:spacing w:before="240" w:after="120" w:line="240" w:lineRule="exact"/>
        <w:ind w:left="1134" w:right="1134" w:hanging="1134"/>
        <w:rPr>
          <w:b/>
          <w:bCs/>
          <w:snapToGrid w:val="0"/>
          <w:lang w:val="fr-FR" w:eastAsia="sl-SI"/>
        </w:rPr>
      </w:pPr>
      <w:r w:rsidRPr="00495482">
        <w:rPr>
          <w:b/>
          <w:snapToGrid w:val="0"/>
          <w:lang w:val="fr-FR" w:eastAsia="sl-SI"/>
        </w:rPr>
        <w:tab/>
      </w:r>
      <w:r w:rsidRPr="00495482">
        <w:rPr>
          <w:b/>
          <w:snapToGrid w:val="0"/>
          <w:lang w:val="fr-FR" w:eastAsia="sl-SI"/>
        </w:rPr>
        <w:tab/>
        <w:t xml:space="preserve">Formation des juges aux questions de violence familiale </w:t>
      </w:r>
    </w:p>
    <w:p w:rsidR="00317603" w:rsidRPr="00495482" w:rsidRDefault="00317603" w:rsidP="002D3E12">
      <w:pPr>
        <w:pStyle w:val="SingleTxtG"/>
        <w:keepNext/>
        <w:rPr>
          <w:lang w:val="fr-FR" w:eastAsia="sl-SI"/>
        </w:rPr>
      </w:pPr>
      <w:r w:rsidRPr="00495482">
        <w:rPr>
          <w:lang w:val="fr-FR" w:eastAsia="sl-SI"/>
        </w:rPr>
        <w:t>139.</w:t>
      </w:r>
      <w:r w:rsidRPr="00495482">
        <w:rPr>
          <w:lang w:val="fr-FR" w:eastAsia="sl-SI"/>
        </w:rPr>
        <w:tab/>
        <w:t>En 2008 et en 2009</w:t>
      </w:r>
      <w:r w:rsidR="005D0F0F" w:rsidRPr="00495482">
        <w:rPr>
          <w:lang w:val="fr-FR" w:eastAsia="sl-SI"/>
        </w:rPr>
        <w:t>,</w:t>
      </w:r>
      <w:r w:rsidRPr="00495482">
        <w:rPr>
          <w:lang w:val="fr-FR" w:eastAsia="sl-SI"/>
        </w:rPr>
        <w:t xml:space="preserve"> le Centre de formation judiciaire qui relève du Ministère de la justice</w:t>
      </w:r>
      <w:r w:rsidR="005D0F0F" w:rsidRPr="00495482">
        <w:rPr>
          <w:lang w:val="fr-FR" w:eastAsia="sl-SI"/>
        </w:rPr>
        <w:t>,</w:t>
      </w:r>
      <w:r w:rsidRPr="00495482">
        <w:rPr>
          <w:lang w:val="fr-FR" w:eastAsia="sl-SI"/>
        </w:rPr>
        <w:t xml:space="preserve"> a organisé les formations suivantes portant sur les questions de violence familiale</w:t>
      </w:r>
      <w:r w:rsidR="005D0F0F" w:rsidRPr="00495482">
        <w:rPr>
          <w:lang w:val="fr-FR" w:eastAsia="sl-SI"/>
        </w:rPr>
        <w:t>:</w:t>
      </w:r>
      <w:r w:rsidRPr="00495482">
        <w:rPr>
          <w:lang w:val="fr-FR" w:eastAsia="sl-SI"/>
        </w:rPr>
        <w:t xml:space="preserve"> </w:t>
      </w:r>
    </w:p>
    <w:p w:rsidR="00317603" w:rsidRPr="00495482" w:rsidRDefault="00317603" w:rsidP="00EC201E">
      <w:pPr>
        <w:pStyle w:val="Bullet1G"/>
        <w:rPr>
          <w:lang w:val="fr-FR" w:eastAsia="sl-SI"/>
        </w:rPr>
      </w:pPr>
      <w:r w:rsidRPr="00495482">
        <w:rPr>
          <w:lang w:val="fr-FR" w:eastAsia="sl-SI"/>
        </w:rPr>
        <w:t>Un séminaire à l</w:t>
      </w:r>
      <w:r w:rsidR="005D0F0F" w:rsidRPr="00495482">
        <w:rPr>
          <w:lang w:val="fr-FR" w:eastAsia="sl-SI"/>
        </w:rPr>
        <w:t>’</w:t>
      </w:r>
      <w:r w:rsidRPr="00495482">
        <w:rPr>
          <w:lang w:val="fr-FR" w:eastAsia="sl-SI"/>
        </w:rPr>
        <w:t>intention des juges aux affaires familiales</w:t>
      </w:r>
      <w:r w:rsidR="005D0F0F" w:rsidRPr="00495482">
        <w:rPr>
          <w:lang w:val="fr-FR" w:eastAsia="sl-SI"/>
        </w:rPr>
        <w:t>,</w:t>
      </w:r>
      <w:r w:rsidRPr="00495482">
        <w:rPr>
          <w:lang w:val="fr-FR" w:eastAsia="sl-SI"/>
        </w:rPr>
        <w:t xml:space="preserve"> organisé le 28 mai 2008 à Ljubljana</w:t>
      </w:r>
      <w:r w:rsidR="005D0F0F" w:rsidRPr="00495482">
        <w:rPr>
          <w:lang w:val="fr-FR" w:eastAsia="sl-SI"/>
        </w:rPr>
        <w:t>;</w:t>
      </w:r>
      <w:r w:rsidRPr="00495482">
        <w:rPr>
          <w:lang w:val="fr-FR" w:eastAsia="sl-SI"/>
        </w:rPr>
        <w:t xml:space="preserve"> </w:t>
      </w:r>
    </w:p>
    <w:p w:rsidR="00317603" w:rsidRPr="00495482" w:rsidRDefault="00317603" w:rsidP="00EC201E">
      <w:pPr>
        <w:pStyle w:val="Bullet1G"/>
        <w:rPr>
          <w:lang w:val="fr-FR" w:eastAsia="sl-SI"/>
        </w:rPr>
      </w:pPr>
      <w:r w:rsidRPr="00495482">
        <w:rPr>
          <w:lang w:val="fr-FR" w:eastAsia="sl-SI"/>
        </w:rPr>
        <w:t>Un atelier à l</w:t>
      </w:r>
      <w:r w:rsidR="005D0F0F" w:rsidRPr="00495482">
        <w:rPr>
          <w:lang w:val="fr-FR" w:eastAsia="sl-SI"/>
        </w:rPr>
        <w:t>’</w:t>
      </w:r>
      <w:r w:rsidRPr="00495482">
        <w:rPr>
          <w:lang w:val="fr-FR" w:eastAsia="sl-SI"/>
        </w:rPr>
        <w:t>intention des juges portant en particulier sur les questions touchant au droit de la famille</w:t>
      </w:r>
      <w:r w:rsidR="005D0F0F" w:rsidRPr="00495482">
        <w:rPr>
          <w:lang w:val="fr-FR" w:eastAsia="sl-SI"/>
        </w:rPr>
        <w:t>,</w:t>
      </w:r>
      <w:r w:rsidRPr="00495482">
        <w:rPr>
          <w:lang w:val="fr-FR" w:eastAsia="sl-SI"/>
        </w:rPr>
        <w:t xml:space="preserve"> dont les trois séances se sont tenues en février et mars 2009 dans la ville de Čatež</w:t>
      </w:r>
      <w:r w:rsidR="005D0F0F" w:rsidRPr="00495482">
        <w:rPr>
          <w:lang w:val="fr-FR" w:eastAsia="sl-SI"/>
        </w:rPr>
        <w:t>;</w:t>
      </w:r>
    </w:p>
    <w:p w:rsidR="00317603" w:rsidRPr="00495482" w:rsidRDefault="00317603" w:rsidP="00EC201E">
      <w:pPr>
        <w:pStyle w:val="Bullet1G"/>
        <w:rPr>
          <w:lang w:val="fr-FR" w:eastAsia="sl-SI"/>
        </w:rPr>
      </w:pPr>
      <w:r w:rsidRPr="00495482">
        <w:rPr>
          <w:lang w:val="fr-FR" w:eastAsia="sl-SI"/>
        </w:rPr>
        <w:t>Un séminaire sur la prévention de la violence familiale</w:t>
      </w:r>
      <w:r w:rsidR="005D0F0F" w:rsidRPr="00495482">
        <w:rPr>
          <w:lang w:val="fr-FR" w:eastAsia="sl-SI"/>
        </w:rPr>
        <w:t>,</w:t>
      </w:r>
      <w:r w:rsidRPr="00495482">
        <w:rPr>
          <w:lang w:val="fr-FR" w:eastAsia="sl-SI"/>
        </w:rPr>
        <w:t xml:space="preserve"> organisé le 3 juin 2008 à Ljubljana; </w:t>
      </w:r>
    </w:p>
    <w:p w:rsidR="00317603" w:rsidRPr="00495482" w:rsidRDefault="00317603" w:rsidP="00EC201E">
      <w:pPr>
        <w:pStyle w:val="Bullet1G"/>
        <w:rPr>
          <w:lang w:val="fr-FR" w:eastAsia="sl-SI"/>
        </w:rPr>
      </w:pPr>
      <w:r w:rsidRPr="00495482">
        <w:rPr>
          <w:lang w:val="fr-FR" w:eastAsia="sl-SI"/>
        </w:rPr>
        <w:t>Un séminaire sur la violence</w:t>
      </w:r>
      <w:r w:rsidR="005D0F0F" w:rsidRPr="00495482">
        <w:rPr>
          <w:lang w:val="fr-FR" w:eastAsia="sl-SI"/>
        </w:rPr>
        <w:t>,</w:t>
      </w:r>
      <w:r w:rsidRPr="00495482">
        <w:rPr>
          <w:lang w:val="fr-FR" w:eastAsia="sl-SI"/>
        </w:rPr>
        <w:t xml:space="preserve"> organisé avec l</w:t>
      </w:r>
      <w:r w:rsidR="005D0F0F" w:rsidRPr="00495482">
        <w:rPr>
          <w:lang w:val="fr-FR" w:eastAsia="sl-SI"/>
        </w:rPr>
        <w:t>’</w:t>
      </w:r>
      <w:r w:rsidRPr="00495482">
        <w:rPr>
          <w:lang w:val="fr-FR" w:eastAsia="sl-SI"/>
        </w:rPr>
        <w:t>Association des procureurs publics</w:t>
      </w:r>
      <w:r w:rsidR="005D0F0F" w:rsidRPr="00495482">
        <w:rPr>
          <w:lang w:val="fr-FR" w:eastAsia="sl-SI"/>
        </w:rPr>
        <w:t>,</w:t>
      </w:r>
      <w:r w:rsidRPr="00495482">
        <w:rPr>
          <w:lang w:val="fr-FR" w:eastAsia="sl-SI"/>
        </w:rPr>
        <w:t xml:space="preserve"> du 17 au 18 avril 2008 à Brdo pri Kranju</w:t>
      </w:r>
      <w:r w:rsidR="005D0F0F" w:rsidRPr="00495482">
        <w:rPr>
          <w:lang w:val="fr-FR" w:eastAsia="sl-SI"/>
        </w:rPr>
        <w:t>;</w:t>
      </w:r>
    </w:p>
    <w:p w:rsidR="00317603" w:rsidRPr="00495482" w:rsidRDefault="00317603" w:rsidP="00EC201E">
      <w:pPr>
        <w:pStyle w:val="Bullet1G"/>
        <w:rPr>
          <w:lang w:val="fr-FR" w:eastAsia="sl-SI"/>
        </w:rPr>
      </w:pPr>
      <w:r w:rsidRPr="00495482">
        <w:rPr>
          <w:lang w:val="fr-FR" w:eastAsia="sl-SI"/>
        </w:rPr>
        <w:t>Un atelier de justice pénale centré sur les modifications de la législation pénale</w:t>
      </w:r>
      <w:r w:rsidR="005D0F0F" w:rsidRPr="00495482">
        <w:rPr>
          <w:lang w:val="fr-FR" w:eastAsia="sl-SI"/>
        </w:rPr>
        <w:t>,</w:t>
      </w:r>
      <w:r w:rsidRPr="00495482">
        <w:rPr>
          <w:lang w:val="fr-FR" w:eastAsia="sl-SI"/>
        </w:rPr>
        <w:t xml:space="preserve"> organisé à trois reprises en septembre et</w:t>
      </w:r>
      <w:r w:rsidR="00EC201E">
        <w:rPr>
          <w:lang w:val="fr-FR" w:eastAsia="sl-SI"/>
        </w:rPr>
        <w:t xml:space="preserve"> </w:t>
      </w:r>
      <w:r w:rsidR="00CF5C7F" w:rsidRPr="00495482">
        <w:rPr>
          <w:lang w:val="fr-FR" w:eastAsia="sl-SI"/>
        </w:rPr>
        <w:t>octobre</w:t>
      </w:r>
      <w:r w:rsidRPr="00495482">
        <w:rPr>
          <w:lang w:val="fr-FR" w:eastAsia="sl-SI"/>
        </w:rPr>
        <w:t xml:space="preserve"> 2009 à Ptuj.</w:t>
      </w:r>
    </w:p>
    <w:p w:rsidR="00317603" w:rsidRPr="00495482" w:rsidRDefault="00317603" w:rsidP="00EC201E">
      <w:pPr>
        <w:pStyle w:val="SingleTxtG"/>
        <w:rPr>
          <w:lang w:val="fr-FR" w:eastAsia="sl-SI"/>
        </w:rPr>
      </w:pPr>
      <w:r w:rsidRPr="00495482">
        <w:rPr>
          <w:lang w:val="fr-FR" w:eastAsia="sl-SI"/>
        </w:rPr>
        <w:t>140.</w:t>
      </w:r>
      <w:r w:rsidRPr="00495482">
        <w:rPr>
          <w:lang w:val="fr-FR" w:eastAsia="sl-SI"/>
        </w:rPr>
        <w:tab/>
        <w:t>La loi sur la prévention de la violence familiale prévoit l</w:t>
      </w:r>
      <w:r w:rsidR="005D0F0F" w:rsidRPr="00495482">
        <w:rPr>
          <w:lang w:val="fr-FR" w:eastAsia="sl-SI"/>
        </w:rPr>
        <w:t>’</w:t>
      </w:r>
      <w:r w:rsidRPr="00495482">
        <w:rPr>
          <w:lang w:val="fr-FR" w:eastAsia="sl-SI"/>
        </w:rPr>
        <w:t>organisation de ce type de séminaires</w:t>
      </w:r>
      <w:r w:rsidR="005D0F0F" w:rsidRPr="00495482">
        <w:rPr>
          <w:lang w:val="fr-FR" w:eastAsia="sl-SI"/>
        </w:rPr>
        <w:t>,</w:t>
      </w:r>
      <w:r w:rsidRPr="00495482">
        <w:rPr>
          <w:lang w:val="fr-FR" w:eastAsia="sl-SI"/>
        </w:rPr>
        <w:t xml:space="preserve"> notamment à des fins de modification de la législation pénale. Le Centre de formation judiciaire projette également d</w:t>
      </w:r>
      <w:r w:rsidR="005D0F0F" w:rsidRPr="00495482">
        <w:rPr>
          <w:lang w:val="fr-FR" w:eastAsia="sl-SI"/>
        </w:rPr>
        <w:t>’</w:t>
      </w:r>
      <w:r w:rsidRPr="00495482">
        <w:rPr>
          <w:lang w:val="fr-FR" w:eastAsia="sl-SI"/>
        </w:rPr>
        <w:t>organiser en 2010 une formation sur les questions de violence familiale</w:t>
      </w:r>
      <w:r w:rsidR="005D0F0F" w:rsidRPr="00495482">
        <w:rPr>
          <w:lang w:val="fr-FR" w:eastAsia="sl-SI"/>
        </w:rPr>
        <w:t>,</w:t>
      </w:r>
      <w:r w:rsidRPr="00495482">
        <w:rPr>
          <w:lang w:val="fr-FR" w:eastAsia="sl-SI"/>
        </w:rPr>
        <w:t xml:space="preserve"> essentiellement à l</w:t>
      </w:r>
      <w:r w:rsidR="005D0F0F" w:rsidRPr="00495482">
        <w:rPr>
          <w:lang w:val="fr-FR" w:eastAsia="sl-SI"/>
        </w:rPr>
        <w:t>’</w:t>
      </w:r>
      <w:r w:rsidRPr="00495482">
        <w:rPr>
          <w:lang w:val="fr-FR" w:eastAsia="sl-SI"/>
        </w:rPr>
        <w:t>intention des procureurs publics et des juges.</w:t>
      </w:r>
      <w:r w:rsidR="003D1A4F" w:rsidRPr="00495482">
        <w:rPr>
          <w:lang w:val="fr-FR" w:eastAsia="sl-SI"/>
        </w:rPr>
        <w:t xml:space="preserve"> </w:t>
      </w:r>
    </w:p>
    <w:p w:rsidR="00317603" w:rsidRPr="00495482" w:rsidRDefault="00317603" w:rsidP="00F17F43">
      <w:pPr>
        <w:pStyle w:val="H23G"/>
        <w:rPr>
          <w:snapToGrid w:val="0"/>
          <w:lang w:val="fr-FR" w:eastAsia="sl-SI"/>
        </w:rPr>
      </w:pPr>
      <w:r w:rsidRPr="00495482">
        <w:rPr>
          <w:lang w:val="fr-FR" w:eastAsia="sl-SI"/>
        </w:rPr>
        <w:tab/>
        <w:t>8.</w:t>
      </w:r>
      <w:r w:rsidRPr="00495482">
        <w:rPr>
          <w:lang w:val="fr-FR" w:eastAsia="sl-SI"/>
        </w:rPr>
        <w:tab/>
      </w:r>
      <w:r w:rsidRPr="00495482">
        <w:rPr>
          <w:snapToGrid w:val="0"/>
          <w:lang w:val="fr-FR" w:eastAsia="sl-SI"/>
        </w:rPr>
        <w:t xml:space="preserve">Traite </w:t>
      </w:r>
      <w:r w:rsidR="00210F9A" w:rsidRPr="00495482">
        <w:rPr>
          <w:snapToGrid w:val="0"/>
          <w:lang w:val="fr-FR" w:eastAsia="sl-SI"/>
        </w:rPr>
        <w:t>des personnes</w:t>
      </w:r>
    </w:p>
    <w:p w:rsidR="00317603" w:rsidRPr="00495482" w:rsidRDefault="00317603" w:rsidP="00F17F43">
      <w:pPr>
        <w:pStyle w:val="H23G"/>
        <w:rPr>
          <w:i/>
          <w:iCs/>
          <w:snapToGrid w:val="0"/>
          <w:lang w:val="fr-FR" w:eastAsia="sl-SI"/>
        </w:rPr>
      </w:pPr>
      <w:r w:rsidRPr="00495482">
        <w:rPr>
          <w:snapToGrid w:val="0"/>
          <w:lang w:val="fr-FR" w:eastAsia="sl-SI"/>
        </w:rPr>
        <w:tab/>
      </w:r>
      <w:r w:rsidRPr="00495482">
        <w:rPr>
          <w:snapToGrid w:val="0"/>
          <w:lang w:val="fr-FR" w:eastAsia="sl-SI"/>
        </w:rPr>
        <w:tab/>
      </w:r>
      <w:r w:rsidRPr="00495482">
        <w:rPr>
          <w:lang w:val="fr-FR" w:eastAsia="sl-SI"/>
        </w:rPr>
        <w:t xml:space="preserve">Réponse aux recommandations figurant au </w:t>
      </w:r>
      <w:r w:rsidR="00FB11E8">
        <w:rPr>
          <w:lang w:val="fr-FR" w:eastAsia="sl-SI"/>
        </w:rPr>
        <w:t>paragraphe </w:t>
      </w:r>
      <w:r w:rsidRPr="00495482">
        <w:rPr>
          <w:lang w:val="fr-FR" w:eastAsia="sl-SI"/>
        </w:rPr>
        <w:t>33 des observations finales</w:t>
      </w:r>
      <w:r w:rsidR="003D1A4F" w:rsidRPr="00495482">
        <w:rPr>
          <w:lang w:val="fr-FR" w:eastAsia="sl-SI"/>
        </w:rPr>
        <w:t xml:space="preserve"> </w:t>
      </w:r>
    </w:p>
    <w:p w:rsidR="00317603" w:rsidRPr="00495482" w:rsidRDefault="00317603" w:rsidP="00F17F43">
      <w:pPr>
        <w:pStyle w:val="SingleTxtG"/>
        <w:rPr>
          <w:lang w:val="fr-FR"/>
        </w:rPr>
      </w:pPr>
      <w:r w:rsidRPr="00495482">
        <w:rPr>
          <w:lang w:val="fr-FR"/>
        </w:rPr>
        <w:t>141.</w:t>
      </w:r>
      <w:r w:rsidRPr="00495482">
        <w:rPr>
          <w:lang w:val="fr-FR"/>
        </w:rPr>
        <w:tab/>
        <w:t>En 2001</w:t>
      </w:r>
      <w:r w:rsidR="005D0F0F" w:rsidRPr="00495482">
        <w:rPr>
          <w:lang w:val="fr-FR"/>
        </w:rPr>
        <w:t>,</w:t>
      </w:r>
      <w:r w:rsidRPr="00495482">
        <w:rPr>
          <w:lang w:val="fr-FR"/>
        </w:rPr>
        <w:t xml:space="preserve"> un Groupe de travail interministériel</w:t>
      </w:r>
      <w:r w:rsidR="003D1A4F" w:rsidRPr="00495482">
        <w:rPr>
          <w:lang w:val="fr-FR"/>
        </w:rPr>
        <w:t xml:space="preserve"> </w:t>
      </w:r>
      <w:r w:rsidRPr="00495482">
        <w:rPr>
          <w:lang w:val="fr-FR"/>
        </w:rPr>
        <w:t>sur la lutte contre la traite des êtres humains a été créé</w:t>
      </w:r>
      <w:r w:rsidR="005D0F0F" w:rsidRPr="00495482">
        <w:rPr>
          <w:lang w:val="fr-FR"/>
        </w:rPr>
        <w:t>;</w:t>
      </w:r>
      <w:r w:rsidRPr="00495482">
        <w:rPr>
          <w:lang w:val="fr-FR"/>
        </w:rPr>
        <w:t xml:space="preserve"> composé de représentants des ministères</w:t>
      </w:r>
      <w:r w:rsidR="005D0F0F" w:rsidRPr="00495482">
        <w:rPr>
          <w:lang w:val="fr-FR"/>
        </w:rPr>
        <w:t>,</w:t>
      </w:r>
      <w:r w:rsidRPr="00495482">
        <w:rPr>
          <w:lang w:val="fr-FR"/>
        </w:rPr>
        <w:t xml:space="preserve"> administrations et ONG (la </w:t>
      </w:r>
      <w:r w:rsidR="002D3E12" w:rsidRPr="00495482">
        <w:rPr>
          <w:lang w:val="fr-FR"/>
        </w:rPr>
        <w:t>société</w:t>
      </w:r>
      <w:r w:rsidRPr="00495482">
        <w:rPr>
          <w:lang w:val="fr-FR"/>
        </w:rPr>
        <w:t xml:space="preserve"> Kljuc</w:t>
      </w:r>
      <w:r w:rsidR="005D0F0F" w:rsidRPr="00495482">
        <w:rPr>
          <w:lang w:val="fr-FR"/>
        </w:rPr>
        <w:t>,</w:t>
      </w:r>
      <w:r w:rsidRPr="00495482">
        <w:rPr>
          <w:lang w:val="fr-FR"/>
        </w:rPr>
        <w:t xml:space="preserve"> la Philanthropie slovène</w:t>
      </w:r>
      <w:r w:rsidR="005D0F0F" w:rsidRPr="00495482">
        <w:rPr>
          <w:lang w:val="fr-FR"/>
        </w:rPr>
        <w:t>,</w:t>
      </w:r>
      <w:r w:rsidRPr="00495482">
        <w:rPr>
          <w:lang w:val="fr-FR"/>
        </w:rPr>
        <w:t xml:space="preserve"> l</w:t>
      </w:r>
      <w:r w:rsidR="005D0F0F" w:rsidRPr="00495482">
        <w:rPr>
          <w:lang w:val="fr-FR"/>
        </w:rPr>
        <w:t>’</w:t>
      </w:r>
      <w:r w:rsidRPr="00495482">
        <w:rPr>
          <w:lang w:val="fr-FR"/>
        </w:rPr>
        <w:t>Association slovène des journalistes et l</w:t>
      </w:r>
      <w:r w:rsidR="005D0F0F" w:rsidRPr="00495482">
        <w:rPr>
          <w:lang w:val="fr-FR"/>
        </w:rPr>
        <w:t>’</w:t>
      </w:r>
      <w:r w:rsidRPr="00495482">
        <w:rPr>
          <w:lang w:val="fr-FR"/>
        </w:rPr>
        <w:t>organisation caritative</w:t>
      </w:r>
      <w:r w:rsidR="003D1A4F" w:rsidRPr="00495482">
        <w:rPr>
          <w:lang w:val="fr-FR"/>
        </w:rPr>
        <w:t xml:space="preserve"> </w:t>
      </w:r>
      <w:r w:rsidRPr="00495482">
        <w:rPr>
          <w:lang w:val="fr-FR"/>
        </w:rPr>
        <w:t>Caritas Slovenia)</w:t>
      </w:r>
      <w:r w:rsidR="005D0F0F" w:rsidRPr="00495482">
        <w:rPr>
          <w:lang w:val="fr-FR"/>
        </w:rPr>
        <w:t>,</w:t>
      </w:r>
      <w:r w:rsidRPr="00495482">
        <w:rPr>
          <w:lang w:val="fr-FR"/>
        </w:rPr>
        <w:t xml:space="preserve"> il est dirigé par un coordinateur national de lutte contre la traite</w:t>
      </w:r>
      <w:r w:rsidR="005D0F0F" w:rsidRPr="00495482">
        <w:rPr>
          <w:lang w:val="fr-FR"/>
        </w:rPr>
        <w:t>,</w:t>
      </w:r>
      <w:r w:rsidRPr="00495482">
        <w:rPr>
          <w:lang w:val="fr-FR"/>
        </w:rPr>
        <w:t xml:space="preserve"> également recruté. </w:t>
      </w:r>
    </w:p>
    <w:p w:rsidR="00317603" w:rsidRPr="00495482" w:rsidRDefault="00317603" w:rsidP="00F17F43">
      <w:pPr>
        <w:pStyle w:val="SingleTxtG"/>
        <w:rPr>
          <w:lang w:val="fr-FR"/>
        </w:rPr>
      </w:pPr>
      <w:r w:rsidRPr="00495482">
        <w:rPr>
          <w:lang w:val="fr-FR"/>
        </w:rPr>
        <w:t>142.</w:t>
      </w:r>
      <w:r w:rsidRPr="00495482">
        <w:rPr>
          <w:lang w:val="fr-FR"/>
        </w:rPr>
        <w:tab/>
        <w:t>Depuis 2004</w:t>
      </w:r>
      <w:r w:rsidR="005D0F0F" w:rsidRPr="00495482">
        <w:rPr>
          <w:lang w:val="fr-FR"/>
        </w:rPr>
        <w:t>,</w:t>
      </w:r>
      <w:r w:rsidRPr="00495482">
        <w:rPr>
          <w:lang w:val="fr-FR"/>
        </w:rPr>
        <w:t xml:space="preserve"> le Groupe de travail interministériel sur la lutte contre la traite des êtres humains a élaboré des plans d</w:t>
      </w:r>
      <w:r w:rsidR="005D0F0F" w:rsidRPr="00495482">
        <w:rPr>
          <w:lang w:val="fr-FR"/>
        </w:rPr>
        <w:t>’</w:t>
      </w:r>
      <w:r w:rsidRPr="00495482">
        <w:rPr>
          <w:lang w:val="fr-FR"/>
        </w:rPr>
        <w:t>action biennaux qui</w:t>
      </w:r>
      <w:r w:rsidR="003D1A4F" w:rsidRPr="00495482">
        <w:rPr>
          <w:lang w:val="fr-FR"/>
        </w:rPr>
        <w:t xml:space="preserve"> </w:t>
      </w:r>
      <w:r w:rsidRPr="00495482">
        <w:rPr>
          <w:lang w:val="fr-FR"/>
        </w:rPr>
        <w:t>encouragent les bonnes pratiques. Le dernier d</w:t>
      </w:r>
      <w:r w:rsidR="005D0F0F" w:rsidRPr="00495482">
        <w:rPr>
          <w:lang w:val="fr-FR"/>
        </w:rPr>
        <w:t>’</w:t>
      </w:r>
      <w:r w:rsidRPr="00495482">
        <w:rPr>
          <w:lang w:val="fr-FR"/>
        </w:rPr>
        <w:t>entre eux</w:t>
      </w:r>
      <w:r w:rsidR="005D0F0F" w:rsidRPr="00495482">
        <w:rPr>
          <w:lang w:val="fr-FR"/>
        </w:rPr>
        <w:t>,</w:t>
      </w:r>
      <w:r w:rsidRPr="00495482">
        <w:rPr>
          <w:lang w:val="fr-FR"/>
        </w:rPr>
        <w:t xml:space="preserve"> adopté en janvier 2010</w:t>
      </w:r>
      <w:r w:rsidR="005D0F0F" w:rsidRPr="00495482">
        <w:rPr>
          <w:lang w:val="fr-FR"/>
        </w:rPr>
        <w:t>,</w:t>
      </w:r>
      <w:r w:rsidRPr="00495482">
        <w:rPr>
          <w:lang w:val="fr-FR"/>
        </w:rPr>
        <w:t xml:space="preserve"> a couvert la période 2010-2011. L</w:t>
      </w:r>
      <w:r w:rsidR="005D0F0F" w:rsidRPr="00495482">
        <w:rPr>
          <w:lang w:val="fr-FR"/>
        </w:rPr>
        <w:t>’</w:t>
      </w:r>
      <w:r w:rsidRPr="00495482">
        <w:rPr>
          <w:lang w:val="fr-FR"/>
        </w:rPr>
        <w:t xml:space="preserve">une des priorités du groupe de travail consiste à offrir toute une gamme de services aux victimes de traite </w:t>
      </w:r>
      <w:r w:rsidR="00210F9A" w:rsidRPr="00495482">
        <w:rPr>
          <w:lang w:val="fr-FR"/>
        </w:rPr>
        <w:t>des personnes</w:t>
      </w:r>
      <w:r w:rsidRPr="00495482">
        <w:rPr>
          <w:lang w:val="fr-FR"/>
        </w:rPr>
        <w:t xml:space="preserve"> en République de Slovénie. Le Gouvernement slovène s</w:t>
      </w:r>
      <w:r w:rsidR="005D0F0F" w:rsidRPr="00495482">
        <w:rPr>
          <w:lang w:val="fr-FR"/>
        </w:rPr>
        <w:t>’</w:t>
      </w:r>
      <w:r w:rsidRPr="00495482">
        <w:rPr>
          <w:lang w:val="fr-FR"/>
        </w:rPr>
        <w:t>appuie également sur les plans d</w:t>
      </w:r>
      <w:r w:rsidR="005D0F0F" w:rsidRPr="00495482">
        <w:rPr>
          <w:lang w:val="fr-FR"/>
        </w:rPr>
        <w:t>’</w:t>
      </w:r>
      <w:r w:rsidRPr="00495482">
        <w:rPr>
          <w:lang w:val="fr-FR"/>
        </w:rPr>
        <w:t>action pour financer</w:t>
      </w:r>
      <w:r w:rsidR="005D0F0F" w:rsidRPr="00495482">
        <w:rPr>
          <w:lang w:val="fr-FR"/>
        </w:rPr>
        <w:t>,</w:t>
      </w:r>
      <w:r w:rsidRPr="00495482">
        <w:rPr>
          <w:lang w:val="fr-FR"/>
        </w:rPr>
        <w:t xml:space="preserve"> par l</w:t>
      </w:r>
      <w:r w:rsidR="005D0F0F" w:rsidRPr="00495482">
        <w:rPr>
          <w:lang w:val="fr-FR"/>
        </w:rPr>
        <w:t>’</w:t>
      </w:r>
      <w:r w:rsidRPr="00495482">
        <w:rPr>
          <w:lang w:val="fr-FR"/>
        </w:rPr>
        <w:t>intermédiaire du Ministère de l</w:t>
      </w:r>
      <w:r w:rsidR="005D0F0F" w:rsidRPr="00495482">
        <w:rPr>
          <w:lang w:val="fr-FR"/>
        </w:rPr>
        <w:t>’</w:t>
      </w:r>
      <w:r w:rsidRPr="00495482">
        <w:rPr>
          <w:lang w:val="fr-FR"/>
        </w:rPr>
        <w:t>intérieur et du Ministère du travail</w:t>
      </w:r>
      <w:r w:rsidR="005D0F0F" w:rsidRPr="00495482">
        <w:rPr>
          <w:lang w:val="fr-FR"/>
        </w:rPr>
        <w:t>,</w:t>
      </w:r>
      <w:r w:rsidRPr="00495482">
        <w:rPr>
          <w:lang w:val="fr-FR"/>
        </w:rPr>
        <w:t xml:space="preserve"> de la famille et des affaires sociales</w:t>
      </w:r>
      <w:r w:rsidR="005D0F0F" w:rsidRPr="00495482">
        <w:rPr>
          <w:lang w:val="fr-FR"/>
        </w:rPr>
        <w:t>,</w:t>
      </w:r>
      <w:r w:rsidRPr="00495482">
        <w:rPr>
          <w:lang w:val="fr-FR"/>
        </w:rPr>
        <w:t xml:space="preserve"> les projets d</w:t>
      </w:r>
      <w:r w:rsidR="005D0F0F" w:rsidRPr="00495482">
        <w:rPr>
          <w:lang w:val="fr-FR"/>
        </w:rPr>
        <w:t>’</w:t>
      </w:r>
      <w:r w:rsidRPr="00495482">
        <w:rPr>
          <w:lang w:val="fr-FR"/>
        </w:rPr>
        <w:t xml:space="preserve">aide aux victimes de traite </w:t>
      </w:r>
      <w:r w:rsidR="00210F9A" w:rsidRPr="00495482">
        <w:rPr>
          <w:lang w:val="fr-FR"/>
        </w:rPr>
        <w:t>des personnes</w:t>
      </w:r>
      <w:r w:rsidRPr="00495482">
        <w:rPr>
          <w:lang w:val="fr-FR"/>
        </w:rPr>
        <w:t xml:space="preserve"> mis en œuvre par les ONG et les organisations humanitaires. Le budget annuel alloué à cette fin est d</w:t>
      </w:r>
      <w:r w:rsidR="005D0F0F" w:rsidRPr="00495482">
        <w:rPr>
          <w:lang w:val="fr-FR"/>
        </w:rPr>
        <w:t>’</w:t>
      </w:r>
      <w:r w:rsidRPr="00495482">
        <w:rPr>
          <w:lang w:val="fr-FR"/>
        </w:rPr>
        <w:t>environ 100 000</w:t>
      </w:r>
      <w:r w:rsidR="00210F9A" w:rsidRPr="00495482">
        <w:rPr>
          <w:lang w:val="fr-FR"/>
        </w:rPr>
        <w:t> euros</w:t>
      </w:r>
      <w:r w:rsidRPr="00495482">
        <w:rPr>
          <w:lang w:val="fr-FR"/>
        </w:rPr>
        <w:t xml:space="preserve">. </w:t>
      </w:r>
    </w:p>
    <w:p w:rsidR="00317603" w:rsidRPr="00495482" w:rsidRDefault="00317603" w:rsidP="00F17F43">
      <w:pPr>
        <w:pStyle w:val="SingleTxtG"/>
        <w:rPr>
          <w:lang w:val="fr-FR"/>
        </w:rPr>
      </w:pPr>
      <w:r w:rsidRPr="00495482">
        <w:rPr>
          <w:lang w:val="fr-FR"/>
        </w:rPr>
        <w:t>143.</w:t>
      </w:r>
      <w:r w:rsidRPr="00495482">
        <w:rPr>
          <w:lang w:val="fr-FR"/>
        </w:rPr>
        <w:tab/>
        <w:t>Ces différentes formes d</w:t>
      </w:r>
      <w:r w:rsidR="005D0F0F" w:rsidRPr="00495482">
        <w:rPr>
          <w:lang w:val="fr-FR"/>
        </w:rPr>
        <w:t>’</w:t>
      </w:r>
      <w:r w:rsidRPr="00495482">
        <w:rPr>
          <w:lang w:val="fr-FR"/>
        </w:rPr>
        <w:t>aide apportent aux victimes un soutien en matière de réadaptation physique</w:t>
      </w:r>
      <w:r w:rsidR="005D0F0F" w:rsidRPr="00495482">
        <w:rPr>
          <w:lang w:val="fr-FR"/>
        </w:rPr>
        <w:t>,</w:t>
      </w:r>
      <w:r w:rsidRPr="00495482">
        <w:rPr>
          <w:lang w:val="fr-FR"/>
        </w:rPr>
        <w:t xml:space="preserve"> psychologique et sociale</w:t>
      </w:r>
      <w:r w:rsidR="005D0F0F" w:rsidRPr="00495482">
        <w:rPr>
          <w:lang w:val="fr-FR"/>
        </w:rPr>
        <w:t>,</w:t>
      </w:r>
      <w:r w:rsidRPr="00495482">
        <w:rPr>
          <w:lang w:val="fr-FR"/>
        </w:rPr>
        <w:t xml:space="preserve"> de régularisation de leur statut juridique et lors des procédures pénales. Les tâches essentielles du Groupe de travail sur la lutte contre la traite des êtres humains sont présentées à l</w:t>
      </w:r>
      <w:r w:rsidR="005D0F0F" w:rsidRPr="00495482">
        <w:rPr>
          <w:lang w:val="fr-FR"/>
        </w:rPr>
        <w:t>’</w:t>
      </w:r>
      <w:r w:rsidRPr="00495482">
        <w:rPr>
          <w:lang w:val="fr-FR"/>
        </w:rPr>
        <w:t>adresse</w:t>
      </w:r>
      <w:r w:rsidR="003D1A4F" w:rsidRPr="00495482">
        <w:rPr>
          <w:lang w:val="fr-FR"/>
        </w:rPr>
        <w:t xml:space="preserve"> </w:t>
      </w:r>
      <w:r w:rsidRPr="00495482">
        <w:rPr>
          <w:lang w:val="fr-FR"/>
        </w:rPr>
        <w:t>http://www.vlada.si/</w:t>
      </w:r>
      <w:r w:rsidR="00F17F43">
        <w:rPr>
          <w:lang w:val="fr-FR"/>
        </w:rPr>
        <w:t xml:space="preserve"> </w:t>
      </w:r>
      <w:r w:rsidRPr="00495482">
        <w:rPr>
          <w:lang w:val="fr-FR"/>
        </w:rPr>
        <w:t>en/projects/</w:t>
      </w:r>
      <w:r w:rsidR="00F17F43">
        <w:rPr>
          <w:lang w:val="fr-FR"/>
        </w:rPr>
        <w:t xml:space="preserve"> </w:t>
      </w:r>
      <w:r w:rsidRPr="00495482">
        <w:rPr>
          <w:lang w:val="fr-FR"/>
        </w:rPr>
        <w:t>fight_against_trafficking_in_persons/</w:t>
      </w:r>
      <w:r w:rsidR="00A122EB">
        <w:rPr>
          <w:lang w:val="fr-FR"/>
        </w:rPr>
        <w:t>.</w:t>
      </w:r>
      <w:r w:rsidRPr="00495482">
        <w:rPr>
          <w:lang w:val="fr-FR"/>
        </w:rPr>
        <w:t xml:space="preserve"> </w:t>
      </w:r>
    </w:p>
    <w:p w:rsidR="00317603" w:rsidRPr="00495482" w:rsidRDefault="00317603" w:rsidP="00F17F43">
      <w:pPr>
        <w:pStyle w:val="SingleTxtG"/>
        <w:rPr>
          <w:lang w:val="fr-FR"/>
        </w:rPr>
      </w:pPr>
      <w:r w:rsidRPr="00495482">
        <w:rPr>
          <w:lang w:val="fr-FR"/>
        </w:rPr>
        <w:t>144.</w:t>
      </w:r>
      <w:r w:rsidRPr="00495482">
        <w:rPr>
          <w:lang w:val="fr-FR"/>
        </w:rPr>
        <w:tab/>
        <w:t>L</w:t>
      </w:r>
      <w:r w:rsidR="005D0F0F" w:rsidRPr="00495482">
        <w:rPr>
          <w:lang w:val="fr-FR"/>
        </w:rPr>
        <w:t>’</w:t>
      </w:r>
      <w:r w:rsidR="003C4F70">
        <w:rPr>
          <w:lang w:val="fr-FR"/>
        </w:rPr>
        <w:t>article </w:t>
      </w:r>
      <w:r w:rsidRPr="00495482">
        <w:rPr>
          <w:lang w:val="fr-FR"/>
        </w:rPr>
        <w:t>113</w:t>
      </w:r>
      <w:r w:rsidRPr="00495482">
        <w:rPr>
          <w:rStyle w:val="FootnoteReference"/>
        </w:rPr>
        <w:footnoteReference w:id="74"/>
      </w:r>
      <w:r w:rsidRPr="00495482">
        <w:rPr>
          <w:lang w:val="fr-FR"/>
        </w:rPr>
        <w:t xml:space="preserve"> du nouveau Code pénal de la République de Slovénie régit à présent la traite des êtres humains comme une infraction pénale distincte. Elle a également été incorporée aux infractions pénales d</w:t>
      </w:r>
      <w:r w:rsidR="005D0F0F" w:rsidRPr="00495482">
        <w:rPr>
          <w:lang w:val="fr-FR"/>
        </w:rPr>
        <w:t>’</w:t>
      </w:r>
      <w:r w:rsidRPr="00495482">
        <w:rPr>
          <w:lang w:val="fr-FR"/>
        </w:rPr>
        <w:t>asservissement (</w:t>
      </w:r>
      <w:r w:rsidR="00274387" w:rsidRPr="00495482">
        <w:rPr>
          <w:lang w:val="fr-FR"/>
        </w:rPr>
        <w:t>art. </w:t>
      </w:r>
      <w:r w:rsidRPr="00495482">
        <w:rPr>
          <w:lang w:val="fr-FR"/>
        </w:rPr>
        <w:t>122) et d</w:t>
      </w:r>
      <w:r w:rsidR="005D0F0F" w:rsidRPr="00495482">
        <w:rPr>
          <w:lang w:val="fr-FR"/>
        </w:rPr>
        <w:t>’</w:t>
      </w:r>
      <w:r w:rsidRPr="00495482">
        <w:rPr>
          <w:lang w:val="fr-FR"/>
        </w:rPr>
        <w:t>exploitation de la prostitution (</w:t>
      </w:r>
      <w:r w:rsidR="00274387" w:rsidRPr="00495482">
        <w:rPr>
          <w:lang w:val="fr-FR"/>
        </w:rPr>
        <w:t>art. </w:t>
      </w:r>
      <w:r w:rsidRPr="00495482">
        <w:rPr>
          <w:lang w:val="fr-FR"/>
        </w:rPr>
        <w:t>175).</w:t>
      </w:r>
      <w:r w:rsidR="003D1A4F" w:rsidRPr="00495482">
        <w:rPr>
          <w:lang w:val="fr-FR"/>
        </w:rPr>
        <w:t xml:space="preserve"> </w:t>
      </w:r>
      <w:r w:rsidRPr="00495482">
        <w:rPr>
          <w:lang w:val="fr-FR"/>
        </w:rPr>
        <w:t xml:space="preserve">Les infractions pénales indirectement liées à la traite </w:t>
      </w:r>
      <w:r w:rsidR="00210F9A" w:rsidRPr="00495482">
        <w:rPr>
          <w:lang w:val="fr-FR"/>
        </w:rPr>
        <w:t>des personnes</w:t>
      </w:r>
      <w:r w:rsidRPr="00495482">
        <w:rPr>
          <w:lang w:val="fr-FR"/>
        </w:rPr>
        <w:t xml:space="preserve"> sont l</w:t>
      </w:r>
      <w:r w:rsidR="005D0F0F" w:rsidRPr="00495482">
        <w:rPr>
          <w:lang w:val="fr-FR"/>
        </w:rPr>
        <w:t>’</w:t>
      </w:r>
      <w:r w:rsidRPr="00495482">
        <w:rPr>
          <w:lang w:val="fr-FR"/>
        </w:rPr>
        <w:t>interdiction de franchir la frontière ou le territoire national</w:t>
      </w:r>
      <w:r w:rsidR="005D0F0F" w:rsidRPr="00495482">
        <w:rPr>
          <w:lang w:val="fr-FR"/>
        </w:rPr>
        <w:t>,</w:t>
      </w:r>
      <w:r w:rsidRPr="00495482">
        <w:rPr>
          <w:lang w:val="fr-FR"/>
        </w:rPr>
        <w:t xml:space="preserve"> et la présentation</w:t>
      </w:r>
      <w:r w:rsidR="005D0F0F" w:rsidRPr="00495482">
        <w:rPr>
          <w:lang w:val="fr-FR"/>
        </w:rPr>
        <w:t>,</w:t>
      </w:r>
      <w:r w:rsidRPr="00495482">
        <w:rPr>
          <w:lang w:val="fr-FR"/>
        </w:rPr>
        <w:t xml:space="preserve"> la fabrication</w:t>
      </w:r>
      <w:r w:rsidR="005D0F0F" w:rsidRPr="00495482">
        <w:rPr>
          <w:lang w:val="fr-FR"/>
        </w:rPr>
        <w:t>,</w:t>
      </w:r>
      <w:r w:rsidRPr="00495482">
        <w:rPr>
          <w:lang w:val="fr-FR"/>
        </w:rPr>
        <w:t xml:space="preserve"> la possession et la diffusion de matériel pornographique. </w:t>
      </w:r>
    </w:p>
    <w:p w:rsidR="00317603" w:rsidRPr="00495482" w:rsidRDefault="00317603" w:rsidP="00F17F43">
      <w:pPr>
        <w:pStyle w:val="SingleTxtG"/>
        <w:rPr>
          <w:lang w:val="fr-FR"/>
        </w:rPr>
      </w:pPr>
      <w:r w:rsidRPr="00495482">
        <w:rPr>
          <w:lang w:val="fr-FR"/>
        </w:rPr>
        <w:t>145.</w:t>
      </w:r>
      <w:r w:rsidRPr="00495482">
        <w:rPr>
          <w:lang w:val="fr-FR"/>
        </w:rPr>
        <w:tab/>
        <w:t>En 2009</w:t>
      </w:r>
      <w:r w:rsidR="005D0F0F" w:rsidRPr="00495482">
        <w:rPr>
          <w:lang w:val="fr-FR"/>
        </w:rPr>
        <w:t>,</w:t>
      </w:r>
      <w:r w:rsidRPr="00495482">
        <w:rPr>
          <w:lang w:val="fr-FR"/>
        </w:rPr>
        <w:t xml:space="preserve"> la République de Slovénie a ratifié la Convention du Conseil de l</w:t>
      </w:r>
      <w:r w:rsidR="005D0F0F" w:rsidRPr="00495482">
        <w:rPr>
          <w:lang w:val="fr-FR"/>
        </w:rPr>
        <w:t>’</w:t>
      </w:r>
      <w:r w:rsidRPr="00495482">
        <w:rPr>
          <w:lang w:val="fr-FR"/>
        </w:rPr>
        <w:t>Europe sur la lutte contre la traite des êtres humains</w:t>
      </w:r>
      <w:r w:rsidRPr="00495482">
        <w:rPr>
          <w:rStyle w:val="FootnoteReference"/>
        </w:rPr>
        <w:footnoteReference w:id="75"/>
      </w:r>
      <w:r w:rsidR="003D51E1" w:rsidRPr="00495482">
        <w:rPr>
          <w:lang w:val="fr-FR"/>
        </w:rPr>
        <w:t>,</w:t>
      </w:r>
      <w:r w:rsidRPr="00495482">
        <w:rPr>
          <w:lang w:val="fr-FR"/>
        </w:rPr>
        <w:t xml:space="preserve"> qui règlemente la lutte contre la traite dans la région. </w:t>
      </w:r>
    </w:p>
    <w:p w:rsidR="00317603" w:rsidRPr="00495482" w:rsidRDefault="00317603" w:rsidP="00F17F43">
      <w:pPr>
        <w:pStyle w:val="SingleTxtG"/>
        <w:rPr>
          <w:lang w:val="fr-FR"/>
        </w:rPr>
      </w:pPr>
      <w:r w:rsidRPr="00495482">
        <w:rPr>
          <w:lang w:val="fr-FR"/>
        </w:rPr>
        <w:t>146.</w:t>
      </w:r>
      <w:r w:rsidRPr="00495482">
        <w:rPr>
          <w:lang w:val="fr-FR"/>
        </w:rPr>
        <w:tab/>
        <w:t>En 2010</w:t>
      </w:r>
      <w:r w:rsidR="005D0F0F" w:rsidRPr="00495482">
        <w:rPr>
          <w:lang w:val="fr-FR"/>
        </w:rPr>
        <w:t>,</w:t>
      </w:r>
      <w:r w:rsidRPr="00495482">
        <w:rPr>
          <w:lang w:val="fr-FR"/>
        </w:rPr>
        <w:t xml:space="preserve"> les procureurs publics ont enregistré quatre plaintes pénales à l</w:t>
      </w:r>
      <w:r w:rsidR="005D0F0F" w:rsidRPr="00495482">
        <w:rPr>
          <w:lang w:val="fr-FR"/>
        </w:rPr>
        <w:t>’</w:t>
      </w:r>
      <w:r w:rsidRPr="00495482">
        <w:rPr>
          <w:lang w:val="fr-FR"/>
        </w:rPr>
        <w:t>encontre de cinq</w:t>
      </w:r>
      <w:r w:rsidR="002328BD" w:rsidRPr="00495482">
        <w:rPr>
          <w:lang w:val="fr-FR"/>
        </w:rPr>
        <w:t> personnes</w:t>
      </w:r>
      <w:r w:rsidRPr="00495482">
        <w:rPr>
          <w:lang w:val="fr-FR"/>
        </w:rPr>
        <w:t xml:space="preserve"> soupçonnées du crime de traite des êtres humains en vertu de </w:t>
      </w:r>
      <w:r w:rsidR="00657B60" w:rsidRPr="00495482">
        <w:rPr>
          <w:lang w:val="fr-FR"/>
        </w:rPr>
        <w:t>l’</w:t>
      </w:r>
      <w:r w:rsidR="003C4F70">
        <w:rPr>
          <w:lang w:val="fr-FR"/>
        </w:rPr>
        <w:t>article </w:t>
      </w:r>
      <w:r w:rsidRPr="00495482">
        <w:rPr>
          <w:lang w:val="fr-FR"/>
        </w:rPr>
        <w:t>113 du Code pénal. L</w:t>
      </w:r>
      <w:r w:rsidR="005D0F0F" w:rsidRPr="00495482">
        <w:rPr>
          <w:lang w:val="fr-FR"/>
        </w:rPr>
        <w:t>’</w:t>
      </w:r>
      <w:r w:rsidRPr="00495482">
        <w:rPr>
          <w:lang w:val="fr-FR"/>
        </w:rPr>
        <w:t>une des plaintes déposée à l</w:t>
      </w:r>
      <w:r w:rsidR="005D0F0F" w:rsidRPr="00495482">
        <w:rPr>
          <w:lang w:val="fr-FR"/>
        </w:rPr>
        <w:t>’</w:t>
      </w:r>
      <w:r w:rsidRPr="00495482">
        <w:rPr>
          <w:lang w:val="fr-FR"/>
        </w:rPr>
        <w:t>encontre d</w:t>
      </w:r>
      <w:r w:rsidR="005D0F0F" w:rsidRPr="00495482">
        <w:rPr>
          <w:lang w:val="fr-FR"/>
        </w:rPr>
        <w:t>’</w:t>
      </w:r>
      <w:r w:rsidRPr="00495482">
        <w:rPr>
          <w:lang w:val="fr-FR"/>
        </w:rPr>
        <w:t>un suspect a été rejetée</w:t>
      </w:r>
      <w:r w:rsidR="005D0F0F" w:rsidRPr="00495482">
        <w:rPr>
          <w:lang w:val="fr-FR"/>
        </w:rPr>
        <w:t>;</w:t>
      </w:r>
      <w:r w:rsidRPr="00495482">
        <w:rPr>
          <w:lang w:val="fr-FR"/>
        </w:rPr>
        <w:t xml:space="preserve"> cinq suspects ont fait l</w:t>
      </w:r>
      <w:r w:rsidR="005D0F0F" w:rsidRPr="00495482">
        <w:rPr>
          <w:lang w:val="fr-FR"/>
        </w:rPr>
        <w:t>’</w:t>
      </w:r>
      <w:r w:rsidRPr="00495482">
        <w:rPr>
          <w:lang w:val="fr-FR"/>
        </w:rPr>
        <w:t>objet d</w:t>
      </w:r>
      <w:r w:rsidR="005D0F0F" w:rsidRPr="00495482">
        <w:rPr>
          <w:lang w:val="fr-FR"/>
        </w:rPr>
        <w:t>’</w:t>
      </w:r>
      <w:r w:rsidRPr="00495482">
        <w:rPr>
          <w:lang w:val="fr-FR"/>
        </w:rPr>
        <w:t>enquêtes et des charges ont été retenues contre six</w:t>
      </w:r>
      <w:r w:rsidR="002328BD" w:rsidRPr="00495482">
        <w:rPr>
          <w:lang w:val="fr-FR"/>
        </w:rPr>
        <w:t> personnes</w:t>
      </w:r>
      <w:r w:rsidRPr="00495482">
        <w:rPr>
          <w:lang w:val="fr-FR"/>
        </w:rPr>
        <w:t xml:space="preserve">. Deux suspects ont été reconnus coupables des infractions pénales de traite </w:t>
      </w:r>
      <w:r w:rsidR="00210F9A" w:rsidRPr="00495482">
        <w:rPr>
          <w:lang w:val="fr-FR"/>
        </w:rPr>
        <w:t>des personnes</w:t>
      </w:r>
      <w:r w:rsidRPr="00495482">
        <w:rPr>
          <w:lang w:val="fr-FR"/>
        </w:rPr>
        <w:t xml:space="preserve"> et d</w:t>
      </w:r>
      <w:r w:rsidR="005D0F0F" w:rsidRPr="00495482">
        <w:rPr>
          <w:lang w:val="fr-FR"/>
        </w:rPr>
        <w:t>’</w:t>
      </w:r>
      <w:r w:rsidRPr="00495482">
        <w:rPr>
          <w:lang w:val="fr-FR"/>
        </w:rPr>
        <w:t>exploitation de la prostitution commises en complicité</w:t>
      </w:r>
      <w:r w:rsidR="005D0F0F" w:rsidRPr="00495482">
        <w:rPr>
          <w:lang w:val="fr-FR"/>
        </w:rPr>
        <w:t>,</w:t>
      </w:r>
      <w:r w:rsidRPr="00495482">
        <w:rPr>
          <w:lang w:val="fr-FR"/>
        </w:rPr>
        <w:t xml:space="preserve"> et condamnés à une peine de détention (de trois</w:t>
      </w:r>
      <w:r w:rsidR="002328BD" w:rsidRPr="00495482">
        <w:rPr>
          <w:lang w:val="fr-FR"/>
        </w:rPr>
        <w:t> ans</w:t>
      </w:r>
      <w:r w:rsidRPr="00495482">
        <w:rPr>
          <w:lang w:val="fr-FR"/>
        </w:rPr>
        <w:t xml:space="preserve"> pour l</w:t>
      </w:r>
      <w:r w:rsidR="005D0F0F" w:rsidRPr="00495482">
        <w:rPr>
          <w:lang w:val="fr-FR"/>
        </w:rPr>
        <w:t>’</w:t>
      </w:r>
      <w:r w:rsidRPr="00495482">
        <w:rPr>
          <w:lang w:val="fr-FR"/>
        </w:rPr>
        <w:t>un</w:t>
      </w:r>
      <w:r w:rsidR="005D0F0F" w:rsidRPr="00495482">
        <w:rPr>
          <w:lang w:val="fr-FR"/>
        </w:rPr>
        <w:t>,</w:t>
      </w:r>
      <w:r w:rsidRPr="00495482">
        <w:rPr>
          <w:lang w:val="fr-FR"/>
        </w:rPr>
        <w:t xml:space="preserve"> d</w:t>
      </w:r>
      <w:r w:rsidR="005D0F0F" w:rsidRPr="00495482">
        <w:rPr>
          <w:lang w:val="fr-FR"/>
        </w:rPr>
        <w:t>’</w:t>
      </w:r>
      <w:r w:rsidRPr="00495482">
        <w:rPr>
          <w:lang w:val="fr-FR"/>
        </w:rPr>
        <w:t>un an et quatre mois pour l</w:t>
      </w:r>
      <w:r w:rsidR="005D0F0F" w:rsidRPr="00495482">
        <w:rPr>
          <w:lang w:val="fr-FR"/>
        </w:rPr>
        <w:t>’</w:t>
      </w:r>
      <w:r w:rsidRPr="00495482">
        <w:rPr>
          <w:lang w:val="fr-FR"/>
        </w:rPr>
        <w:t>autre). Le tribunal a rendu un jugement reconnaissant deux accusés coupables d</w:t>
      </w:r>
      <w:r w:rsidR="005D0F0F" w:rsidRPr="00495482">
        <w:rPr>
          <w:lang w:val="fr-FR"/>
        </w:rPr>
        <w:t>’</w:t>
      </w:r>
      <w:r w:rsidRPr="00495482">
        <w:rPr>
          <w:lang w:val="fr-FR"/>
        </w:rPr>
        <w:t xml:space="preserve">asservissement en vertu de </w:t>
      </w:r>
      <w:r w:rsidR="00657B60" w:rsidRPr="00495482">
        <w:rPr>
          <w:lang w:val="fr-FR"/>
        </w:rPr>
        <w:t>l’</w:t>
      </w:r>
      <w:r w:rsidR="003C4F70">
        <w:rPr>
          <w:lang w:val="fr-FR"/>
        </w:rPr>
        <w:t>article </w:t>
      </w:r>
      <w:r w:rsidRPr="00495482">
        <w:rPr>
          <w:lang w:val="fr-FR"/>
        </w:rPr>
        <w:t>112 du Code pénal</w:t>
      </w:r>
      <w:r w:rsidR="005D0F0F" w:rsidRPr="00495482">
        <w:rPr>
          <w:lang w:val="fr-FR"/>
        </w:rPr>
        <w:t>;</w:t>
      </w:r>
      <w:r w:rsidRPr="00495482">
        <w:rPr>
          <w:lang w:val="fr-FR"/>
        </w:rPr>
        <w:t xml:space="preserve"> ils ont bénéficié d</w:t>
      </w:r>
      <w:r w:rsidR="005D0F0F" w:rsidRPr="00495482">
        <w:rPr>
          <w:lang w:val="fr-FR"/>
        </w:rPr>
        <w:t>’</w:t>
      </w:r>
      <w:r w:rsidRPr="00495482">
        <w:rPr>
          <w:lang w:val="fr-FR"/>
        </w:rPr>
        <w:t>une libération conditionnelle. Les procureurs publics ont également enregistré neuf plaintes pénales à l</w:t>
      </w:r>
      <w:r w:rsidR="005D0F0F" w:rsidRPr="00495482">
        <w:rPr>
          <w:lang w:val="fr-FR"/>
        </w:rPr>
        <w:t>’</w:t>
      </w:r>
      <w:r w:rsidRPr="00495482">
        <w:rPr>
          <w:lang w:val="fr-FR"/>
        </w:rPr>
        <w:t>encontre de 12</w:t>
      </w:r>
      <w:r w:rsidR="002328BD" w:rsidRPr="00495482">
        <w:rPr>
          <w:lang w:val="fr-FR"/>
        </w:rPr>
        <w:t> personnes</w:t>
      </w:r>
      <w:r w:rsidRPr="00495482">
        <w:rPr>
          <w:lang w:val="fr-FR"/>
        </w:rPr>
        <w:t xml:space="preserve"> pour exploitation de la prostitution en vertu de </w:t>
      </w:r>
      <w:r w:rsidR="00657B60" w:rsidRPr="00495482">
        <w:rPr>
          <w:lang w:val="fr-FR"/>
        </w:rPr>
        <w:t>l’</w:t>
      </w:r>
      <w:r w:rsidR="003C4F70">
        <w:rPr>
          <w:lang w:val="fr-FR"/>
        </w:rPr>
        <w:t>article </w:t>
      </w:r>
      <w:r w:rsidRPr="00495482">
        <w:rPr>
          <w:lang w:val="fr-FR"/>
        </w:rPr>
        <w:t>175 du Code pénal. Cinq suspects ont été accusés des infractions pénales de traite des êtres humains et d</w:t>
      </w:r>
      <w:r w:rsidR="005D0F0F" w:rsidRPr="00495482">
        <w:rPr>
          <w:lang w:val="fr-FR"/>
        </w:rPr>
        <w:t>’</w:t>
      </w:r>
      <w:r w:rsidRPr="00495482">
        <w:rPr>
          <w:lang w:val="fr-FR"/>
        </w:rPr>
        <w:t>exploitation de la prostitution. Des affaires datant de plusieurs années ont été résolues et six accusés ont été condamnés à la détention par les tribunaux de première instance (c</w:t>
      </w:r>
      <w:r w:rsidR="005D0F0F" w:rsidRPr="00495482">
        <w:rPr>
          <w:lang w:val="fr-FR"/>
        </w:rPr>
        <w:t>’</w:t>
      </w:r>
      <w:r w:rsidRPr="00495482">
        <w:rPr>
          <w:lang w:val="fr-FR"/>
        </w:rPr>
        <w:t>est-à-dire pour des durées de 16 à 48 mois</w:t>
      </w:r>
      <w:r w:rsidR="005D0F0F" w:rsidRPr="00495482">
        <w:rPr>
          <w:lang w:val="fr-FR"/>
        </w:rPr>
        <w:t>,</w:t>
      </w:r>
      <w:r w:rsidRPr="00495482">
        <w:rPr>
          <w:lang w:val="fr-FR"/>
        </w:rPr>
        <w:t xml:space="preserve"> outre des condamnations accessoires). En 2010</w:t>
      </w:r>
      <w:r w:rsidR="005D0F0F" w:rsidRPr="00495482">
        <w:rPr>
          <w:lang w:val="fr-FR"/>
        </w:rPr>
        <w:t>,</w:t>
      </w:r>
      <w:r w:rsidRPr="00495482">
        <w:rPr>
          <w:lang w:val="fr-FR"/>
        </w:rPr>
        <w:t xml:space="preserve"> la police ou les organisations non gouvernementales ont identifié 33</w:t>
      </w:r>
      <w:r w:rsidR="002328BD" w:rsidRPr="00495482">
        <w:rPr>
          <w:lang w:val="fr-FR"/>
        </w:rPr>
        <w:t> personnes</w:t>
      </w:r>
      <w:r w:rsidRPr="00495482">
        <w:rPr>
          <w:lang w:val="fr-FR"/>
        </w:rPr>
        <w:t xml:space="preserve"> (victimes ou parties lésées) comme des victimes potentielles de traite des êtres humains; elles ont bénéficié d</w:t>
      </w:r>
      <w:r w:rsidR="005D0F0F" w:rsidRPr="00495482">
        <w:rPr>
          <w:lang w:val="fr-FR"/>
        </w:rPr>
        <w:t>’</w:t>
      </w:r>
      <w:r w:rsidRPr="00495482">
        <w:rPr>
          <w:lang w:val="fr-FR"/>
        </w:rPr>
        <w:t>une forme d</w:t>
      </w:r>
      <w:r w:rsidR="005D0F0F" w:rsidRPr="00495482">
        <w:rPr>
          <w:lang w:val="fr-FR"/>
        </w:rPr>
        <w:t>’</w:t>
      </w:r>
      <w:r w:rsidRPr="00495482">
        <w:rPr>
          <w:lang w:val="fr-FR"/>
        </w:rPr>
        <w:t>assistance. La majorité étaient des femmes (21)</w:t>
      </w:r>
      <w:r w:rsidR="005D0F0F" w:rsidRPr="00495482">
        <w:rPr>
          <w:lang w:val="fr-FR"/>
        </w:rPr>
        <w:t>,</w:t>
      </w:r>
      <w:r w:rsidRPr="00495482">
        <w:rPr>
          <w:lang w:val="fr-FR"/>
        </w:rPr>
        <w:t xml:space="preserve"> dont cinq mineures.</w:t>
      </w:r>
      <w:r w:rsidR="003D1A4F" w:rsidRPr="00495482">
        <w:rPr>
          <w:lang w:val="fr-FR"/>
        </w:rPr>
        <w:t xml:space="preserve"> </w:t>
      </w:r>
    </w:p>
    <w:p w:rsidR="00317603" w:rsidRPr="00495482" w:rsidRDefault="00317603" w:rsidP="00F17F43">
      <w:pPr>
        <w:pStyle w:val="H1G"/>
        <w:rPr>
          <w:lang w:val="fr-FR" w:eastAsia="sl-SI"/>
        </w:rPr>
      </w:pPr>
      <w:r w:rsidRPr="00495482">
        <w:rPr>
          <w:lang w:val="fr-FR" w:eastAsia="sl-SI"/>
        </w:rPr>
        <w:tab/>
      </w:r>
      <w:r w:rsidRPr="00495482">
        <w:rPr>
          <w:lang w:val="fr-FR" w:eastAsia="sl-SI"/>
        </w:rPr>
        <w:tab/>
        <w:t>Article 11</w:t>
      </w:r>
      <w:r w:rsidR="00F17F43">
        <w:rPr>
          <w:lang w:val="fr-FR" w:eastAsia="sl-SI"/>
        </w:rPr>
        <w:br/>
      </w:r>
      <w:r w:rsidRPr="00495482">
        <w:rPr>
          <w:lang w:val="fr-FR" w:eastAsia="sl-SI"/>
        </w:rPr>
        <w:t xml:space="preserve">Droit à un niveau de vie suffisant </w:t>
      </w:r>
    </w:p>
    <w:p w:rsidR="00317603" w:rsidRPr="00495482" w:rsidRDefault="00317603" w:rsidP="00F17F43">
      <w:pPr>
        <w:pStyle w:val="H23G"/>
        <w:rPr>
          <w:lang w:val="fr-FR" w:eastAsia="sl-SI"/>
        </w:rPr>
      </w:pPr>
      <w:r w:rsidRPr="00495482">
        <w:rPr>
          <w:sz w:val="18"/>
          <w:szCs w:val="18"/>
          <w:lang w:val="fr-FR" w:eastAsia="sl-SI"/>
        </w:rPr>
        <w:tab/>
      </w:r>
      <w:r w:rsidRPr="00495482">
        <w:rPr>
          <w:lang w:val="fr-FR" w:eastAsia="sl-SI"/>
        </w:rPr>
        <w:t>1.</w:t>
      </w:r>
      <w:r w:rsidRPr="00495482">
        <w:rPr>
          <w:lang w:val="fr-FR" w:eastAsia="sl-SI"/>
        </w:rPr>
        <w:tab/>
        <w:t xml:space="preserve">Le droit à un niveau de vie suffisant </w:t>
      </w:r>
    </w:p>
    <w:p w:rsidR="00317603" w:rsidRPr="00495482" w:rsidRDefault="00317603" w:rsidP="00F17F43">
      <w:pPr>
        <w:pStyle w:val="H23G"/>
        <w:rPr>
          <w:lang w:val="fr-FR" w:eastAsia="sl-SI"/>
        </w:rPr>
      </w:pPr>
      <w:r w:rsidRPr="00495482">
        <w:rPr>
          <w:lang w:val="fr-FR" w:eastAsia="sl-SI"/>
        </w:rPr>
        <w:tab/>
      </w:r>
      <w:r w:rsidRPr="00495482">
        <w:rPr>
          <w:lang w:val="fr-FR" w:eastAsia="sl-SI"/>
        </w:rPr>
        <w:tab/>
        <w:t>Revenu minimum</w:t>
      </w:r>
    </w:p>
    <w:p w:rsidR="00317603" w:rsidRPr="00495482" w:rsidRDefault="00317603" w:rsidP="00F17F43">
      <w:pPr>
        <w:pStyle w:val="SingleTxtG"/>
        <w:rPr>
          <w:szCs w:val="22"/>
          <w:lang w:val="fr-FR" w:eastAsia="sl-SI"/>
        </w:rPr>
      </w:pPr>
      <w:r w:rsidRPr="00495482">
        <w:rPr>
          <w:lang w:val="fr-FR" w:eastAsia="sl-SI"/>
        </w:rPr>
        <w:t>147.</w:t>
      </w:r>
      <w:r w:rsidRPr="00495482">
        <w:rPr>
          <w:lang w:val="fr-FR" w:eastAsia="sl-SI"/>
        </w:rPr>
        <w:tab/>
        <w:t>Tout résident permanent qui</w:t>
      </w:r>
      <w:r w:rsidR="005D0F0F" w:rsidRPr="00495482">
        <w:rPr>
          <w:lang w:val="fr-FR" w:eastAsia="sl-SI"/>
        </w:rPr>
        <w:t>,</w:t>
      </w:r>
      <w:r w:rsidRPr="00495482">
        <w:rPr>
          <w:lang w:val="fr-FR" w:eastAsia="sl-SI"/>
        </w:rPr>
        <w:t xml:space="preserve"> pour des raisons objectives</w:t>
      </w:r>
      <w:r w:rsidR="005D0F0F" w:rsidRPr="00495482">
        <w:rPr>
          <w:lang w:val="fr-FR" w:eastAsia="sl-SI"/>
        </w:rPr>
        <w:t>,</w:t>
      </w:r>
      <w:r w:rsidRPr="00495482">
        <w:rPr>
          <w:lang w:val="fr-FR" w:eastAsia="sl-SI"/>
        </w:rPr>
        <w:t xml:space="preserve"> ne peut disposer de moyens minimaux pour assurer sa subsistance</w:t>
      </w:r>
      <w:r w:rsidR="005D0F0F" w:rsidRPr="00495482">
        <w:rPr>
          <w:lang w:val="fr-FR" w:eastAsia="sl-SI"/>
        </w:rPr>
        <w:t>,</w:t>
      </w:r>
      <w:r w:rsidRPr="00495482">
        <w:rPr>
          <w:lang w:val="fr-FR" w:eastAsia="sl-SI"/>
        </w:rPr>
        <w:t xml:space="preserve"> est habilité à percevoir une aide sociale en espèces d</w:t>
      </w:r>
      <w:r w:rsidR="005D0F0F" w:rsidRPr="00495482">
        <w:rPr>
          <w:lang w:val="fr-FR" w:eastAsia="sl-SI"/>
        </w:rPr>
        <w:t>’</w:t>
      </w:r>
      <w:r w:rsidRPr="00495482">
        <w:rPr>
          <w:lang w:val="fr-FR" w:eastAsia="sl-SI"/>
        </w:rPr>
        <w:t>un montant équivalent au revenu minimum (lui-même identique aux frais minima de subsistance)</w:t>
      </w:r>
      <w:r w:rsidRPr="00495482">
        <w:rPr>
          <w:rStyle w:val="FootnoteReference"/>
        </w:rPr>
        <w:footnoteReference w:id="76"/>
      </w:r>
      <w:r w:rsidR="003D51E1" w:rsidRPr="00495482">
        <w:rPr>
          <w:lang w:val="fr-FR" w:eastAsia="sl-SI"/>
        </w:rPr>
        <w:t>.</w:t>
      </w:r>
      <w:r w:rsidRPr="00495482">
        <w:rPr>
          <w:lang w:val="fr-FR" w:eastAsia="sl-SI"/>
        </w:rPr>
        <w:t xml:space="preserve"> </w:t>
      </w:r>
    </w:p>
    <w:p w:rsidR="00317603" w:rsidRPr="00495482" w:rsidRDefault="00317603" w:rsidP="00F17F43">
      <w:pPr>
        <w:pStyle w:val="SingleTxtG"/>
        <w:rPr>
          <w:lang w:val="fr-FR" w:eastAsia="sl-SI"/>
        </w:rPr>
      </w:pPr>
      <w:r w:rsidRPr="00495482">
        <w:rPr>
          <w:lang w:val="fr-FR" w:eastAsia="sl-SI"/>
        </w:rPr>
        <w:t>148.</w:t>
      </w:r>
      <w:r w:rsidRPr="00495482">
        <w:rPr>
          <w:lang w:val="fr-FR" w:eastAsia="sl-SI"/>
        </w:rPr>
        <w:tab/>
        <w:t>En 2006</w:t>
      </w:r>
      <w:r w:rsidR="005D0F0F" w:rsidRPr="00495482">
        <w:rPr>
          <w:lang w:val="fr-FR" w:eastAsia="sl-SI"/>
        </w:rPr>
        <w:t>,</w:t>
      </w:r>
      <w:r w:rsidRPr="00495482">
        <w:rPr>
          <w:lang w:val="fr-FR" w:eastAsia="sl-SI"/>
        </w:rPr>
        <w:t xml:space="preserve"> la </w:t>
      </w:r>
      <w:r w:rsidRPr="00495482">
        <w:rPr>
          <w:i/>
          <w:lang w:val="fr-FR" w:eastAsia="sl-SI"/>
        </w:rPr>
        <w:t>loi sur l</w:t>
      </w:r>
      <w:r w:rsidR="005D0F0F" w:rsidRPr="00495482">
        <w:rPr>
          <w:i/>
          <w:lang w:val="fr-FR" w:eastAsia="sl-SI"/>
        </w:rPr>
        <w:t>’</w:t>
      </w:r>
      <w:r w:rsidRPr="00495482">
        <w:rPr>
          <w:i/>
          <w:lang w:val="fr-FR" w:eastAsia="sl-SI"/>
        </w:rPr>
        <w:t xml:space="preserve">ajustement des transferts sociaux </w:t>
      </w:r>
      <w:r w:rsidR="0038572C">
        <w:rPr>
          <w:i/>
          <w:lang w:val="fr-FR" w:eastAsia="sl-SI"/>
        </w:rPr>
        <w:t>aux personnes</w:t>
      </w:r>
      <w:r w:rsidRPr="00495482">
        <w:rPr>
          <w:i/>
          <w:lang w:val="fr-FR" w:eastAsia="sl-SI"/>
        </w:rPr>
        <w:t xml:space="preserve"> et aux ménages </w:t>
      </w:r>
      <w:r w:rsidRPr="00495482">
        <w:rPr>
          <w:lang w:val="fr-FR" w:eastAsia="sl-SI"/>
        </w:rPr>
        <w:t>a été adoptée</w:t>
      </w:r>
      <w:r w:rsidRPr="00495482">
        <w:rPr>
          <w:rStyle w:val="FootnoteReference"/>
        </w:rPr>
        <w:footnoteReference w:id="77"/>
      </w:r>
      <w:r w:rsidR="005D0F0F" w:rsidRPr="00495482">
        <w:rPr>
          <w:lang w:val="fr-FR" w:eastAsia="sl-SI"/>
        </w:rPr>
        <w:t>;</w:t>
      </w:r>
      <w:r w:rsidRPr="00495482">
        <w:rPr>
          <w:lang w:val="fr-FR" w:eastAsia="sl-SI"/>
        </w:rPr>
        <w:t xml:space="preserve"> en vigueur depuis janvier 2007</w:t>
      </w:r>
      <w:r w:rsidR="005D0F0F" w:rsidRPr="00495482">
        <w:rPr>
          <w:lang w:val="fr-FR" w:eastAsia="sl-SI"/>
        </w:rPr>
        <w:t>,</w:t>
      </w:r>
      <w:r w:rsidRPr="00495482">
        <w:rPr>
          <w:lang w:val="fr-FR" w:eastAsia="sl-SI"/>
        </w:rPr>
        <w:t xml:space="preserve"> elle vise à préserver le niveau de revenu </w:t>
      </w:r>
      <w:r w:rsidR="00210F9A" w:rsidRPr="00495482">
        <w:rPr>
          <w:lang w:val="fr-FR" w:eastAsia="sl-SI"/>
        </w:rPr>
        <w:t>des personnes</w:t>
      </w:r>
      <w:r w:rsidRPr="00495482">
        <w:rPr>
          <w:lang w:val="fr-FR" w:eastAsia="sl-SI"/>
        </w:rPr>
        <w:t xml:space="preserve"> matériellement les plus démunies</w:t>
      </w:r>
      <w:r w:rsidR="005D0F0F" w:rsidRPr="00495482">
        <w:rPr>
          <w:lang w:val="fr-FR" w:eastAsia="sl-SI"/>
        </w:rPr>
        <w:t>,</w:t>
      </w:r>
      <w:r w:rsidRPr="00495482">
        <w:rPr>
          <w:lang w:val="fr-FR" w:eastAsia="sl-SI"/>
        </w:rPr>
        <w:t xml:space="preserve"> à uniformiser le principe d</w:t>
      </w:r>
      <w:r w:rsidR="005D0F0F" w:rsidRPr="00495482">
        <w:rPr>
          <w:lang w:val="fr-FR" w:eastAsia="sl-SI"/>
        </w:rPr>
        <w:t>’</w:t>
      </w:r>
      <w:r w:rsidRPr="00495482">
        <w:rPr>
          <w:lang w:val="fr-FR" w:eastAsia="sl-SI"/>
        </w:rPr>
        <w:t>harmonisation des divers transferts sociaux</w:t>
      </w:r>
      <w:r w:rsidR="005D0F0F" w:rsidRPr="00495482">
        <w:rPr>
          <w:lang w:val="fr-FR" w:eastAsia="sl-SI"/>
        </w:rPr>
        <w:t>,</w:t>
      </w:r>
      <w:r w:rsidRPr="00495482">
        <w:rPr>
          <w:lang w:val="fr-FR" w:eastAsia="sl-SI"/>
        </w:rPr>
        <w:t xml:space="preserve"> à fixer une période égale à cette</w:t>
      </w:r>
      <w:r w:rsidR="003D1A4F" w:rsidRPr="00495482">
        <w:rPr>
          <w:lang w:val="fr-FR" w:eastAsia="sl-SI"/>
        </w:rPr>
        <w:t xml:space="preserve"> </w:t>
      </w:r>
      <w:r w:rsidRPr="00495482">
        <w:rPr>
          <w:lang w:val="fr-FR" w:eastAsia="sl-SI"/>
        </w:rPr>
        <w:t>harmonisation et à en améliorer la transparence</w:t>
      </w:r>
      <w:r w:rsidR="005D0F0F" w:rsidRPr="00495482">
        <w:rPr>
          <w:lang w:val="fr-FR" w:eastAsia="sl-SI"/>
        </w:rPr>
        <w:t>,</w:t>
      </w:r>
      <w:r w:rsidRPr="00495482">
        <w:rPr>
          <w:lang w:val="fr-FR" w:eastAsia="sl-SI"/>
        </w:rPr>
        <w:t xml:space="preserve"> tout en en corrigeant les illogismes antérieurs et en simplifiant la planification des dépenses. Les conséquences de la crise économique et financière qui affectent en particulier certains groupes de population parmi les plus vulnérables</w:t>
      </w:r>
      <w:r w:rsidR="005D0F0F" w:rsidRPr="00495482">
        <w:rPr>
          <w:lang w:val="fr-FR" w:eastAsia="sl-SI"/>
        </w:rPr>
        <w:t>,</w:t>
      </w:r>
      <w:r w:rsidRPr="00495482">
        <w:rPr>
          <w:lang w:val="fr-FR" w:eastAsia="sl-SI"/>
        </w:rPr>
        <w:t xml:space="preserve"> ont conduit le Gouvernement slovène à élaborer en juin 2009 une loi d</w:t>
      </w:r>
      <w:r w:rsidR="005D0F0F" w:rsidRPr="00495482">
        <w:rPr>
          <w:lang w:val="fr-FR" w:eastAsia="sl-SI"/>
        </w:rPr>
        <w:t>’</w:t>
      </w:r>
      <w:r w:rsidRPr="00495482">
        <w:rPr>
          <w:lang w:val="fr-FR" w:eastAsia="sl-SI"/>
        </w:rPr>
        <w:t>intervention</w:t>
      </w:r>
      <w:r w:rsidR="005D0F0F" w:rsidRPr="00495482">
        <w:rPr>
          <w:lang w:val="fr-FR" w:eastAsia="sl-SI"/>
        </w:rPr>
        <w:t>,</w:t>
      </w:r>
      <w:r w:rsidRPr="00495482">
        <w:rPr>
          <w:lang w:val="fr-FR" w:eastAsia="sl-SI"/>
        </w:rPr>
        <w:t xml:space="preserve"> la </w:t>
      </w:r>
      <w:r w:rsidRPr="00495482">
        <w:rPr>
          <w:i/>
          <w:lang w:val="fr-FR" w:eastAsia="sl-SI"/>
        </w:rPr>
        <w:t>loi sur l</w:t>
      </w:r>
      <w:r w:rsidR="005D0F0F" w:rsidRPr="00495482">
        <w:rPr>
          <w:i/>
          <w:lang w:val="fr-FR" w:eastAsia="sl-SI"/>
        </w:rPr>
        <w:t>’</w:t>
      </w:r>
      <w:r w:rsidRPr="00495482">
        <w:rPr>
          <w:i/>
          <w:lang w:val="fr-FR" w:eastAsia="sl-SI"/>
        </w:rPr>
        <w:t xml:space="preserve">allocation spéciale pour </w:t>
      </w:r>
      <w:r w:rsidR="0014499F" w:rsidRPr="00495482">
        <w:rPr>
          <w:i/>
          <w:lang w:val="fr-FR" w:eastAsia="sl-SI"/>
        </w:rPr>
        <w:t>les personnes</w:t>
      </w:r>
      <w:r w:rsidRPr="00495482">
        <w:rPr>
          <w:i/>
          <w:lang w:val="fr-FR" w:eastAsia="sl-SI"/>
        </w:rPr>
        <w:t xml:space="preserve"> en situation de</w:t>
      </w:r>
      <w:r w:rsidRPr="00495482">
        <w:rPr>
          <w:lang w:val="fr-FR" w:eastAsia="sl-SI"/>
        </w:rPr>
        <w:t xml:space="preserve"> </w:t>
      </w:r>
      <w:r w:rsidRPr="00495482">
        <w:rPr>
          <w:i/>
          <w:lang w:val="fr-FR" w:eastAsia="sl-SI"/>
        </w:rPr>
        <w:t>risque social</w:t>
      </w:r>
      <w:r w:rsidRPr="00495482">
        <w:rPr>
          <w:rStyle w:val="FootnoteReference"/>
        </w:rPr>
        <w:footnoteReference w:id="78"/>
      </w:r>
      <w:r w:rsidR="003D51E1" w:rsidRPr="00495482">
        <w:rPr>
          <w:iCs/>
          <w:lang w:val="fr-FR" w:eastAsia="sl-SI"/>
        </w:rPr>
        <w:t>,</w:t>
      </w:r>
      <w:r w:rsidRPr="00495482">
        <w:rPr>
          <w:lang w:val="fr-FR" w:eastAsia="sl-SI"/>
        </w:rPr>
        <w:t xml:space="preserve"> par laquelle il souhaite apporter une aide financière rapide </w:t>
      </w:r>
      <w:r w:rsidR="0038572C">
        <w:rPr>
          <w:lang w:val="fr-FR" w:eastAsia="sl-SI"/>
        </w:rPr>
        <w:t>aux personnes</w:t>
      </w:r>
      <w:r w:rsidRPr="00495482">
        <w:rPr>
          <w:lang w:val="fr-FR" w:eastAsia="sl-SI"/>
        </w:rPr>
        <w:t xml:space="preserve"> en situation de risque</w:t>
      </w:r>
      <w:r w:rsidR="005D0F0F" w:rsidRPr="00495482">
        <w:rPr>
          <w:lang w:val="fr-FR" w:eastAsia="sl-SI"/>
        </w:rPr>
        <w:t>,</w:t>
      </w:r>
      <w:r w:rsidRPr="00495482">
        <w:rPr>
          <w:lang w:val="fr-FR" w:eastAsia="sl-SI"/>
        </w:rPr>
        <w:t xml:space="preserve"> et remédier ainsi au moins partiellement à leur situation sociale. </w:t>
      </w:r>
    </w:p>
    <w:p w:rsidR="00317603" w:rsidRPr="00495482" w:rsidRDefault="00317603" w:rsidP="00F17F43">
      <w:pPr>
        <w:pStyle w:val="SingleTxtG"/>
        <w:rPr>
          <w:szCs w:val="22"/>
          <w:lang w:val="fr-FR" w:eastAsia="sl-SI"/>
        </w:rPr>
      </w:pPr>
      <w:r w:rsidRPr="00495482">
        <w:rPr>
          <w:lang w:val="fr-FR" w:eastAsia="sl-SI"/>
        </w:rPr>
        <w:t>149.</w:t>
      </w:r>
      <w:r w:rsidRPr="00495482">
        <w:rPr>
          <w:lang w:val="fr-FR" w:eastAsia="sl-SI"/>
        </w:rPr>
        <w:tab/>
        <w:t>En 2010</w:t>
      </w:r>
      <w:r w:rsidR="005D0F0F" w:rsidRPr="00495482">
        <w:rPr>
          <w:lang w:val="fr-FR" w:eastAsia="sl-SI"/>
        </w:rPr>
        <w:t>,</w:t>
      </w:r>
      <w:r w:rsidRPr="00495482">
        <w:rPr>
          <w:lang w:val="fr-FR" w:eastAsia="sl-SI"/>
        </w:rPr>
        <w:t xml:space="preserve"> le Gouvernement slovène a également adopté un </w:t>
      </w:r>
      <w:r w:rsidRPr="00495482">
        <w:rPr>
          <w:i/>
          <w:lang w:val="fr-FR" w:eastAsia="sl-SI"/>
        </w:rPr>
        <w:t>projet de loi sur l</w:t>
      </w:r>
      <w:r w:rsidR="005D0F0F" w:rsidRPr="00495482">
        <w:rPr>
          <w:i/>
          <w:lang w:val="fr-FR" w:eastAsia="sl-SI"/>
        </w:rPr>
        <w:t>’</w:t>
      </w:r>
      <w:r w:rsidRPr="00495482">
        <w:rPr>
          <w:i/>
          <w:lang w:val="fr-FR" w:eastAsia="sl-SI"/>
        </w:rPr>
        <w:t>aide</w:t>
      </w:r>
      <w:r w:rsidRPr="00495482">
        <w:rPr>
          <w:lang w:val="fr-FR" w:eastAsia="sl-SI"/>
        </w:rPr>
        <w:t xml:space="preserve"> </w:t>
      </w:r>
      <w:r w:rsidRPr="00495482">
        <w:rPr>
          <w:i/>
          <w:lang w:val="fr-FR" w:eastAsia="sl-SI"/>
        </w:rPr>
        <w:t>sociale</w:t>
      </w:r>
      <w:r w:rsidRPr="00495482">
        <w:rPr>
          <w:lang w:val="fr-FR" w:eastAsia="sl-SI"/>
        </w:rPr>
        <w:t xml:space="preserve"> </w:t>
      </w:r>
      <w:r w:rsidRPr="00495482">
        <w:rPr>
          <w:i/>
          <w:lang w:val="fr-FR" w:eastAsia="sl-SI"/>
        </w:rPr>
        <w:t>financière</w:t>
      </w:r>
      <w:r w:rsidRPr="00495482">
        <w:rPr>
          <w:rStyle w:val="FootnoteReference"/>
        </w:rPr>
        <w:footnoteReference w:id="79"/>
      </w:r>
      <w:r w:rsidRPr="00495482">
        <w:rPr>
          <w:iCs/>
          <w:lang w:val="fr-FR" w:eastAsia="sl-SI"/>
        </w:rPr>
        <w:t xml:space="preserve"> </w:t>
      </w:r>
      <w:r w:rsidRPr="00495482">
        <w:rPr>
          <w:lang w:val="fr-FR" w:eastAsia="sl-SI"/>
        </w:rPr>
        <w:t>qui améliore les dispositions actuelles de l</w:t>
      </w:r>
      <w:r w:rsidR="005D0F0F" w:rsidRPr="00495482">
        <w:rPr>
          <w:lang w:val="fr-FR" w:eastAsia="sl-SI"/>
        </w:rPr>
        <w:t>’</w:t>
      </w:r>
      <w:r w:rsidRPr="00495482">
        <w:rPr>
          <w:lang w:val="fr-FR" w:eastAsia="sl-SI"/>
        </w:rPr>
        <w:t xml:space="preserve">aide sociale sous forme de prestations en espèces. </w:t>
      </w:r>
    </w:p>
    <w:p w:rsidR="00317603" w:rsidRPr="00495482" w:rsidRDefault="00317603" w:rsidP="00F17F43">
      <w:pPr>
        <w:pStyle w:val="SingleTxtG"/>
        <w:rPr>
          <w:szCs w:val="22"/>
          <w:lang w:val="fr-FR" w:eastAsia="sl-SI"/>
        </w:rPr>
      </w:pPr>
      <w:r w:rsidRPr="00495482">
        <w:rPr>
          <w:lang w:val="fr-FR" w:eastAsia="sl-SI"/>
        </w:rPr>
        <w:t>150.</w:t>
      </w:r>
      <w:r w:rsidRPr="00495482">
        <w:rPr>
          <w:lang w:val="fr-FR" w:eastAsia="sl-SI"/>
        </w:rPr>
        <w:tab/>
        <w:t>Selon le Bureau de la statistique de la République de Slovénie</w:t>
      </w:r>
      <w:r w:rsidR="005D0F0F" w:rsidRPr="00495482">
        <w:rPr>
          <w:lang w:val="fr-FR" w:eastAsia="sl-SI"/>
        </w:rPr>
        <w:t>,</w:t>
      </w:r>
      <w:r w:rsidRPr="00495482">
        <w:rPr>
          <w:lang w:val="fr-FR" w:eastAsia="sl-SI"/>
        </w:rPr>
        <w:t xml:space="preserve"> le taux </w:t>
      </w:r>
      <w:r w:rsidR="00210F9A" w:rsidRPr="00495482">
        <w:rPr>
          <w:lang w:val="fr-FR" w:eastAsia="sl-SI"/>
        </w:rPr>
        <w:t>des personnes</w:t>
      </w:r>
      <w:r w:rsidRPr="00495482">
        <w:rPr>
          <w:lang w:val="fr-FR" w:eastAsia="sl-SI"/>
        </w:rPr>
        <w:t xml:space="preserve"> exposées à la paupérisation en 2004 s</w:t>
      </w:r>
      <w:r w:rsidR="005D0F0F" w:rsidRPr="00495482">
        <w:rPr>
          <w:lang w:val="fr-FR" w:eastAsia="sl-SI"/>
        </w:rPr>
        <w:t>’</w:t>
      </w:r>
      <w:r w:rsidRPr="00495482">
        <w:rPr>
          <w:lang w:val="fr-FR" w:eastAsia="sl-SI"/>
        </w:rPr>
        <w:t>élevait à 12</w:t>
      </w:r>
      <w:r w:rsidR="005D0F0F" w:rsidRPr="00495482">
        <w:rPr>
          <w:lang w:val="fr-FR" w:eastAsia="sl-SI"/>
        </w:rPr>
        <w:t>,</w:t>
      </w:r>
      <w:r w:rsidRPr="00495482">
        <w:rPr>
          <w:lang w:val="fr-FR" w:eastAsia="sl-SI"/>
        </w:rPr>
        <w:t>1%. Ce qui signifie que 12</w:t>
      </w:r>
      <w:r w:rsidR="005D0F0F" w:rsidRPr="00495482">
        <w:rPr>
          <w:lang w:val="fr-FR" w:eastAsia="sl-SI"/>
        </w:rPr>
        <w:t>,</w:t>
      </w:r>
      <w:r w:rsidRPr="00495482">
        <w:rPr>
          <w:lang w:val="fr-FR" w:eastAsia="sl-SI"/>
        </w:rPr>
        <w:t xml:space="preserve">1% de la population vivait en dessous du seuil de </w:t>
      </w:r>
      <w:r w:rsidR="00274387" w:rsidRPr="00495482">
        <w:rPr>
          <w:lang w:val="fr-FR" w:eastAsia="sl-SI"/>
        </w:rPr>
        <w:t>«</w:t>
      </w:r>
      <w:r w:rsidRPr="00495482">
        <w:rPr>
          <w:lang w:val="fr-FR" w:eastAsia="sl-SI"/>
        </w:rPr>
        <w:t>risque de pauvreté</w:t>
      </w:r>
      <w:r w:rsidR="00274387" w:rsidRPr="00495482">
        <w:rPr>
          <w:lang w:val="fr-FR" w:eastAsia="sl-SI"/>
        </w:rPr>
        <w:t>»</w:t>
      </w:r>
      <w:r w:rsidR="005D0F0F" w:rsidRPr="00495482">
        <w:rPr>
          <w:lang w:val="fr-FR" w:eastAsia="sl-SI"/>
        </w:rPr>
        <w:t>,</w:t>
      </w:r>
      <w:r w:rsidRPr="00495482">
        <w:rPr>
          <w:lang w:val="fr-FR" w:eastAsia="sl-SI"/>
        </w:rPr>
        <w:t xml:space="preserve"> soit 5</w:t>
      </w:r>
      <w:r w:rsidR="005D2932">
        <w:rPr>
          <w:lang w:val="fr-FR" w:eastAsia="sl-SI"/>
        </w:rPr>
        <w:t> </w:t>
      </w:r>
      <w:r w:rsidRPr="00495482">
        <w:rPr>
          <w:lang w:val="fr-FR" w:eastAsia="sl-SI"/>
        </w:rPr>
        <w:t>278</w:t>
      </w:r>
      <w:r w:rsidR="00210F9A" w:rsidRPr="00495482">
        <w:rPr>
          <w:lang w:val="fr-FR" w:eastAsia="sl-SI"/>
        </w:rPr>
        <w:t> euros</w:t>
      </w:r>
      <w:r w:rsidRPr="00495482">
        <w:rPr>
          <w:lang w:val="fr-FR" w:eastAsia="sl-SI"/>
        </w:rPr>
        <w:t xml:space="preserve"> en 2004. Les dernières données qui datent de 2008</w:t>
      </w:r>
      <w:r w:rsidR="005D0F0F" w:rsidRPr="00495482">
        <w:rPr>
          <w:lang w:val="fr-FR" w:eastAsia="sl-SI"/>
        </w:rPr>
        <w:t>,</w:t>
      </w:r>
      <w:r w:rsidRPr="00495482">
        <w:rPr>
          <w:lang w:val="fr-FR" w:eastAsia="sl-SI"/>
        </w:rPr>
        <w:t xml:space="preserve"> montrent également que 12</w:t>
      </w:r>
      <w:r w:rsidR="005D0F0F" w:rsidRPr="00495482">
        <w:rPr>
          <w:lang w:val="fr-FR" w:eastAsia="sl-SI"/>
        </w:rPr>
        <w:t>,</w:t>
      </w:r>
      <w:r w:rsidRPr="00495482">
        <w:rPr>
          <w:lang w:val="fr-FR" w:eastAsia="sl-SI"/>
        </w:rPr>
        <w:t>3% de la population en Slovénie vit en dessous du seuil de pauvreté</w:t>
      </w:r>
      <w:r w:rsidR="005D0F0F" w:rsidRPr="00495482">
        <w:rPr>
          <w:lang w:val="fr-FR" w:eastAsia="sl-SI"/>
        </w:rPr>
        <w:t>,</w:t>
      </w:r>
      <w:r w:rsidRPr="00495482">
        <w:rPr>
          <w:lang w:val="fr-FR" w:eastAsia="sl-SI"/>
        </w:rPr>
        <w:t xml:space="preserve"> la moyenne pour les 27 pays de l</w:t>
      </w:r>
      <w:r w:rsidR="005D0F0F" w:rsidRPr="00495482">
        <w:rPr>
          <w:lang w:val="fr-FR" w:eastAsia="sl-SI"/>
        </w:rPr>
        <w:t>’</w:t>
      </w:r>
      <w:r w:rsidRPr="00495482">
        <w:rPr>
          <w:lang w:val="fr-FR" w:eastAsia="sl-SI"/>
        </w:rPr>
        <w:t>Union européenne étant de 17% (les données provisoires pour 2009 indiquent par rapport à l</w:t>
      </w:r>
      <w:r w:rsidR="005D0F0F" w:rsidRPr="00495482">
        <w:rPr>
          <w:lang w:val="fr-FR" w:eastAsia="sl-SI"/>
        </w:rPr>
        <w:t>’</w:t>
      </w:r>
      <w:r w:rsidRPr="00495482">
        <w:rPr>
          <w:lang w:val="fr-FR" w:eastAsia="sl-SI"/>
        </w:rPr>
        <w:t xml:space="preserve">année précédente un léger recul du taux </w:t>
      </w:r>
      <w:r w:rsidR="00210F9A" w:rsidRPr="00495482">
        <w:rPr>
          <w:lang w:val="fr-FR" w:eastAsia="sl-SI"/>
        </w:rPr>
        <w:t>des personnes</w:t>
      </w:r>
      <w:r w:rsidRPr="00495482">
        <w:rPr>
          <w:lang w:val="fr-FR" w:eastAsia="sl-SI"/>
        </w:rPr>
        <w:t xml:space="preserve"> exposées à la paupérisation</w:t>
      </w:r>
      <w:r w:rsidR="005D0F0F" w:rsidRPr="00495482">
        <w:rPr>
          <w:lang w:val="fr-FR" w:eastAsia="sl-SI"/>
        </w:rPr>
        <w:t>,</w:t>
      </w:r>
      <w:r w:rsidRPr="00495482">
        <w:rPr>
          <w:lang w:val="fr-FR" w:eastAsia="sl-SI"/>
        </w:rPr>
        <w:t xml:space="preserve"> puisqu</w:t>
      </w:r>
      <w:r w:rsidR="005D0F0F" w:rsidRPr="00495482">
        <w:rPr>
          <w:lang w:val="fr-FR" w:eastAsia="sl-SI"/>
        </w:rPr>
        <w:t>’</w:t>
      </w:r>
      <w:r w:rsidRPr="00495482">
        <w:rPr>
          <w:lang w:val="fr-FR" w:eastAsia="sl-SI"/>
        </w:rPr>
        <w:t>il passe de 12</w:t>
      </w:r>
      <w:r w:rsidR="005D0F0F" w:rsidRPr="00495482">
        <w:rPr>
          <w:lang w:val="fr-FR" w:eastAsia="sl-SI"/>
        </w:rPr>
        <w:t>,</w:t>
      </w:r>
      <w:r w:rsidRPr="00495482">
        <w:rPr>
          <w:lang w:val="fr-FR" w:eastAsia="sl-SI"/>
        </w:rPr>
        <w:t>3 à 11</w:t>
      </w:r>
      <w:r w:rsidR="005D0F0F" w:rsidRPr="00495482">
        <w:rPr>
          <w:lang w:val="fr-FR" w:eastAsia="sl-SI"/>
        </w:rPr>
        <w:t>,</w:t>
      </w:r>
      <w:r w:rsidRPr="00495482">
        <w:rPr>
          <w:lang w:val="fr-FR" w:eastAsia="sl-SI"/>
        </w:rPr>
        <w:t>3%).</w:t>
      </w:r>
      <w:r w:rsidR="003D1A4F" w:rsidRPr="00495482">
        <w:rPr>
          <w:lang w:val="fr-FR" w:eastAsia="sl-SI"/>
        </w:rPr>
        <w:t xml:space="preserve"> </w:t>
      </w:r>
    </w:p>
    <w:p w:rsidR="00317603" w:rsidRPr="00495482" w:rsidRDefault="00317603" w:rsidP="00F17F43">
      <w:pPr>
        <w:pStyle w:val="H23G"/>
        <w:rPr>
          <w:szCs w:val="22"/>
          <w:lang w:val="fr-FR" w:eastAsia="sl-SI"/>
        </w:rPr>
      </w:pPr>
      <w:r w:rsidRPr="00495482">
        <w:rPr>
          <w:lang w:val="fr-FR" w:eastAsia="sl-SI"/>
        </w:rPr>
        <w:tab/>
      </w:r>
      <w:r w:rsidRPr="00495482">
        <w:rPr>
          <w:lang w:val="fr-FR" w:eastAsia="sl-SI"/>
        </w:rPr>
        <w:tab/>
        <w:t>Plan d</w:t>
      </w:r>
      <w:r w:rsidR="005D0F0F" w:rsidRPr="00495482">
        <w:rPr>
          <w:lang w:val="fr-FR" w:eastAsia="sl-SI"/>
        </w:rPr>
        <w:t>’</w:t>
      </w:r>
      <w:r w:rsidRPr="00495482">
        <w:rPr>
          <w:lang w:val="fr-FR" w:eastAsia="sl-SI"/>
        </w:rPr>
        <w:t>action national pour la réduction de la pauvreté et de l</w:t>
      </w:r>
      <w:r w:rsidR="005D0F0F" w:rsidRPr="00495482">
        <w:rPr>
          <w:lang w:val="fr-FR" w:eastAsia="sl-SI"/>
        </w:rPr>
        <w:t>’</w:t>
      </w:r>
      <w:r w:rsidRPr="00495482">
        <w:rPr>
          <w:lang w:val="fr-FR" w:eastAsia="sl-SI"/>
        </w:rPr>
        <w:t>exclusion sociale</w:t>
      </w:r>
    </w:p>
    <w:p w:rsidR="00317603" w:rsidRPr="00495482" w:rsidRDefault="00317603" w:rsidP="002D3E12">
      <w:pPr>
        <w:pStyle w:val="SingleTxtG"/>
        <w:keepNext/>
        <w:rPr>
          <w:lang w:val="fr-FR" w:eastAsia="sl-SI"/>
        </w:rPr>
      </w:pPr>
      <w:r w:rsidRPr="00495482">
        <w:rPr>
          <w:bCs/>
          <w:lang w:val="fr-FR" w:eastAsia="sl-SI"/>
        </w:rPr>
        <w:t>151.</w:t>
      </w:r>
      <w:r w:rsidRPr="00495482">
        <w:rPr>
          <w:bCs/>
          <w:lang w:val="fr-FR" w:eastAsia="sl-SI"/>
        </w:rPr>
        <w:tab/>
      </w:r>
      <w:r w:rsidRPr="00495482">
        <w:rPr>
          <w:lang w:val="fr-FR" w:eastAsia="sl-SI"/>
        </w:rPr>
        <w:t>Depuis 2003</w:t>
      </w:r>
      <w:r w:rsidR="005D0F0F" w:rsidRPr="00495482">
        <w:rPr>
          <w:lang w:val="fr-FR" w:eastAsia="sl-SI"/>
        </w:rPr>
        <w:t>,</w:t>
      </w:r>
      <w:r w:rsidRPr="00495482">
        <w:rPr>
          <w:lang w:val="fr-FR" w:eastAsia="sl-SI"/>
        </w:rPr>
        <w:t xml:space="preserve"> date à laquelle elle a accédé à l</w:t>
      </w:r>
      <w:r w:rsidR="005D0F0F" w:rsidRPr="00495482">
        <w:rPr>
          <w:lang w:val="fr-FR" w:eastAsia="sl-SI"/>
        </w:rPr>
        <w:t>’</w:t>
      </w:r>
      <w:r w:rsidRPr="00495482">
        <w:rPr>
          <w:lang w:val="fr-FR" w:eastAsia="sl-SI"/>
        </w:rPr>
        <w:t>Union européenne</w:t>
      </w:r>
      <w:r w:rsidR="005D0F0F" w:rsidRPr="00495482">
        <w:rPr>
          <w:lang w:val="fr-FR" w:eastAsia="sl-SI"/>
        </w:rPr>
        <w:t>,</w:t>
      </w:r>
      <w:r w:rsidRPr="00495482">
        <w:rPr>
          <w:lang w:val="fr-FR" w:eastAsia="sl-SI"/>
        </w:rPr>
        <w:t xml:space="preserve"> la République de Slovénie a participé au programme d</w:t>
      </w:r>
      <w:r w:rsidR="005D0F0F" w:rsidRPr="00495482">
        <w:rPr>
          <w:lang w:val="fr-FR" w:eastAsia="sl-SI"/>
        </w:rPr>
        <w:t>’</w:t>
      </w:r>
      <w:r w:rsidRPr="00495482">
        <w:rPr>
          <w:lang w:val="fr-FR" w:eastAsia="sl-SI"/>
        </w:rPr>
        <w:t>action communautaire de lutte contre l</w:t>
      </w:r>
      <w:r w:rsidR="005D0F0F" w:rsidRPr="00495482">
        <w:rPr>
          <w:lang w:val="fr-FR" w:eastAsia="sl-SI"/>
        </w:rPr>
        <w:t>’</w:t>
      </w:r>
      <w:r w:rsidRPr="00495482">
        <w:rPr>
          <w:lang w:val="fr-FR" w:eastAsia="sl-SI"/>
        </w:rPr>
        <w:t>exclusion sociale 2002-2006</w:t>
      </w:r>
      <w:r w:rsidR="005D0F0F" w:rsidRPr="00495482">
        <w:rPr>
          <w:lang w:val="fr-FR" w:eastAsia="sl-SI"/>
        </w:rPr>
        <w:t>,</w:t>
      </w:r>
      <w:r w:rsidRPr="00495482">
        <w:rPr>
          <w:lang w:val="fr-FR" w:eastAsia="sl-SI"/>
        </w:rPr>
        <w:t xml:space="preserve"> en vertu d</w:t>
      </w:r>
      <w:r w:rsidR="005D0F0F" w:rsidRPr="00495482">
        <w:rPr>
          <w:lang w:val="fr-FR" w:eastAsia="sl-SI"/>
        </w:rPr>
        <w:t>’</w:t>
      </w:r>
      <w:r w:rsidRPr="00495482">
        <w:rPr>
          <w:lang w:val="fr-FR" w:eastAsia="sl-SI"/>
        </w:rPr>
        <w:t>un mémorandum de coopération spécial</w:t>
      </w:r>
      <w:r w:rsidRPr="00495482">
        <w:rPr>
          <w:rStyle w:val="FootnoteReference"/>
        </w:rPr>
        <w:footnoteReference w:id="80"/>
      </w:r>
      <w:r w:rsidRPr="00495482">
        <w:rPr>
          <w:lang w:val="fr-FR" w:eastAsia="sl-SI"/>
        </w:rPr>
        <w:t xml:space="preserve"> et du mémorandum d</w:t>
      </w:r>
      <w:r w:rsidR="005D0F0F" w:rsidRPr="00495482">
        <w:rPr>
          <w:lang w:val="fr-FR" w:eastAsia="sl-SI"/>
        </w:rPr>
        <w:t>’</w:t>
      </w:r>
      <w:r w:rsidRPr="00495482">
        <w:rPr>
          <w:lang w:val="fr-FR" w:eastAsia="sl-SI"/>
        </w:rPr>
        <w:t>accord sur l</w:t>
      </w:r>
      <w:r w:rsidR="005D0F0F" w:rsidRPr="00495482">
        <w:rPr>
          <w:lang w:val="fr-FR" w:eastAsia="sl-SI"/>
        </w:rPr>
        <w:t>’</w:t>
      </w:r>
      <w:r w:rsidRPr="00495482">
        <w:rPr>
          <w:lang w:val="fr-FR" w:eastAsia="sl-SI"/>
        </w:rPr>
        <w:t>intégration sociale</w:t>
      </w:r>
      <w:r w:rsidR="005D0F0F" w:rsidRPr="00495482">
        <w:rPr>
          <w:lang w:val="fr-FR" w:eastAsia="sl-SI"/>
        </w:rPr>
        <w:t>,</w:t>
      </w:r>
      <w:r w:rsidRPr="00495482">
        <w:rPr>
          <w:lang w:val="fr-FR" w:eastAsia="sl-SI"/>
        </w:rPr>
        <w:t xml:space="preserve"> et elle a adopté les stratégies suivantes</w:t>
      </w:r>
      <w:r w:rsidR="005D0F0F" w:rsidRPr="00495482">
        <w:rPr>
          <w:lang w:val="fr-FR" w:eastAsia="sl-SI"/>
        </w:rPr>
        <w:t>:</w:t>
      </w:r>
      <w:r w:rsidRPr="00495482">
        <w:rPr>
          <w:lang w:val="fr-FR" w:eastAsia="sl-SI"/>
        </w:rPr>
        <w:t xml:space="preserve"> </w:t>
      </w:r>
    </w:p>
    <w:p w:rsidR="00317603" w:rsidRPr="00495482" w:rsidRDefault="00317603" w:rsidP="00F17F43">
      <w:pPr>
        <w:pStyle w:val="Bullet1G"/>
        <w:rPr>
          <w:bCs/>
          <w:szCs w:val="22"/>
          <w:lang w:val="fr-FR" w:eastAsia="sl-SI"/>
        </w:rPr>
      </w:pPr>
      <w:r w:rsidRPr="00495482">
        <w:rPr>
          <w:lang w:val="fr-FR" w:eastAsia="sl-SI"/>
        </w:rPr>
        <w:t>Le plan d</w:t>
      </w:r>
      <w:r w:rsidR="005D0F0F" w:rsidRPr="00495482">
        <w:rPr>
          <w:lang w:val="fr-FR" w:eastAsia="sl-SI"/>
        </w:rPr>
        <w:t>’</w:t>
      </w:r>
      <w:r w:rsidRPr="00495482">
        <w:rPr>
          <w:lang w:val="fr-FR" w:eastAsia="sl-SI"/>
        </w:rPr>
        <w:t>action national pour l</w:t>
      </w:r>
      <w:r w:rsidR="005D0F0F" w:rsidRPr="00495482">
        <w:rPr>
          <w:lang w:val="fr-FR" w:eastAsia="sl-SI"/>
        </w:rPr>
        <w:t>’</w:t>
      </w:r>
      <w:r w:rsidRPr="00495482">
        <w:rPr>
          <w:lang w:val="fr-FR" w:eastAsia="sl-SI"/>
        </w:rPr>
        <w:t>intégration sociale 2004-2006 (adopté par le Gouvernement slovène le 29</w:t>
      </w:r>
      <w:r w:rsidR="005D2932">
        <w:rPr>
          <w:lang w:val="fr-FR" w:eastAsia="sl-SI"/>
        </w:rPr>
        <w:t xml:space="preserve"> juillet </w:t>
      </w:r>
      <w:r w:rsidRPr="00495482">
        <w:rPr>
          <w:lang w:val="fr-FR" w:eastAsia="sl-SI"/>
        </w:rPr>
        <w:t>2004)</w:t>
      </w:r>
      <w:r w:rsidR="00F17F43">
        <w:rPr>
          <w:lang w:val="fr-FR" w:eastAsia="sl-SI"/>
        </w:rPr>
        <w:t>;</w:t>
      </w:r>
      <w:r w:rsidRPr="00495482">
        <w:rPr>
          <w:lang w:val="fr-FR" w:eastAsia="sl-SI"/>
        </w:rPr>
        <w:t xml:space="preserve"> </w:t>
      </w:r>
    </w:p>
    <w:p w:rsidR="00317603" w:rsidRPr="00495482" w:rsidRDefault="00317603" w:rsidP="00F17F43">
      <w:pPr>
        <w:pStyle w:val="Bullet1G"/>
        <w:rPr>
          <w:bCs/>
          <w:szCs w:val="22"/>
          <w:lang w:val="fr-FR" w:eastAsia="sl-SI"/>
        </w:rPr>
      </w:pPr>
      <w:r w:rsidRPr="00495482">
        <w:rPr>
          <w:lang w:val="fr-FR" w:eastAsia="sl-SI"/>
        </w:rPr>
        <w:t xml:space="preserve">Le premier rapport annuel sur la mise en </w:t>
      </w:r>
      <w:r w:rsidR="002328BD" w:rsidRPr="00495482">
        <w:rPr>
          <w:lang w:val="fr-FR" w:eastAsia="sl-SI"/>
        </w:rPr>
        <w:t>œuvre</w:t>
      </w:r>
      <w:r w:rsidRPr="00495482">
        <w:rPr>
          <w:lang w:val="fr-FR" w:eastAsia="sl-SI"/>
        </w:rPr>
        <w:t xml:space="preserve"> du plan d</w:t>
      </w:r>
      <w:r w:rsidR="005D0F0F" w:rsidRPr="00495482">
        <w:rPr>
          <w:lang w:val="fr-FR" w:eastAsia="sl-SI"/>
        </w:rPr>
        <w:t>’</w:t>
      </w:r>
      <w:r w:rsidRPr="00495482">
        <w:rPr>
          <w:lang w:val="fr-FR" w:eastAsia="sl-SI"/>
        </w:rPr>
        <w:t>action national pour l</w:t>
      </w:r>
      <w:r w:rsidR="005D0F0F" w:rsidRPr="00495482">
        <w:rPr>
          <w:lang w:val="fr-FR" w:eastAsia="sl-SI"/>
        </w:rPr>
        <w:t>’</w:t>
      </w:r>
      <w:r w:rsidRPr="00495482">
        <w:rPr>
          <w:lang w:val="fr-FR" w:eastAsia="sl-SI"/>
        </w:rPr>
        <w:t>intégration sociale 2004-2006 (adopté par le Gouvernement slovène le 16</w:t>
      </w:r>
      <w:r w:rsidR="002D3E12">
        <w:rPr>
          <w:lang w:val="fr-FR" w:eastAsia="sl-SI"/>
        </w:rPr>
        <w:t xml:space="preserve"> février </w:t>
      </w:r>
      <w:r w:rsidRPr="00495482">
        <w:rPr>
          <w:lang w:val="fr-FR" w:eastAsia="sl-SI"/>
        </w:rPr>
        <w:t>2006)</w:t>
      </w:r>
      <w:r w:rsidR="00F17F43">
        <w:rPr>
          <w:lang w:val="fr-FR" w:eastAsia="sl-SI"/>
        </w:rPr>
        <w:t>;</w:t>
      </w:r>
    </w:p>
    <w:p w:rsidR="00317603" w:rsidRPr="00495482" w:rsidRDefault="00317603" w:rsidP="00F17F43">
      <w:pPr>
        <w:pStyle w:val="Bullet1G"/>
        <w:rPr>
          <w:bCs/>
          <w:szCs w:val="22"/>
          <w:lang w:val="fr-FR" w:eastAsia="sl-SI"/>
        </w:rPr>
      </w:pPr>
      <w:r w:rsidRPr="00495482">
        <w:rPr>
          <w:lang w:val="fr-FR" w:eastAsia="sl-SI"/>
        </w:rPr>
        <w:t>Le rapport national sur les stratégies de protection et d</w:t>
      </w:r>
      <w:r w:rsidR="005D0F0F" w:rsidRPr="00495482">
        <w:rPr>
          <w:lang w:val="fr-FR" w:eastAsia="sl-SI"/>
        </w:rPr>
        <w:t>’</w:t>
      </w:r>
      <w:r w:rsidRPr="00495482">
        <w:rPr>
          <w:lang w:val="fr-FR" w:eastAsia="sl-SI"/>
        </w:rPr>
        <w:t>intégration sociales</w:t>
      </w:r>
      <w:r w:rsidR="003D1A4F" w:rsidRPr="00495482">
        <w:rPr>
          <w:lang w:val="fr-FR" w:eastAsia="sl-SI"/>
        </w:rPr>
        <w:t xml:space="preserve"> </w:t>
      </w:r>
      <w:r w:rsidRPr="00495482">
        <w:rPr>
          <w:lang w:val="fr-FR" w:eastAsia="sl-SI"/>
        </w:rPr>
        <w:t>2006</w:t>
      </w:r>
      <w:r w:rsidR="00F17F43">
        <w:rPr>
          <w:lang w:val="fr-FR" w:eastAsia="sl-SI"/>
        </w:rPr>
        <w:t>-</w:t>
      </w:r>
      <w:r w:rsidRPr="00495482">
        <w:rPr>
          <w:lang w:val="fr-FR" w:eastAsia="sl-SI"/>
        </w:rPr>
        <w:t>2008 (adopté par le Gouvernement slovène le 21</w:t>
      </w:r>
      <w:r w:rsidR="002D3E12">
        <w:rPr>
          <w:lang w:val="fr-FR" w:eastAsia="sl-SI"/>
        </w:rPr>
        <w:t xml:space="preserve"> septembre </w:t>
      </w:r>
      <w:r w:rsidRPr="00495482">
        <w:rPr>
          <w:lang w:val="fr-FR" w:eastAsia="sl-SI"/>
        </w:rPr>
        <w:t>2006)</w:t>
      </w:r>
      <w:r w:rsidR="00F17F43">
        <w:rPr>
          <w:lang w:val="fr-FR" w:eastAsia="sl-SI"/>
        </w:rPr>
        <w:t>;</w:t>
      </w:r>
      <w:r w:rsidR="003D1A4F" w:rsidRPr="00495482">
        <w:rPr>
          <w:lang w:val="fr-FR" w:eastAsia="sl-SI"/>
        </w:rPr>
        <w:t xml:space="preserve"> </w:t>
      </w:r>
    </w:p>
    <w:p w:rsidR="00317603" w:rsidRPr="00495482" w:rsidRDefault="00317603" w:rsidP="00F17F43">
      <w:pPr>
        <w:pStyle w:val="Bullet1G"/>
        <w:rPr>
          <w:bCs/>
          <w:szCs w:val="22"/>
          <w:lang w:val="fr-FR" w:eastAsia="sl-SI"/>
        </w:rPr>
      </w:pPr>
      <w:r w:rsidRPr="00495482">
        <w:rPr>
          <w:lang w:val="fr-FR" w:eastAsia="sl-SI"/>
        </w:rPr>
        <w:t>Le complément au rapport national sur les stratégies de protection et d</w:t>
      </w:r>
      <w:r w:rsidR="005D0F0F" w:rsidRPr="00495482">
        <w:rPr>
          <w:lang w:val="fr-FR" w:eastAsia="sl-SI"/>
        </w:rPr>
        <w:t>’</w:t>
      </w:r>
      <w:r w:rsidRPr="00495482">
        <w:rPr>
          <w:lang w:val="fr-FR" w:eastAsia="sl-SI"/>
        </w:rPr>
        <w:t>intégration sociales 2006</w:t>
      </w:r>
      <w:r w:rsidR="00F17F43">
        <w:rPr>
          <w:lang w:val="fr-FR" w:eastAsia="sl-SI"/>
        </w:rPr>
        <w:t>-</w:t>
      </w:r>
      <w:r w:rsidRPr="00495482">
        <w:rPr>
          <w:lang w:val="fr-FR" w:eastAsia="sl-SI"/>
        </w:rPr>
        <w:t>2008 (adopté par le Gouvernement slovène le</w:t>
      </w:r>
      <w:r w:rsidR="002D3E12">
        <w:rPr>
          <w:lang w:val="fr-FR" w:eastAsia="sl-SI"/>
        </w:rPr>
        <w:t xml:space="preserve"> </w:t>
      </w:r>
      <w:r w:rsidRPr="00495482">
        <w:rPr>
          <w:lang w:val="fr-FR" w:eastAsia="sl-SI"/>
        </w:rPr>
        <w:t>20</w:t>
      </w:r>
      <w:r w:rsidR="002D3E12">
        <w:rPr>
          <w:lang w:val="fr-FR" w:eastAsia="sl-SI"/>
        </w:rPr>
        <w:t xml:space="preserve"> septembre </w:t>
      </w:r>
      <w:r w:rsidRPr="00495482">
        <w:rPr>
          <w:lang w:val="fr-FR" w:eastAsia="sl-SI"/>
        </w:rPr>
        <w:t>2007)</w:t>
      </w:r>
      <w:r w:rsidR="00F17F43">
        <w:rPr>
          <w:lang w:val="fr-FR" w:eastAsia="sl-SI"/>
        </w:rPr>
        <w:t>;</w:t>
      </w:r>
      <w:r w:rsidRPr="00495482">
        <w:rPr>
          <w:lang w:val="fr-FR" w:eastAsia="sl-SI"/>
        </w:rPr>
        <w:t xml:space="preserve"> et</w:t>
      </w:r>
    </w:p>
    <w:p w:rsidR="00317603" w:rsidRPr="00495482" w:rsidRDefault="00317603" w:rsidP="00F17F43">
      <w:pPr>
        <w:pStyle w:val="Bullet1G"/>
        <w:rPr>
          <w:bCs/>
          <w:szCs w:val="22"/>
          <w:lang w:val="fr-FR" w:eastAsia="sl-SI"/>
        </w:rPr>
      </w:pPr>
      <w:r w:rsidRPr="00495482">
        <w:rPr>
          <w:lang w:val="fr-FR" w:eastAsia="sl-SI"/>
        </w:rPr>
        <w:t>Le rapport national sur les stratégies de protection et d</w:t>
      </w:r>
      <w:r w:rsidR="005D0F0F" w:rsidRPr="00495482">
        <w:rPr>
          <w:lang w:val="fr-FR" w:eastAsia="sl-SI"/>
        </w:rPr>
        <w:t>’</w:t>
      </w:r>
      <w:r w:rsidRPr="00495482">
        <w:rPr>
          <w:lang w:val="fr-FR" w:eastAsia="sl-SI"/>
        </w:rPr>
        <w:t>intégration sociales 2008</w:t>
      </w:r>
      <w:r w:rsidR="00F17F43">
        <w:rPr>
          <w:lang w:val="fr-FR" w:eastAsia="sl-SI"/>
        </w:rPr>
        <w:t>-</w:t>
      </w:r>
      <w:r w:rsidRPr="00495482">
        <w:rPr>
          <w:lang w:val="fr-FR" w:eastAsia="sl-SI"/>
        </w:rPr>
        <w:t>2010 (adopté par le Gouvernement slovène le 4</w:t>
      </w:r>
      <w:r w:rsidR="002D3E12">
        <w:rPr>
          <w:lang w:val="fr-FR" w:eastAsia="sl-SI"/>
        </w:rPr>
        <w:t xml:space="preserve"> septembre </w:t>
      </w:r>
      <w:r w:rsidRPr="00495482">
        <w:rPr>
          <w:lang w:val="fr-FR" w:eastAsia="sl-SI"/>
        </w:rPr>
        <w:t xml:space="preserve">2008). </w:t>
      </w:r>
    </w:p>
    <w:p w:rsidR="00317603" w:rsidRPr="00495482" w:rsidRDefault="00317603" w:rsidP="00F17F43">
      <w:pPr>
        <w:pStyle w:val="SingleTxtG"/>
        <w:rPr>
          <w:lang w:val="fr-FR" w:eastAsia="sl-SI"/>
        </w:rPr>
      </w:pPr>
      <w:r w:rsidRPr="00495482">
        <w:rPr>
          <w:lang w:val="fr-FR" w:eastAsia="sl-SI"/>
        </w:rPr>
        <w:t>152.</w:t>
      </w:r>
      <w:r w:rsidRPr="00495482">
        <w:rPr>
          <w:lang w:val="fr-FR" w:eastAsia="sl-SI"/>
        </w:rPr>
        <w:tab/>
        <w:t>Tous les textes susmentionnés</w:t>
      </w:r>
      <w:r w:rsidR="003D1A4F" w:rsidRPr="00495482">
        <w:rPr>
          <w:lang w:val="fr-FR" w:eastAsia="sl-SI"/>
        </w:rPr>
        <w:t xml:space="preserve"> </w:t>
      </w:r>
      <w:r w:rsidRPr="00495482">
        <w:rPr>
          <w:lang w:val="fr-FR" w:eastAsia="sl-SI"/>
        </w:rPr>
        <w:t>ont également été traduits en anglais et peuvent être consultés sur le site Web du Ministère du travail</w:t>
      </w:r>
      <w:r w:rsidR="005D0F0F" w:rsidRPr="00495482">
        <w:rPr>
          <w:lang w:val="fr-FR" w:eastAsia="sl-SI"/>
        </w:rPr>
        <w:t>,</w:t>
      </w:r>
      <w:r w:rsidRPr="00495482">
        <w:rPr>
          <w:lang w:val="fr-FR" w:eastAsia="sl-SI"/>
        </w:rPr>
        <w:t xml:space="preserve"> de la famille et des affaires sociales à l</w:t>
      </w:r>
      <w:r w:rsidR="005D0F0F" w:rsidRPr="00495482">
        <w:rPr>
          <w:lang w:val="fr-FR" w:eastAsia="sl-SI"/>
        </w:rPr>
        <w:t>’</w:t>
      </w:r>
      <w:r w:rsidRPr="00495482">
        <w:rPr>
          <w:lang w:val="fr-FR" w:eastAsia="sl-SI"/>
        </w:rPr>
        <w:t>adresse suivante</w:t>
      </w:r>
      <w:r w:rsidR="005D0F0F" w:rsidRPr="00495482">
        <w:rPr>
          <w:lang w:val="fr-FR" w:eastAsia="sl-SI"/>
        </w:rPr>
        <w:t>:</w:t>
      </w:r>
      <w:r w:rsidRPr="00495482">
        <w:rPr>
          <w:lang w:val="fr-FR" w:eastAsia="sl-SI"/>
        </w:rPr>
        <w:t xml:space="preserve"> </w:t>
      </w:r>
      <w:hyperlink r:id="rId9" w:history="1">
        <w:r w:rsidR="00F17F43" w:rsidRPr="007D6F8F">
          <w:rPr>
            <w:rStyle w:val="Hyperlink"/>
            <w:lang w:val="fr-FR" w:eastAsia="sl-SI"/>
          </w:rPr>
          <w:t>http://www.mddsz.gov.si/en/areas_of_work/social_affairs/social_</w:t>
        </w:r>
      </w:hyperlink>
      <w:r w:rsidR="00F17F43">
        <w:rPr>
          <w:lang w:val="fr-FR" w:eastAsia="sl-SI"/>
        </w:rPr>
        <w:t xml:space="preserve"> </w:t>
      </w:r>
      <w:r w:rsidRPr="00495482">
        <w:rPr>
          <w:lang w:val="fr-FR" w:eastAsia="sl-SI"/>
        </w:rPr>
        <w:t>inclusion _strategy/.</w:t>
      </w:r>
    </w:p>
    <w:p w:rsidR="00317603" w:rsidRPr="00495482" w:rsidRDefault="00317603" w:rsidP="00F17F43">
      <w:pPr>
        <w:pStyle w:val="SingleTxtG"/>
        <w:rPr>
          <w:lang w:val="fr-FR" w:eastAsia="sl-SI"/>
        </w:rPr>
      </w:pPr>
      <w:r w:rsidRPr="00495482">
        <w:rPr>
          <w:lang w:val="fr-FR" w:eastAsia="sl-SI"/>
        </w:rPr>
        <w:t>153.</w:t>
      </w:r>
      <w:r w:rsidRPr="00495482">
        <w:rPr>
          <w:lang w:val="fr-FR" w:eastAsia="sl-SI"/>
        </w:rPr>
        <w:tab/>
        <w:t>De même</w:t>
      </w:r>
      <w:r w:rsidR="005D0F0F" w:rsidRPr="00495482">
        <w:rPr>
          <w:lang w:val="fr-FR" w:eastAsia="sl-SI"/>
        </w:rPr>
        <w:t>,</w:t>
      </w:r>
      <w:r w:rsidRPr="00495482">
        <w:rPr>
          <w:lang w:val="fr-FR" w:eastAsia="sl-SI"/>
        </w:rPr>
        <w:t xml:space="preserve"> les préparatifs de la célébration de l</w:t>
      </w:r>
      <w:r w:rsidR="005D0F0F" w:rsidRPr="00495482">
        <w:rPr>
          <w:lang w:val="fr-FR" w:eastAsia="sl-SI"/>
        </w:rPr>
        <w:t>’</w:t>
      </w:r>
      <w:r w:rsidRPr="00495482">
        <w:rPr>
          <w:lang w:val="fr-FR" w:eastAsia="sl-SI"/>
        </w:rPr>
        <w:t>année 2010 en tant qu</w:t>
      </w:r>
      <w:r w:rsidR="005D0F0F" w:rsidRPr="00495482">
        <w:rPr>
          <w:lang w:val="fr-FR" w:eastAsia="sl-SI"/>
        </w:rPr>
        <w:t>’</w:t>
      </w:r>
      <w:r w:rsidRPr="00495482">
        <w:rPr>
          <w:lang w:val="fr-FR" w:eastAsia="sl-SI"/>
        </w:rPr>
        <w:t>Année européenne de lutte contre la pauvreté et l</w:t>
      </w:r>
      <w:r w:rsidR="005D0F0F" w:rsidRPr="00495482">
        <w:rPr>
          <w:lang w:val="fr-FR" w:eastAsia="sl-SI"/>
        </w:rPr>
        <w:t>’</w:t>
      </w:r>
      <w:r w:rsidRPr="00495482">
        <w:rPr>
          <w:lang w:val="fr-FR" w:eastAsia="sl-SI"/>
        </w:rPr>
        <w:t>exclusion sociale</w:t>
      </w:r>
      <w:r w:rsidR="005D0F0F" w:rsidRPr="00495482">
        <w:rPr>
          <w:lang w:val="fr-FR" w:eastAsia="sl-SI"/>
        </w:rPr>
        <w:t>,</w:t>
      </w:r>
      <w:r w:rsidRPr="00495482">
        <w:rPr>
          <w:lang w:val="fr-FR" w:eastAsia="sl-SI"/>
        </w:rPr>
        <w:t xml:space="preserve"> ont débuté en 2009. La République de Slovénie a déjà élaboré un programme national spécial d</w:t>
      </w:r>
      <w:r w:rsidR="005D0F0F" w:rsidRPr="00495482">
        <w:rPr>
          <w:lang w:val="fr-FR" w:eastAsia="sl-SI"/>
        </w:rPr>
        <w:t>’</w:t>
      </w:r>
      <w:r w:rsidRPr="00495482">
        <w:rPr>
          <w:lang w:val="fr-FR" w:eastAsia="sl-SI"/>
        </w:rPr>
        <w:t>activités avec lequel elle tentera de réaliser les objectifs et les principes directeurs de l</w:t>
      </w:r>
      <w:r w:rsidR="005D0F0F" w:rsidRPr="00495482">
        <w:rPr>
          <w:lang w:val="fr-FR" w:eastAsia="sl-SI"/>
        </w:rPr>
        <w:t>’</w:t>
      </w:r>
      <w:r w:rsidRPr="00495482">
        <w:rPr>
          <w:lang w:val="fr-FR" w:eastAsia="sl-SI"/>
        </w:rPr>
        <w:t>Année européenne</w:t>
      </w:r>
      <w:r w:rsidR="005D0F0F" w:rsidRPr="00495482">
        <w:rPr>
          <w:lang w:val="fr-FR" w:eastAsia="sl-SI"/>
        </w:rPr>
        <w:t>,</w:t>
      </w:r>
      <w:r w:rsidRPr="00495482">
        <w:rPr>
          <w:lang w:val="fr-FR" w:eastAsia="sl-SI"/>
        </w:rPr>
        <w:t xml:space="preserve"> de réduire la pauvreté et l</w:t>
      </w:r>
      <w:r w:rsidR="005D0F0F" w:rsidRPr="00495482">
        <w:rPr>
          <w:lang w:val="fr-FR" w:eastAsia="sl-SI"/>
        </w:rPr>
        <w:t>’</w:t>
      </w:r>
      <w:r w:rsidRPr="00495482">
        <w:rPr>
          <w:lang w:val="fr-FR" w:eastAsia="sl-SI"/>
        </w:rPr>
        <w:t>exclusion sociale</w:t>
      </w:r>
      <w:r w:rsidR="005D0F0F" w:rsidRPr="00495482">
        <w:rPr>
          <w:lang w:val="fr-FR" w:eastAsia="sl-SI"/>
        </w:rPr>
        <w:t>,</w:t>
      </w:r>
      <w:r w:rsidRPr="00495482">
        <w:rPr>
          <w:lang w:val="fr-FR" w:eastAsia="sl-SI"/>
        </w:rPr>
        <w:t xml:space="preserve"> d</w:t>
      </w:r>
      <w:r w:rsidR="005D0F0F" w:rsidRPr="00495482">
        <w:rPr>
          <w:lang w:val="fr-FR" w:eastAsia="sl-SI"/>
        </w:rPr>
        <w:t>’</w:t>
      </w:r>
      <w:r w:rsidRPr="00495482">
        <w:rPr>
          <w:lang w:val="fr-FR" w:eastAsia="sl-SI"/>
        </w:rPr>
        <w:t xml:space="preserve">améliorer la situation </w:t>
      </w:r>
      <w:r w:rsidR="00210F9A" w:rsidRPr="00495482">
        <w:rPr>
          <w:lang w:val="fr-FR" w:eastAsia="sl-SI"/>
        </w:rPr>
        <w:t>des personnes</w:t>
      </w:r>
      <w:r w:rsidRPr="00495482">
        <w:rPr>
          <w:lang w:val="fr-FR" w:eastAsia="sl-SI"/>
        </w:rPr>
        <w:t xml:space="preserve"> démunies et de sensibiliser davantage le public à ces questions.</w:t>
      </w:r>
      <w:r w:rsidR="003D1A4F" w:rsidRPr="00495482">
        <w:rPr>
          <w:lang w:val="fr-FR" w:eastAsia="sl-SI"/>
        </w:rPr>
        <w:t xml:space="preserve"> </w:t>
      </w:r>
    </w:p>
    <w:p w:rsidR="00317603" w:rsidRPr="00495482" w:rsidRDefault="00317603" w:rsidP="00F17F43">
      <w:pPr>
        <w:pStyle w:val="H23G"/>
        <w:rPr>
          <w:lang w:val="fr-FR" w:eastAsia="sl-SI"/>
        </w:rPr>
      </w:pPr>
      <w:r w:rsidRPr="00495482">
        <w:rPr>
          <w:lang w:val="fr-FR" w:eastAsia="sl-SI"/>
        </w:rPr>
        <w:tab/>
      </w:r>
      <w:r w:rsidRPr="00495482">
        <w:rPr>
          <w:lang w:val="fr-FR" w:eastAsia="sl-SI"/>
        </w:rPr>
        <w:tab/>
        <w:t xml:space="preserve">Corriger les déséquilibres régionaux </w:t>
      </w:r>
    </w:p>
    <w:p w:rsidR="00317603" w:rsidRPr="00495482" w:rsidRDefault="00317603" w:rsidP="00F17F43">
      <w:pPr>
        <w:pStyle w:val="H23G"/>
        <w:rPr>
          <w:lang w:val="fr-FR" w:eastAsia="sl-SI"/>
        </w:rPr>
      </w:pPr>
      <w:r w:rsidRPr="00495482">
        <w:rPr>
          <w:lang w:val="fr-FR" w:eastAsia="sl-SI"/>
        </w:rPr>
        <w:tab/>
      </w:r>
      <w:r w:rsidRPr="00495482">
        <w:rPr>
          <w:lang w:val="fr-FR" w:eastAsia="sl-SI"/>
        </w:rPr>
        <w:tab/>
        <w:t xml:space="preserve">Réponse aux recommandations figurant au </w:t>
      </w:r>
      <w:r w:rsidR="00FB11E8">
        <w:rPr>
          <w:lang w:val="fr-FR" w:eastAsia="sl-SI"/>
        </w:rPr>
        <w:t>paragraphe </w:t>
      </w:r>
      <w:r w:rsidRPr="00495482">
        <w:rPr>
          <w:lang w:val="fr-FR" w:eastAsia="sl-SI"/>
        </w:rPr>
        <w:t>26 des observations finales</w:t>
      </w:r>
      <w:r w:rsidR="003D1A4F" w:rsidRPr="00495482">
        <w:rPr>
          <w:lang w:val="fr-FR" w:eastAsia="sl-SI"/>
        </w:rPr>
        <w:t xml:space="preserve"> </w:t>
      </w:r>
    </w:p>
    <w:p w:rsidR="00317603" w:rsidRPr="00495482" w:rsidRDefault="00317603" w:rsidP="00F17F43">
      <w:pPr>
        <w:pStyle w:val="SingleTxtG"/>
        <w:rPr>
          <w:bCs/>
          <w:szCs w:val="22"/>
          <w:lang w:val="fr-FR" w:eastAsia="sl-SI"/>
        </w:rPr>
      </w:pPr>
      <w:r w:rsidRPr="00495482">
        <w:rPr>
          <w:bCs/>
          <w:lang w:val="fr-FR" w:eastAsia="sl-SI"/>
        </w:rPr>
        <w:t>154.</w:t>
      </w:r>
      <w:r w:rsidRPr="00495482">
        <w:rPr>
          <w:bCs/>
          <w:lang w:val="fr-FR" w:eastAsia="sl-SI"/>
        </w:rPr>
        <w:tab/>
      </w:r>
      <w:r w:rsidRPr="00495482">
        <w:rPr>
          <w:lang w:val="fr-FR" w:eastAsia="sl-SI"/>
        </w:rPr>
        <w:t>Avec la loi sur l</w:t>
      </w:r>
      <w:r w:rsidR="005D0F0F" w:rsidRPr="00495482">
        <w:rPr>
          <w:lang w:val="fr-FR" w:eastAsia="sl-SI"/>
        </w:rPr>
        <w:t>’</w:t>
      </w:r>
      <w:r w:rsidRPr="00495482">
        <w:rPr>
          <w:lang w:val="fr-FR" w:eastAsia="sl-SI"/>
        </w:rPr>
        <w:t>aide au développement de la région de</w:t>
      </w:r>
      <w:r w:rsidR="003D1A4F" w:rsidRPr="00495482">
        <w:rPr>
          <w:lang w:val="fr-FR" w:eastAsia="sl-SI"/>
        </w:rPr>
        <w:t xml:space="preserve"> </w:t>
      </w:r>
      <w:r w:rsidRPr="00495482">
        <w:rPr>
          <w:lang w:val="fr-FR" w:eastAsia="sl-SI"/>
        </w:rPr>
        <w:t>Pomurje 2010-2015</w:t>
      </w:r>
      <w:r w:rsidRPr="00495482">
        <w:rPr>
          <w:rStyle w:val="FootnoteReference"/>
        </w:rPr>
        <w:footnoteReference w:id="81"/>
      </w:r>
      <w:r w:rsidR="005D0F0F" w:rsidRPr="00495482">
        <w:rPr>
          <w:lang w:val="fr-FR" w:eastAsia="sl-SI"/>
        </w:rPr>
        <w:t>,</w:t>
      </w:r>
      <w:r w:rsidR="003D1A4F" w:rsidRPr="00495482">
        <w:rPr>
          <w:lang w:val="fr-FR" w:eastAsia="sl-SI"/>
        </w:rPr>
        <w:t xml:space="preserve"> </w:t>
      </w:r>
      <w:r w:rsidRPr="00495482">
        <w:rPr>
          <w:lang w:val="fr-FR" w:eastAsia="sl-SI"/>
        </w:rPr>
        <w:t>le gouvernement souhaite accélérer l</w:t>
      </w:r>
      <w:r w:rsidR="005D0F0F" w:rsidRPr="00495482">
        <w:rPr>
          <w:lang w:val="fr-FR" w:eastAsia="sl-SI"/>
        </w:rPr>
        <w:t>’</w:t>
      </w:r>
      <w:r w:rsidRPr="00495482">
        <w:rPr>
          <w:lang w:val="fr-FR" w:eastAsia="sl-SI"/>
        </w:rPr>
        <w:t>essor de cette partie de la Slovénie et l</w:t>
      </w:r>
      <w:r w:rsidR="005D0F0F" w:rsidRPr="00495482">
        <w:rPr>
          <w:lang w:val="fr-FR" w:eastAsia="sl-SI"/>
        </w:rPr>
        <w:t>’</w:t>
      </w:r>
      <w:r w:rsidRPr="00495482">
        <w:rPr>
          <w:lang w:val="fr-FR" w:eastAsia="sl-SI"/>
        </w:rPr>
        <w:t>aider à surmonter la crise. La loi contient des mesures en faveur du développement de l</w:t>
      </w:r>
      <w:r w:rsidR="005D0F0F" w:rsidRPr="00495482">
        <w:rPr>
          <w:lang w:val="fr-FR" w:eastAsia="sl-SI"/>
        </w:rPr>
        <w:t>’</w:t>
      </w:r>
      <w:r w:rsidRPr="00495482">
        <w:rPr>
          <w:lang w:val="fr-FR" w:eastAsia="sl-SI"/>
        </w:rPr>
        <w:t>entreprenariat et de la compétitivité économique pour les six prochaines années</w:t>
      </w:r>
      <w:r w:rsidR="005D0F0F" w:rsidRPr="00495482">
        <w:rPr>
          <w:lang w:val="fr-FR" w:eastAsia="sl-SI"/>
        </w:rPr>
        <w:t>,</w:t>
      </w:r>
      <w:r w:rsidRPr="00495482">
        <w:rPr>
          <w:lang w:val="fr-FR" w:eastAsia="sl-SI"/>
        </w:rPr>
        <w:t xml:space="preserve"> afin d</w:t>
      </w:r>
      <w:r w:rsidR="005D0F0F" w:rsidRPr="00495482">
        <w:rPr>
          <w:lang w:val="fr-FR" w:eastAsia="sl-SI"/>
        </w:rPr>
        <w:t>’</w:t>
      </w:r>
      <w:r w:rsidRPr="00495482">
        <w:rPr>
          <w:lang w:val="fr-FR" w:eastAsia="sl-SI"/>
        </w:rPr>
        <w:t>alléger les conséquences de la crise économique et financière et de créer les conditions permettant à la région de Pomurje de rattraper plus rapidement le niveau de développement des autres régions slovènes. Ces mesures</w:t>
      </w:r>
      <w:r w:rsidR="005D0F0F" w:rsidRPr="00495482">
        <w:rPr>
          <w:lang w:val="fr-FR" w:eastAsia="sl-SI"/>
        </w:rPr>
        <w:t>,</w:t>
      </w:r>
      <w:r w:rsidRPr="00495482">
        <w:rPr>
          <w:lang w:val="fr-FR" w:eastAsia="sl-SI"/>
        </w:rPr>
        <w:t xml:space="preserve"> dont le coût a été évalué à 260 millions d</w:t>
      </w:r>
      <w:r w:rsidR="005D0F0F" w:rsidRPr="00495482">
        <w:rPr>
          <w:lang w:val="fr-FR" w:eastAsia="sl-SI"/>
        </w:rPr>
        <w:t>’</w:t>
      </w:r>
      <w:r w:rsidRPr="00495482">
        <w:rPr>
          <w:lang w:val="fr-FR" w:eastAsia="sl-SI"/>
        </w:rPr>
        <w:t>euros</w:t>
      </w:r>
      <w:r w:rsidR="005D0F0F" w:rsidRPr="00495482">
        <w:rPr>
          <w:lang w:val="fr-FR" w:eastAsia="sl-SI"/>
        </w:rPr>
        <w:t>,</w:t>
      </w:r>
      <w:r w:rsidRPr="00495482">
        <w:rPr>
          <w:lang w:val="fr-FR" w:eastAsia="sl-SI"/>
        </w:rPr>
        <w:t xml:space="preserve"> devraient permettre la création d</w:t>
      </w:r>
      <w:r w:rsidR="005D0F0F" w:rsidRPr="00495482">
        <w:rPr>
          <w:lang w:val="fr-FR" w:eastAsia="sl-SI"/>
        </w:rPr>
        <w:t>’</w:t>
      </w:r>
      <w:r w:rsidRPr="00495482">
        <w:rPr>
          <w:lang w:val="fr-FR" w:eastAsia="sl-SI"/>
        </w:rPr>
        <w:t>un millier d</w:t>
      </w:r>
      <w:r w:rsidR="005D0F0F" w:rsidRPr="00495482">
        <w:rPr>
          <w:lang w:val="fr-FR" w:eastAsia="sl-SI"/>
        </w:rPr>
        <w:t>’</w:t>
      </w:r>
      <w:r w:rsidRPr="00495482">
        <w:rPr>
          <w:lang w:val="fr-FR" w:eastAsia="sl-SI"/>
        </w:rPr>
        <w:t xml:space="preserve">emplois. </w:t>
      </w:r>
    </w:p>
    <w:p w:rsidR="00317603" w:rsidRPr="00495482" w:rsidRDefault="00317603" w:rsidP="00F17F43">
      <w:pPr>
        <w:pStyle w:val="H23G"/>
        <w:rPr>
          <w:bCs/>
          <w:shd w:val="clear" w:color="auto" w:fill="FFFFFF"/>
          <w:lang w:val="fr-FR" w:eastAsia="sl-SI"/>
        </w:rPr>
      </w:pPr>
      <w:r w:rsidRPr="00495482">
        <w:rPr>
          <w:shd w:val="clear" w:color="auto" w:fill="FFFFFF"/>
          <w:lang w:val="fr-FR" w:eastAsia="sl-SI"/>
        </w:rPr>
        <w:tab/>
        <w:t>2.</w:t>
      </w:r>
      <w:r w:rsidRPr="00495482">
        <w:rPr>
          <w:shd w:val="clear" w:color="auto" w:fill="FFFFFF"/>
          <w:lang w:val="fr-FR" w:eastAsia="sl-SI"/>
        </w:rPr>
        <w:tab/>
        <w:t xml:space="preserve">Droit à une alimentation suffisante </w:t>
      </w:r>
    </w:p>
    <w:p w:rsidR="00317603" w:rsidRPr="00495482" w:rsidRDefault="00317603" w:rsidP="00F17F43">
      <w:pPr>
        <w:pStyle w:val="SingleTxtG"/>
        <w:rPr>
          <w:szCs w:val="22"/>
          <w:lang w:val="fr-FR" w:eastAsia="sl-SI"/>
        </w:rPr>
      </w:pPr>
      <w:r w:rsidRPr="00495482">
        <w:rPr>
          <w:lang w:val="fr-FR" w:eastAsia="sl-SI"/>
        </w:rPr>
        <w:t>155.</w:t>
      </w:r>
      <w:r w:rsidRPr="00495482">
        <w:rPr>
          <w:lang w:val="fr-FR" w:eastAsia="sl-SI"/>
        </w:rPr>
        <w:tab/>
        <w:t xml:space="preserve">Les politiques publiques mises en </w:t>
      </w:r>
      <w:r w:rsidR="002328BD" w:rsidRPr="00495482">
        <w:rPr>
          <w:lang w:val="fr-FR" w:eastAsia="sl-SI"/>
        </w:rPr>
        <w:t>œuvre</w:t>
      </w:r>
      <w:r w:rsidRPr="00495482">
        <w:rPr>
          <w:lang w:val="fr-FR" w:eastAsia="sl-SI"/>
        </w:rPr>
        <w:t xml:space="preserve"> dans ce domaine se conforment entièrement à l</w:t>
      </w:r>
      <w:r w:rsidR="005D0F0F" w:rsidRPr="00495482">
        <w:rPr>
          <w:lang w:val="fr-FR" w:eastAsia="sl-SI"/>
        </w:rPr>
        <w:t>’</w:t>
      </w:r>
      <w:r w:rsidRPr="00495482">
        <w:rPr>
          <w:i/>
          <w:lang w:val="fr-FR" w:eastAsia="sl-SI"/>
        </w:rPr>
        <w:t xml:space="preserve">acquis communautaire. </w:t>
      </w:r>
    </w:p>
    <w:p w:rsidR="00317603" w:rsidRPr="00495482" w:rsidRDefault="00317603" w:rsidP="00F17F43">
      <w:pPr>
        <w:pStyle w:val="SingleTxtG"/>
        <w:rPr>
          <w:szCs w:val="22"/>
          <w:lang w:val="fr-FR" w:eastAsia="sl-SI"/>
        </w:rPr>
      </w:pPr>
      <w:r w:rsidRPr="00495482">
        <w:rPr>
          <w:lang w:val="fr-FR" w:eastAsia="sl-SI"/>
        </w:rPr>
        <w:t>156.</w:t>
      </w:r>
      <w:r w:rsidRPr="00495482">
        <w:rPr>
          <w:lang w:val="fr-FR" w:eastAsia="sl-SI"/>
        </w:rPr>
        <w:tab/>
        <w:t>En 2005</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 xml:space="preserve">Assemblée nationale de la République de Slovénie a adopté la </w:t>
      </w:r>
      <w:r w:rsidRPr="00495482">
        <w:rPr>
          <w:i/>
          <w:lang w:val="fr-FR" w:eastAsia="sl-SI"/>
        </w:rPr>
        <w:t>résolution sur le programme national relatif à la politique en matière de nutrition 2005-2010</w:t>
      </w:r>
      <w:r w:rsidRPr="00495482">
        <w:rPr>
          <w:rStyle w:val="FootnoteReference"/>
        </w:rPr>
        <w:footnoteReference w:id="82"/>
      </w:r>
      <w:r w:rsidR="003D51E1" w:rsidRPr="00495482">
        <w:rPr>
          <w:i/>
          <w:lang w:eastAsia="sl-SI"/>
        </w:rPr>
        <w:t>.</w:t>
      </w:r>
      <w:r w:rsidRPr="00495482">
        <w:rPr>
          <w:szCs w:val="22"/>
          <w:lang w:val="fr-FR" w:eastAsia="sl-SI"/>
        </w:rPr>
        <w:t xml:space="preserve"> </w:t>
      </w:r>
    </w:p>
    <w:p w:rsidR="00317603" w:rsidRPr="00495482" w:rsidRDefault="00317603" w:rsidP="00F17F43">
      <w:pPr>
        <w:pStyle w:val="SingleTxtG"/>
        <w:rPr>
          <w:lang w:val="fr-FR" w:eastAsia="sl-SI"/>
        </w:rPr>
      </w:pPr>
      <w:r w:rsidRPr="00495482">
        <w:rPr>
          <w:lang w:val="fr-FR" w:eastAsia="sl-SI"/>
        </w:rPr>
        <w:t>157.</w:t>
      </w:r>
      <w:r w:rsidRPr="00495482">
        <w:rPr>
          <w:lang w:val="fr-FR" w:eastAsia="sl-SI"/>
        </w:rPr>
        <w:tab/>
        <w:t>Les principes d</w:t>
      </w:r>
      <w:r w:rsidR="005D0F0F" w:rsidRPr="00495482">
        <w:rPr>
          <w:lang w:val="fr-FR" w:eastAsia="sl-SI"/>
        </w:rPr>
        <w:t>’</w:t>
      </w:r>
      <w:r w:rsidRPr="00495482">
        <w:rPr>
          <w:lang w:val="fr-FR" w:eastAsia="sl-SI"/>
        </w:rPr>
        <w:t>une alimentation saine et les droits visant à protéger le consommateur figurent dans les programmes d</w:t>
      </w:r>
      <w:r w:rsidR="005D0F0F" w:rsidRPr="00495482">
        <w:rPr>
          <w:lang w:val="fr-FR" w:eastAsia="sl-SI"/>
        </w:rPr>
        <w:t>’</w:t>
      </w:r>
      <w:r w:rsidRPr="00495482">
        <w:rPr>
          <w:lang w:val="fr-FR" w:eastAsia="sl-SI"/>
        </w:rPr>
        <w:t>enseignement obligatoires ou optionnels des établissements primaires et secondaires. Parallèlement au système scolaire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éducation sanitaire est assurée également dans le cadre des soins de santé primaires délivrés lors des examens médicaux systématiques destinés aux enfants et aux jeunes</w:t>
      </w:r>
      <w:r w:rsidR="005D0F0F" w:rsidRPr="00495482">
        <w:rPr>
          <w:lang w:val="fr-FR" w:eastAsia="sl-SI"/>
        </w:rPr>
        <w:t>,</w:t>
      </w:r>
      <w:r w:rsidRPr="00495482">
        <w:rPr>
          <w:lang w:val="fr-FR" w:eastAsia="sl-SI"/>
        </w:rPr>
        <w:t xml:space="preserve"> et grâce aux programmes d</w:t>
      </w:r>
      <w:r w:rsidR="005D0F0F" w:rsidRPr="00495482">
        <w:rPr>
          <w:lang w:val="fr-FR" w:eastAsia="sl-SI"/>
        </w:rPr>
        <w:t>’</w:t>
      </w:r>
      <w:r w:rsidRPr="00495482">
        <w:rPr>
          <w:lang w:val="fr-FR" w:eastAsia="sl-SI"/>
        </w:rPr>
        <w:t>éducation sanitaire organisés à l</w:t>
      </w:r>
      <w:r w:rsidR="005D0F0F" w:rsidRPr="00495482">
        <w:rPr>
          <w:lang w:val="fr-FR" w:eastAsia="sl-SI"/>
        </w:rPr>
        <w:t>’</w:t>
      </w:r>
      <w:r w:rsidRPr="00495482">
        <w:rPr>
          <w:lang w:val="fr-FR" w:eastAsia="sl-SI"/>
        </w:rPr>
        <w:t>intention des futurs parents par les hôpitaux ou les dispensaires dans tout le pays. Le Ministère de la santé</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Institut de la santé publique de la République de Slovénie et les instituts régionaux de santé publique s</w:t>
      </w:r>
      <w:r w:rsidR="005D0F0F" w:rsidRPr="00495482">
        <w:rPr>
          <w:lang w:val="fr-FR" w:eastAsia="sl-SI"/>
        </w:rPr>
        <w:t>’</w:t>
      </w:r>
      <w:r w:rsidRPr="00495482">
        <w:rPr>
          <w:lang w:val="fr-FR" w:eastAsia="sl-SI"/>
        </w:rPr>
        <w:t>emploient à sensibiliser davantage à la question la population slovène par des activités qui promeuvent une alimentation saine. Le programme sanitaire préventif CINDI vise à mieux informer les adultes et les groupes à risque de la nécessité d</w:t>
      </w:r>
      <w:r w:rsidR="005D0F0F" w:rsidRPr="00495482">
        <w:rPr>
          <w:lang w:val="fr-FR" w:eastAsia="sl-SI"/>
        </w:rPr>
        <w:t>’</w:t>
      </w:r>
      <w:r w:rsidRPr="00495482">
        <w:rPr>
          <w:lang w:val="fr-FR" w:eastAsia="sl-SI"/>
        </w:rPr>
        <w:t>une alimentation et d</w:t>
      </w:r>
      <w:r w:rsidR="005D0F0F" w:rsidRPr="00495482">
        <w:rPr>
          <w:lang w:val="fr-FR" w:eastAsia="sl-SI"/>
        </w:rPr>
        <w:t>’</w:t>
      </w:r>
      <w:r w:rsidRPr="00495482">
        <w:rPr>
          <w:lang w:val="fr-FR" w:eastAsia="sl-SI"/>
        </w:rPr>
        <w:t>un mode de vie sains.</w:t>
      </w:r>
      <w:r w:rsidR="003D1A4F" w:rsidRPr="00495482">
        <w:rPr>
          <w:lang w:val="fr-FR" w:eastAsia="sl-SI"/>
        </w:rPr>
        <w:t xml:space="preserve"> </w:t>
      </w:r>
    </w:p>
    <w:p w:rsidR="00317603" w:rsidRPr="00495482" w:rsidRDefault="00317603" w:rsidP="00F17F43">
      <w:pPr>
        <w:pStyle w:val="SingleTxtG"/>
        <w:rPr>
          <w:lang w:val="fr-FR" w:eastAsia="sl-SI"/>
        </w:rPr>
      </w:pPr>
      <w:r w:rsidRPr="00495482">
        <w:rPr>
          <w:lang w:val="fr-FR" w:eastAsia="sl-SI"/>
        </w:rPr>
        <w:t>158.</w:t>
      </w:r>
      <w:r w:rsidRPr="00495482">
        <w:rPr>
          <w:lang w:val="fr-FR" w:eastAsia="sl-SI"/>
        </w:rPr>
        <w:tab/>
        <w:t>En 2010</w:t>
      </w:r>
      <w:r w:rsidR="005D0F0F" w:rsidRPr="00495482">
        <w:rPr>
          <w:lang w:val="fr-FR" w:eastAsia="sl-SI"/>
        </w:rPr>
        <w:t>,</w:t>
      </w:r>
      <w:r w:rsidRPr="00495482">
        <w:rPr>
          <w:lang w:val="fr-FR" w:eastAsia="sl-SI"/>
        </w:rPr>
        <w:t xml:space="preserve"> la Slovénie a participé pour la cinquième année consécutive aux mesures de la Communauté européenne concernant l</w:t>
      </w:r>
      <w:r w:rsidR="005D0F0F" w:rsidRPr="00495482">
        <w:rPr>
          <w:lang w:val="fr-FR" w:eastAsia="sl-SI"/>
        </w:rPr>
        <w:t>’</w:t>
      </w:r>
      <w:r w:rsidRPr="00495482">
        <w:rPr>
          <w:lang w:val="fr-FR" w:eastAsia="sl-SI"/>
        </w:rPr>
        <w:t xml:space="preserve">aide alimentaire </w:t>
      </w:r>
      <w:r w:rsidR="0038572C">
        <w:rPr>
          <w:lang w:val="fr-FR" w:eastAsia="sl-SI"/>
        </w:rPr>
        <w:t>aux personnes</w:t>
      </w:r>
      <w:r w:rsidRPr="00495482">
        <w:rPr>
          <w:lang w:val="fr-FR" w:eastAsia="sl-SI"/>
        </w:rPr>
        <w:t xml:space="preserve"> les plus vulnérables</w:t>
      </w:r>
      <w:r w:rsidR="005D0F0F" w:rsidRPr="00495482">
        <w:rPr>
          <w:lang w:val="fr-FR" w:eastAsia="sl-SI"/>
        </w:rPr>
        <w:t>,</w:t>
      </w:r>
      <w:r w:rsidRPr="00495482">
        <w:rPr>
          <w:lang w:val="fr-FR" w:eastAsia="sl-SI"/>
        </w:rPr>
        <w:t xml:space="preserve"> mesures</w:t>
      </w:r>
      <w:r w:rsidR="003D1A4F" w:rsidRPr="00495482">
        <w:rPr>
          <w:lang w:val="fr-FR" w:eastAsia="sl-SI"/>
        </w:rPr>
        <w:t xml:space="preserve"> </w:t>
      </w:r>
      <w:r w:rsidRPr="00495482">
        <w:rPr>
          <w:lang w:val="fr-FR" w:eastAsia="sl-SI"/>
        </w:rPr>
        <w:t>auxquelles la Commission européenne a alloué 500 millions d</w:t>
      </w:r>
      <w:r w:rsidR="005D0F0F" w:rsidRPr="00495482">
        <w:rPr>
          <w:lang w:val="fr-FR" w:eastAsia="sl-SI"/>
        </w:rPr>
        <w:t>’</w:t>
      </w:r>
      <w:r w:rsidRPr="00495482">
        <w:rPr>
          <w:lang w:val="fr-FR" w:eastAsia="sl-SI"/>
        </w:rPr>
        <w:t>euros cette même année. Le montant total alloué à l</w:t>
      </w:r>
      <w:r w:rsidR="005D0F0F" w:rsidRPr="00495482">
        <w:rPr>
          <w:lang w:val="fr-FR" w:eastAsia="sl-SI"/>
        </w:rPr>
        <w:t>’</w:t>
      </w:r>
      <w:r w:rsidRPr="00495482">
        <w:rPr>
          <w:lang w:val="fr-FR" w:eastAsia="sl-SI"/>
        </w:rPr>
        <w:t>aide alimentaire en 2010 en Slovénie était légèrement supérieur à 2</w:t>
      </w:r>
      <w:r w:rsidR="005D0F0F" w:rsidRPr="00495482">
        <w:rPr>
          <w:lang w:val="fr-FR" w:eastAsia="sl-SI"/>
        </w:rPr>
        <w:t>,</w:t>
      </w:r>
      <w:r w:rsidRPr="00495482">
        <w:rPr>
          <w:lang w:val="fr-FR" w:eastAsia="sl-SI"/>
        </w:rPr>
        <w:t>6 millions d</w:t>
      </w:r>
      <w:r w:rsidR="005D0F0F" w:rsidRPr="00495482">
        <w:rPr>
          <w:lang w:val="fr-FR" w:eastAsia="sl-SI"/>
        </w:rPr>
        <w:t>’</w:t>
      </w:r>
      <w:r w:rsidRPr="00495482">
        <w:rPr>
          <w:lang w:val="fr-FR" w:eastAsia="sl-SI"/>
        </w:rPr>
        <w:t>euros</w:t>
      </w:r>
      <w:r w:rsidR="005D0F0F" w:rsidRPr="00495482">
        <w:rPr>
          <w:lang w:val="fr-FR" w:eastAsia="sl-SI"/>
        </w:rPr>
        <w:t>,</w:t>
      </w:r>
      <w:r w:rsidRPr="00495482">
        <w:rPr>
          <w:lang w:val="fr-FR" w:eastAsia="sl-SI"/>
        </w:rPr>
        <w:t xml:space="preserve"> soit environ 300 000</w:t>
      </w:r>
      <w:r w:rsidR="00210F9A" w:rsidRPr="00495482">
        <w:rPr>
          <w:lang w:val="fr-FR" w:eastAsia="sl-SI"/>
        </w:rPr>
        <w:t> euros</w:t>
      </w:r>
      <w:r w:rsidRPr="00495482">
        <w:rPr>
          <w:lang w:val="fr-FR" w:eastAsia="sl-SI"/>
        </w:rPr>
        <w:t xml:space="preserve"> de plus qu</w:t>
      </w:r>
      <w:r w:rsidR="005D0F0F" w:rsidRPr="00495482">
        <w:rPr>
          <w:lang w:val="fr-FR" w:eastAsia="sl-SI"/>
        </w:rPr>
        <w:t>’</w:t>
      </w:r>
      <w:r w:rsidRPr="00495482">
        <w:rPr>
          <w:lang w:val="fr-FR" w:eastAsia="sl-SI"/>
        </w:rPr>
        <w:t>en 2009. L</w:t>
      </w:r>
      <w:r w:rsidR="005D0F0F" w:rsidRPr="00495482">
        <w:rPr>
          <w:lang w:val="fr-FR" w:eastAsia="sl-SI"/>
        </w:rPr>
        <w:t>’</w:t>
      </w:r>
      <w:r w:rsidRPr="00495482">
        <w:rPr>
          <w:lang w:val="fr-FR" w:eastAsia="sl-SI"/>
        </w:rPr>
        <w:t>aide alimentaire est distribuée par la Croix Rouge slovène et par l</w:t>
      </w:r>
      <w:r w:rsidR="005D0F0F" w:rsidRPr="00495482">
        <w:rPr>
          <w:lang w:val="fr-FR" w:eastAsia="sl-SI"/>
        </w:rPr>
        <w:t>’</w:t>
      </w:r>
      <w:r w:rsidRPr="00495482">
        <w:rPr>
          <w:lang w:val="fr-FR" w:eastAsia="sl-SI"/>
        </w:rPr>
        <w:t>organisation Slovenian Karitas</w:t>
      </w:r>
      <w:r w:rsidR="005D0F0F" w:rsidRPr="00495482">
        <w:rPr>
          <w:lang w:val="fr-FR" w:eastAsia="sl-SI"/>
        </w:rPr>
        <w:t>,</w:t>
      </w:r>
      <w:r w:rsidRPr="00495482">
        <w:rPr>
          <w:lang w:val="fr-FR" w:eastAsia="sl-SI"/>
        </w:rPr>
        <w:t xml:space="preserve"> suite à un appel d</w:t>
      </w:r>
      <w:r w:rsidR="005D0F0F" w:rsidRPr="00495482">
        <w:rPr>
          <w:lang w:val="fr-FR" w:eastAsia="sl-SI"/>
        </w:rPr>
        <w:t>’</w:t>
      </w:r>
      <w:r w:rsidRPr="00495482">
        <w:rPr>
          <w:lang w:val="fr-FR" w:eastAsia="sl-SI"/>
        </w:rPr>
        <w:t>offres</w:t>
      </w:r>
      <w:r w:rsidR="005D0F0F" w:rsidRPr="00495482">
        <w:rPr>
          <w:lang w:val="fr-FR" w:eastAsia="sl-SI"/>
        </w:rPr>
        <w:t>;</w:t>
      </w:r>
      <w:r w:rsidR="003D1A4F" w:rsidRPr="00495482">
        <w:rPr>
          <w:lang w:val="fr-FR" w:eastAsia="sl-SI"/>
        </w:rPr>
        <w:t xml:space="preserve"> </w:t>
      </w:r>
      <w:r w:rsidRPr="00495482">
        <w:rPr>
          <w:lang w:val="fr-FR" w:eastAsia="sl-SI"/>
        </w:rPr>
        <w:t>entre 150 et 180 000</w:t>
      </w:r>
      <w:r w:rsidR="002328BD" w:rsidRPr="00495482">
        <w:rPr>
          <w:lang w:val="fr-FR" w:eastAsia="sl-SI"/>
        </w:rPr>
        <w:t> personnes</w:t>
      </w:r>
      <w:r w:rsidRPr="00495482">
        <w:rPr>
          <w:lang w:val="fr-FR" w:eastAsia="sl-SI"/>
        </w:rPr>
        <w:t xml:space="preserve"> en bénéficient. </w:t>
      </w:r>
    </w:p>
    <w:p w:rsidR="00317603" w:rsidRPr="00495482" w:rsidRDefault="00317603" w:rsidP="00F17F43">
      <w:pPr>
        <w:pStyle w:val="SingleTxtG"/>
        <w:rPr>
          <w:lang w:val="fr-FR" w:eastAsia="sl-SI"/>
        </w:rPr>
      </w:pPr>
      <w:r w:rsidRPr="00495482">
        <w:rPr>
          <w:lang w:val="fr-FR" w:eastAsia="sl-SI"/>
        </w:rPr>
        <w:t>159.</w:t>
      </w:r>
      <w:r w:rsidRPr="00495482">
        <w:rPr>
          <w:lang w:val="fr-FR" w:eastAsia="sl-SI"/>
        </w:rPr>
        <w:tab/>
        <w:t>L</w:t>
      </w:r>
      <w:r w:rsidR="005D0F0F" w:rsidRPr="00495482">
        <w:rPr>
          <w:lang w:val="fr-FR" w:eastAsia="sl-SI"/>
        </w:rPr>
        <w:t>’</w:t>
      </w:r>
      <w:r w:rsidRPr="00495482">
        <w:rPr>
          <w:lang w:val="fr-FR" w:eastAsia="sl-SI"/>
        </w:rPr>
        <w:t>adoption de directives volontaires au niveau national à l</w:t>
      </w:r>
      <w:r w:rsidR="005D0F0F" w:rsidRPr="00495482">
        <w:rPr>
          <w:lang w:val="fr-FR" w:eastAsia="sl-SI"/>
        </w:rPr>
        <w:t>’</w:t>
      </w:r>
      <w:r w:rsidRPr="00495482">
        <w:rPr>
          <w:lang w:val="fr-FR" w:eastAsia="sl-SI"/>
        </w:rPr>
        <w:t>appui de la concrétisation progressive du droit à une alimentation adéquate dans le contexte de la sécurité alimentaire nationale n</w:t>
      </w:r>
      <w:r w:rsidR="005D0F0F" w:rsidRPr="00495482">
        <w:rPr>
          <w:lang w:val="fr-FR" w:eastAsia="sl-SI"/>
        </w:rPr>
        <w:t>’</w:t>
      </w:r>
      <w:r w:rsidRPr="00495482">
        <w:rPr>
          <w:lang w:val="fr-FR" w:eastAsia="sl-SI"/>
        </w:rPr>
        <w:t>est pas envisagée</w:t>
      </w:r>
      <w:r w:rsidR="005D0F0F" w:rsidRPr="00495482">
        <w:rPr>
          <w:lang w:val="fr-FR" w:eastAsia="sl-SI"/>
        </w:rPr>
        <w:t>,</w:t>
      </w:r>
      <w:r w:rsidRPr="00495482">
        <w:rPr>
          <w:lang w:val="fr-FR" w:eastAsia="sl-SI"/>
        </w:rPr>
        <w:t xml:space="preserve"> car les normes en vigueur s</w:t>
      </w:r>
      <w:r w:rsidR="005D0F0F" w:rsidRPr="00495482">
        <w:rPr>
          <w:lang w:val="fr-FR" w:eastAsia="sl-SI"/>
        </w:rPr>
        <w:t>’</w:t>
      </w:r>
      <w:r w:rsidRPr="00495482">
        <w:rPr>
          <w:lang w:val="fr-FR" w:eastAsia="sl-SI"/>
        </w:rPr>
        <w:t>appliquent déjà exclusivement en fonction de la réalisation de ce droit dans le cadre de la sécurité alimentaire nationale</w:t>
      </w:r>
      <w:r w:rsidR="005D0F0F" w:rsidRPr="00495482">
        <w:rPr>
          <w:lang w:val="fr-FR" w:eastAsia="sl-SI"/>
        </w:rPr>
        <w:t>,</w:t>
      </w:r>
      <w:r w:rsidRPr="00495482">
        <w:rPr>
          <w:lang w:val="fr-FR" w:eastAsia="sl-SI"/>
        </w:rPr>
        <w:t xml:space="preserve"> des programmes humanitaires et d</w:t>
      </w:r>
      <w:r w:rsidR="005D0F0F" w:rsidRPr="00495482">
        <w:rPr>
          <w:lang w:val="fr-FR" w:eastAsia="sl-SI"/>
        </w:rPr>
        <w:t>’</w:t>
      </w:r>
      <w:r w:rsidRPr="00495482">
        <w:rPr>
          <w:lang w:val="fr-FR" w:eastAsia="sl-SI"/>
        </w:rPr>
        <w:t>aide au développement</w:t>
      </w:r>
      <w:r w:rsidR="005D0F0F" w:rsidRPr="00495482">
        <w:rPr>
          <w:lang w:val="fr-FR" w:eastAsia="sl-SI"/>
        </w:rPr>
        <w:t>,</w:t>
      </w:r>
      <w:r w:rsidRPr="00495482">
        <w:rPr>
          <w:lang w:val="fr-FR" w:eastAsia="sl-SI"/>
        </w:rPr>
        <w:t xml:space="preserve"> et des projets d</w:t>
      </w:r>
      <w:r w:rsidR="005D0F0F" w:rsidRPr="00495482">
        <w:rPr>
          <w:lang w:val="fr-FR" w:eastAsia="sl-SI"/>
        </w:rPr>
        <w:t>’</w:t>
      </w:r>
      <w:r w:rsidRPr="00495482">
        <w:rPr>
          <w:lang w:val="fr-FR" w:eastAsia="sl-SI"/>
        </w:rPr>
        <w:t>aide publique au développement de la République slovène. La Slovénie est l</w:t>
      </w:r>
      <w:r w:rsidR="005D0F0F" w:rsidRPr="00495482">
        <w:rPr>
          <w:lang w:val="fr-FR" w:eastAsia="sl-SI"/>
        </w:rPr>
        <w:t>’</w:t>
      </w:r>
      <w:r w:rsidRPr="00495482">
        <w:rPr>
          <w:lang w:val="fr-FR" w:eastAsia="sl-SI"/>
        </w:rPr>
        <w:t>un des États qui a voté en</w:t>
      </w:r>
      <w:r w:rsidR="003D1A4F" w:rsidRPr="00495482">
        <w:rPr>
          <w:lang w:val="fr-FR" w:eastAsia="sl-SI"/>
        </w:rPr>
        <w:t xml:space="preserve"> </w:t>
      </w:r>
      <w:r w:rsidRPr="00495482">
        <w:rPr>
          <w:lang w:val="fr-FR" w:eastAsia="sl-SI"/>
        </w:rPr>
        <w:t>leur faveur lors de la 127</w:t>
      </w:r>
      <w:r w:rsidRPr="00495482">
        <w:rPr>
          <w:vertAlign w:val="superscript"/>
          <w:lang w:val="fr-FR" w:eastAsia="sl-SI"/>
        </w:rPr>
        <w:t>e</w:t>
      </w:r>
      <w:r w:rsidRPr="00495482">
        <w:rPr>
          <w:lang w:val="fr-FR" w:eastAsia="sl-SI"/>
        </w:rPr>
        <w:t xml:space="preserve"> session de l</w:t>
      </w:r>
      <w:r w:rsidR="005D0F0F" w:rsidRPr="00495482">
        <w:rPr>
          <w:lang w:val="fr-FR" w:eastAsia="sl-SI"/>
        </w:rPr>
        <w:t>’</w:t>
      </w:r>
      <w:r w:rsidRPr="00495482">
        <w:rPr>
          <w:lang w:val="fr-FR" w:eastAsia="sl-SI"/>
        </w:rPr>
        <w:t>Organisation des Nations Unies pour l</w:t>
      </w:r>
      <w:r w:rsidR="005D0F0F" w:rsidRPr="00495482">
        <w:rPr>
          <w:lang w:val="fr-FR" w:eastAsia="sl-SI"/>
        </w:rPr>
        <w:t>’</w:t>
      </w:r>
      <w:r w:rsidRPr="00495482">
        <w:rPr>
          <w:lang w:val="fr-FR" w:eastAsia="sl-SI"/>
        </w:rPr>
        <w:t>alimentation et l</w:t>
      </w:r>
      <w:r w:rsidR="005D0F0F" w:rsidRPr="00495482">
        <w:rPr>
          <w:lang w:val="fr-FR" w:eastAsia="sl-SI"/>
        </w:rPr>
        <w:t>’</w:t>
      </w:r>
      <w:r w:rsidRPr="00495482">
        <w:rPr>
          <w:lang w:val="fr-FR" w:eastAsia="sl-SI"/>
        </w:rPr>
        <w:t>agriculture à laquelle elle a assisté en novembre 2004.</w:t>
      </w:r>
      <w:r w:rsidR="003D1A4F" w:rsidRPr="00495482">
        <w:rPr>
          <w:lang w:val="fr-FR" w:eastAsia="sl-SI"/>
        </w:rPr>
        <w:t xml:space="preserve"> </w:t>
      </w:r>
    </w:p>
    <w:p w:rsidR="00317603" w:rsidRPr="00495482" w:rsidRDefault="00317603" w:rsidP="001A4B24">
      <w:pPr>
        <w:pStyle w:val="H23G"/>
        <w:rPr>
          <w:shd w:val="clear" w:color="auto" w:fill="FFFFFF"/>
          <w:lang w:val="fr-FR" w:eastAsia="sl-SI"/>
        </w:rPr>
      </w:pPr>
      <w:r w:rsidRPr="00495482">
        <w:rPr>
          <w:shd w:val="clear" w:color="auto" w:fill="FFFFFF"/>
          <w:lang w:val="fr-FR" w:eastAsia="sl-SI"/>
        </w:rPr>
        <w:tab/>
        <w:t>3.</w:t>
      </w:r>
      <w:r w:rsidRPr="00495482">
        <w:rPr>
          <w:shd w:val="clear" w:color="auto" w:fill="FFFFFF"/>
          <w:lang w:val="fr-FR" w:eastAsia="sl-SI"/>
        </w:rPr>
        <w:tab/>
        <w:t>Droit à l</w:t>
      </w:r>
      <w:r w:rsidR="005D0F0F" w:rsidRPr="00495482">
        <w:rPr>
          <w:shd w:val="clear" w:color="auto" w:fill="FFFFFF"/>
          <w:lang w:val="fr-FR" w:eastAsia="sl-SI"/>
        </w:rPr>
        <w:t>’</w:t>
      </w:r>
      <w:r w:rsidRPr="00495482">
        <w:rPr>
          <w:shd w:val="clear" w:color="auto" w:fill="FFFFFF"/>
          <w:lang w:val="fr-FR" w:eastAsia="sl-SI"/>
        </w:rPr>
        <w:t>eau potable</w:t>
      </w:r>
    </w:p>
    <w:p w:rsidR="00317603" w:rsidRPr="00495482" w:rsidRDefault="00317603" w:rsidP="001A4B24">
      <w:pPr>
        <w:pStyle w:val="SingleTxtG"/>
        <w:rPr>
          <w:lang w:val="fr-FR" w:eastAsia="sl-SI"/>
        </w:rPr>
      </w:pPr>
      <w:r w:rsidRPr="00495482">
        <w:rPr>
          <w:lang w:val="fr-FR" w:eastAsia="sl-SI"/>
        </w:rPr>
        <w:t>160.</w:t>
      </w:r>
      <w:r w:rsidRPr="00495482">
        <w:rPr>
          <w:lang w:val="fr-FR" w:eastAsia="sl-SI"/>
        </w:rPr>
        <w:tab/>
        <w:t>La question de l</w:t>
      </w:r>
      <w:r w:rsidR="005D0F0F" w:rsidRPr="00495482">
        <w:rPr>
          <w:lang w:val="fr-FR" w:eastAsia="sl-SI"/>
        </w:rPr>
        <w:t>’</w:t>
      </w:r>
      <w:r w:rsidRPr="00495482">
        <w:rPr>
          <w:lang w:val="fr-FR" w:eastAsia="sl-SI"/>
        </w:rPr>
        <w:t xml:space="preserve">eau potable est régie par le </w:t>
      </w:r>
      <w:r w:rsidRPr="00495482">
        <w:rPr>
          <w:i/>
          <w:lang w:val="fr-FR" w:eastAsia="sl-SI"/>
        </w:rPr>
        <w:t>règlement sur l</w:t>
      </w:r>
      <w:r w:rsidR="005D0F0F" w:rsidRPr="00495482">
        <w:rPr>
          <w:i/>
          <w:lang w:val="fr-FR" w:eastAsia="sl-SI"/>
        </w:rPr>
        <w:t>’</w:t>
      </w:r>
      <w:r w:rsidRPr="00495482">
        <w:rPr>
          <w:i/>
          <w:lang w:val="fr-FR" w:eastAsia="sl-SI"/>
        </w:rPr>
        <w:t>eau potable</w:t>
      </w:r>
      <w:r w:rsidRPr="00495482">
        <w:rPr>
          <w:rStyle w:val="FootnoteReference"/>
        </w:rPr>
        <w:footnoteReference w:id="83"/>
      </w:r>
      <w:r w:rsidR="003D51E1" w:rsidRPr="00495482">
        <w:rPr>
          <w:lang w:val="fr-FR" w:eastAsia="sl-SI"/>
        </w:rPr>
        <w:t>.</w:t>
      </w:r>
      <w:r w:rsidRPr="00495482">
        <w:rPr>
          <w:lang w:val="fr-FR" w:eastAsia="sl-SI"/>
        </w:rPr>
        <w:t xml:space="preserve"> La surveillance exercée vise à vérifier la conformité de l</w:t>
      </w:r>
      <w:r w:rsidR="005D0F0F" w:rsidRPr="00495482">
        <w:rPr>
          <w:lang w:val="fr-FR" w:eastAsia="sl-SI"/>
        </w:rPr>
        <w:t>’</w:t>
      </w:r>
      <w:r w:rsidRPr="00495482">
        <w:rPr>
          <w:lang w:val="fr-FR" w:eastAsia="sl-SI"/>
        </w:rPr>
        <w:t>eau potable aux paramètres à remplir pour protéger la santé de la population contre les risques d</w:t>
      </w:r>
      <w:r w:rsidR="005D0F0F" w:rsidRPr="00495482">
        <w:rPr>
          <w:lang w:val="fr-FR" w:eastAsia="sl-SI"/>
        </w:rPr>
        <w:t>’</w:t>
      </w:r>
      <w:r w:rsidRPr="00495482">
        <w:rPr>
          <w:lang w:val="fr-FR" w:eastAsia="sl-SI"/>
        </w:rPr>
        <w:t>un type quelconque de pollution de l</w:t>
      </w:r>
      <w:r w:rsidR="005D0F0F" w:rsidRPr="00495482">
        <w:rPr>
          <w:lang w:val="fr-FR" w:eastAsia="sl-SI"/>
        </w:rPr>
        <w:t>’</w:t>
      </w:r>
      <w:r w:rsidRPr="00495482">
        <w:rPr>
          <w:lang w:val="fr-FR" w:eastAsia="sl-SI"/>
        </w:rPr>
        <w:t>eau. Les contrôles comprennent des analyses effectuées par prélèvement au robinet ou dans les zones d</w:t>
      </w:r>
      <w:r w:rsidR="005D0F0F" w:rsidRPr="00495482">
        <w:rPr>
          <w:lang w:val="fr-FR" w:eastAsia="sl-SI"/>
        </w:rPr>
        <w:t>’</w:t>
      </w:r>
      <w:r w:rsidRPr="00495482">
        <w:rPr>
          <w:lang w:val="fr-FR" w:eastAsia="sl-SI"/>
        </w:rPr>
        <w:t>approvisionnement. Le Ministère de la santé adopte un programme annuel</w:t>
      </w:r>
      <w:r w:rsidR="003D1A4F" w:rsidRPr="00495482">
        <w:rPr>
          <w:lang w:val="fr-FR" w:eastAsia="sl-SI"/>
        </w:rPr>
        <w:t xml:space="preserve"> </w:t>
      </w:r>
      <w:r w:rsidRPr="00495482">
        <w:rPr>
          <w:lang w:val="fr-FR" w:eastAsia="sl-SI"/>
        </w:rPr>
        <w:t>de surveillance de l</w:t>
      </w:r>
      <w:r w:rsidR="005D0F0F" w:rsidRPr="00495482">
        <w:rPr>
          <w:lang w:val="fr-FR" w:eastAsia="sl-SI"/>
        </w:rPr>
        <w:t>’</w:t>
      </w:r>
      <w:r w:rsidRPr="00495482">
        <w:rPr>
          <w:lang w:val="fr-FR" w:eastAsia="sl-SI"/>
        </w:rPr>
        <w:t>eau potable.</w:t>
      </w:r>
    </w:p>
    <w:p w:rsidR="00317603" w:rsidRPr="00495482" w:rsidRDefault="00317603" w:rsidP="001A4B24">
      <w:pPr>
        <w:pStyle w:val="H23G"/>
        <w:rPr>
          <w:lang w:val="fr-FR" w:eastAsia="sl-SI"/>
        </w:rPr>
      </w:pPr>
      <w:r w:rsidRPr="00495482">
        <w:rPr>
          <w:lang w:val="fr-FR" w:eastAsia="sl-SI"/>
        </w:rPr>
        <w:tab/>
        <w:t>4.</w:t>
      </w:r>
      <w:r w:rsidRPr="00495482">
        <w:rPr>
          <w:lang w:val="fr-FR" w:eastAsia="sl-SI"/>
        </w:rPr>
        <w:tab/>
        <w:t>Droit à un logement convenable</w:t>
      </w:r>
      <w:r w:rsidR="003D1A4F" w:rsidRPr="00495482">
        <w:rPr>
          <w:lang w:val="fr-FR" w:eastAsia="sl-SI"/>
        </w:rPr>
        <w:t xml:space="preserve"> </w:t>
      </w:r>
    </w:p>
    <w:p w:rsidR="00317603" w:rsidRPr="00495482" w:rsidRDefault="00317603" w:rsidP="001A4B24">
      <w:pPr>
        <w:pStyle w:val="SingleTxtG"/>
        <w:rPr>
          <w:lang w:val="fr-FR" w:eastAsia="sl-SI"/>
        </w:rPr>
      </w:pPr>
      <w:r w:rsidRPr="00495482">
        <w:rPr>
          <w:lang w:val="fr-FR" w:eastAsia="sl-SI"/>
        </w:rPr>
        <w:t>161.</w:t>
      </w:r>
      <w:r w:rsidRPr="00495482">
        <w:rPr>
          <w:lang w:val="fr-FR" w:eastAsia="sl-SI"/>
        </w:rPr>
        <w:tab/>
        <w:t>Les municipalités s</w:t>
      </w:r>
      <w:r w:rsidR="005D0F0F" w:rsidRPr="00495482">
        <w:rPr>
          <w:lang w:val="fr-FR" w:eastAsia="sl-SI"/>
        </w:rPr>
        <w:t>’</w:t>
      </w:r>
      <w:r w:rsidRPr="00495482">
        <w:rPr>
          <w:lang w:val="fr-FR" w:eastAsia="sl-SI"/>
        </w:rPr>
        <w:t>emploient à trouver des solutions rapides et temporaires aux problèmes de logement des citoyens qui se trouvent à la rue</w:t>
      </w:r>
      <w:r w:rsidR="005D0F0F" w:rsidRPr="00495482">
        <w:rPr>
          <w:lang w:val="fr-FR" w:eastAsia="sl-SI"/>
        </w:rPr>
        <w:t>,</w:t>
      </w:r>
      <w:r w:rsidRPr="00495482">
        <w:rPr>
          <w:lang w:val="fr-FR" w:eastAsia="sl-SI"/>
        </w:rPr>
        <w:t xml:space="preserve"> en acquérant et en louant des unités d</w:t>
      </w:r>
      <w:r w:rsidR="005D0F0F" w:rsidRPr="00495482">
        <w:rPr>
          <w:lang w:val="fr-FR" w:eastAsia="sl-SI"/>
        </w:rPr>
        <w:t>’</w:t>
      </w:r>
      <w:r w:rsidRPr="00495482">
        <w:rPr>
          <w:lang w:val="fr-FR" w:eastAsia="sl-SI"/>
        </w:rPr>
        <w:t>habitation. Il n</w:t>
      </w:r>
      <w:r w:rsidR="005D0F0F" w:rsidRPr="00495482">
        <w:rPr>
          <w:lang w:val="fr-FR" w:eastAsia="sl-SI"/>
        </w:rPr>
        <w:t>’</w:t>
      </w:r>
      <w:r w:rsidRPr="00495482">
        <w:rPr>
          <w:lang w:val="fr-FR" w:eastAsia="sl-SI"/>
        </w:rPr>
        <w:t>y a pas d</w:t>
      </w:r>
      <w:r w:rsidR="005D0F0F" w:rsidRPr="00495482">
        <w:rPr>
          <w:lang w:val="fr-FR" w:eastAsia="sl-SI"/>
        </w:rPr>
        <w:t>’</w:t>
      </w:r>
      <w:r w:rsidRPr="00495482">
        <w:rPr>
          <w:lang w:val="fr-FR" w:eastAsia="sl-SI"/>
        </w:rPr>
        <w:t>appel public à candidatures pour l</w:t>
      </w:r>
      <w:r w:rsidR="005D0F0F" w:rsidRPr="00495482">
        <w:rPr>
          <w:lang w:val="fr-FR" w:eastAsia="sl-SI"/>
        </w:rPr>
        <w:t>’</w:t>
      </w:r>
      <w:r w:rsidRPr="00495482">
        <w:rPr>
          <w:lang w:val="fr-FR" w:eastAsia="sl-SI"/>
        </w:rPr>
        <w:t>attribution de ce type de logements. Les municipalités les attribuent en fonction des disponibilités d</w:t>
      </w:r>
      <w:r w:rsidR="005D0F0F" w:rsidRPr="00495482">
        <w:rPr>
          <w:lang w:val="fr-FR" w:eastAsia="sl-SI"/>
        </w:rPr>
        <w:t>’</w:t>
      </w:r>
      <w:r w:rsidRPr="00495482">
        <w:rPr>
          <w:lang w:val="fr-FR" w:eastAsia="sl-SI"/>
        </w:rPr>
        <w:t>une part</w:t>
      </w:r>
      <w:r w:rsidR="005D0F0F" w:rsidRPr="00495482">
        <w:rPr>
          <w:lang w:val="fr-FR" w:eastAsia="sl-SI"/>
        </w:rPr>
        <w:t>,</w:t>
      </w:r>
      <w:r w:rsidRPr="00495482">
        <w:rPr>
          <w:lang w:val="fr-FR" w:eastAsia="sl-SI"/>
        </w:rPr>
        <w:t xml:space="preserve"> et de la demande (des besoins) de l</w:t>
      </w:r>
      <w:r w:rsidR="005D0F0F" w:rsidRPr="00495482">
        <w:rPr>
          <w:lang w:val="fr-FR" w:eastAsia="sl-SI"/>
        </w:rPr>
        <w:t>’</w:t>
      </w:r>
      <w:r w:rsidRPr="00495482">
        <w:rPr>
          <w:lang w:val="fr-FR" w:eastAsia="sl-SI"/>
        </w:rPr>
        <w:t>autre. Environ 300 unités d</w:t>
      </w:r>
      <w:r w:rsidR="005D0F0F" w:rsidRPr="00495482">
        <w:rPr>
          <w:lang w:val="fr-FR" w:eastAsia="sl-SI"/>
        </w:rPr>
        <w:t>’</w:t>
      </w:r>
      <w:r w:rsidRPr="00495482">
        <w:rPr>
          <w:lang w:val="fr-FR" w:eastAsia="sl-SI"/>
        </w:rPr>
        <w:t>habitation sont disponibles</w:t>
      </w:r>
      <w:r w:rsidR="005D0F0F" w:rsidRPr="00495482">
        <w:rPr>
          <w:lang w:val="fr-FR" w:eastAsia="sl-SI"/>
        </w:rPr>
        <w:t>;</w:t>
      </w:r>
      <w:r w:rsidRPr="00495482">
        <w:rPr>
          <w:lang w:val="fr-FR" w:eastAsia="sl-SI"/>
        </w:rPr>
        <w:t xml:space="preserve"> approximativement 200 autres sont nécessaires. </w:t>
      </w:r>
    </w:p>
    <w:p w:rsidR="00317603" w:rsidRPr="00495482" w:rsidRDefault="00317603" w:rsidP="001A4B24">
      <w:pPr>
        <w:pStyle w:val="SingleTxtG"/>
        <w:rPr>
          <w:szCs w:val="22"/>
          <w:lang w:val="fr-FR" w:eastAsia="sl-SI"/>
        </w:rPr>
      </w:pPr>
      <w:r w:rsidRPr="00495482">
        <w:rPr>
          <w:lang w:val="fr-FR" w:eastAsia="sl-SI"/>
        </w:rPr>
        <w:t>162.</w:t>
      </w:r>
      <w:r w:rsidRPr="00495482">
        <w:rPr>
          <w:lang w:val="fr-FR" w:eastAsia="sl-SI"/>
        </w:rPr>
        <w:tab/>
        <w:t>Pour offrir une solution de logement durable aux citoyens à bas revenus</w:t>
      </w:r>
      <w:r w:rsidR="005D0F0F" w:rsidRPr="00495482">
        <w:rPr>
          <w:lang w:val="fr-FR" w:eastAsia="sl-SI"/>
        </w:rPr>
        <w:t>,</w:t>
      </w:r>
      <w:r w:rsidRPr="00495482">
        <w:rPr>
          <w:lang w:val="fr-FR" w:eastAsia="sl-SI"/>
        </w:rPr>
        <w:t xml:space="preserve"> les municipalités disposent des logements sociaux qu</w:t>
      </w:r>
      <w:r w:rsidR="005D0F0F" w:rsidRPr="00495482">
        <w:rPr>
          <w:lang w:val="fr-FR" w:eastAsia="sl-SI"/>
        </w:rPr>
        <w:t>’</w:t>
      </w:r>
      <w:r w:rsidRPr="00495482">
        <w:rPr>
          <w:lang w:val="fr-FR" w:eastAsia="sl-SI"/>
        </w:rPr>
        <w:t>elles louent avec un bail permanent</w:t>
      </w:r>
      <w:r w:rsidR="005D0F0F" w:rsidRPr="00495482">
        <w:rPr>
          <w:lang w:val="fr-FR" w:eastAsia="sl-SI"/>
        </w:rPr>
        <w:t>,</w:t>
      </w:r>
      <w:r w:rsidRPr="00495482">
        <w:rPr>
          <w:lang w:val="fr-FR" w:eastAsia="sl-SI"/>
        </w:rPr>
        <w:t xml:space="preserve"> moyennant un loyer à but non lucratif. Pour obtenir un logement municipal de ce type</w:t>
      </w:r>
      <w:r w:rsidR="005D0F0F" w:rsidRPr="00495482">
        <w:rPr>
          <w:lang w:val="fr-FR" w:eastAsia="sl-SI"/>
        </w:rPr>
        <w:t>,</w:t>
      </w:r>
      <w:r w:rsidRPr="00495482">
        <w:rPr>
          <w:lang w:val="fr-FR" w:eastAsia="sl-SI"/>
        </w:rPr>
        <w:t xml:space="preserve"> l</w:t>
      </w:r>
      <w:r w:rsidR="005D0F0F" w:rsidRPr="00495482">
        <w:rPr>
          <w:lang w:val="fr-FR" w:eastAsia="sl-SI"/>
        </w:rPr>
        <w:t>’</w:t>
      </w:r>
      <w:r w:rsidRPr="00495482">
        <w:rPr>
          <w:lang w:val="fr-FR" w:eastAsia="sl-SI"/>
        </w:rPr>
        <w:t>organisme de logements sociaux ou l</w:t>
      </w:r>
      <w:r w:rsidR="005D0F0F" w:rsidRPr="00495482">
        <w:rPr>
          <w:lang w:val="fr-FR" w:eastAsia="sl-SI"/>
        </w:rPr>
        <w:t>’</w:t>
      </w:r>
      <w:r w:rsidRPr="00495482">
        <w:rPr>
          <w:lang w:val="fr-FR" w:eastAsia="sl-SI"/>
        </w:rPr>
        <w:t>organisme de financement de logements municipaux lance des appels à candidatures pour louer un logement social. Il existe actuellement dans le pays 15 800 logements à loyer subventionné et environ 4 800 citoyens en font la demande</w:t>
      </w:r>
      <w:r w:rsidR="005D0F0F" w:rsidRPr="00495482">
        <w:rPr>
          <w:lang w:val="fr-FR" w:eastAsia="sl-SI"/>
        </w:rPr>
        <w:t>;</w:t>
      </w:r>
      <w:r w:rsidRPr="00495482">
        <w:rPr>
          <w:lang w:val="fr-FR" w:eastAsia="sl-SI"/>
        </w:rPr>
        <w:t xml:space="preserve"> approximativement 400 logements de ce type sont attribués chaque année. La période d</w:t>
      </w:r>
      <w:r w:rsidR="005D0F0F" w:rsidRPr="00495482">
        <w:rPr>
          <w:lang w:val="fr-FR" w:eastAsia="sl-SI"/>
        </w:rPr>
        <w:t>’</w:t>
      </w:r>
      <w:r w:rsidRPr="00495482">
        <w:rPr>
          <w:lang w:val="fr-FR" w:eastAsia="sl-SI"/>
        </w:rPr>
        <w:t>attente varie de trois à cinq</w:t>
      </w:r>
      <w:r w:rsidR="002328BD" w:rsidRPr="00495482">
        <w:rPr>
          <w:lang w:val="fr-FR" w:eastAsia="sl-SI"/>
        </w:rPr>
        <w:t> ans</w:t>
      </w:r>
      <w:r w:rsidRPr="00495482">
        <w:rPr>
          <w:lang w:val="fr-FR" w:eastAsia="sl-SI"/>
        </w:rPr>
        <w:t>. Le loyer à but non lucratif moyen est de 3</w:t>
      </w:r>
      <w:r w:rsidR="00210F9A" w:rsidRPr="00495482">
        <w:rPr>
          <w:lang w:val="fr-FR" w:eastAsia="sl-SI"/>
        </w:rPr>
        <w:t> euros</w:t>
      </w:r>
      <w:r w:rsidRPr="00495482">
        <w:rPr>
          <w:lang w:val="fr-FR" w:eastAsia="sl-SI"/>
        </w:rPr>
        <w:t>/m</w:t>
      </w:r>
      <w:r w:rsidRPr="00495482">
        <w:rPr>
          <w:vertAlign w:val="superscript"/>
          <w:lang w:val="fr-FR" w:eastAsia="sl-SI"/>
        </w:rPr>
        <w:t>2</w:t>
      </w:r>
      <w:r w:rsidRPr="00495482">
        <w:rPr>
          <w:lang w:val="fr-FR" w:eastAsia="sl-SI"/>
        </w:rPr>
        <w:t>.</w:t>
      </w:r>
      <w:r w:rsidR="003D1A4F" w:rsidRPr="00495482">
        <w:rPr>
          <w:lang w:val="fr-FR" w:eastAsia="sl-SI"/>
        </w:rPr>
        <w:t xml:space="preserve"> </w:t>
      </w:r>
    </w:p>
    <w:p w:rsidR="00317603" w:rsidRPr="00495482" w:rsidRDefault="00317603" w:rsidP="001A4B24">
      <w:pPr>
        <w:pStyle w:val="SingleTxtG"/>
        <w:rPr>
          <w:lang w:val="fr-FR" w:eastAsia="sl-SI"/>
        </w:rPr>
      </w:pPr>
      <w:r w:rsidRPr="00495482">
        <w:rPr>
          <w:lang w:val="fr-FR" w:eastAsia="sl-SI"/>
        </w:rPr>
        <w:t>163.</w:t>
      </w:r>
      <w:r w:rsidRPr="00495482">
        <w:rPr>
          <w:lang w:val="fr-FR" w:eastAsia="sl-SI"/>
        </w:rPr>
        <w:tab/>
        <w:t>Les locataires d</w:t>
      </w:r>
      <w:r w:rsidR="005D0F0F" w:rsidRPr="00495482">
        <w:rPr>
          <w:lang w:val="fr-FR" w:eastAsia="sl-SI"/>
        </w:rPr>
        <w:t>’</w:t>
      </w:r>
      <w:r w:rsidRPr="00495482">
        <w:rPr>
          <w:lang w:val="fr-FR" w:eastAsia="sl-SI"/>
        </w:rPr>
        <w:t>unités d</w:t>
      </w:r>
      <w:r w:rsidR="005D0F0F" w:rsidRPr="00495482">
        <w:rPr>
          <w:lang w:val="fr-FR" w:eastAsia="sl-SI"/>
        </w:rPr>
        <w:t>’</w:t>
      </w:r>
      <w:r w:rsidRPr="00495482">
        <w:rPr>
          <w:lang w:val="fr-FR" w:eastAsia="sl-SI"/>
        </w:rPr>
        <w:t>habitation et de logements à but non lucratif sont aussi habilités à percevoir une allocation-logement. L</w:t>
      </w:r>
      <w:r w:rsidR="005D0F0F" w:rsidRPr="00495482">
        <w:rPr>
          <w:lang w:val="fr-FR" w:eastAsia="sl-SI"/>
        </w:rPr>
        <w:t>’</w:t>
      </w:r>
      <w:r w:rsidRPr="00495482">
        <w:rPr>
          <w:lang w:val="fr-FR" w:eastAsia="sl-SI"/>
        </w:rPr>
        <w:t>allocation maximum allouée correspond à 80% du loyer et elle diminue progressivement en fonction de la hausse du revenu du locataire et des autres usagers. Actuellement</w:t>
      </w:r>
      <w:r w:rsidR="005D0F0F" w:rsidRPr="00495482">
        <w:rPr>
          <w:lang w:val="fr-FR" w:eastAsia="sl-SI"/>
        </w:rPr>
        <w:t>,</w:t>
      </w:r>
      <w:r w:rsidRPr="00495482">
        <w:rPr>
          <w:lang w:val="fr-FR" w:eastAsia="sl-SI"/>
        </w:rPr>
        <w:t xml:space="preserve"> 5 400 locataires en Slovénie sont habilités à percevoir une allocation-logement qui s</w:t>
      </w:r>
      <w:r w:rsidR="005D0F0F" w:rsidRPr="00495482">
        <w:rPr>
          <w:lang w:val="fr-FR" w:eastAsia="sl-SI"/>
        </w:rPr>
        <w:t>’</w:t>
      </w:r>
      <w:r w:rsidRPr="00495482">
        <w:rPr>
          <w:lang w:val="fr-FR" w:eastAsia="sl-SI"/>
        </w:rPr>
        <w:t>élève en moyenne à 84</w:t>
      </w:r>
      <w:r w:rsidR="00210F9A" w:rsidRPr="00495482">
        <w:rPr>
          <w:lang w:val="fr-FR" w:eastAsia="sl-SI"/>
        </w:rPr>
        <w:t> euros</w:t>
      </w:r>
      <w:r w:rsidRPr="00495482">
        <w:rPr>
          <w:lang w:val="fr-FR" w:eastAsia="sl-SI"/>
        </w:rPr>
        <w:t xml:space="preserve">. </w:t>
      </w:r>
    </w:p>
    <w:p w:rsidR="00317603" w:rsidRPr="00495482" w:rsidRDefault="00317603" w:rsidP="001A4B24">
      <w:pPr>
        <w:pStyle w:val="SingleTxtG"/>
        <w:rPr>
          <w:lang w:val="fr-FR" w:eastAsia="sl-SI"/>
        </w:rPr>
      </w:pPr>
      <w:r w:rsidRPr="00495482">
        <w:rPr>
          <w:lang w:val="fr-FR" w:eastAsia="sl-SI"/>
        </w:rPr>
        <w:t>164.</w:t>
      </w:r>
      <w:r w:rsidRPr="00495482">
        <w:rPr>
          <w:lang w:val="fr-FR" w:eastAsia="sl-SI"/>
        </w:rPr>
        <w:tab/>
        <w:t>Les collectivités locales</w:t>
      </w:r>
      <w:r w:rsidR="005D0F0F" w:rsidRPr="00495482">
        <w:rPr>
          <w:lang w:val="fr-FR" w:eastAsia="sl-SI"/>
        </w:rPr>
        <w:t>,</w:t>
      </w:r>
      <w:r w:rsidRPr="00495482">
        <w:rPr>
          <w:lang w:val="fr-FR" w:eastAsia="sl-SI"/>
        </w:rPr>
        <w:t xml:space="preserve"> en coopération avec les ministères responsables</w:t>
      </w:r>
      <w:r w:rsidR="005D0F0F" w:rsidRPr="00495482">
        <w:rPr>
          <w:lang w:val="fr-FR" w:eastAsia="sl-SI"/>
        </w:rPr>
        <w:t>,</w:t>
      </w:r>
      <w:r w:rsidR="003D1A4F" w:rsidRPr="00495482">
        <w:rPr>
          <w:lang w:val="fr-FR" w:eastAsia="sl-SI"/>
        </w:rPr>
        <w:t xml:space="preserve"> </w:t>
      </w:r>
      <w:r w:rsidRPr="00495482">
        <w:rPr>
          <w:lang w:val="fr-FR" w:eastAsia="sl-SI"/>
        </w:rPr>
        <w:t>les différentes organisations gouvernementales et les communautés</w:t>
      </w:r>
      <w:r w:rsidR="005D0F0F" w:rsidRPr="00495482">
        <w:rPr>
          <w:lang w:val="fr-FR" w:eastAsia="sl-SI"/>
        </w:rPr>
        <w:t>,</w:t>
      </w:r>
      <w:r w:rsidRPr="00495482">
        <w:rPr>
          <w:lang w:val="fr-FR" w:eastAsia="sl-SI"/>
        </w:rPr>
        <w:t xml:space="preserve"> et moyennant diverses formes de partenariats publics-privés</w:t>
      </w:r>
      <w:r w:rsidR="005D0F0F" w:rsidRPr="00495482">
        <w:rPr>
          <w:lang w:val="fr-FR" w:eastAsia="sl-SI"/>
        </w:rPr>
        <w:t>,</w:t>
      </w:r>
      <w:r w:rsidRPr="00495482">
        <w:rPr>
          <w:lang w:val="fr-FR" w:eastAsia="sl-SI"/>
        </w:rPr>
        <w:t xml:space="preserve"> prennent en charge et financent la construction de logements ou d</w:t>
      </w:r>
      <w:r w:rsidR="005D0F0F" w:rsidRPr="00495482">
        <w:rPr>
          <w:lang w:val="fr-FR" w:eastAsia="sl-SI"/>
        </w:rPr>
        <w:t>’</w:t>
      </w:r>
      <w:r w:rsidRPr="00495482">
        <w:rPr>
          <w:lang w:val="fr-FR" w:eastAsia="sl-SI"/>
        </w:rPr>
        <w:t xml:space="preserve">immeubles destinés à accueillir </w:t>
      </w:r>
      <w:r w:rsidR="00210F9A" w:rsidRPr="00495482">
        <w:rPr>
          <w:lang w:val="fr-FR" w:eastAsia="sl-SI"/>
        </w:rPr>
        <w:t>des personnes</w:t>
      </w:r>
      <w:r w:rsidRPr="00495482">
        <w:rPr>
          <w:lang w:val="fr-FR" w:eastAsia="sl-SI"/>
        </w:rPr>
        <w:t xml:space="preserve"> âgées (maisons de retraite)</w:t>
      </w:r>
      <w:r w:rsidR="005D0F0F" w:rsidRPr="00495482">
        <w:rPr>
          <w:lang w:val="fr-FR" w:eastAsia="sl-SI"/>
        </w:rPr>
        <w:t>,</w:t>
      </w:r>
      <w:r w:rsidRPr="00495482">
        <w:rPr>
          <w:lang w:val="fr-FR" w:eastAsia="sl-SI"/>
        </w:rPr>
        <w:t xml:space="preserve"> ou des groupes spéciaux d</w:t>
      </w:r>
      <w:r w:rsidR="005D0F0F" w:rsidRPr="00495482">
        <w:rPr>
          <w:lang w:val="fr-FR" w:eastAsia="sl-SI"/>
        </w:rPr>
        <w:t>’</w:t>
      </w:r>
      <w:r w:rsidRPr="00495482">
        <w:rPr>
          <w:lang w:val="fr-FR" w:eastAsia="sl-SI"/>
        </w:rPr>
        <w:t>occupants adultes (centres d</w:t>
      </w:r>
      <w:r w:rsidR="005D0F0F" w:rsidRPr="00495482">
        <w:rPr>
          <w:lang w:val="fr-FR" w:eastAsia="sl-SI"/>
        </w:rPr>
        <w:t>’</w:t>
      </w:r>
      <w:r w:rsidRPr="00495482">
        <w:rPr>
          <w:lang w:val="fr-FR" w:eastAsia="sl-SI"/>
        </w:rPr>
        <w:t xml:space="preserve">hébergement). </w:t>
      </w:r>
    </w:p>
    <w:p w:rsidR="00317603" w:rsidRPr="00495482" w:rsidRDefault="00317603" w:rsidP="001A4B24">
      <w:pPr>
        <w:pStyle w:val="H23G"/>
        <w:rPr>
          <w:lang w:val="fr-FR" w:eastAsia="sl-SI"/>
        </w:rPr>
      </w:pPr>
      <w:r w:rsidRPr="00495482">
        <w:rPr>
          <w:lang w:val="fr-FR" w:eastAsia="sl-SI"/>
        </w:rPr>
        <w:tab/>
      </w:r>
      <w:r w:rsidRPr="00495482">
        <w:rPr>
          <w:lang w:val="fr-FR" w:eastAsia="sl-SI"/>
        </w:rPr>
        <w:tab/>
        <w:t>Mesures concernant le logement des Roms</w:t>
      </w:r>
    </w:p>
    <w:p w:rsidR="00317603" w:rsidRPr="00495482" w:rsidRDefault="00317603" w:rsidP="001A4B24">
      <w:pPr>
        <w:pStyle w:val="SingleTxtG"/>
        <w:rPr>
          <w:lang w:val="fr-FR" w:eastAsia="sl-SI"/>
        </w:rPr>
      </w:pPr>
      <w:r w:rsidRPr="00495482">
        <w:rPr>
          <w:lang w:val="fr-FR" w:eastAsia="sl-SI"/>
        </w:rPr>
        <w:t>165.</w:t>
      </w:r>
      <w:r w:rsidRPr="00495482">
        <w:rPr>
          <w:lang w:val="fr-FR" w:eastAsia="sl-SI"/>
        </w:rPr>
        <w:tab/>
        <w:t>Le Ministère de l</w:t>
      </w:r>
      <w:r w:rsidR="005D0F0F" w:rsidRPr="00495482">
        <w:rPr>
          <w:lang w:val="fr-FR" w:eastAsia="sl-SI"/>
        </w:rPr>
        <w:t>’</w:t>
      </w:r>
      <w:r w:rsidRPr="00495482">
        <w:rPr>
          <w:lang w:val="fr-FR" w:eastAsia="sl-SI"/>
        </w:rPr>
        <w:t>environnement et de l</w:t>
      </w:r>
      <w:r w:rsidR="005D0F0F" w:rsidRPr="00495482">
        <w:rPr>
          <w:lang w:val="fr-FR" w:eastAsia="sl-SI"/>
        </w:rPr>
        <w:t>’</w:t>
      </w:r>
      <w:r w:rsidRPr="00495482">
        <w:rPr>
          <w:lang w:val="fr-FR" w:eastAsia="sl-SI"/>
        </w:rPr>
        <w:t>aménagement du territoire oriente</w:t>
      </w:r>
      <w:r w:rsidR="005D0F0F" w:rsidRPr="00495482">
        <w:rPr>
          <w:lang w:val="fr-FR" w:eastAsia="sl-SI"/>
        </w:rPr>
        <w:t>,</w:t>
      </w:r>
      <w:r w:rsidRPr="00495482">
        <w:rPr>
          <w:lang w:val="fr-FR" w:eastAsia="sl-SI"/>
        </w:rPr>
        <w:t xml:space="preserve"> dirige et coordonne les activités destinées à offrir une assistance spécialisée et une aide financière aux municipalités dans lesquelles vivent des Roms</w:t>
      </w:r>
      <w:r w:rsidR="005D0F0F" w:rsidRPr="00495482">
        <w:rPr>
          <w:lang w:val="fr-FR" w:eastAsia="sl-SI"/>
        </w:rPr>
        <w:t>,</w:t>
      </w:r>
      <w:r w:rsidRPr="00495482">
        <w:rPr>
          <w:lang w:val="fr-FR" w:eastAsia="sl-SI"/>
        </w:rPr>
        <w:t xml:space="preserve"> avec l</w:t>
      </w:r>
      <w:r w:rsidR="005D0F0F" w:rsidRPr="00495482">
        <w:rPr>
          <w:lang w:val="fr-FR" w:eastAsia="sl-SI"/>
        </w:rPr>
        <w:t>’</w:t>
      </w:r>
      <w:r w:rsidRPr="00495482">
        <w:rPr>
          <w:lang w:val="fr-FR" w:eastAsia="sl-SI"/>
        </w:rPr>
        <w:t>élaboration de plans relatifs à l</w:t>
      </w:r>
      <w:r w:rsidR="005D0F0F" w:rsidRPr="00495482">
        <w:rPr>
          <w:lang w:val="fr-FR" w:eastAsia="sl-SI"/>
        </w:rPr>
        <w:t>’</w:t>
      </w:r>
      <w:r w:rsidRPr="00495482">
        <w:rPr>
          <w:lang w:val="fr-FR" w:eastAsia="sl-SI"/>
        </w:rPr>
        <w:t>implantation des campements Roms. Outre le Ministère de l</w:t>
      </w:r>
      <w:r w:rsidR="005D0F0F" w:rsidRPr="00495482">
        <w:rPr>
          <w:lang w:val="fr-FR" w:eastAsia="sl-SI"/>
        </w:rPr>
        <w:t>’</w:t>
      </w:r>
      <w:r w:rsidRPr="00495482">
        <w:rPr>
          <w:lang w:val="fr-FR" w:eastAsia="sl-SI"/>
        </w:rPr>
        <w:t>environnement et de l</w:t>
      </w:r>
      <w:r w:rsidR="005D0F0F" w:rsidRPr="00495482">
        <w:rPr>
          <w:lang w:val="fr-FR" w:eastAsia="sl-SI"/>
        </w:rPr>
        <w:t>’</w:t>
      </w:r>
      <w:r w:rsidRPr="00495482">
        <w:rPr>
          <w:lang w:val="fr-FR" w:eastAsia="sl-SI"/>
        </w:rPr>
        <w:t>aménagement du territoire</w:t>
      </w:r>
      <w:r w:rsidR="005D0F0F" w:rsidRPr="00495482">
        <w:rPr>
          <w:lang w:val="fr-FR" w:eastAsia="sl-SI"/>
        </w:rPr>
        <w:t>,</w:t>
      </w:r>
      <w:r w:rsidRPr="00495482">
        <w:rPr>
          <w:lang w:val="fr-FR" w:eastAsia="sl-SI"/>
        </w:rPr>
        <w:t xml:space="preserve"> le Bureau gouvernemental pour la politique d</w:t>
      </w:r>
      <w:r w:rsidR="005D0F0F" w:rsidRPr="00495482">
        <w:rPr>
          <w:lang w:val="fr-FR" w:eastAsia="sl-SI"/>
        </w:rPr>
        <w:t>’</w:t>
      </w:r>
      <w:r w:rsidRPr="00495482">
        <w:rPr>
          <w:lang w:val="fr-FR" w:eastAsia="sl-SI"/>
        </w:rPr>
        <w:t>autogestion régionale et locale intervient également conformément à ses compétences</w:t>
      </w:r>
      <w:r w:rsidR="005D0F0F" w:rsidRPr="00495482">
        <w:rPr>
          <w:lang w:val="fr-FR" w:eastAsia="sl-SI"/>
        </w:rPr>
        <w:t>,</w:t>
      </w:r>
      <w:r w:rsidRPr="00495482">
        <w:rPr>
          <w:lang w:val="fr-FR" w:eastAsia="sl-SI"/>
        </w:rPr>
        <w:t xml:space="preserve"> par des mesures financières destinées à réhabiliter et à aménager les infrastructures publiques dans les campements roms. Fournir à la communauté rom et à ses membres des conditions de vie correctes en les réglementant</w:t>
      </w:r>
      <w:r w:rsidR="005D0F0F" w:rsidRPr="00495482">
        <w:rPr>
          <w:lang w:val="fr-FR" w:eastAsia="sl-SI"/>
        </w:rPr>
        <w:t>,</w:t>
      </w:r>
      <w:r w:rsidRPr="00495482">
        <w:rPr>
          <w:lang w:val="fr-FR" w:eastAsia="sl-SI"/>
        </w:rPr>
        <w:t xml:space="preserve"> demeure toujours l</w:t>
      </w:r>
      <w:r w:rsidR="005D0F0F" w:rsidRPr="00495482">
        <w:rPr>
          <w:lang w:val="fr-FR" w:eastAsia="sl-SI"/>
        </w:rPr>
        <w:t>’</w:t>
      </w:r>
      <w:r w:rsidRPr="00495482">
        <w:rPr>
          <w:lang w:val="fr-FR" w:eastAsia="sl-SI"/>
        </w:rPr>
        <w:t>une des priorités de l</w:t>
      </w:r>
      <w:r w:rsidR="005D0F0F" w:rsidRPr="00495482">
        <w:rPr>
          <w:lang w:val="fr-FR" w:eastAsia="sl-SI"/>
        </w:rPr>
        <w:t>’</w:t>
      </w:r>
      <w:r w:rsidRPr="00495482">
        <w:rPr>
          <w:lang w:val="fr-FR" w:eastAsia="sl-SI"/>
        </w:rPr>
        <w:t>État; des dispositifs adéquats</w:t>
      </w:r>
      <w:r w:rsidR="003D1A4F" w:rsidRPr="00495482">
        <w:rPr>
          <w:lang w:val="fr-FR" w:eastAsia="sl-SI"/>
        </w:rPr>
        <w:t xml:space="preserve"> </w:t>
      </w:r>
      <w:r w:rsidRPr="00495482">
        <w:rPr>
          <w:lang w:val="fr-FR" w:eastAsia="sl-SI"/>
        </w:rPr>
        <w:t>répondant aux besoins de la communauté rom ont donc été également inclus au programme national des mesures en faveur des Roms du Gouvernement de la République de Slovénie 2010-2015</w:t>
      </w:r>
      <w:r w:rsidR="005D0F0F" w:rsidRPr="00495482">
        <w:rPr>
          <w:lang w:val="fr-FR" w:eastAsia="sl-SI"/>
        </w:rPr>
        <w:t>,</w:t>
      </w:r>
      <w:r w:rsidRPr="00495482">
        <w:rPr>
          <w:lang w:val="fr-FR" w:eastAsia="sl-SI"/>
        </w:rPr>
        <w:t xml:space="preserve"> que celui-ci a adopté le 11 mars 2010. </w:t>
      </w:r>
    </w:p>
    <w:p w:rsidR="00317603" w:rsidRPr="00495482" w:rsidRDefault="00317603" w:rsidP="001A4B24">
      <w:pPr>
        <w:pStyle w:val="H1G"/>
        <w:rPr>
          <w:szCs w:val="22"/>
          <w:lang w:val="fr-FR" w:eastAsia="sl-SI"/>
        </w:rPr>
      </w:pPr>
      <w:r w:rsidRPr="00495482">
        <w:rPr>
          <w:lang w:val="fr-FR" w:eastAsia="sl-SI"/>
        </w:rPr>
        <w:tab/>
      </w:r>
      <w:r w:rsidRPr="00495482">
        <w:rPr>
          <w:lang w:val="fr-FR" w:eastAsia="sl-SI"/>
        </w:rPr>
        <w:tab/>
        <w:t>Article 12</w:t>
      </w:r>
      <w:r w:rsidR="001A4B24">
        <w:rPr>
          <w:lang w:val="fr-FR" w:eastAsia="sl-SI"/>
        </w:rPr>
        <w:br/>
      </w:r>
      <w:r w:rsidRPr="00495482">
        <w:rPr>
          <w:lang w:val="fr-FR" w:eastAsia="sl-SI"/>
        </w:rPr>
        <w:t>Droit qu</w:t>
      </w:r>
      <w:r w:rsidR="005D0F0F" w:rsidRPr="00495482">
        <w:rPr>
          <w:lang w:val="fr-FR" w:eastAsia="sl-SI"/>
        </w:rPr>
        <w:t>’</w:t>
      </w:r>
      <w:r w:rsidRPr="00495482">
        <w:rPr>
          <w:lang w:val="fr-FR" w:eastAsia="sl-SI"/>
        </w:rPr>
        <w:t>a toute personne de jouir du meilleur état de santé physique et mentale qu</w:t>
      </w:r>
      <w:r w:rsidR="005D0F0F" w:rsidRPr="00495482">
        <w:rPr>
          <w:lang w:val="fr-FR" w:eastAsia="sl-SI"/>
        </w:rPr>
        <w:t>’</w:t>
      </w:r>
      <w:r w:rsidRPr="00495482">
        <w:rPr>
          <w:lang w:val="fr-FR" w:eastAsia="sl-SI"/>
        </w:rPr>
        <w:t>elle soit capable d</w:t>
      </w:r>
      <w:r w:rsidR="005D0F0F" w:rsidRPr="00495482">
        <w:rPr>
          <w:lang w:val="fr-FR" w:eastAsia="sl-SI"/>
        </w:rPr>
        <w:t>’</w:t>
      </w:r>
      <w:r w:rsidRPr="00495482">
        <w:rPr>
          <w:lang w:val="fr-FR" w:eastAsia="sl-SI"/>
        </w:rPr>
        <w:t>atteindre</w:t>
      </w:r>
    </w:p>
    <w:p w:rsidR="00317603" w:rsidRPr="00495482" w:rsidRDefault="00317603" w:rsidP="001A4B24">
      <w:pPr>
        <w:pStyle w:val="SingleTxtG"/>
        <w:rPr>
          <w:szCs w:val="22"/>
          <w:lang w:val="fr-FR" w:eastAsia="sl-SI"/>
        </w:rPr>
      </w:pPr>
      <w:r w:rsidRPr="00495482">
        <w:rPr>
          <w:lang w:val="fr-FR" w:eastAsia="sl-SI"/>
        </w:rPr>
        <w:t>166.</w:t>
      </w:r>
      <w:r w:rsidRPr="00495482">
        <w:rPr>
          <w:lang w:val="fr-FR" w:eastAsia="sl-SI"/>
        </w:rPr>
        <w:tab/>
        <w:t>Le droit qu</w:t>
      </w:r>
      <w:r w:rsidR="005D0F0F" w:rsidRPr="00495482">
        <w:rPr>
          <w:lang w:val="fr-FR" w:eastAsia="sl-SI"/>
        </w:rPr>
        <w:t>’</w:t>
      </w:r>
      <w:r w:rsidRPr="00495482">
        <w:rPr>
          <w:lang w:val="fr-FR" w:eastAsia="sl-SI"/>
        </w:rPr>
        <w:t>a toute personne de jouir du meilleur état de santé physique et mentale qu</w:t>
      </w:r>
      <w:r w:rsidR="005D0F0F" w:rsidRPr="00495482">
        <w:rPr>
          <w:lang w:val="fr-FR" w:eastAsia="sl-SI"/>
        </w:rPr>
        <w:t>’</w:t>
      </w:r>
      <w:r w:rsidRPr="00495482">
        <w:rPr>
          <w:lang w:val="fr-FR" w:eastAsia="sl-SI"/>
        </w:rPr>
        <w:t>elle soit capable d</w:t>
      </w:r>
      <w:r w:rsidR="005D0F0F" w:rsidRPr="00495482">
        <w:rPr>
          <w:lang w:val="fr-FR" w:eastAsia="sl-SI"/>
        </w:rPr>
        <w:t>’</w:t>
      </w:r>
      <w:r w:rsidRPr="00495482">
        <w:rPr>
          <w:lang w:val="fr-FR" w:eastAsia="sl-SI"/>
        </w:rPr>
        <w:t>atteindre est déjà exposé dans le rapport initial (</w:t>
      </w:r>
      <w:r w:rsidR="00210F9A" w:rsidRPr="00495482">
        <w:rPr>
          <w:lang w:val="fr-FR" w:eastAsia="sl-SI"/>
        </w:rPr>
        <w:t>par. </w:t>
      </w:r>
      <w:r w:rsidRPr="00495482">
        <w:rPr>
          <w:lang w:val="fr-FR" w:eastAsia="sl-SI"/>
        </w:rPr>
        <w:t>683 à 762).</w:t>
      </w:r>
    </w:p>
    <w:p w:rsidR="00317603" w:rsidRPr="00495482" w:rsidRDefault="00317603" w:rsidP="001A4B24">
      <w:pPr>
        <w:pStyle w:val="SingleTxtG"/>
        <w:rPr>
          <w:szCs w:val="22"/>
          <w:lang w:val="fr-FR" w:eastAsia="sl-SI"/>
        </w:rPr>
      </w:pPr>
      <w:r w:rsidRPr="00495482">
        <w:rPr>
          <w:lang w:val="fr-FR" w:eastAsia="sl-SI"/>
        </w:rPr>
        <w:t>167.</w:t>
      </w:r>
      <w:r w:rsidRPr="00495482">
        <w:rPr>
          <w:lang w:val="fr-FR" w:eastAsia="sl-SI"/>
        </w:rPr>
        <w:tab/>
        <w:t>En juillet 2008</w:t>
      </w:r>
      <w:r w:rsidR="005D0F0F" w:rsidRPr="00495482">
        <w:rPr>
          <w:lang w:val="fr-FR" w:eastAsia="sl-SI"/>
        </w:rPr>
        <w:t>,</w:t>
      </w:r>
      <w:r w:rsidRPr="00495482">
        <w:rPr>
          <w:lang w:val="fr-FR" w:eastAsia="sl-SI"/>
        </w:rPr>
        <w:t xml:space="preserve"> le Gouvernement slovène a adopté un plan stratégique</w:t>
      </w:r>
      <w:r w:rsidR="005D0F0F" w:rsidRPr="00495482">
        <w:rPr>
          <w:lang w:val="fr-FR" w:eastAsia="sl-SI"/>
        </w:rPr>
        <w:t>,</w:t>
      </w:r>
      <w:r w:rsidRPr="00495482">
        <w:rPr>
          <w:lang w:val="fr-FR" w:eastAsia="sl-SI"/>
        </w:rPr>
        <w:t xml:space="preserve"> la résolution sur le plan national des soins de santé 2008-2013</w:t>
      </w:r>
      <w:r w:rsidR="005D0F0F" w:rsidRPr="00495482">
        <w:rPr>
          <w:lang w:val="fr-FR" w:eastAsia="sl-SI"/>
        </w:rPr>
        <w:t>,</w:t>
      </w:r>
      <w:r w:rsidRPr="00495482">
        <w:rPr>
          <w:lang w:val="fr-FR" w:eastAsia="sl-SI"/>
        </w:rPr>
        <w:t xml:space="preserve"> </w:t>
      </w:r>
      <w:r w:rsidRPr="00495482">
        <w:rPr>
          <w:i/>
          <w:lang w:val="fr-FR" w:eastAsia="sl-SI"/>
        </w:rPr>
        <w:t>Satisfaire les</w:t>
      </w:r>
      <w:r w:rsidRPr="00495482">
        <w:rPr>
          <w:lang w:val="fr-FR" w:eastAsia="sl-SI"/>
        </w:rPr>
        <w:t xml:space="preserve"> </w:t>
      </w:r>
      <w:r w:rsidRPr="00495482">
        <w:rPr>
          <w:i/>
          <w:lang w:val="fr-FR" w:eastAsia="sl-SI"/>
        </w:rPr>
        <w:t>usagers et les prestataires de services de santé</w:t>
      </w:r>
      <w:r w:rsidRPr="00495482">
        <w:rPr>
          <w:rStyle w:val="FootnoteReference"/>
        </w:rPr>
        <w:footnoteReference w:id="84"/>
      </w:r>
      <w:r w:rsidR="003D51E1" w:rsidRPr="00495482">
        <w:rPr>
          <w:iCs/>
          <w:lang w:val="fr-FR" w:eastAsia="sl-SI"/>
        </w:rPr>
        <w:t>.</w:t>
      </w:r>
      <w:r w:rsidRPr="00495482">
        <w:rPr>
          <w:i/>
          <w:lang w:val="fr-FR" w:eastAsia="sl-SI"/>
        </w:rPr>
        <w:t xml:space="preserve"> </w:t>
      </w:r>
      <w:r w:rsidRPr="00495482">
        <w:rPr>
          <w:lang w:val="fr-FR" w:eastAsia="sl-SI"/>
        </w:rPr>
        <w:t>La résolution comprend également des mesures visant à organiser un réseau de prestataires d</w:t>
      </w:r>
      <w:r w:rsidR="005D0F0F" w:rsidRPr="00495482">
        <w:rPr>
          <w:lang w:val="fr-FR" w:eastAsia="sl-SI"/>
        </w:rPr>
        <w:t>’</w:t>
      </w:r>
      <w:r w:rsidRPr="00495482">
        <w:rPr>
          <w:lang w:val="fr-FR" w:eastAsia="sl-SI"/>
        </w:rPr>
        <w:t>activités de santé publique en Slovénie pour la période 2008-2013.</w:t>
      </w:r>
      <w:r w:rsidR="003D1A4F" w:rsidRPr="00495482">
        <w:rPr>
          <w:lang w:val="fr-FR" w:eastAsia="sl-SI"/>
        </w:rPr>
        <w:t xml:space="preserve"> </w:t>
      </w:r>
    </w:p>
    <w:p w:rsidR="00317603" w:rsidRPr="00495482" w:rsidRDefault="00317603" w:rsidP="001A4B24">
      <w:pPr>
        <w:pStyle w:val="H23G"/>
        <w:rPr>
          <w:lang w:val="fr-FR" w:eastAsia="sl-SI"/>
        </w:rPr>
      </w:pPr>
      <w:r w:rsidRPr="00495482">
        <w:rPr>
          <w:lang w:val="fr-FR" w:eastAsia="sl-SI"/>
        </w:rPr>
        <w:tab/>
      </w:r>
      <w:r w:rsidRPr="00495482">
        <w:rPr>
          <w:lang w:val="fr-FR" w:eastAsia="sl-SI"/>
        </w:rPr>
        <w:tab/>
        <w:t>Prévention et lutte contre le sida</w:t>
      </w:r>
    </w:p>
    <w:p w:rsidR="00317603" w:rsidRPr="00495482" w:rsidRDefault="00317603" w:rsidP="001A4B24">
      <w:pPr>
        <w:pStyle w:val="SingleTxtG"/>
        <w:rPr>
          <w:lang w:val="fr-FR"/>
        </w:rPr>
      </w:pPr>
      <w:r w:rsidRPr="00495482">
        <w:rPr>
          <w:lang w:val="fr-FR"/>
        </w:rPr>
        <w:t>168.</w:t>
      </w:r>
      <w:r w:rsidRPr="00495482">
        <w:rPr>
          <w:lang w:val="fr-FR"/>
        </w:rPr>
        <w:tab/>
        <w:t>En 2009</w:t>
      </w:r>
      <w:r w:rsidR="005D0F0F" w:rsidRPr="00495482">
        <w:rPr>
          <w:lang w:val="fr-FR"/>
        </w:rPr>
        <w:t>,</w:t>
      </w:r>
      <w:r w:rsidRPr="00495482">
        <w:rPr>
          <w:lang w:val="fr-FR"/>
        </w:rPr>
        <w:t xml:space="preserve"> le Gouvernement slovène a adopté la stratégie de prévention et de lutte contre le sid</w:t>
      </w:r>
      <w:r w:rsidR="001B12ED">
        <w:rPr>
          <w:lang w:val="fr-FR"/>
        </w:rPr>
        <w:t>a 2010</w:t>
      </w:r>
      <w:r w:rsidR="001B12ED">
        <w:rPr>
          <w:lang w:val="fr-FR"/>
        </w:rPr>
        <w:noBreakHyphen/>
      </w:r>
      <w:r w:rsidRPr="00495482">
        <w:rPr>
          <w:lang w:val="fr-FR"/>
        </w:rPr>
        <w:t>2015</w:t>
      </w:r>
      <w:r w:rsidRPr="00495482">
        <w:rPr>
          <w:rStyle w:val="FootnoteReference"/>
        </w:rPr>
        <w:footnoteReference w:id="85"/>
      </w:r>
      <w:r w:rsidR="005D0F0F" w:rsidRPr="00495482">
        <w:rPr>
          <w:lang w:val="fr-FR"/>
        </w:rPr>
        <w:t>,</w:t>
      </w:r>
      <w:r w:rsidRPr="00495482">
        <w:rPr>
          <w:lang w:val="fr-FR"/>
        </w:rPr>
        <w:t xml:space="preserve"> qui repose sur trois piliers</w:t>
      </w:r>
      <w:r w:rsidR="005D0F0F" w:rsidRPr="00495482">
        <w:rPr>
          <w:lang w:val="fr-FR"/>
        </w:rPr>
        <w:t>:</w:t>
      </w:r>
      <w:r w:rsidRPr="00495482">
        <w:rPr>
          <w:lang w:val="fr-FR"/>
        </w:rPr>
        <w:t xml:space="preserve"> la prévention de l</w:t>
      </w:r>
      <w:r w:rsidR="005D0F0F" w:rsidRPr="00495482">
        <w:rPr>
          <w:lang w:val="fr-FR"/>
        </w:rPr>
        <w:t>’</w:t>
      </w:r>
      <w:r w:rsidRPr="00495482">
        <w:rPr>
          <w:lang w:val="fr-FR"/>
        </w:rPr>
        <w:t>infection à VIH et son diagnostic précoce</w:t>
      </w:r>
      <w:r w:rsidR="005D0F0F" w:rsidRPr="00495482">
        <w:rPr>
          <w:lang w:val="fr-FR"/>
        </w:rPr>
        <w:t>,</w:t>
      </w:r>
      <w:r w:rsidRPr="00495482">
        <w:rPr>
          <w:lang w:val="fr-FR"/>
        </w:rPr>
        <w:t xml:space="preserve"> la prévention de la transmission de l</w:t>
      </w:r>
      <w:r w:rsidR="005D0F0F" w:rsidRPr="00495482">
        <w:rPr>
          <w:lang w:val="fr-FR"/>
        </w:rPr>
        <w:t>’</w:t>
      </w:r>
      <w:r w:rsidRPr="00495482">
        <w:rPr>
          <w:lang w:val="fr-FR"/>
        </w:rPr>
        <w:t>infection et son traitement</w:t>
      </w:r>
      <w:r w:rsidR="005D0F0F" w:rsidRPr="00495482">
        <w:rPr>
          <w:lang w:val="fr-FR"/>
        </w:rPr>
        <w:t>,</w:t>
      </w:r>
      <w:r w:rsidRPr="00495482">
        <w:rPr>
          <w:lang w:val="fr-FR"/>
        </w:rPr>
        <w:t xml:space="preserve"> et la réduction de ses incidences sur les plans personnel et social. L</w:t>
      </w:r>
      <w:r w:rsidR="005D0F0F" w:rsidRPr="00495482">
        <w:rPr>
          <w:lang w:val="fr-FR"/>
        </w:rPr>
        <w:t>’</w:t>
      </w:r>
      <w:r w:rsidRPr="00495482">
        <w:rPr>
          <w:lang w:val="fr-FR"/>
        </w:rPr>
        <w:t>orientation privilégiant l</w:t>
      </w:r>
      <w:r w:rsidR="005D0F0F" w:rsidRPr="00495482">
        <w:rPr>
          <w:lang w:val="fr-FR"/>
        </w:rPr>
        <w:t>’</w:t>
      </w:r>
      <w:r w:rsidRPr="00495482">
        <w:rPr>
          <w:lang w:val="fr-FR"/>
        </w:rPr>
        <w:t xml:space="preserve">action préventive est essentielle compte tenu du nombre encore relativement restreint </w:t>
      </w:r>
      <w:r w:rsidR="00210F9A" w:rsidRPr="00495482">
        <w:rPr>
          <w:lang w:val="fr-FR"/>
        </w:rPr>
        <w:t>de personnes</w:t>
      </w:r>
      <w:r w:rsidRPr="00495482">
        <w:rPr>
          <w:lang w:val="fr-FR"/>
        </w:rPr>
        <w:t xml:space="preserve"> contaminées. </w:t>
      </w:r>
    </w:p>
    <w:p w:rsidR="00317603" w:rsidRPr="00495482" w:rsidRDefault="00317603" w:rsidP="001A4B24">
      <w:pPr>
        <w:pStyle w:val="H23G"/>
        <w:rPr>
          <w:lang w:val="fr-FR" w:eastAsia="sl-SI"/>
        </w:rPr>
      </w:pPr>
      <w:r w:rsidRPr="00495482">
        <w:rPr>
          <w:lang w:val="fr-FR" w:eastAsia="sl-SI"/>
        </w:rPr>
        <w:tab/>
      </w:r>
      <w:r w:rsidRPr="00495482">
        <w:rPr>
          <w:lang w:val="fr-FR" w:eastAsia="sl-SI"/>
        </w:rPr>
        <w:tab/>
        <w:t>Réduction de la consommation de produits à base de tabac</w:t>
      </w:r>
    </w:p>
    <w:p w:rsidR="00317603" w:rsidRPr="00495482" w:rsidRDefault="00317603" w:rsidP="001A4B24">
      <w:pPr>
        <w:pStyle w:val="SingleTxtG"/>
        <w:rPr>
          <w:lang w:val="fr-FR" w:eastAsia="sl-SI"/>
        </w:rPr>
      </w:pPr>
      <w:r w:rsidRPr="00495482">
        <w:rPr>
          <w:lang w:val="fr-FR" w:eastAsia="sl-SI"/>
        </w:rPr>
        <w:t>169.</w:t>
      </w:r>
      <w:r w:rsidRPr="00495482">
        <w:rPr>
          <w:lang w:val="fr-FR" w:eastAsia="sl-SI"/>
        </w:rPr>
        <w:tab/>
        <w:t>En 2005</w:t>
      </w:r>
      <w:r w:rsidR="005D0F0F" w:rsidRPr="00495482">
        <w:rPr>
          <w:lang w:val="fr-FR" w:eastAsia="sl-SI"/>
        </w:rPr>
        <w:t>,</w:t>
      </w:r>
      <w:r w:rsidRPr="00495482">
        <w:rPr>
          <w:lang w:val="fr-FR" w:eastAsia="sl-SI"/>
        </w:rPr>
        <w:t xml:space="preserve"> la Slovénie a ratifié la Convention-cadre de l</w:t>
      </w:r>
      <w:r w:rsidR="005D0F0F" w:rsidRPr="00495482">
        <w:rPr>
          <w:lang w:val="fr-FR" w:eastAsia="sl-SI"/>
        </w:rPr>
        <w:t>’</w:t>
      </w:r>
      <w:r w:rsidRPr="00495482">
        <w:rPr>
          <w:lang w:val="fr-FR" w:eastAsia="sl-SI"/>
        </w:rPr>
        <w:t>Organisation mondiale de la Santé pour la lutte antitabac</w:t>
      </w:r>
      <w:r w:rsidR="005D0F0F" w:rsidRPr="00495482">
        <w:rPr>
          <w:lang w:val="fr-FR" w:eastAsia="sl-SI"/>
        </w:rPr>
        <w:t>,</w:t>
      </w:r>
      <w:r w:rsidRPr="00495482">
        <w:rPr>
          <w:lang w:val="fr-FR" w:eastAsia="sl-SI"/>
        </w:rPr>
        <w:t xml:space="preserve"> qui fait obligation aux signataires d</w:t>
      </w:r>
      <w:r w:rsidR="005D0F0F" w:rsidRPr="00495482">
        <w:rPr>
          <w:lang w:val="fr-FR" w:eastAsia="sl-SI"/>
        </w:rPr>
        <w:t>’</w:t>
      </w:r>
      <w:r w:rsidRPr="00495482">
        <w:rPr>
          <w:lang w:val="fr-FR" w:eastAsia="sl-SI"/>
        </w:rPr>
        <w:t>adopter des mesures interdisant aux mineurs d</w:t>
      </w:r>
      <w:r w:rsidR="005D0F0F" w:rsidRPr="00495482">
        <w:rPr>
          <w:lang w:val="fr-FR" w:eastAsia="sl-SI"/>
        </w:rPr>
        <w:t>’</w:t>
      </w:r>
      <w:r w:rsidRPr="00495482">
        <w:rPr>
          <w:lang w:val="fr-FR" w:eastAsia="sl-SI"/>
        </w:rPr>
        <w:t>acheter ou de vendre des produits à base de tabac. La Slovénie a satisfait aux exigences de la Convention en 2007. Depuis le 5 août 2007</w:t>
      </w:r>
      <w:r w:rsidR="005D0F0F" w:rsidRPr="00495482">
        <w:rPr>
          <w:lang w:val="fr-FR" w:eastAsia="sl-SI"/>
        </w:rPr>
        <w:t>,</w:t>
      </w:r>
      <w:r w:rsidRPr="00495482">
        <w:rPr>
          <w:lang w:val="fr-FR" w:eastAsia="sl-SI"/>
        </w:rPr>
        <w:t xml:space="preserve"> la loi sur la limitation de la consommation des produits à base de tabac</w:t>
      </w:r>
      <w:r w:rsidRPr="00495482">
        <w:rPr>
          <w:rStyle w:val="FootnoteReference"/>
        </w:rPr>
        <w:footnoteReference w:id="86"/>
      </w:r>
      <w:r w:rsidRPr="00495482">
        <w:rPr>
          <w:lang w:val="fr-FR" w:eastAsia="sl-SI"/>
        </w:rPr>
        <w:t xml:space="preserve"> interdit aux jeunes de moins de 18</w:t>
      </w:r>
      <w:r w:rsidR="002328BD" w:rsidRPr="00495482">
        <w:rPr>
          <w:lang w:val="fr-FR" w:eastAsia="sl-SI"/>
        </w:rPr>
        <w:t> ans</w:t>
      </w:r>
      <w:r w:rsidRPr="00495482">
        <w:rPr>
          <w:lang w:val="fr-FR" w:eastAsia="sl-SI"/>
        </w:rPr>
        <w:t xml:space="preserve"> d</w:t>
      </w:r>
      <w:r w:rsidR="005D0F0F" w:rsidRPr="00495482">
        <w:rPr>
          <w:lang w:val="fr-FR" w:eastAsia="sl-SI"/>
        </w:rPr>
        <w:t>’</w:t>
      </w:r>
      <w:r w:rsidRPr="00495482">
        <w:rPr>
          <w:lang w:val="fr-FR" w:eastAsia="sl-SI"/>
        </w:rPr>
        <w:t>acheter ou de vendre du tabac. De même</w:t>
      </w:r>
      <w:r w:rsidR="005D0F0F" w:rsidRPr="00495482">
        <w:rPr>
          <w:lang w:val="fr-FR" w:eastAsia="sl-SI"/>
        </w:rPr>
        <w:t>,</w:t>
      </w:r>
      <w:r w:rsidRPr="00495482">
        <w:rPr>
          <w:lang w:val="fr-FR" w:eastAsia="sl-SI"/>
        </w:rPr>
        <w:t xml:space="preserve"> fumer dans les lieux publics fermés et sur les lieux de travail est depuis lors interdit. On peut constater que les mesures et les campagnes liées à la mise en place d</w:t>
      </w:r>
      <w:r w:rsidR="005D0F0F" w:rsidRPr="00495482">
        <w:rPr>
          <w:lang w:val="fr-FR" w:eastAsia="sl-SI"/>
        </w:rPr>
        <w:t>’</w:t>
      </w:r>
      <w:r w:rsidRPr="00495482">
        <w:rPr>
          <w:lang w:val="fr-FR" w:eastAsia="sl-SI"/>
        </w:rPr>
        <w:t>une législation plus rigoureuse ont eu un impact sur les jeunes</w:t>
      </w:r>
      <w:r w:rsidR="005D0F0F" w:rsidRPr="00495482">
        <w:rPr>
          <w:lang w:val="fr-FR" w:eastAsia="sl-SI"/>
        </w:rPr>
        <w:t>,</w:t>
      </w:r>
      <w:r w:rsidRPr="00495482">
        <w:rPr>
          <w:lang w:val="fr-FR" w:eastAsia="sl-SI"/>
        </w:rPr>
        <w:t xml:space="preserve"> car la part des fumeurs chez ceux âgés de 15</w:t>
      </w:r>
      <w:r w:rsidR="002328BD" w:rsidRPr="00495482">
        <w:rPr>
          <w:lang w:val="fr-FR" w:eastAsia="sl-SI"/>
        </w:rPr>
        <w:t> ans</w:t>
      </w:r>
      <w:r w:rsidRPr="00495482">
        <w:rPr>
          <w:lang w:val="fr-FR" w:eastAsia="sl-SI"/>
        </w:rPr>
        <w:t xml:space="preserve"> est passée de 27% en 2003 à 22% en 2007 (ESPAD</w:t>
      </w:r>
      <w:r w:rsidR="005D0F0F" w:rsidRPr="00495482">
        <w:rPr>
          <w:lang w:val="fr-FR" w:eastAsia="sl-SI"/>
        </w:rPr>
        <w:t>:</w:t>
      </w:r>
      <w:r w:rsidRPr="00495482">
        <w:rPr>
          <w:lang w:val="fr-FR" w:eastAsia="sl-SI"/>
        </w:rPr>
        <w:t xml:space="preserve"> Enquête européenne sur l</w:t>
      </w:r>
      <w:r w:rsidR="005D0F0F" w:rsidRPr="00495482">
        <w:rPr>
          <w:lang w:val="fr-FR" w:eastAsia="sl-SI"/>
        </w:rPr>
        <w:t>’</w:t>
      </w:r>
      <w:r w:rsidRPr="00495482">
        <w:rPr>
          <w:lang w:val="fr-FR" w:eastAsia="sl-SI"/>
        </w:rPr>
        <w:t xml:space="preserve">alcool et les autres drogues en milieu scolaire). </w:t>
      </w:r>
    </w:p>
    <w:p w:rsidR="00317603" w:rsidRPr="00495482" w:rsidRDefault="00317603" w:rsidP="005D2932">
      <w:pPr>
        <w:pStyle w:val="H23G"/>
        <w:rPr>
          <w:lang w:val="fr-FR" w:eastAsia="sl-SI"/>
        </w:rPr>
      </w:pPr>
      <w:r w:rsidRPr="00495482">
        <w:rPr>
          <w:lang w:val="fr-FR" w:eastAsia="sl-SI"/>
        </w:rPr>
        <w:tab/>
      </w:r>
      <w:r w:rsidRPr="00495482">
        <w:rPr>
          <w:lang w:val="fr-FR" w:eastAsia="sl-SI"/>
        </w:rPr>
        <w:tab/>
        <w:t>Limitation de la consommation d</w:t>
      </w:r>
      <w:r w:rsidR="005D0F0F" w:rsidRPr="00495482">
        <w:rPr>
          <w:lang w:val="fr-FR" w:eastAsia="sl-SI"/>
        </w:rPr>
        <w:t>’</w:t>
      </w:r>
      <w:r w:rsidRPr="00495482">
        <w:rPr>
          <w:lang w:val="fr-FR" w:eastAsia="sl-SI"/>
        </w:rPr>
        <w:t>alcool</w:t>
      </w:r>
    </w:p>
    <w:p w:rsidR="00317603" w:rsidRPr="00495482" w:rsidRDefault="00317603" w:rsidP="005D2932">
      <w:pPr>
        <w:pStyle w:val="SingleTxtG"/>
        <w:rPr>
          <w:szCs w:val="22"/>
          <w:lang w:val="fr-FR" w:eastAsia="sl-SI"/>
        </w:rPr>
      </w:pPr>
      <w:r w:rsidRPr="00495482">
        <w:rPr>
          <w:lang w:val="fr-FR" w:eastAsia="sl-SI"/>
        </w:rPr>
        <w:t>170.</w:t>
      </w:r>
      <w:r w:rsidRPr="00495482">
        <w:rPr>
          <w:lang w:val="fr-FR" w:eastAsia="sl-SI"/>
        </w:rPr>
        <w:tab/>
        <w:t>S</w:t>
      </w:r>
      <w:r w:rsidR="005D0F0F" w:rsidRPr="00495482">
        <w:rPr>
          <w:lang w:val="fr-FR" w:eastAsia="sl-SI"/>
        </w:rPr>
        <w:t>’</w:t>
      </w:r>
      <w:r w:rsidRPr="00495482">
        <w:rPr>
          <w:lang w:val="fr-FR" w:eastAsia="sl-SI"/>
        </w:rPr>
        <w:t>agissant de la limitation de la consommation d</w:t>
      </w:r>
      <w:r w:rsidR="005D0F0F" w:rsidRPr="00495482">
        <w:rPr>
          <w:lang w:val="fr-FR" w:eastAsia="sl-SI"/>
        </w:rPr>
        <w:t>’</w:t>
      </w:r>
      <w:r w:rsidRPr="00495482">
        <w:rPr>
          <w:lang w:val="fr-FR" w:eastAsia="sl-SI"/>
        </w:rPr>
        <w:t>alcool</w:t>
      </w:r>
      <w:r w:rsidR="005D0F0F" w:rsidRPr="00495482">
        <w:rPr>
          <w:lang w:val="fr-FR" w:eastAsia="sl-SI"/>
        </w:rPr>
        <w:t>,</w:t>
      </w:r>
      <w:r w:rsidR="003D1A4F" w:rsidRPr="00495482">
        <w:rPr>
          <w:lang w:val="fr-FR" w:eastAsia="sl-SI"/>
        </w:rPr>
        <w:t xml:space="preserve"> </w:t>
      </w:r>
      <w:r w:rsidRPr="00495482">
        <w:rPr>
          <w:i/>
          <w:lang w:val="fr-FR" w:eastAsia="sl-SI"/>
        </w:rPr>
        <w:t>la loi sur la limitation de la consommation d</w:t>
      </w:r>
      <w:r w:rsidR="005D0F0F" w:rsidRPr="00495482">
        <w:rPr>
          <w:i/>
          <w:lang w:val="fr-FR" w:eastAsia="sl-SI"/>
        </w:rPr>
        <w:t>’</w:t>
      </w:r>
      <w:r w:rsidRPr="00495482">
        <w:rPr>
          <w:i/>
          <w:lang w:val="fr-FR" w:eastAsia="sl-SI"/>
        </w:rPr>
        <w:t>alcool</w:t>
      </w:r>
      <w:r w:rsidRPr="00495482">
        <w:rPr>
          <w:rStyle w:val="FootnoteReference"/>
        </w:rPr>
        <w:footnoteReference w:id="87"/>
      </w:r>
      <w:r w:rsidRPr="00495482">
        <w:rPr>
          <w:b/>
          <w:lang w:val="fr-FR" w:eastAsia="sl-SI"/>
        </w:rPr>
        <w:t xml:space="preserve"> </w:t>
      </w:r>
      <w:r w:rsidRPr="00495482">
        <w:rPr>
          <w:lang w:val="fr-FR" w:eastAsia="sl-SI"/>
        </w:rPr>
        <w:t>a interdit en 2003 la vente et l</w:t>
      </w:r>
      <w:r w:rsidR="005D0F0F" w:rsidRPr="00495482">
        <w:rPr>
          <w:lang w:val="fr-FR" w:eastAsia="sl-SI"/>
        </w:rPr>
        <w:t>’</w:t>
      </w:r>
      <w:r w:rsidRPr="00495482">
        <w:rPr>
          <w:lang w:val="fr-FR" w:eastAsia="sl-SI"/>
        </w:rPr>
        <w:t>offre d</w:t>
      </w:r>
      <w:r w:rsidR="005D0F0F" w:rsidRPr="00495482">
        <w:rPr>
          <w:lang w:val="fr-FR" w:eastAsia="sl-SI"/>
        </w:rPr>
        <w:t>’</w:t>
      </w:r>
      <w:r w:rsidRPr="00495482">
        <w:rPr>
          <w:lang w:val="fr-FR" w:eastAsia="sl-SI"/>
        </w:rPr>
        <w:t xml:space="preserve">alcool </w:t>
      </w:r>
      <w:r w:rsidR="0038572C">
        <w:rPr>
          <w:lang w:val="fr-FR" w:eastAsia="sl-SI"/>
        </w:rPr>
        <w:t>aux personnes</w:t>
      </w:r>
      <w:r w:rsidRPr="00495482">
        <w:rPr>
          <w:lang w:val="fr-FR" w:eastAsia="sl-SI"/>
        </w:rPr>
        <w:t xml:space="preserve"> de moins de 18</w:t>
      </w:r>
      <w:r w:rsidR="002328BD" w:rsidRPr="00495482">
        <w:rPr>
          <w:lang w:val="fr-FR" w:eastAsia="sl-SI"/>
        </w:rPr>
        <w:t> ans</w:t>
      </w:r>
      <w:r w:rsidR="005D0F0F" w:rsidRPr="00495482">
        <w:rPr>
          <w:lang w:val="fr-FR" w:eastAsia="sl-SI"/>
        </w:rPr>
        <w:t>,</w:t>
      </w:r>
      <w:r w:rsidRPr="00495482">
        <w:rPr>
          <w:lang w:val="fr-FR" w:eastAsia="sl-SI"/>
        </w:rPr>
        <w:t xml:space="preserve"> et la publicité pour des boissons alcoolisées contenant plus de 15% de volume d</w:t>
      </w:r>
      <w:r w:rsidR="005D0F0F" w:rsidRPr="00495482">
        <w:rPr>
          <w:lang w:val="fr-FR" w:eastAsia="sl-SI"/>
        </w:rPr>
        <w:t>’</w:t>
      </w:r>
      <w:r w:rsidRPr="00495482">
        <w:rPr>
          <w:lang w:val="fr-FR" w:eastAsia="sl-SI"/>
        </w:rPr>
        <w:t>alcool (</w:t>
      </w:r>
      <w:r w:rsidRPr="00495482">
        <w:rPr>
          <w:i/>
          <w:lang w:val="fr-FR" w:eastAsia="sl-SI"/>
        </w:rPr>
        <w:t>Loi portant modification de la loi fixant les exigences sanitaires des produits alimentaires et des produits et matériels entrant en contact avec les produits alimentaires</w:t>
      </w:r>
      <w:r w:rsidRPr="00495482">
        <w:rPr>
          <w:rStyle w:val="FootnoteReference"/>
        </w:rPr>
        <w:footnoteReference w:id="88"/>
      </w:r>
      <w:r w:rsidR="003D51E1" w:rsidRPr="00495482">
        <w:rPr>
          <w:i/>
          <w:lang w:eastAsia="sl-SI"/>
        </w:rPr>
        <w:t>.</w:t>
      </w:r>
      <w:r w:rsidRPr="00495482">
        <w:rPr>
          <w:lang w:val="fr-FR" w:eastAsia="sl-SI"/>
        </w:rPr>
        <w:t>)</w:t>
      </w:r>
      <w:r w:rsidRPr="00495482">
        <w:rPr>
          <w:i/>
          <w:lang w:val="fr-FR" w:eastAsia="sl-SI"/>
        </w:rPr>
        <w:t>.</w:t>
      </w:r>
      <w:r w:rsidR="003D1A4F" w:rsidRPr="00495482">
        <w:rPr>
          <w:lang w:val="fr-FR" w:eastAsia="sl-SI"/>
        </w:rPr>
        <w:t xml:space="preserve"> </w:t>
      </w:r>
      <w:r w:rsidRPr="00495482">
        <w:rPr>
          <w:lang w:val="fr-FR" w:eastAsia="sl-SI"/>
        </w:rPr>
        <w:t>Pour réduire les risques et les effets néfastes de la consommation d</w:t>
      </w:r>
      <w:r w:rsidR="005D0F0F" w:rsidRPr="00495482">
        <w:rPr>
          <w:lang w:val="fr-FR" w:eastAsia="sl-SI"/>
        </w:rPr>
        <w:t>’</w:t>
      </w:r>
      <w:r w:rsidRPr="00495482">
        <w:rPr>
          <w:lang w:val="fr-FR" w:eastAsia="sl-SI"/>
        </w:rPr>
        <w:t>alcool</w:t>
      </w:r>
      <w:r w:rsidR="005D0F0F" w:rsidRPr="00495482">
        <w:rPr>
          <w:lang w:val="fr-FR" w:eastAsia="sl-SI"/>
        </w:rPr>
        <w:t>,</w:t>
      </w:r>
      <w:r w:rsidRPr="00495482">
        <w:rPr>
          <w:lang w:val="fr-FR" w:eastAsia="sl-SI"/>
        </w:rPr>
        <w:t xml:space="preserve"> diverses activités préventives sont organisées</w:t>
      </w:r>
      <w:r w:rsidR="005D0F0F" w:rsidRPr="00495482">
        <w:rPr>
          <w:lang w:val="fr-FR" w:eastAsia="sl-SI"/>
        </w:rPr>
        <w:t>,</w:t>
      </w:r>
      <w:r w:rsidRPr="00495482">
        <w:rPr>
          <w:lang w:val="fr-FR" w:eastAsia="sl-SI"/>
        </w:rPr>
        <w:t xml:space="preserve"> outre des campagnes multimédias</w:t>
      </w:r>
      <w:r w:rsidR="005D0F0F" w:rsidRPr="00495482">
        <w:rPr>
          <w:lang w:val="fr-FR" w:eastAsia="sl-SI"/>
        </w:rPr>
        <w:t>,</w:t>
      </w:r>
      <w:r w:rsidRPr="00495482">
        <w:rPr>
          <w:lang w:val="fr-FR" w:eastAsia="sl-SI"/>
        </w:rPr>
        <w:t xml:space="preserve"> le durcissement des activités d</w:t>
      </w:r>
      <w:r w:rsidR="005D0F0F" w:rsidRPr="00495482">
        <w:rPr>
          <w:lang w:val="fr-FR" w:eastAsia="sl-SI"/>
        </w:rPr>
        <w:t>’</w:t>
      </w:r>
      <w:r w:rsidRPr="00495482">
        <w:rPr>
          <w:lang w:val="fr-FR" w:eastAsia="sl-SI"/>
        </w:rPr>
        <w:t>inspection par les services compétents et surtout</w:t>
      </w:r>
      <w:r w:rsidR="005D0F0F" w:rsidRPr="00495482">
        <w:rPr>
          <w:lang w:val="fr-FR" w:eastAsia="sl-SI"/>
        </w:rPr>
        <w:t>,</w:t>
      </w:r>
      <w:r w:rsidRPr="00495482">
        <w:rPr>
          <w:lang w:val="fr-FR" w:eastAsia="sl-SI"/>
        </w:rPr>
        <w:t xml:space="preserve"> des contrôles policiers plus stricts. Il convient de souligner en particulier l</w:t>
      </w:r>
      <w:r w:rsidR="005D0F0F" w:rsidRPr="00495482">
        <w:rPr>
          <w:lang w:val="fr-FR" w:eastAsia="sl-SI"/>
        </w:rPr>
        <w:t>’</w:t>
      </w:r>
      <w:r w:rsidRPr="00495482">
        <w:rPr>
          <w:lang w:val="fr-FR" w:eastAsia="sl-SI"/>
        </w:rPr>
        <w:t xml:space="preserve">importance du rôle des organisations non gouvernementales dans ce domaine. </w:t>
      </w:r>
    </w:p>
    <w:p w:rsidR="00317603" w:rsidRPr="00495482" w:rsidRDefault="00317603" w:rsidP="005D2932">
      <w:pPr>
        <w:pStyle w:val="H23G"/>
        <w:rPr>
          <w:lang w:val="fr-FR" w:eastAsia="sl-SI"/>
        </w:rPr>
      </w:pPr>
      <w:r w:rsidRPr="00495482">
        <w:rPr>
          <w:lang w:val="fr-FR" w:eastAsia="sl-SI"/>
        </w:rPr>
        <w:tab/>
      </w:r>
      <w:r w:rsidRPr="00495482">
        <w:rPr>
          <w:lang w:val="fr-FR" w:eastAsia="sl-SI"/>
        </w:rPr>
        <w:tab/>
        <w:t>Limitation de la consommation de substances illicites</w:t>
      </w:r>
    </w:p>
    <w:p w:rsidR="00317603" w:rsidRPr="00495482" w:rsidRDefault="00317603" w:rsidP="005D2932">
      <w:pPr>
        <w:pStyle w:val="SingleTxtG"/>
        <w:rPr>
          <w:lang w:val="fr-FR" w:eastAsia="sl-SI"/>
        </w:rPr>
      </w:pPr>
      <w:r w:rsidRPr="00495482">
        <w:rPr>
          <w:lang w:val="fr-FR" w:eastAsia="sl-SI"/>
        </w:rPr>
        <w:t>171.</w:t>
      </w:r>
      <w:r w:rsidRPr="00495482">
        <w:rPr>
          <w:lang w:val="fr-FR" w:eastAsia="sl-SI"/>
        </w:rPr>
        <w:tab/>
        <w:t>Les lois et décrets suivants régissent le domaine des substances illicites en Slovénie: la loi sur la production et le commerce des drogues illicites</w:t>
      </w:r>
      <w:r w:rsidR="005D0F0F" w:rsidRPr="00495482">
        <w:rPr>
          <w:lang w:val="fr-FR" w:eastAsia="sl-SI"/>
        </w:rPr>
        <w:t>,</w:t>
      </w:r>
      <w:r w:rsidRPr="00495482">
        <w:rPr>
          <w:lang w:val="fr-FR" w:eastAsia="sl-SI"/>
        </w:rPr>
        <w:t xml:space="preserve"> la loi régissant la prévention de l</w:t>
      </w:r>
      <w:r w:rsidR="005D0F0F" w:rsidRPr="00495482">
        <w:rPr>
          <w:lang w:val="fr-FR" w:eastAsia="sl-SI"/>
        </w:rPr>
        <w:t>’</w:t>
      </w:r>
      <w:r w:rsidRPr="00495482">
        <w:rPr>
          <w:lang w:val="fr-FR" w:eastAsia="sl-SI"/>
        </w:rPr>
        <w:t>usage de drogues illicites et le traitement des toxicomanes</w:t>
      </w:r>
      <w:r w:rsidR="005D0F0F" w:rsidRPr="00495482">
        <w:rPr>
          <w:lang w:val="fr-FR" w:eastAsia="sl-SI"/>
        </w:rPr>
        <w:t>,</w:t>
      </w:r>
      <w:r w:rsidRPr="00495482">
        <w:rPr>
          <w:lang w:val="fr-FR" w:eastAsia="sl-SI"/>
        </w:rPr>
        <w:t xml:space="preserve"> le décret sur la classification des drogues illicites</w:t>
      </w:r>
      <w:r w:rsidR="005D0F0F" w:rsidRPr="00495482">
        <w:rPr>
          <w:lang w:val="fr-FR" w:eastAsia="sl-SI"/>
        </w:rPr>
        <w:t>,</w:t>
      </w:r>
      <w:r w:rsidRPr="00495482">
        <w:rPr>
          <w:lang w:val="fr-FR" w:eastAsia="sl-SI"/>
        </w:rPr>
        <w:t xml:space="preserve"> le Code pénal de la République de Slovénie</w:t>
      </w:r>
      <w:r w:rsidR="005D0F0F" w:rsidRPr="00495482">
        <w:rPr>
          <w:lang w:val="fr-FR" w:eastAsia="sl-SI"/>
        </w:rPr>
        <w:t>,</w:t>
      </w:r>
      <w:r w:rsidRPr="00495482">
        <w:rPr>
          <w:lang w:val="fr-FR" w:eastAsia="sl-SI"/>
        </w:rPr>
        <w:t xml:space="preserve"> et la loi portant cessation de la validité de la loi sur les précurseurs des drogues illicites. Les tâches prioritaires et les autres tâches incombant aux services responsables des activités dans le domaine de la drogue en Slovénie sont énoncées dans la résolution sur le Programme national contre la drogue 2004-2009</w:t>
      </w:r>
      <w:r w:rsidR="005D0F0F" w:rsidRPr="00495482">
        <w:rPr>
          <w:lang w:val="fr-FR" w:eastAsia="sl-SI"/>
        </w:rPr>
        <w:t>,</w:t>
      </w:r>
      <w:r w:rsidRPr="00495482">
        <w:rPr>
          <w:lang w:val="fr-FR" w:eastAsia="sl-SI"/>
        </w:rPr>
        <w:t xml:space="preserve"> et dans le Plan de lutte contre la drogue 2009-2012. Le Ministère de la santé a entrepris d</w:t>
      </w:r>
      <w:r w:rsidR="005D0F0F" w:rsidRPr="00495482">
        <w:rPr>
          <w:lang w:val="fr-FR" w:eastAsia="sl-SI"/>
        </w:rPr>
        <w:t>’</w:t>
      </w:r>
      <w:r w:rsidRPr="00495482">
        <w:rPr>
          <w:lang w:val="fr-FR" w:eastAsia="sl-SI"/>
        </w:rPr>
        <w:t>élaborer un nouveau document stratégique dans ce domaine en s</w:t>
      </w:r>
      <w:r w:rsidR="005D0F0F" w:rsidRPr="00495482">
        <w:rPr>
          <w:lang w:val="fr-FR" w:eastAsia="sl-SI"/>
        </w:rPr>
        <w:t>’</w:t>
      </w:r>
      <w:r w:rsidRPr="00495482">
        <w:rPr>
          <w:lang w:val="fr-FR" w:eastAsia="sl-SI"/>
        </w:rPr>
        <w:t>appuyant sur les données épidémiologiques</w:t>
      </w:r>
      <w:r w:rsidR="005D0F0F" w:rsidRPr="00495482">
        <w:rPr>
          <w:lang w:val="fr-FR" w:eastAsia="sl-SI"/>
        </w:rPr>
        <w:t>,</w:t>
      </w:r>
      <w:r w:rsidRPr="00495482">
        <w:rPr>
          <w:lang w:val="fr-FR" w:eastAsia="sl-SI"/>
        </w:rPr>
        <w:t xml:space="preserve"> sur une évaluation de la résolution sur le Programme national contre la drogue 2004-2009</w:t>
      </w:r>
      <w:r w:rsidR="005D0F0F" w:rsidRPr="00495482">
        <w:rPr>
          <w:lang w:val="fr-FR" w:eastAsia="sl-SI"/>
        </w:rPr>
        <w:t>,</w:t>
      </w:r>
      <w:r w:rsidRPr="00495482">
        <w:rPr>
          <w:lang w:val="fr-FR" w:eastAsia="sl-SI"/>
        </w:rPr>
        <w:t xml:space="preserve"> et sur l</w:t>
      </w:r>
      <w:r w:rsidR="005D0F0F" w:rsidRPr="00495482">
        <w:rPr>
          <w:lang w:val="fr-FR" w:eastAsia="sl-SI"/>
        </w:rPr>
        <w:t>’</w:t>
      </w:r>
      <w:r w:rsidRPr="00495482">
        <w:rPr>
          <w:lang w:val="fr-FR" w:eastAsia="sl-SI"/>
        </w:rPr>
        <w:t xml:space="preserve">examen des résultats de la mise en œuvre de différents programmes de traitement médico-social des toxicomanes. </w:t>
      </w:r>
    </w:p>
    <w:p w:rsidR="00317603" w:rsidRPr="00495482" w:rsidRDefault="00317603" w:rsidP="005D2932">
      <w:pPr>
        <w:pStyle w:val="H23G"/>
        <w:rPr>
          <w:lang w:val="fr-FR" w:eastAsia="sl-SI"/>
        </w:rPr>
      </w:pPr>
      <w:r w:rsidRPr="00495482">
        <w:rPr>
          <w:lang w:val="fr-FR" w:eastAsia="sl-SI"/>
        </w:rPr>
        <w:tab/>
      </w:r>
      <w:r w:rsidRPr="00495482">
        <w:rPr>
          <w:lang w:val="fr-FR" w:eastAsia="sl-SI"/>
        </w:rPr>
        <w:tab/>
        <w:t>Santé mentale</w:t>
      </w:r>
    </w:p>
    <w:p w:rsidR="00317603" w:rsidRPr="00495482" w:rsidRDefault="00317603" w:rsidP="005D2932">
      <w:pPr>
        <w:pStyle w:val="SingleTxtG"/>
        <w:rPr>
          <w:lang w:val="fr-FR"/>
        </w:rPr>
      </w:pPr>
      <w:r w:rsidRPr="00495482">
        <w:rPr>
          <w:lang w:val="fr-FR"/>
        </w:rPr>
        <w:t>172.</w:t>
      </w:r>
      <w:r w:rsidRPr="00495482">
        <w:rPr>
          <w:lang w:val="fr-FR"/>
        </w:rPr>
        <w:tab/>
        <w:t>En juillet 2008</w:t>
      </w:r>
      <w:r w:rsidR="005D0F0F" w:rsidRPr="00495482">
        <w:rPr>
          <w:lang w:val="fr-FR"/>
        </w:rPr>
        <w:t>,</w:t>
      </w:r>
      <w:r w:rsidRPr="00495482">
        <w:rPr>
          <w:lang w:val="fr-FR"/>
        </w:rPr>
        <w:t xml:space="preserve"> la République de Slovénie a adopté la loi sur la santé mentale</w:t>
      </w:r>
      <w:r w:rsidRPr="00495482">
        <w:rPr>
          <w:rStyle w:val="FootnoteReference"/>
        </w:rPr>
        <w:footnoteReference w:id="89"/>
      </w:r>
      <w:r w:rsidR="003D51E1" w:rsidRPr="00495482">
        <w:t>,</w:t>
      </w:r>
      <w:r w:rsidR="003D1A4F" w:rsidRPr="00495482">
        <w:rPr>
          <w:lang w:val="fr-FR"/>
        </w:rPr>
        <w:t xml:space="preserve"> </w:t>
      </w:r>
      <w:r w:rsidRPr="00495482">
        <w:rPr>
          <w:lang w:val="fr-FR"/>
        </w:rPr>
        <w:t>entrée en vigueur le 12 août 2009. Cette loi fournit un cadre juridique à la protection globale et à long terme de la santé mentale en Slovénie</w:t>
      </w:r>
      <w:r w:rsidR="005D0F0F" w:rsidRPr="00495482">
        <w:rPr>
          <w:lang w:val="fr-FR"/>
        </w:rPr>
        <w:t>;</w:t>
      </w:r>
      <w:r w:rsidRPr="00495482">
        <w:rPr>
          <w:lang w:val="fr-FR"/>
        </w:rPr>
        <w:t xml:space="preserve"> elle définit un système de traitement et de protection sociale dans le domaine de la santé mentale et désigne les prestataires de services concernés. Une résolution sur le programme national pour la santé mentale 2011-2016</w:t>
      </w:r>
      <w:r w:rsidR="005D0F0F" w:rsidRPr="00495482">
        <w:rPr>
          <w:lang w:val="fr-FR"/>
        </w:rPr>
        <w:t>,</w:t>
      </w:r>
      <w:r w:rsidRPr="00495482">
        <w:rPr>
          <w:lang w:val="fr-FR"/>
        </w:rPr>
        <w:t xml:space="preserve"> fondée sur la loi susmentionnée</w:t>
      </w:r>
      <w:r w:rsidR="005D0F0F" w:rsidRPr="00495482">
        <w:rPr>
          <w:lang w:val="fr-FR"/>
        </w:rPr>
        <w:t>,</w:t>
      </w:r>
      <w:r w:rsidRPr="00495482">
        <w:rPr>
          <w:lang w:val="fr-FR"/>
        </w:rPr>
        <w:t xml:space="preserve"> est à l</w:t>
      </w:r>
      <w:r w:rsidR="005D0F0F" w:rsidRPr="00495482">
        <w:rPr>
          <w:lang w:val="fr-FR"/>
        </w:rPr>
        <w:t>’</w:t>
      </w:r>
      <w:r w:rsidRPr="00495482">
        <w:rPr>
          <w:lang w:val="fr-FR"/>
        </w:rPr>
        <w:t>étude. Il s</w:t>
      </w:r>
      <w:r w:rsidR="005D0F0F" w:rsidRPr="00495482">
        <w:rPr>
          <w:lang w:val="fr-FR"/>
        </w:rPr>
        <w:t>’</w:t>
      </w:r>
      <w:r w:rsidRPr="00495482">
        <w:rPr>
          <w:lang w:val="fr-FR"/>
        </w:rPr>
        <w:t>agit du premier document d</w:t>
      </w:r>
      <w:r w:rsidR="005D0F0F" w:rsidRPr="00495482">
        <w:rPr>
          <w:lang w:val="fr-FR"/>
        </w:rPr>
        <w:t>’</w:t>
      </w:r>
      <w:r w:rsidRPr="00495482">
        <w:rPr>
          <w:lang w:val="fr-FR"/>
        </w:rPr>
        <w:t xml:space="preserve">orientation en Slovénie qui présentera une stratégie de développement visant à renforcer et à protéger la santé mentale. </w:t>
      </w:r>
    </w:p>
    <w:p w:rsidR="00317603" w:rsidRPr="00495482" w:rsidRDefault="00317603" w:rsidP="005D2932">
      <w:pPr>
        <w:pStyle w:val="H23G"/>
        <w:rPr>
          <w:lang w:val="fr-FR" w:eastAsia="sl-SI"/>
        </w:rPr>
      </w:pPr>
      <w:r w:rsidRPr="00495482">
        <w:rPr>
          <w:lang w:val="fr-FR" w:eastAsia="sl-SI"/>
        </w:rPr>
        <w:tab/>
      </w:r>
      <w:r w:rsidRPr="00495482">
        <w:rPr>
          <w:lang w:val="fr-FR" w:eastAsia="sl-SI"/>
        </w:rPr>
        <w:tab/>
        <w:t>Santé des Roms</w:t>
      </w:r>
    </w:p>
    <w:p w:rsidR="00317603" w:rsidRPr="00495482" w:rsidRDefault="00317603" w:rsidP="005D2932">
      <w:pPr>
        <w:pStyle w:val="SingleTxtG"/>
        <w:rPr>
          <w:lang w:val="fr-FR"/>
        </w:rPr>
      </w:pPr>
      <w:r w:rsidRPr="00495482">
        <w:rPr>
          <w:lang w:val="fr-FR"/>
        </w:rPr>
        <w:t>173.</w:t>
      </w:r>
      <w:r w:rsidRPr="00495482">
        <w:rPr>
          <w:lang w:val="fr-FR"/>
        </w:rPr>
        <w:tab/>
        <w:t>Dans le cadre du Programme des mesures d</w:t>
      </w:r>
      <w:r w:rsidR="005D0F0F" w:rsidRPr="00495482">
        <w:rPr>
          <w:lang w:val="fr-FR"/>
        </w:rPr>
        <w:t>’</w:t>
      </w:r>
      <w:r w:rsidRPr="00495482">
        <w:rPr>
          <w:lang w:val="fr-FR"/>
        </w:rPr>
        <w:t>aide aux Roms</w:t>
      </w:r>
      <w:r w:rsidR="005D0F0F" w:rsidRPr="00495482">
        <w:rPr>
          <w:lang w:val="fr-FR"/>
        </w:rPr>
        <w:t>,</w:t>
      </w:r>
      <w:r w:rsidRPr="00495482">
        <w:rPr>
          <w:lang w:val="fr-FR"/>
        </w:rPr>
        <w:t xml:space="preserve"> diverses tâches ont été menées à bien à partir de 1995: un projet spécial de groupe de travail destiné à améliorer les tâches relatives à la santé préventive et à la santé des Roms a été lancé; une étude concernant la vaccination des enfants roms d</w:t>
      </w:r>
      <w:r w:rsidR="005D0F0F" w:rsidRPr="00495482">
        <w:rPr>
          <w:lang w:val="fr-FR"/>
        </w:rPr>
        <w:t>’</w:t>
      </w:r>
      <w:r w:rsidR="005D2932">
        <w:rPr>
          <w:lang w:val="fr-FR"/>
        </w:rPr>
        <w:t xml:space="preserve">âges préscolaire et scolaire </w:t>
      </w:r>
      <w:r w:rsidRPr="00495482">
        <w:rPr>
          <w:lang w:val="fr-FR"/>
        </w:rPr>
        <w:t>a été menée; en 2004/2005</w:t>
      </w:r>
      <w:r w:rsidR="005D0F0F" w:rsidRPr="00495482">
        <w:rPr>
          <w:lang w:val="fr-FR"/>
        </w:rPr>
        <w:t>,</w:t>
      </w:r>
      <w:r w:rsidRPr="00495482">
        <w:rPr>
          <w:lang w:val="fr-FR"/>
        </w:rPr>
        <w:t xml:space="preserve"> le Ministère de la santé a soutenu un programme visant à améliorer les connaissances en matière de nutrition</w:t>
      </w:r>
      <w:r w:rsidR="005D0F0F" w:rsidRPr="00495482">
        <w:rPr>
          <w:lang w:val="fr-FR"/>
        </w:rPr>
        <w:t>,</w:t>
      </w:r>
      <w:r w:rsidRPr="00495482">
        <w:rPr>
          <w:lang w:val="fr-FR"/>
        </w:rPr>
        <w:t xml:space="preserve"> pour protéger et renforcer la santé de la population rom et</w:t>
      </w:r>
      <w:r w:rsidR="005D0F0F" w:rsidRPr="00495482">
        <w:rPr>
          <w:lang w:val="fr-FR"/>
        </w:rPr>
        <w:t>,</w:t>
      </w:r>
      <w:r w:rsidRPr="00495482">
        <w:rPr>
          <w:lang w:val="fr-FR"/>
        </w:rPr>
        <w:t xml:space="preserve"> en 2009</w:t>
      </w:r>
      <w:r w:rsidR="005D0F0F" w:rsidRPr="00495482">
        <w:rPr>
          <w:lang w:val="fr-FR"/>
        </w:rPr>
        <w:t>,</w:t>
      </w:r>
      <w:r w:rsidRPr="00495482">
        <w:rPr>
          <w:lang w:val="fr-FR"/>
        </w:rPr>
        <w:t xml:space="preserve"> un autre programme intitulé </w:t>
      </w:r>
      <w:r w:rsidR="00274387" w:rsidRPr="00495482">
        <w:rPr>
          <w:lang w:val="fr-FR"/>
        </w:rPr>
        <w:t>«</w:t>
      </w:r>
      <w:r w:rsidRPr="00495482">
        <w:rPr>
          <w:lang w:val="fr-FR"/>
        </w:rPr>
        <w:t>Roma</w:t>
      </w:r>
      <w:r w:rsidR="00274387" w:rsidRPr="00495482">
        <w:rPr>
          <w:lang w:val="fr-FR"/>
        </w:rPr>
        <w:t>»</w:t>
      </w:r>
      <w:r w:rsidR="005D0F0F" w:rsidRPr="00495482">
        <w:rPr>
          <w:lang w:val="fr-FR"/>
        </w:rPr>
        <w:t>,</w:t>
      </w:r>
      <w:r w:rsidRPr="00495482">
        <w:rPr>
          <w:lang w:val="fr-FR"/>
        </w:rPr>
        <w:t xml:space="preserve"> en faveur d</w:t>
      </w:r>
      <w:r w:rsidR="005D0F0F" w:rsidRPr="00495482">
        <w:rPr>
          <w:lang w:val="fr-FR"/>
        </w:rPr>
        <w:t>’</w:t>
      </w:r>
      <w:r w:rsidRPr="00495482">
        <w:rPr>
          <w:lang w:val="fr-FR"/>
        </w:rPr>
        <w:t>une démarche novatrice visant à améliorer la santé de la communauté rom; des études ont porté sur les facteurs de risques des maladies non infectieuses dans la population adulte de la communauté rom</w:t>
      </w:r>
      <w:r w:rsidR="003D1A4F" w:rsidRPr="00495482">
        <w:rPr>
          <w:lang w:val="fr-FR"/>
        </w:rPr>
        <w:t xml:space="preserve"> </w:t>
      </w:r>
      <w:r w:rsidRPr="00495482">
        <w:rPr>
          <w:lang w:val="fr-FR"/>
        </w:rPr>
        <w:t>(ZZV Murska Sobota; 2007); en 2008/2009</w:t>
      </w:r>
      <w:r w:rsidR="005D0F0F" w:rsidRPr="00495482">
        <w:rPr>
          <w:lang w:val="fr-FR"/>
        </w:rPr>
        <w:t>,</w:t>
      </w:r>
      <w:r w:rsidRPr="00495482">
        <w:rPr>
          <w:lang w:val="fr-FR"/>
        </w:rPr>
        <w:t xml:space="preserve"> par le biais d</w:t>
      </w:r>
      <w:r w:rsidR="005D0F0F" w:rsidRPr="00495482">
        <w:rPr>
          <w:lang w:val="fr-FR"/>
        </w:rPr>
        <w:t>’</w:t>
      </w:r>
      <w:r w:rsidRPr="00495482">
        <w:rPr>
          <w:lang w:val="fr-FR"/>
        </w:rPr>
        <w:t>un appel public à candidatures de l</w:t>
      </w:r>
      <w:r w:rsidR="005D0F0F" w:rsidRPr="00495482">
        <w:rPr>
          <w:lang w:val="fr-FR"/>
        </w:rPr>
        <w:t>’</w:t>
      </w:r>
      <w:r w:rsidRPr="00495482">
        <w:rPr>
          <w:lang w:val="fr-FR"/>
        </w:rPr>
        <w:t>Agence slovène de la recherche</w:t>
      </w:r>
      <w:r w:rsidR="005D0F0F" w:rsidRPr="00495482">
        <w:rPr>
          <w:lang w:val="fr-FR"/>
        </w:rPr>
        <w:t>,</w:t>
      </w:r>
      <w:r w:rsidRPr="00495482">
        <w:rPr>
          <w:lang w:val="fr-FR"/>
        </w:rPr>
        <w:t xml:space="preserve"> le Ministère de la santé a cofinancé l</w:t>
      </w:r>
      <w:r w:rsidR="005D0F0F" w:rsidRPr="00495482">
        <w:rPr>
          <w:lang w:val="fr-FR"/>
        </w:rPr>
        <w:t>’</w:t>
      </w:r>
      <w:r w:rsidRPr="00495482">
        <w:rPr>
          <w:lang w:val="fr-FR"/>
        </w:rPr>
        <w:t xml:space="preserve">étude </w:t>
      </w:r>
      <w:r w:rsidR="00274387" w:rsidRPr="00495482">
        <w:rPr>
          <w:lang w:val="fr-FR"/>
        </w:rPr>
        <w:t>«</w:t>
      </w:r>
      <w:r w:rsidRPr="00495482">
        <w:rPr>
          <w:lang w:val="fr-FR"/>
        </w:rPr>
        <w:t>Évaluation de la fréquentation des services de santé par les femmes et les enfants roms – une contribution à la réduction des inégalités en matière de santé</w:t>
      </w:r>
      <w:r w:rsidR="00274387" w:rsidRPr="00495482">
        <w:rPr>
          <w:lang w:val="fr-FR"/>
        </w:rPr>
        <w:t>»</w:t>
      </w:r>
      <w:r w:rsidR="005D0F0F" w:rsidRPr="00495482">
        <w:rPr>
          <w:lang w:val="fr-FR"/>
        </w:rPr>
        <w:t>;</w:t>
      </w:r>
      <w:r w:rsidRPr="00495482">
        <w:rPr>
          <w:lang w:val="fr-FR"/>
        </w:rPr>
        <w:t xml:space="preserve"> en 2008</w:t>
      </w:r>
      <w:r w:rsidR="005D0F0F" w:rsidRPr="00495482">
        <w:rPr>
          <w:lang w:val="fr-FR"/>
        </w:rPr>
        <w:t>,</w:t>
      </w:r>
      <w:r w:rsidRPr="00495482">
        <w:rPr>
          <w:lang w:val="fr-FR"/>
        </w:rPr>
        <w:t xml:space="preserve"> il a organisé la première Conférence nationale sur la santé des Roms (Réduire les inégalités en matière de santé concernant la population rom)</w:t>
      </w:r>
      <w:r w:rsidR="005D0F0F" w:rsidRPr="00495482">
        <w:rPr>
          <w:lang w:val="fr-FR"/>
        </w:rPr>
        <w:t>,</w:t>
      </w:r>
      <w:r w:rsidRPr="00495482">
        <w:rPr>
          <w:lang w:val="fr-FR"/>
        </w:rPr>
        <w:t xml:space="preserve"> puis en 2009</w:t>
      </w:r>
      <w:r w:rsidR="005D0F0F" w:rsidRPr="00495482">
        <w:rPr>
          <w:lang w:val="fr-FR"/>
        </w:rPr>
        <w:t>,</w:t>
      </w:r>
      <w:r w:rsidRPr="00495482">
        <w:rPr>
          <w:lang w:val="fr-FR"/>
        </w:rPr>
        <w:t xml:space="preserve"> une nouvelle conférence a eu pour thème la santé des femmes roms et</w:t>
      </w:r>
      <w:r w:rsidR="005D0F0F" w:rsidRPr="00495482">
        <w:rPr>
          <w:lang w:val="fr-FR"/>
        </w:rPr>
        <w:t>,</w:t>
      </w:r>
      <w:r w:rsidRPr="00495482">
        <w:rPr>
          <w:lang w:val="fr-FR"/>
        </w:rPr>
        <w:t xml:space="preserve"> en septembre 2010</w:t>
      </w:r>
      <w:r w:rsidR="005D0F0F" w:rsidRPr="00495482">
        <w:rPr>
          <w:lang w:val="fr-FR"/>
        </w:rPr>
        <w:t>,</w:t>
      </w:r>
      <w:r w:rsidRPr="00495482">
        <w:rPr>
          <w:lang w:val="fr-FR"/>
        </w:rPr>
        <w:t xml:space="preserve"> une</w:t>
      </w:r>
      <w:r w:rsidR="003D1A4F" w:rsidRPr="00495482">
        <w:rPr>
          <w:lang w:val="fr-FR"/>
        </w:rPr>
        <w:t xml:space="preserve"> </w:t>
      </w:r>
      <w:r w:rsidRPr="00495482">
        <w:rPr>
          <w:lang w:val="fr-FR"/>
        </w:rPr>
        <w:t xml:space="preserve">troisième conférence a porté sur la santé des enfants roms. </w:t>
      </w:r>
    </w:p>
    <w:p w:rsidR="00317603" w:rsidRPr="00495482" w:rsidRDefault="00317603" w:rsidP="000700B3">
      <w:pPr>
        <w:pStyle w:val="SingleTxtG"/>
        <w:rPr>
          <w:lang w:val="fr-FR"/>
        </w:rPr>
      </w:pPr>
      <w:r w:rsidRPr="00495482">
        <w:rPr>
          <w:lang w:val="fr-FR"/>
        </w:rPr>
        <w:t>174.</w:t>
      </w:r>
      <w:r w:rsidRPr="00495482">
        <w:rPr>
          <w:lang w:val="fr-FR"/>
        </w:rPr>
        <w:tab/>
        <w:t>En raison de son importance et de ses particularités</w:t>
      </w:r>
      <w:r w:rsidR="005D0F0F" w:rsidRPr="00495482">
        <w:rPr>
          <w:lang w:val="fr-FR"/>
        </w:rPr>
        <w:t>,</w:t>
      </w:r>
      <w:r w:rsidRPr="00495482">
        <w:rPr>
          <w:lang w:val="fr-FR"/>
        </w:rPr>
        <w:t xml:space="preserve"> le Ministère de la santé a inscrit l</w:t>
      </w:r>
      <w:r w:rsidR="005D0F0F" w:rsidRPr="00495482">
        <w:rPr>
          <w:lang w:val="fr-FR"/>
        </w:rPr>
        <w:t>’</w:t>
      </w:r>
      <w:r w:rsidRPr="00495482">
        <w:rPr>
          <w:lang w:val="fr-FR"/>
        </w:rPr>
        <w:t>amélioration de la santé des Roms dans le Programme national de promotion de la santé. Des activités ayant trait notamment à la santé procréative et à un mode de vie sain sont mises en place pour la deuxième année</w:t>
      </w:r>
      <w:r w:rsidR="005D0F0F" w:rsidRPr="00495482">
        <w:rPr>
          <w:lang w:val="fr-FR"/>
        </w:rPr>
        <w:t>,</w:t>
      </w:r>
      <w:r w:rsidRPr="00495482">
        <w:rPr>
          <w:lang w:val="fr-FR"/>
        </w:rPr>
        <w:t xml:space="preserve"> en vue d</w:t>
      </w:r>
      <w:r w:rsidR="005D0F0F" w:rsidRPr="00495482">
        <w:rPr>
          <w:lang w:val="fr-FR"/>
        </w:rPr>
        <w:t>’</w:t>
      </w:r>
      <w:r w:rsidRPr="00495482">
        <w:rPr>
          <w:lang w:val="fr-FR"/>
        </w:rPr>
        <w:t>améliorer la santé des femmes. Les mesures concernant l</w:t>
      </w:r>
      <w:r w:rsidR="005D0F0F" w:rsidRPr="00495482">
        <w:rPr>
          <w:lang w:val="fr-FR"/>
        </w:rPr>
        <w:t>’</w:t>
      </w:r>
      <w:r w:rsidRPr="00495482">
        <w:rPr>
          <w:lang w:val="fr-FR"/>
        </w:rPr>
        <w:t xml:space="preserve">amélioration des soins de santé des Roms sont également incluses dans le Programme national des mesures en faveur des Roms du Gouvernement de la République de Slovénie 2010-2015. </w:t>
      </w:r>
    </w:p>
    <w:p w:rsidR="00317603" w:rsidRPr="00495482" w:rsidRDefault="00317603" w:rsidP="005D2932">
      <w:pPr>
        <w:pStyle w:val="H1G"/>
        <w:rPr>
          <w:lang w:val="fr-FR" w:eastAsia="sl-SI"/>
        </w:rPr>
      </w:pPr>
      <w:r w:rsidRPr="00495482">
        <w:rPr>
          <w:lang w:val="fr-FR" w:eastAsia="sl-SI"/>
        </w:rPr>
        <w:tab/>
      </w:r>
      <w:r w:rsidRPr="00495482">
        <w:rPr>
          <w:lang w:val="fr-FR" w:eastAsia="sl-SI"/>
        </w:rPr>
        <w:tab/>
        <w:t>Articles 13 et 14</w:t>
      </w:r>
      <w:r w:rsidR="005D2932">
        <w:rPr>
          <w:lang w:val="fr-FR" w:eastAsia="sl-SI"/>
        </w:rPr>
        <w:br/>
      </w:r>
      <w:r w:rsidRPr="00495482">
        <w:rPr>
          <w:lang w:val="fr-FR" w:eastAsia="sl-SI"/>
        </w:rPr>
        <w:t>Droit à l</w:t>
      </w:r>
      <w:r w:rsidR="005D0F0F" w:rsidRPr="00495482">
        <w:rPr>
          <w:lang w:val="fr-FR" w:eastAsia="sl-SI"/>
        </w:rPr>
        <w:t>’</w:t>
      </w:r>
      <w:r w:rsidRPr="00495482">
        <w:rPr>
          <w:lang w:val="fr-FR" w:eastAsia="sl-SI"/>
        </w:rPr>
        <w:t>éducation</w:t>
      </w:r>
    </w:p>
    <w:p w:rsidR="00317603" w:rsidRPr="00495482" w:rsidRDefault="00317603" w:rsidP="000700B3">
      <w:pPr>
        <w:pStyle w:val="SingleTxtG"/>
        <w:rPr>
          <w:lang w:val="fr-FR"/>
        </w:rPr>
      </w:pPr>
      <w:r w:rsidRPr="00495482">
        <w:rPr>
          <w:lang w:val="fr-FR"/>
        </w:rPr>
        <w:t>175.</w:t>
      </w:r>
      <w:r w:rsidRPr="00495482">
        <w:rPr>
          <w:lang w:val="fr-FR"/>
        </w:rPr>
        <w:tab/>
        <w:t>L</w:t>
      </w:r>
      <w:r w:rsidR="005D0F0F" w:rsidRPr="00495482">
        <w:rPr>
          <w:lang w:val="fr-FR"/>
        </w:rPr>
        <w:t>’</w:t>
      </w:r>
      <w:r w:rsidRPr="00495482">
        <w:rPr>
          <w:lang w:val="fr-FR"/>
        </w:rPr>
        <w:t>éducation</w:t>
      </w:r>
      <w:r w:rsidR="005D0F0F" w:rsidRPr="00495482">
        <w:rPr>
          <w:lang w:val="fr-FR"/>
        </w:rPr>
        <w:t>,</w:t>
      </w:r>
      <w:r w:rsidRPr="00495482">
        <w:rPr>
          <w:lang w:val="fr-FR"/>
        </w:rPr>
        <w:t xml:space="preserve"> consacrée par la loi-cadre sur l</w:t>
      </w:r>
      <w:r w:rsidR="005D0F0F" w:rsidRPr="00495482">
        <w:rPr>
          <w:lang w:val="fr-FR"/>
        </w:rPr>
        <w:t>’</w:t>
      </w:r>
      <w:r w:rsidRPr="00495482">
        <w:rPr>
          <w:lang w:val="fr-FR"/>
        </w:rPr>
        <w:t>organisation et le financement de l</w:t>
      </w:r>
      <w:r w:rsidR="005D0F0F" w:rsidRPr="00495482">
        <w:rPr>
          <w:lang w:val="fr-FR"/>
        </w:rPr>
        <w:t>’</w:t>
      </w:r>
      <w:r w:rsidRPr="00495482">
        <w:rPr>
          <w:lang w:val="fr-FR"/>
        </w:rPr>
        <w:t>éducation</w:t>
      </w:r>
      <w:r w:rsidRPr="00495482">
        <w:rPr>
          <w:rStyle w:val="FootnoteReference"/>
        </w:rPr>
        <w:footnoteReference w:id="90"/>
      </w:r>
      <w:r w:rsidR="003D51E1" w:rsidRPr="00495482">
        <w:rPr>
          <w:lang w:val="fr-FR"/>
        </w:rPr>
        <w:t>,</w:t>
      </w:r>
      <w:r w:rsidRPr="00495482">
        <w:rPr>
          <w:lang w:val="fr-FR"/>
        </w:rPr>
        <w:t xml:space="preserve"> devrait</w:t>
      </w:r>
      <w:r w:rsidR="005D0F0F" w:rsidRPr="00495482">
        <w:rPr>
          <w:lang w:val="fr-FR"/>
        </w:rPr>
        <w:t>,</w:t>
      </w:r>
      <w:r w:rsidRPr="00495482">
        <w:rPr>
          <w:lang w:val="fr-FR"/>
        </w:rPr>
        <w:t xml:space="preserve"> entre autres</w:t>
      </w:r>
      <w:r w:rsidR="005D0F0F" w:rsidRPr="00495482">
        <w:rPr>
          <w:lang w:val="fr-FR"/>
        </w:rPr>
        <w:t>,</w:t>
      </w:r>
      <w:r w:rsidRPr="00495482">
        <w:rPr>
          <w:lang w:val="fr-FR"/>
        </w:rPr>
        <w:t xml:space="preserve"> assurer le développement optimal d</w:t>
      </w:r>
      <w:r w:rsidR="005D0F0F" w:rsidRPr="00495482">
        <w:rPr>
          <w:lang w:val="fr-FR"/>
        </w:rPr>
        <w:t>’</w:t>
      </w:r>
      <w:r w:rsidRPr="00495482">
        <w:rPr>
          <w:lang w:val="fr-FR"/>
        </w:rPr>
        <w:t>un individu</w:t>
      </w:r>
      <w:r w:rsidR="005D0F0F" w:rsidRPr="00495482">
        <w:rPr>
          <w:lang w:val="fr-FR"/>
        </w:rPr>
        <w:t>,</w:t>
      </w:r>
      <w:r w:rsidRPr="00495482">
        <w:rPr>
          <w:lang w:val="fr-FR"/>
        </w:rPr>
        <w:t xml:space="preserve"> sans considération de genre</w:t>
      </w:r>
      <w:r w:rsidR="005D0F0F" w:rsidRPr="00495482">
        <w:rPr>
          <w:lang w:val="fr-FR"/>
        </w:rPr>
        <w:t>,</w:t>
      </w:r>
      <w:r w:rsidRPr="00495482">
        <w:rPr>
          <w:lang w:val="fr-FR"/>
        </w:rPr>
        <w:t xml:space="preserve"> d</w:t>
      </w:r>
      <w:r w:rsidR="005D0F0F" w:rsidRPr="00495482">
        <w:rPr>
          <w:lang w:val="fr-FR"/>
        </w:rPr>
        <w:t>’</w:t>
      </w:r>
      <w:r w:rsidRPr="00495482">
        <w:rPr>
          <w:lang w:val="fr-FR"/>
        </w:rPr>
        <w:t>origine sociale ou culturelle</w:t>
      </w:r>
      <w:r w:rsidR="005D0F0F" w:rsidRPr="00495482">
        <w:rPr>
          <w:lang w:val="fr-FR"/>
        </w:rPr>
        <w:t>,</w:t>
      </w:r>
      <w:r w:rsidRPr="00495482">
        <w:rPr>
          <w:lang w:val="fr-FR"/>
        </w:rPr>
        <w:t xml:space="preserve"> de religion</w:t>
      </w:r>
      <w:r w:rsidR="005D0F0F" w:rsidRPr="00495482">
        <w:rPr>
          <w:lang w:val="fr-FR"/>
        </w:rPr>
        <w:t>,</w:t>
      </w:r>
      <w:r w:rsidRPr="00495482">
        <w:rPr>
          <w:lang w:val="fr-FR"/>
        </w:rPr>
        <w:t xml:space="preserve"> de race</w:t>
      </w:r>
      <w:r w:rsidR="005D0F0F" w:rsidRPr="00495482">
        <w:rPr>
          <w:lang w:val="fr-FR"/>
        </w:rPr>
        <w:t>,</w:t>
      </w:r>
      <w:r w:rsidRPr="00495482">
        <w:rPr>
          <w:lang w:val="fr-FR"/>
        </w:rPr>
        <w:t xml:space="preserve"> d</w:t>
      </w:r>
      <w:r w:rsidR="005D0F0F" w:rsidRPr="00495482">
        <w:rPr>
          <w:lang w:val="fr-FR"/>
        </w:rPr>
        <w:t>’</w:t>
      </w:r>
      <w:r w:rsidRPr="00495482">
        <w:rPr>
          <w:lang w:val="fr-FR"/>
        </w:rPr>
        <w:t>appartenance ethnique ou nationale</w:t>
      </w:r>
      <w:r w:rsidR="005D0F0F" w:rsidRPr="00495482">
        <w:rPr>
          <w:lang w:val="fr-FR"/>
        </w:rPr>
        <w:t>,</w:t>
      </w:r>
      <w:r w:rsidRPr="00495482">
        <w:rPr>
          <w:lang w:val="fr-FR"/>
        </w:rPr>
        <w:t xml:space="preserve"> de constitution physique ou mentale ou de handicap; inculquer la tolérance mutuelle</w:t>
      </w:r>
      <w:r w:rsidR="005D0F0F" w:rsidRPr="00495482">
        <w:rPr>
          <w:lang w:val="fr-FR"/>
        </w:rPr>
        <w:t>;</w:t>
      </w:r>
      <w:r w:rsidRPr="00495482">
        <w:rPr>
          <w:lang w:val="fr-FR"/>
        </w:rPr>
        <w:t xml:space="preserve"> sensibiliser à la question de l</w:t>
      </w:r>
      <w:r w:rsidR="005D0F0F" w:rsidRPr="00495482">
        <w:rPr>
          <w:lang w:val="fr-FR"/>
        </w:rPr>
        <w:t>’</w:t>
      </w:r>
      <w:r w:rsidRPr="00495482">
        <w:rPr>
          <w:lang w:val="fr-FR"/>
        </w:rPr>
        <w:t>égalité et développer l</w:t>
      </w:r>
      <w:r w:rsidR="005D0F0F" w:rsidRPr="00495482">
        <w:rPr>
          <w:lang w:val="fr-FR"/>
        </w:rPr>
        <w:t>’</w:t>
      </w:r>
      <w:r w:rsidRPr="00495482">
        <w:rPr>
          <w:lang w:val="fr-FR"/>
        </w:rPr>
        <w:t>égalité des chances entre les deux sexes</w:t>
      </w:r>
      <w:r w:rsidR="005D0F0F" w:rsidRPr="00495482">
        <w:rPr>
          <w:lang w:val="fr-FR"/>
        </w:rPr>
        <w:t>,</w:t>
      </w:r>
      <w:r w:rsidRPr="00495482">
        <w:rPr>
          <w:lang w:val="fr-FR"/>
        </w:rPr>
        <w:t xml:space="preserve"> respecter les différences et la coopération avec autrui</w:t>
      </w:r>
      <w:r w:rsidR="005D0F0F" w:rsidRPr="00495482">
        <w:rPr>
          <w:lang w:val="fr-FR"/>
        </w:rPr>
        <w:t>,</w:t>
      </w:r>
      <w:r w:rsidRPr="00495482">
        <w:rPr>
          <w:lang w:val="fr-FR"/>
        </w:rPr>
        <w:t xml:space="preserve"> les droits de l</w:t>
      </w:r>
      <w:r w:rsidR="005D0F0F" w:rsidRPr="00495482">
        <w:rPr>
          <w:lang w:val="fr-FR"/>
        </w:rPr>
        <w:t>’</w:t>
      </w:r>
      <w:r w:rsidRPr="00495482">
        <w:rPr>
          <w:lang w:val="fr-FR"/>
        </w:rPr>
        <w:t>enfant</w:t>
      </w:r>
      <w:r w:rsidR="005D0F0F" w:rsidRPr="00495482">
        <w:rPr>
          <w:lang w:val="fr-FR"/>
        </w:rPr>
        <w:t>,</w:t>
      </w:r>
      <w:r w:rsidRPr="00495482">
        <w:rPr>
          <w:lang w:val="fr-FR"/>
        </w:rPr>
        <w:t xml:space="preserve"> les droits de l</w:t>
      </w:r>
      <w:r w:rsidR="005D0F0F" w:rsidRPr="00495482">
        <w:rPr>
          <w:lang w:val="fr-FR"/>
        </w:rPr>
        <w:t>’</w:t>
      </w:r>
      <w:r w:rsidRPr="00495482">
        <w:rPr>
          <w:lang w:val="fr-FR"/>
        </w:rPr>
        <w:t>homme</w:t>
      </w:r>
      <w:r w:rsidR="005D0F0F" w:rsidRPr="00495482">
        <w:rPr>
          <w:lang w:val="fr-FR"/>
        </w:rPr>
        <w:t>,</w:t>
      </w:r>
      <w:r w:rsidRPr="00495482">
        <w:rPr>
          <w:lang w:val="fr-FR"/>
        </w:rPr>
        <w:t xml:space="preserve"> les libertés fondamentales et l</w:t>
      </w:r>
      <w:r w:rsidR="005D0F0F" w:rsidRPr="00495482">
        <w:rPr>
          <w:lang w:val="fr-FR"/>
        </w:rPr>
        <w:t>’</w:t>
      </w:r>
      <w:r w:rsidRPr="00495482">
        <w:rPr>
          <w:lang w:val="fr-FR"/>
        </w:rPr>
        <w:t>égalité des chances en matière d</w:t>
      </w:r>
      <w:r w:rsidR="005D0F0F" w:rsidRPr="00495482">
        <w:rPr>
          <w:lang w:val="fr-FR"/>
        </w:rPr>
        <w:t>’</w:t>
      </w:r>
      <w:r w:rsidRPr="00495482">
        <w:rPr>
          <w:lang w:val="fr-FR"/>
        </w:rPr>
        <w:t>éducation.</w:t>
      </w:r>
      <w:r w:rsidR="003D1A4F" w:rsidRPr="00495482">
        <w:rPr>
          <w:lang w:val="fr-FR"/>
        </w:rPr>
        <w:t xml:space="preserve"> </w:t>
      </w:r>
    </w:p>
    <w:p w:rsidR="00317603" w:rsidRPr="00495482" w:rsidRDefault="00317603" w:rsidP="000700B3">
      <w:pPr>
        <w:pStyle w:val="SingleTxtG"/>
        <w:rPr>
          <w:lang w:val="fr-FR"/>
        </w:rPr>
      </w:pPr>
      <w:r w:rsidRPr="00495482">
        <w:rPr>
          <w:lang w:val="fr-FR"/>
        </w:rPr>
        <w:t>176.</w:t>
      </w:r>
      <w:r w:rsidRPr="00495482">
        <w:rPr>
          <w:lang w:val="fr-FR"/>
        </w:rPr>
        <w:tab/>
        <w:t>Les modifications à la loi sur l</w:t>
      </w:r>
      <w:r w:rsidR="005D0F0F" w:rsidRPr="00495482">
        <w:rPr>
          <w:lang w:val="fr-FR"/>
        </w:rPr>
        <w:t>’</w:t>
      </w:r>
      <w:r w:rsidRPr="00495482">
        <w:rPr>
          <w:lang w:val="fr-FR"/>
        </w:rPr>
        <w:t>enseignement primaire</w:t>
      </w:r>
      <w:r w:rsidRPr="00495482">
        <w:rPr>
          <w:rStyle w:val="FootnoteReference"/>
        </w:rPr>
        <w:footnoteReference w:id="91"/>
      </w:r>
      <w:r w:rsidRPr="00495482">
        <w:rPr>
          <w:lang w:val="fr-FR"/>
        </w:rPr>
        <w:t xml:space="preserve"> permettent une harmonisation avec les nouvelles conceptions scientifiques en matière d</w:t>
      </w:r>
      <w:r w:rsidR="005D0F0F" w:rsidRPr="00495482">
        <w:rPr>
          <w:lang w:val="fr-FR"/>
        </w:rPr>
        <w:t>’</w:t>
      </w:r>
      <w:r w:rsidRPr="00495482">
        <w:rPr>
          <w:lang w:val="fr-FR"/>
        </w:rPr>
        <w:t>éducation et avec les documents stratégiques de la République de Slovénie</w:t>
      </w:r>
      <w:r w:rsidR="005D0F0F" w:rsidRPr="00495482">
        <w:rPr>
          <w:lang w:val="fr-FR"/>
        </w:rPr>
        <w:t>,</w:t>
      </w:r>
      <w:r w:rsidRPr="00495482">
        <w:rPr>
          <w:lang w:val="fr-FR"/>
        </w:rPr>
        <w:t xml:space="preserve"> tout en respectant les principes directeurs énoncés dans la Stratégie de Lisbonne qui visent à faire de l</w:t>
      </w:r>
      <w:r w:rsidR="005D0F0F" w:rsidRPr="00495482">
        <w:rPr>
          <w:lang w:val="fr-FR"/>
        </w:rPr>
        <w:t>’</w:t>
      </w:r>
      <w:r w:rsidRPr="00495482">
        <w:rPr>
          <w:lang w:val="fr-FR"/>
        </w:rPr>
        <w:t>économie européenne à l</w:t>
      </w:r>
      <w:r w:rsidR="005D0F0F" w:rsidRPr="00495482">
        <w:rPr>
          <w:lang w:val="fr-FR"/>
        </w:rPr>
        <w:t>’</w:t>
      </w:r>
      <w:r w:rsidRPr="00495482">
        <w:rPr>
          <w:lang w:val="fr-FR"/>
        </w:rPr>
        <w:t>échelle mondiale la plus compétitive</w:t>
      </w:r>
      <w:r w:rsidR="005D0F0F" w:rsidRPr="00495482">
        <w:rPr>
          <w:lang w:val="fr-FR"/>
        </w:rPr>
        <w:t>,</w:t>
      </w:r>
      <w:r w:rsidRPr="00495482">
        <w:rPr>
          <w:lang w:val="fr-FR"/>
        </w:rPr>
        <w:t xml:space="preserve"> la plus dynamique et la plus fondée sur le savoir</w:t>
      </w:r>
      <w:r w:rsidR="005D0F0F" w:rsidRPr="00495482">
        <w:rPr>
          <w:lang w:val="fr-FR"/>
        </w:rPr>
        <w:t>,</w:t>
      </w:r>
      <w:r w:rsidRPr="00495482">
        <w:rPr>
          <w:lang w:val="fr-FR"/>
        </w:rPr>
        <w:t xml:space="preserve"> capable de développement durable</w:t>
      </w:r>
      <w:r w:rsidR="005D0F0F" w:rsidRPr="00495482">
        <w:rPr>
          <w:lang w:val="fr-FR"/>
        </w:rPr>
        <w:t>,</w:t>
      </w:r>
      <w:r w:rsidRPr="00495482">
        <w:rPr>
          <w:lang w:val="fr-FR"/>
        </w:rPr>
        <w:t xml:space="preserve"> avec des emplois plus nombreux et de meilleure qualité</w:t>
      </w:r>
      <w:r w:rsidR="005D0F0F" w:rsidRPr="00495482">
        <w:rPr>
          <w:lang w:val="fr-FR"/>
        </w:rPr>
        <w:t>,</w:t>
      </w:r>
      <w:r w:rsidRPr="00495482">
        <w:rPr>
          <w:lang w:val="fr-FR"/>
        </w:rPr>
        <w:t xml:space="preserve"> et une plus grande cohésion sociale. </w:t>
      </w:r>
    </w:p>
    <w:p w:rsidR="00317603" w:rsidRPr="00495482" w:rsidRDefault="00317603" w:rsidP="000700B3">
      <w:pPr>
        <w:pStyle w:val="SingleTxtG"/>
        <w:rPr>
          <w:lang w:val="fr-FR"/>
        </w:rPr>
      </w:pPr>
      <w:r w:rsidRPr="00495482">
        <w:rPr>
          <w:lang w:val="fr-FR"/>
        </w:rPr>
        <w:t>177.</w:t>
      </w:r>
      <w:r w:rsidRPr="00495482">
        <w:rPr>
          <w:lang w:val="fr-FR"/>
        </w:rPr>
        <w:tab/>
        <w:t>L</w:t>
      </w:r>
      <w:r w:rsidR="005D0F0F" w:rsidRPr="00495482">
        <w:rPr>
          <w:lang w:val="fr-FR"/>
        </w:rPr>
        <w:t>’</w:t>
      </w:r>
      <w:r w:rsidRPr="00495482">
        <w:rPr>
          <w:lang w:val="fr-FR"/>
        </w:rPr>
        <w:t>enseignement des droits économiques</w:t>
      </w:r>
      <w:r w:rsidR="005D0F0F" w:rsidRPr="00495482">
        <w:rPr>
          <w:lang w:val="fr-FR"/>
        </w:rPr>
        <w:t>,</w:t>
      </w:r>
      <w:r w:rsidRPr="00495482">
        <w:rPr>
          <w:lang w:val="fr-FR"/>
        </w:rPr>
        <w:t xml:space="preserve"> sociaux et culturels figure au nombre des objectifs généraux des programmes des écoles primaires afin de développer les compétences en matière d</w:t>
      </w:r>
      <w:r w:rsidR="005D0F0F" w:rsidRPr="00495482">
        <w:rPr>
          <w:lang w:val="fr-FR"/>
        </w:rPr>
        <w:t>’</w:t>
      </w:r>
      <w:r w:rsidRPr="00495482">
        <w:rPr>
          <w:lang w:val="fr-FR"/>
        </w:rPr>
        <w:t>environnement</w:t>
      </w:r>
      <w:r w:rsidR="005D0F0F" w:rsidRPr="00495482">
        <w:rPr>
          <w:lang w:val="fr-FR"/>
        </w:rPr>
        <w:t>,</w:t>
      </w:r>
      <w:r w:rsidRPr="00495482">
        <w:rPr>
          <w:lang w:val="fr-FR"/>
        </w:rPr>
        <w:t xml:space="preserve"> de société</w:t>
      </w:r>
      <w:r w:rsidR="005D0F0F" w:rsidRPr="00495482">
        <w:rPr>
          <w:lang w:val="fr-FR"/>
        </w:rPr>
        <w:t>,</w:t>
      </w:r>
      <w:r w:rsidRPr="00495482">
        <w:rPr>
          <w:lang w:val="fr-FR"/>
        </w:rPr>
        <w:t xml:space="preserve"> de sciences naturelles et techniques et de</w:t>
      </w:r>
      <w:r w:rsidR="003D1A4F" w:rsidRPr="00495482">
        <w:rPr>
          <w:lang w:val="fr-FR"/>
        </w:rPr>
        <w:t xml:space="preserve"> </w:t>
      </w:r>
      <w:r w:rsidRPr="00495482">
        <w:rPr>
          <w:lang w:val="fr-FR"/>
        </w:rPr>
        <w:t>géographie</w:t>
      </w:r>
      <w:r w:rsidR="005D0F0F" w:rsidRPr="00495482">
        <w:rPr>
          <w:lang w:val="fr-FR"/>
        </w:rPr>
        <w:t>;</w:t>
      </w:r>
      <w:r w:rsidRPr="00495482">
        <w:rPr>
          <w:lang w:val="fr-FR"/>
        </w:rPr>
        <w:t xml:space="preserve"> il est inclus au nouveau programme d</w:t>
      </w:r>
      <w:r w:rsidR="005D0F0F" w:rsidRPr="00495482">
        <w:rPr>
          <w:lang w:val="fr-FR"/>
        </w:rPr>
        <w:t>’</w:t>
      </w:r>
      <w:r w:rsidRPr="00495482">
        <w:rPr>
          <w:lang w:val="fr-FR"/>
        </w:rPr>
        <w:t>éducation civique et morale</w:t>
      </w:r>
      <w:r w:rsidR="005D0F0F" w:rsidRPr="00495482">
        <w:rPr>
          <w:lang w:val="fr-FR"/>
        </w:rPr>
        <w:t>,</w:t>
      </w:r>
      <w:r w:rsidRPr="00495482">
        <w:rPr>
          <w:lang w:val="fr-FR"/>
        </w:rPr>
        <w:t xml:space="preserve"> aux programmes d</w:t>
      </w:r>
      <w:r w:rsidR="005D0F0F" w:rsidRPr="00495482">
        <w:rPr>
          <w:lang w:val="fr-FR"/>
        </w:rPr>
        <w:t>’</w:t>
      </w:r>
      <w:r w:rsidRPr="00495482">
        <w:rPr>
          <w:lang w:val="fr-FR"/>
        </w:rPr>
        <w:t>histoire et à de nombreuses matières optionnelles. Dans les établissements secondaires</w:t>
      </w:r>
      <w:r w:rsidR="005D0F0F" w:rsidRPr="00495482">
        <w:rPr>
          <w:lang w:val="fr-FR"/>
        </w:rPr>
        <w:t>,</w:t>
      </w:r>
      <w:r w:rsidRPr="00495482">
        <w:rPr>
          <w:lang w:val="fr-FR"/>
        </w:rPr>
        <w:t xml:space="preserve"> il faut souligner qu</w:t>
      </w:r>
      <w:r w:rsidR="005D0F0F" w:rsidRPr="00495482">
        <w:rPr>
          <w:lang w:val="fr-FR"/>
        </w:rPr>
        <w:t>’</w:t>
      </w:r>
      <w:r w:rsidRPr="00495482">
        <w:rPr>
          <w:lang w:val="fr-FR"/>
        </w:rPr>
        <w:t>outre l</w:t>
      </w:r>
      <w:r w:rsidR="005D0F0F" w:rsidRPr="00495482">
        <w:rPr>
          <w:lang w:val="fr-FR"/>
        </w:rPr>
        <w:t>’</w:t>
      </w:r>
      <w:r w:rsidRPr="00495482">
        <w:rPr>
          <w:lang w:val="fr-FR"/>
        </w:rPr>
        <w:t>enseignement de la sociologie</w:t>
      </w:r>
      <w:r w:rsidR="005D0F0F" w:rsidRPr="00495482">
        <w:rPr>
          <w:lang w:val="fr-FR"/>
        </w:rPr>
        <w:t>,</w:t>
      </w:r>
      <w:r w:rsidRPr="00495482">
        <w:rPr>
          <w:lang w:val="fr-FR"/>
        </w:rPr>
        <w:t xml:space="preserve"> celui de l</w:t>
      </w:r>
      <w:r w:rsidR="005D0F0F" w:rsidRPr="00495482">
        <w:rPr>
          <w:lang w:val="fr-FR"/>
        </w:rPr>
        <w:t>’</w:t>
      </w:r>
      <w:r w:rsidRPr="00495482">
        <w:rPr>
          <w:lang w:val="fr-FR"/>
        </w:rPr>
        <w:t>histoire</w:t>
      </w:r>
      <w:r w:rsidR="003D1A4F" w:rsidRPr="00495482">
        <w:rPr>
          <w:lang w:val="fr-FR"/>
        </w:rPr>
        <w:t xml:space="preserve"> </w:t>
      </w:r>
      <w:r w:rsidRPr="00495482">
        <w:rPr>
          <w:lang w:val="fr-FR"/>
        </w:rPr>
        <w:t>contient un grand nombre de mesures qui renforcent l</w:t>
      </w:r>
      <w:r w:rsidR="005D0F0F" w:rsidRPr="00495482">
        <w:rPr>
          <w:lang w:val="fr-FR"/>
        </w:rPr>
        <w:t>’</w:t>
      </w:r>
      <w:r w:rsidRPr="00495482">
        <w:rPr>
          <w:lang w:val="fr-FR"/>
        </w:rPr>
        <w:t>enseignement des droits de l</w:t>
      </w:r>
      <w:r w:rsidR="005D0F0F" w:rsidRPr="00495482">
        <w:rPr>
          <w:lang w:val="fr-FR"/>
        </w:rPr>
        <w:t>’</w:t>
      </w:r>
      <w:r w:rsidRPr="00495482">
        <w:rPr>
          <w:lang w:val="fr-FR"/>
        </w:rPr>
        <w:t xml:space="preserve">homme. </w:t>
      </w:r>
    </w:p>
    <w:p w:rsidR="00317603" w:rsidRPr="00495482" w:rsidRDefault="00317603" w:rsidP="000700B3">
      <w:pPr>
        <w:pStyle w:val="H23G"/>
        <w:rPr>
          <w:lang w:val="fr-FR" w:eastAsia="sl-SI"/>
        </w:rPr>
      </w:pPr>
      <w:r w:rsidRPr="00495482">
        <w:rPr>
          <w:lang w:val="fr-FR" w:eastAsia="sl-SI"/>
        </w:rPr>
        <w:tab/>
      </w:r>
      <w:r w:rsidRPr="00495482">
        <w:rPr>
          <w:lang w:val="fr-FR" w:eastAsia="sl-SI"/>
        </w:rPr>
        <w:tab/>
        <w:t>Enseignement secondaire</w:t>
      </w:r>
    </w:p>
    <w:p w:rsidR="00317603" w:rsidRPr="00495482" w:rsidRDefault="00317603" w:rsidP="000700B3">
      <w:pPr>
        <w:pStyle w:val="SingleTxtG"/>
        <w:rPr>
          <w:lang w:val="fr-FR"/>
        </w:rPr>
      </w:pPr>
      <w:r w:rsidRPr="00495482">
        <w:rPr>
          <w:lang w:val="fr-FR"/>
        </w:rPr>
        <w:t>178.</w:t>
      </w:r>
      <w:r w:rsidRPr="00495482">
        <w:rPr>
          <w:lang w:val="fr-FR"/>
        </w:rPr>
        <w:tab/>
        <w:t>Dans le domaine de l</w:t>
      </w:r>
      <w:r w:rsidR="005D0F0F" w:rsidRPr="00495482">
        <w:rPr>
          <w:lang w:val="fr-FR"/>
        </w:rPr>
        <w:t>’</w:t>
      </w:r>
      <w:r w:rsidRPr="00495482">
        <w:rPr>
          <w:lang w:val="fr-FR"/>
        </w:rPr>
        <w:t>enseignement secondaire</w:t>
      </w:r>
      <w:r w:rsidR="005D0F0F" w:rsidRPr="00495482">
        <w:rPr>
          <w:lang w:val="fr-FR"/>
        </w:rPr>
        <w:t>,</w:t>
      </w:r>
      <w:r w:rsidRPr="00495482">
        <w:rPr>
          <w:lang w:val="fr-FR"/>
        </w:rPr>
        <w:t xml:space="preserve"> divisé en Slovénie en enseignement général</w:t>
      </w:r>
      <w:r w:rsidR="005D0F0F" w:rsidRPr="00495482">
        <w:rPr>
          <w:lang w:val="fr-FR"/>
        </w:rPr>
        <w:t>,</w:t>
      </w:r>
      <w:r w:rsidRPr="00495482">
        <w:rPr>
          <w:lang w:val="fr-FR"/>
        </w:rPr>
        <w:t xml:space="preserve"> professionnel et technique</w:t>
      </w:r>
      <w:r w:rsidR="005D0F0F" w:rsidRPr="00495482">
        <w:rPr>
          <w:lang w:val="fr-FR"/>
        </w:rPr>
        <w:t>,</w:t>
      </w:r>
      <w:r w:rsidRPr="00495482">
        <w:rPr>
          <w:lang w:val="fr-FR"/>
        </w:rPr>
        <w:t xml:space="preserve"> la classification du système d</w:t>
      </w:r>
      <w:r w:rsidR="005D0F0F" w:rsidRPr="00495482">
        <w:rPr>
          <w:lang w:val="fr-FR"/>
        </w:rPr>
        <w:t>’</w:t>
      </w:r>
      <w:r w:rsidRPr="00495482">
        <w:rPr>
          <w:lang w:val="fr-FR"/>
        </w:rPr>
        <w:t>enseignement et de formation a été mise en place et utilisée de manière uniforme en 2006 (Klasius</w:t>
      </w:r>
      <w:r w:rsidR="005D0F0F" w:rsidRPr="00495482">
        <w:rPr>
          <w:lang w:val="fr-FR"/>
        </w:rPr>
        <w:t>,</w:t>
      </w:r>
      <w:r w:rsidRPr="00495482">
        <w:rPr>
          <w:lang w:val="fr-FR"/>
        </w:rPr>
        <w:t xml:space="preserve"> 2006). La loi sur les qualifications professionnelles nationales a été modifiée cette même année</w:t>
      </w:r>
      <w:r w:rsidR="005D0F0F" w:rsidRPr="00495482">
        <w:rPr>
          <w:lang w:val="fr-FR"/>
        </w:rPr>
        <w:t>,</w:t>
      </w:r>
      <w:r w:rsidRPr="00495482">
        <w:rPr>
          <w:lang w:val="fr-FR"/>
        </w:rPr>
        <w:t xml:space="preserve"> de manière à associer enseignements formel et informel et expérience professionnelle</w:t>
      </w:r>
      <w:r w:rsidR="005D0F0F" w:rsidRPr="00495482">
        <w:rPr>
          <w:lang w:val="fr-FR"/>
        </w:rPr>
        <w:t>,</w:t>
      </w:r>
      <w:r w:rsidRPr="00495482">
        <w:rPr>
          <w:lang w:val="fr-FR"/>
        </w:rPr>
        <w:t xml:space="preserve"> pour assurer un partenariat et une coopération en matière de développement et de promotion de qualifications professionnelles nationales</w:t>
      </w:r>
      <w:r w:rsidR="005D0F0F" w:rsidRPr="00495482">
        <w:rPr>
          <w:lang w:val="fr-FR"/>
        </w:rPr>
        <w:t>,</w:t>
      </w:r>
      <w:r w:rsidR="003D1A4F" w:rsidRPr="00495482">
        <w:rPr>
          <w:lang w:val="fr-FR"/>
        </w:rPr>
        <w:t xml:space="preserve"> </w:t>
      </w:r>
      <w:r w:rsidRPr="00495482">
        <w:rPr>
          <w:lang w:val="fr-FR"/>
        </w:rPr>
        <w:t>pour permettre la transférabilité entre les divers domaines et niveaux d</w:t>
      </w:r>
      <w:r w:rsidR="005D0F0F" w:rsidRPr="00495482">
        <w:rPr>
          <w:lang w:val="fr-FR"/>
        </w:rPr>
        <w:t>’</w:t>
      </w:r>
      <w:r w:rsidRPr="00495482">
        <w:rPr>
          <w:lang w:val="fr-FR"/>
        </w:rPr>
        <w:t>enseignement et de formation</w:t>
      </w:r>
      <w:r w:rsidR="005D0F0F" w:rsidRPr="00495482">
        <w:rPr>
          <w:lang w:val="fr-FR"/>
        </w:rPr>
        <w:t>,</w:t>
      </w:r>
      <w:r w:rsidRPr="00495482">
        <w:rPr>
          <w:lang w:val="fr-FR"/>
        </w:rPr>
        <w:t xml:space="preserve"> et garantir la transparence dans la mise en œuvre des systèmes de certification. </w:t>
      </w:r>
    </w:p>
    <w:p w:rsidR="00317603" w:rsidRPr="00495482" w:rsidRDefault="00317603" w:rsidP="000700B3">
      <w:pPr>
        <w:pStyle w:val="H23G"/>
        <w:rPr>
          <w:lang w:val="fr-FR" w:eastAsia="sl-SI"/>
        </w:rPr>
      </w:pPr>
      <w:r w:rsidRPr="00495482">
        <w:rPr>
          <w:lang w:val="fr-FR" w:eastAsia="sl-SI"/>
        </w:rPr>
        <w:tab/>
      </w:r>
      <w:r w:rsidRPr="00495482">
        <w:rPr>
          <w:lang w:val="fr-FR" w:eastAsia="sl-SI"/>
        </w:rPr>
        <w:tab/>
        <w:t>Alphabétisation</w:t>
      </w:r>
    </w:p>
    <w:p w:rsidR="00317603" w:rsidRPr="00495482" w:rsidRDefault="00317603" w:rsidP="000700B3">
      <w:pPr>
        <w:pStyle w:val="SingleTxtG"/>
        <w:rPr>
          <w:lang w:val="fr-FR"/>
        </w:rPr>
      </w:pPr>
      <w:r w:rsidRPr="00495482">
        <w:rPr>
          <w:lang w:val="fr-FR"/>
        </w:rPr>
        <w:t>179.</w:t>
      </w:r>
      <w:r w:rsidRPr="00495482">
        <w:rPr>
          <w:lang w:val="fr-FR"/>
        </w:rPr>
        <w:tab/>
        <w:t>Divers programmes et mesures en faveur du développement de l</w:t>
      </w:r>
      <w:r w:rsidR="005D0F0F" w:rsidRPr="00495482">
        <w:rPr>
          <w:lang w:val="fr-FR"/>
        </w:rPr>
        <w:t>’</w:t>
      </w:r>
      <w:r w:rsidRPr="00495482">
        <w:rPr>
          <w:lang w:val="fr-FR"/>
        </w:rPr>
        <w:t xml:space="preserve">alphabétisation ont été envisagés pour en améliorer le niveau et atteindre les objectifs énoncés dans la stratégie nationale y relative. Deux projets sont actuellement mis en place grâce au financement du Fonds social européen. </w:t>
      </w:r>
    </w:p>
    <w:p w:rsidR="00317603" w:rsidRPr="00495482" w:rsidRDefault="00317603" w:rsidP="000700B3">
      <w:pPr>
        <w:pStyle w:val="H23G"/>
        <w:rPr>
          <w:lang w:val="fr-FR" w:eastAsia="sl-SI"/>
        </w:rPr>
      </w:pPr>
      <w:r w:rsidRPr="00495482">
        <w:rPr>
          <w:lang w:val="fr-FR" w:eastAsia="sl-SI"/>
        </w:rPr>
        <w:tab/>
      </w:r>
      <w:r w:rsidRPr="00495482">
        <w:rPr>
          <w:lang w:val="fr-FR" w:eastAsia="sl-SI"/>
        </w:rPr>
        <w:tab/>
        <w:t xml:space="preserve">Éducation des adultes </w:t>
      </w:r>
    </w:p>
    <w:p w:rsidR="00317603" w:rsidRPr="00495482" w:rsidRDefault="00317603" w:rsidP="000700B3">
      <w:pPr>
        <w:pStyle w:val="SingleTxtG"/>
        <w:rPr>
          <w:lang w:val="fr-FR"/>
        </w:rPr>
      </w:pPr>
      <w:r w:rsidRPr="00495482">
        <w:rPr>
          <w:lang w:val="fr-FR"/>
        </w:rPr>
        <w:t>180.</w:t>
      </w:r>
      <w:r w:rsidRPr="00495482">
        <w:rPr>
          <w:lang w:val="fr-FR"/>
        </w:rPr>
        <w:tab/>
        <w:t>Les compétences acquises par les adultes sont une part essentielle de la résolution sur le</w:t>
      </w:r>
      <w:r w:rsidR="003D1A4F" w:rsidRPr="00495482">
        <w:rPr>
          <w:lang w:val="fr-FR"/>
        </w:rPr>
        <w:t xml:space="preserve"> </w:t>
      </w:r>
      <w:r w:rsidRPr="00495482">
        <w:rPr>
          <w:lang w:val="fr-FR"/>
        </w:rPr>
        <w:t>programme national d</w:t>
      </w:r>
      <w:r w:rsidR="005D0F0F" w:rsidRPr="00495482">
        <w:rPr>
          <w:lang w:val="fr-FR"/>
        </w:rPr>
        <w:t>’</w:t>
      </w:r>
      <w:r w:rsidRPr="00495482">
        <w:rPr>
          <w:lang w:val="fr-FR"/>
        </w:rPr>
        <w:t>éducation des adultes pour la période 2004</w:t>
      </w:r>
      <w:r w:rsidR="00206984">
        <w:rPr>
          <w:lang w:val="fr-FR"/>
        </w:rPr>
        <w:t xml:space="preserve"> – </w:t>
      </w:r>
      <w:r w:rsidRPr="00495482">
        <w:rPr>
          <w:lang w:val="fr-FR"/>
        </w:rPr>
        <w:t>2010 qui</w:t>
      </w:r>
      <w:r w:rsidR="003D1A4F" w:rsidRPr="00495482">
        <w:rPr>
          <w:lang w:val="fr-FR"/>
        </w:rPr>
        <w:t xml:space="preserve"> </w:t>
      </w:r>
      <w:r w:rsidRPr="00495482">
        <w:rPr>
          <w:lang w:val="fr-FR"/>
        </w:rPr>
        <w:t>énonce les objectifs suivants</w:t>
      </w:r>
      <w:r w:rsidR="005D0F0F" w:rsidRPr="00495482">
        <w:rPr>
          <w:lang w:val="fr-FR"/>
        </w:rPr>
        <w:t>:</w:t>
      </w:r>
    </w:p>
    <w:p w:rsidR="00317603" w:rsidRPr="00495482" w:rsidRDefault="000700B3" w:rsidP="000700B3">
      <w:pPr>
        <w:pStyle w:val="Bullet1G"/>
        <w:rPr>
          <w:szCs w:val="22"/>
          <w:lang w:val="fr-FR" w:eastAsia="sl-SI"/>
        </w:rPr>
      </w:pPr>
      <w:r w:rsidRPr="00495482">
        <w:rPr>
          <w:lang w:val="fr-FR" w:eastAsia="sl-SI"/>
        </w:rPr>
        <w:t>Améliorer l</w:t>
      </w:r>
      <w:r w:rsidR="005D0F0F" w:rsidRPr="00495482">
        <w:rPr>
          <w:lang w:val="fr-FR" w:eastAsia="sl-SI"/>
        </w:rPr>
        <w:t>’</w:t>
      </w:r>
      <w:r w:rsidR="00317603" w:rsidRPr="00495482">
        <w:rPr>
          <w:lang w:val="fr-FR" w:eastAsia="sl-SI"/>
        </w:rPr>
        <w:t>enseignement général des adultes</w:t>
      </w:r>
      <w:r w:rsidR="005D0F0F" w:rsidRPr="00495482">
        <w:rPr>
          <w:lang w:val="fr-FR" w:eastAsia="sl-SI"/>
        </w:rPr>
        <w:t>,</w:t>
      </w:r>
      <w:r w:rsidR="00317603" w:rsidRPr="00495482">
        <w:rPr>
          <w:lang w:val="fr-FR" w:eastAsia="sl-SI"/>
        </w:rPr>
        <w:t xml:space="preserve"> </w:t>
      </w:r>
    </w:p>
    <w:p w:rsidR="00317603" w:rsidRPr="00495482" w:rsidRDefault="000700B3" w:rsidP="000700B3">
      <w:pPr>
        <w:pStyle w:val="Bullet1G"/>
        <w:rPr>
          <w:szCs w:val="22"/>
          <w:lang w:val="fr-FR" w:eastAsia="sl-SI"/>
        </w:rPr>
      </w:pPr>
      <w:r w:rsidRPr="00495482">
        <w:rPr>
          <w:lang w:val="fr-FR" w:eastAsia="sl-SI"/>
        </w:rPr>
        <w:t>Relever le niveau de l</w:t>
      </w:r>
      <w:r w:rsidR="005D0F0F" w:rsidRPr="00495482">
        <w:rPr>
          <w:lang w:val="fr-FR" w:eastAsia="sl-SI"/>
        </w:rPr>
        <w:t>’</w:t>
      </w:r>
      <w:r w:rsidR="00317603" w:rsidRPr="00495482">
        <w:rPr>
          <w:lang w:val="fr-FR" w:eastAsia="sl-SI"/>
        </w:rPr>
        <w:t>enseignement en fixant pour norme de base l</w:t>
      </w:r>
      <w:r w:rsidR="005D0F0F" w:rsidRPr="00495482">
        <w:rPr>
          <w:lang w:val="fr-FR" w:eastAsia="sl-SI"/>
        </w:rPr>
        <w:t>’</w:t>
      </w:r>
      <w:r w:rsidR="00317603" w:rsidRPr="00495482">
        <w:rPr>
          <w:lang w:val="fr-FR" w:eastAsia="sl-SI"/>
        </w:rPr>
        <w:t>achèvement d</w:t>
      </w:r>
      <w:r w:rsidR="005D0F0F" w:rsidRPr="00495482">
        <w:rPr>
          <w:lang w:val="fr-FR" w:eastAsia="sl-SI"/>
        </w:rPr>
        <w:t>’</w:t>
      </w:r>
      <w:r w:rsidR="00317603" w:rsidRPr="00495482">
        <w:rPr>
          <w:lang w:val="fr-FR" w:eastAsia="sl-SI"/>
        </w:rPr>
        <w:t>au moins 12 années d</w:t>
      </w:r>
      <w:r w:rsidR="005D0F0F" w:rsidRPr="00495482">
        <w:rPr>
          <w:lang w:val="fr-FR" w:eastAsia="sl-SI"/>
        </w:rPr>
        <w:t>’</w:t>
      </w:r>
      <w:r w:rsidR="00317603" w:rsidRPr="00495482">
        <w:rPr>
          <w:lang w:val="fr-FR" w:eastAsia="sl-SI"/>
        </w:rPr>
        <w:t>enseignement</w:t>
      </w:r>
      <w:r w:rsidR="005D0F0F" w:rsidRPr="00495482">
        <w:rPr>
          <w:lang w:val="fr-FR" w:eastAsia="sl-SI"/>
        </w:rPr>
        <w:t>,</w:t>
      </w:r>
    </w:p>
    <w:p w:rsidR="00317603" w:rsidRPr="00495482" w:rsidRDefault="000700B3" w:rsidP="000700B3">
      <w:pPr>
        <w:pStyle w:val="Bullet1G"/>
        <w:rPr>
          <w:szCs w:val="22"/>
          <w:lang w:val="fr-FR" w:eastAsia="sl-SI"/>
        </w:rPr>
      </w:pPr>
      <w:r w:rsidRPr="00495482">
        <w:rPr>
          <w:lang w:val="fr-FR" w:eastAsia="sl-SI"/>
        </w:rPr>
        <w:t>Accroître les capacités d</w:t>
      </w:r>
      <w:r w:rsidR="005D0F0F" w:rsidRPr="00495482">
        <w:rPr>
          <w:lang w:val="fr-FR" w:eastAsia="sl-SI"/>
        </w:rPr>
        <w:t>’</w:t>
      </w:r>
      <w:r w:rsidR="00317603" w:rsidRPr="00495482">
        <w:rPr>
          <w:lang w:val="fr-FR" w:eastAsia="sl-SI"/>
        </w:rPr>
        <w:t>emploi</w:t>
      </w:r>
      <w:r w:rsidR="005D0F0F" w:rsidRPr="00495482">
        <w:rPr>
          <w:lang w:val="fr-FR" w:eastAsia="sl-SI"/>
        </w:rPr>
        <w:t>,</w:t>
      </w:r>
    </w:p>
    <w:p w:rsidR="00317603" w:rsidRPr="00495482" w:rsidRDefault="000700B3" w:rsidP="000700B3">
      <w:pPr>
        <w:pStyle w:val="Bullet1G"/>
        <w:rPr>
          <w:szCs w:val="22"/>
          <w:lang w:val="fr-FR" w:eastAsia="sl-SI"/>
        </w:rPr>
      </w:pPr>
      <w:r w:rsidRPr="00495482">
        <w:rPr>
          <w:lang w:val="fr-FR" w:eastAsia="sl-SI"/>
        </w:rPr>
        <w:t>Développer les p</w:t>
      </w:r>
      <w:r w:rsidR="00317603" w:rsidRPr="00495482">
        <w:rPr>
          <w:lang w:val="fr-FR" w:eastAsia="sl-SI"/>
        </w:rPr>
        <w:t>ossibilités d</w:t>
      </w:r>
      <w:r w:rsidR="005D0F0F" w:rsidRPr="00495482">
        <w:rPr>
          <w:lang w:val="fr-FR" w:eastAsia="sl-SI"/>
        </w:rPr>
        <w:t>’</w:t>
      </w:r>
      <w:r w:rsidR="00317603" w:rsidRPr="00495482">
        <w:rPr>
          <w:lang w:val="fr-FR" w:eastAsia="sl-SI"/>
        </w:rPr>
        <w:t>apprentissage et l</w:t>
      </w:r>
      <w:r w:rsidR="005D0F0F" w:rsidRPr="00495482">
        <w:rPr>
          <w:lang w:val="fr-FR" w:eastAsia="sl-SI"/>
        </w:rPr>
        <w:t>’</w:t>
      </w:r>
      <w:r w:rsidR="00317603" w:rsidRPr="00495482">
        <w:rPr>
          <w:lang w:val="fr-FR" w:eastAsia="sl-SI"/>
        </w:rPr>
        <w:t>intégration dans l</w:t>
      </w:r>
      <w:r w:rsidR="005D0F0F" w:rsidRPr="00495482">
        <w:rPr>
          <w:lang w:val="fr-FR" w:eastAsia="sl-SI"/>
        </w:rPr>
        <w:t>’</w:t>
      </w:r>
      <w:r w:rsidR="00317603" w:rsidRPr="00495482">
        <w:rPr>
          <w:lang w:val="fr-FR" w:eastAsia="sl-SI"/>
        </w:rPr>
        <w:t>éducation.</w:t>
      </w:r>
      <w:r w:rsidR="003D1A4F" w:rsidRPr="00495482">
        <w:rPr>
          <w:lang w:val="fr-FR" w:eastAsia="sl-SI"/>
        </w:rPr>
        <w:t xml:space="preserve"> </w:t>
      </w:r>
    </w:p>
    <w:p w:rsidR="00317603" w:rsidRPr="00495482" w:rsidRDefault="00317603" w:rsidP="000700B3">
      <w:pPr>
        <w:pStyle w:val="H23G"/>
        <w:rPr>
          <w:iCs/>
          <w:lang w:val="fr-FR" w:eastAsia="sl-SI"/>
        </w:rPr>
      </w:pPr>
      <w:r w:rsidRPr="00495482">
        <w:rPr>
          <w:lang w:val="fr-FR" w:eastAsia="sl-SI"/>
        </w:rPr>
        <w:tab/>
      </w:r>
      <w:r w:rsidRPr="00495482">
        <w:rPr>
          <w:lang w:val="fr-FR" w:eastAsia="sl-SI"/>
        </w:rPr>
        <w:tab/>
        <w:t>Égalité des sexes</w:t>
      </w:r>
    </w:p>
    <w:p w:rsidR="00317603" w:rsidRPr="00495482" w:rsidRDefault="00317603" w:rsidP="000700B3">
      <w:pPr>
        <w:pStyle w:val="SingleTxtG"/>
        <w:rPr>
          <w:sz w:val="22"/>
          <w:szCs w:val="22"/>
          <w:lang w:val="fr-FR" w:eastAsia="sl-SI"/>
        </w:rPr>
      </w:pPr>
      <w:r w:rsidRPr="00495482">
        <w:rPr>
          <w:lang w:val="fr-FR" w:eastAsia="sl-SI"/>
        </w:rPr>
        <w:t>181.</w:t>
      </w:r>
      <w:r w:rsidRPr="00495482">
        <w:rPr>
          <w:lang w:val="fr-FR" w:eastAsia="sl-SI"/>
        </w:rPr>
        <w:tab/>
      </w:r>
      <w:r w:rsidRPr="00495482">
        <w:rPr>
          <w:lang w:val="fr-FR"/>
        </w:rPr>
        <w:t>En vertu de la résolution sur le programme national pour l</w:t>
      </w:r>
      <w:r w:rsidR="005D0F0F" w:rsidRPr="00495482">
        <w:rPr>
          <w:lang w:val="fr-FR"/>
        </w:rPr>
        <w:t>’</w:t>
      </w:r>
      <w:r w:rsidRPr="00495482">
        <w:rPr>
          <w:lang w:val="fr-FR"/>
        </w:rPr>
        <w:t>égalité des chances entre les hommes et les femmes 2005-2013</w:t>
      </w:r>
      <w:r w:rsidRPr="00495482">
        <w:rPr>
          <w:rStyle w:val="FootnoteReference"/>
        </w:rPr>
        <w:footnoteReference w:id="92"/>
      </w:r>
      <w:r w:rsidR="005D0F0F" w:rsidRPr="00495482">
        <w:rPr>
          <w:lang w:val="fr-FR"/>
        </w:rPr>
        <w:t>,</w:t>
      </w:r>
      <w:r w:rsidR="003D1A4F" w:rsidRPr="00495482">
        <w:rPr>
          <w:lang w:val="fr-FR"/>
        </w:rPr>
        <w:t xml:space="preserve"> </w:t>
      </w:r>
      <w:r w:rsidRPr="00495482">
        <w:rPr>
          <w:lang w:val="fr-FR"/>
        </w:rPr>
        <w:t>la question de l</w:t>
      </w:r>
      <w:r w:rsidR="005D0F0F" w:rsidRPr="00495482">
        <w:rPr>
          <w:lang w:val="fr-FR"/>
        </w:rPr>
        <w:t>’</w:t>
      </w:r>
      <w:r w:rsidRPr="00495482">
        <w:rPr>
          <w:lang w:val="fr-FR"/>
        </w:rPr>
        <w:t>égalité des sexes devrait être intégrée à tous les niveaux du système éducatif</w:t>
      </w:r>
      <w:r w:rsidR="005D0F0F" w:rsidRPr="00495482">
        <w:rPr>
          <w:lang w:val="fr-FR"/>
        </w:rPr>
        <w:t>,</w:t>
      </w:r>
      <w:r w:rsidRPr="00495482">
        <w:rPr>
          <w:lang w:val="fr-FR"/>
        </w:rPr>
        <w:t xml:space="preserve"> à savoir également dans les programmes et matériels d</w:t>
      </w:r>
      <w:r w:rsidR="005D0F0F" w:rsidRPr="00495482">
        <w:rPr>
          <w:lang w:val="fr-FR"/>
        </w:rPr>
        <w:t>’</w:t>
      </w:r>
      <w:r w:rsidRPr="00495482">
        <w:rPr>
          <w:lang w:val="fr-FR"/>
        </w:rPr>
        <w:t>apprentissage</w:t>
      </w:r>
      <w:r w:rsidR="005D0F0F" w:rsidRPr="00495482">
        <w:rPr>
          <w:lang w:val="fr-FR"/>
        </w:rPr>
        <w:t>,</w:t>
      </w:r>
      <w:r w:rsidRPr="00495482">
        <w:rPr>
          <w:lang w:val="fr-FR"/>
        </w:rPr>
        <w:t xml:space="preserve"> comme dans les programmes de formation des enseignants</w:t>
      </w:r>
      <w:r w:rsidR="005D0F0F" w:rsidRPr="00495482">
        <w:rPr>
          <w:lang w:val="fr-FR"/>
        </w:rPr>
        <w:t>,</w:t>
      </w:r>
      <w:r w:rsidRPr="00495482">
        <w:rPr>
          <w:lang w:val="fr-FR"/>
        </w:rPr>
        <w:t xml:space="preserve"> et au niveau des sessions d</w:t>
      </w:r>
      <w:r w:rsidR="005D0F0F" w:rsidRPr="00495482">
        <w:rPr>
          <w:lang w:val="fr-FR"/>
        </w:rPr>
        <w:t>’</w:t>
      </w:r>
      <w:r w:rsidRPr="00495482">
        <w:rPr>
          <w:lang w:val="fr-FR"/>
        </w:rPr>
        <w:t>éducation et de formation continue des professionnels de l</w:t>
      </w:r>
      <w:r w:rsidR="005D0F0F" w:rsidRPr="00495482">
        <w:rPr>
          <w:lang w:val="fr-FR"/>
        </w:rPr>
        <w:t>’</w:t>
      </w:r>
      <w:r w:rsidRPr="00495482">
        <w:rPr>
          <w:lang w:val="fr-FR"/>
        </w:rPr>
        <w:t xml:space="preserve">éducation. </w:t>
      </w:r>
    </w:p>
    <w:p w:rsidR="00317603" w:rsidRPr="00495482" w:rsidRDefault="00317603" w:rsidP="000700B3">
      <w:pPr>
        <w:pStyle w:val="H23G"/>
        <w:rPr>
          <w:lang w:val="fr-FR" w:eastAsia="sl-SI"/>
        </w:rPr>
      </w:pPr>
      <w:r w:rsidRPr="00495482">
        <w:rPr>
          <w:lang w:val="fr-FR" w:eastAsia="sl-SI"/>
        </w:rPr>
        <w:tab/>
      </w:r>
      <w:r w:rsidRPr="00495482">
        <w:rPr>
          <w:lang w:val="fr-FR" w:eastAsia="sl-SI"/>
        </w:rPr>
        <w:tab/>
        <w:t>Intégration dans le système éducatif slovène des demandeurs et des bénéficiaires de la protection internationale</w:t>
      </w:r>
      <w:r w:rsidR="003D1A4F" w:rsidRPr="00495482">
        <w:rPr>
          <w:lang w:val="fr-FR" w:eastAsia="sl-SI"/>
        </w:rPr>
        <w:t xml:space="preserve"> </w:t>
      </w:r>
    </w:p>
    <w:p w:rsidR="00317603" w:rsidRPr="00495482" w:rsidRDefault="00317603" w:rsidP="000700B3">
      <w:pPr>
        <w:pStyle w:val="SingleTxtG"/>
        <w:rPr>
          <w:lang w:val="fr-FR" w:eastAsia="sl-SI"/>
        </w:rPr>
      </w:pPr>
      <w:r w:rsidRPr="00495482">
        <w:rPr>
          <w:lang w:val="fr-FR" w:eastAsia="sl-SI"/>
        </w:rPr>
        <w:t>182.</w:t>
      </w:r>
      <w:r w:rsidRPr="00495482">
        <w:rPr>
          <w:lang w:val="fr-FR" w:eastAsia="sl-SI"/>
        </w:rPr>
        <w:tab/>
        <w:t>Conformément aux règles régissant l</w:t>
      </w:r>
      <w:r w:rsidR="005D0F0F" w:rsidRPr="00495482">
        <w:rPr>
          <w:lang w:val="fr-FR" w:eastAsia="sl-SI"/>
        </w:rPr>
        <w:t>’</w:t>
      </w:r>
      <w:r w:rsidRPr="00495482">
        <w:rPr>
          <w:lang w:val="fr-FR" w:eastAsia="sl-SI"/>
        </w:rPr>
        <w:t>enseignement primaire obligatoire</w:t>
      </w:r>
      <w:r w:rsidR="005D0F0F" w:rsidRPr="00495482">
        <w:rPr>
          <w:lang w:val="fr-FR" w:eastAsia="sl-SI"/>
        </w:rPr>
        <w:t>,</w:t>
      </w:r>
      <w:r w:rsidRPr="00495482">
        <w:rPr>
          <w:lang w:val="fr-FR" w:eastAsia="sl-SI"/>
        </w:rPr>
        <w:t xml:space="preserve"> les demandeurs et les bénéficiaires de la protection internationale ont droit à l</w:t>
      </w:r>
      <w:r w:rsidR="005D0F0F" w:rsidRPr="00495482">
        <w:rPr>
          <w:lang w:val="fr-FR" w:eastAsia="sl-SI"/>
        </w:rPr>
        <w:t>’</w:t>
      </w:r>
      <w:r w:rsidRPr="00495482">
        <w:rPr>
          <w:lang w:val="fr-FR" w:eastAsia="sl-SI"/>
        </w:rPr>
        <w:t>enseignement primaire. Les demandeurs de protection internationale ont également accès à l</w:t>
      </w:r>
      <w:r w:rsidR="005D0F0F" w:rsidRPr="00495482">
        <w:rPr>
          <w:lang w:val="fr-FR" w:eastAsia="sl-SI"/>
        </w:rPr>
        <w:t>’</w:t>
      </w:r>
      <w:r w:rsidRPr="00495482">
        <w:rPr>
          <w:lang w:val="fr-FR" w:eastAsia="sl-SI"/>
        </w:rPr>
        <w:t>enseignement dans les établissements secondaires et professionnels</w:t>
      </w:r>
      <w:r w:rsidR="005D0F0F" w:rsidRPr="00495482">
        <w:rPr>
          <w:lang w:val="fr-FR" w:eastAsia="sl-SI"/>
        </w:rPr>
        <w:t>,</w:t>
      </w:r>
      <w:r w:rsidRPr="00495482">
        <w:rPr>
          <w:lang w:val="fr-FR" w:eastAsia="sl-SI"/>
        </w:rPr>
        <w:t xml:space="preserve"> et à l</w:t>
      </w:r>
      <w:r w:rsidR="005D0F0F" w:rsidRPr="00495482">
        <w:rPr>
          <w:lang w:val="fr-FR" w:eastAsia="sl-SI"/>
        </w:rPr>
        <w:t>’</w:t>
      </w:r>
      <w:r w:rsidRPr="00495482">
        <w:rPr>
          <w:lang w:val="fr-FR" w:eastAsia="sl-SI"/>
        </w:rPr>
        <w:t>enseignement supérieur et universitaire</w:t>
      </w:r>
      <w:r w:rsidR="005D0F0F" w:rsidRPr="00495482">
        <w:rPr>
          <w:lang w:val="fr-FR" w:eastAsia="sl-SI"/>
        </w:rPr>
        <w:t>,</w:t>
      </w:r>
      <w:r w:rsidRPr="00495482">
        <w:rPr>
          <w:lang w:val="fr-FR" w:eastAsia="sl-SI"/>
        </w:rPr>
        <w:t xml:space="preserve"> dans les mêmes conditions que les Slovènes. Les</w:t>
      </w:r>
      <w:r w:rsidR="00890E0F">
        <w:rPr>
          <w:lang w:val="fr-FR" w:eastAsia="sl-SI"/>
        </w:rPr>
        <w:t xml:space="preserve"> </w:t>
      </w:r>
      <w:r w:rsidR="002328BD" w:rsidRPr="00495482">
        <w:rPr>
          <w:lang w:val="fr-FR" w:eastAsia="sl-SI"/>
        </w:rPr>
        <w:t>personnes</w:t>
      </w:r>
      <w:r w:rsidRPr="00495482">
        <w:rPr>
          <w:lang w:val="fr-FR" w:eastAsia="sl-SI"/>
        </w:rPr>
        <w:t xml:space="preserve"> bénéficiant de la protection internationale officielle sont</w:t>
      </w:r>
      <w:r w:rsidR="005D0F0F" w:rsidRPr="00495482">
        <w:rPr>
          <w:lang w:val="fr-FR" w:eastAsia="sl-SI"/>
        </w:rPr>
        <w:t>,</w:t>
      </w:r>
      <w:r w:rsidRPr="00495482">
        <w:rPr>
          <w:lang w:val="fr-FR" w:eastAsia="sl-SI"/>
        </w:rPr>
        <w:t xml:space="preserve"> dans le domaine de l</w:t>
      </w:r>
      <w:r w:rsidR="005D0F0F" w:rsidRPr="00495482">
        <w:rPr>
          <w:lang w:val="fr-FR" w:eastAsia="sl-SI"/>
        </w:rPr>
        <w:t>’</w:t>
      </w:r>
      <w:r w:rsidRPr="00495482">
        <w:rPr>
          <w:lang w:val="fr-FR" w:eastAsia="sl-SI"/>
        </w:rPr>
        <w:t>enseignement préscolaire</w:t>
      </w:r>
      <w:r w:rsidR="005D0F0F" w:rsidRPr="00495482">
        <w:rPr>
          <w:lang w:val="fr-FR" w:eastAsia="sl-SI"/>
        </w:rPr>
        <w:t>,</w:t>
      </w:r>
      <w:r w:rsidRPr="00495482">
        <w:rPr>
          <w:lang w:val="fr-FR" w:eastAsia="sl-SI"/>
        </w:rPr>
        <w:t xml:space="preserve"> primaire</w:t>
      </w:r>
      <w:r w:rsidR="005D0F0F" w:rsidRPr="00495482">
        <w:rPr>
          <w:lang w:val="fr-FR" w:eastAsia="sl-SI"/>
        </w:rPr>
        <w:t>,</w:t>
      </w:r>
      <w:r w:rsidRPr="00495482">
        <w:rPr>
          <w:lang w:val="fr-FR" w:eastAsia="sl-SI"/>
        </w:rPr>
        <w:t xml:space="preserve"> secondaire</w:t>
      </w:r>
      <w:r w:rsidR="005D0F0F" w:rsidRPr="00495482">
        <w:rPr>
          <w:lang w:val="fr-FR" w:eastAsia="sl-SI"/>
        </w:rPr>
        <w:t>,</w:t>
      </w:r>
      <w:r w:rsidRPr="00495482">
        <w:rPr>
          <w:lang w:val="fr-FR" w:eastAsia="sl-SI"/>
        </w:rPr>
        <w:t xml:space="preserve"> supérieur et universitaire</w:t>
      </w:r>
      <w:r w:rsidR="005D0F0F" w:rsidRPr="00495482">
        <w:rPr>
          <w:lang w:val="fr-FR" w:eastAsia="sl-SI"/>
        </w:rPr>
        <w:t>,</w:t>
      </w:r>
      <w:r w:rsidRPr="00495482">
        <w:rPr>
          <w:lang w:val="fr-FR" w:eastAsia="sl-SI"/>
        </w:rPr>
        <w:t xml:space="preserve"> traitées comme des citoyens slovènes. Le Ministère de l</w:t>
      </w:r>
      <w:r w:rsidR="005D0F0F" w:rsidRPr="00495482">
        <w:rPr>
          <w:lang w:val="fr-FR" w:eastAsia="sl-SI"/>
        </w:rPr>
        <w:t>’</w:t>
      </w:r>
      <w:r w:rsidRPr="00495482">
        <w:rPr>
          <w:lang w:val="fr-FR" w:eastAsia="sl-SI"/>
        </w:rPr>
        <w:t>intérieur organise à l</w:t>
      </w:r>
      <w:r w:rsidR="005D0F0F" w:rsidRPr="00495482">
        <w:rPr>
          <w:lang w:val="fr-FR" w:eastAsia="sl-SI"/>
        </w:rPr>
        <w:t>’</w:t>
      </w:r>
      <w:r w:rsidRPr="00495482">
        <w:rPr>
          <w:lang w:val="fr-FR" w:eastAsia="sl-SI"/>
        </w:rPr>
        <w:t>intention des demandeurs de protection internationale une préparation à l</w:t>
      </w:r>
      <w:r w:rsidR="005D0F0F" w:rsidRPr="00495482">
        <w:rPr>
          <w:lang w:val="fr-FR" w:eastAsia="sl-SI"/>
        </w:rPr>
        <w:t>’</w:t>
      </w:r>
      <w:r w:rsidRPr="00495482">
        <w:rPr>
          <w:lang w:val="fr-FR" w:eastAsia="sl-SI"/>
        </w:rPr>
        <w:t>entrée dans le système éducatif et il leur procure des fournitures scolaires.</w:t>
      </w:r>
      <w:r w:rsidR="003D1A4F" w:rsidRPr="00495482">
        <w:rPr>
          <w:lang w:val="fr-FR" w:eastAsia="sl-SI"/>
        </w:rPr>
        <w:t xml:space="preserve"> </w:t>
      </w:r>
      <w:r w:rsidRPr="00495482">
        <w:rPr>
          <w:lang w:val="fr-FR" w:eastAsia="sl-SI"/>
        </w:rPr>
        <w:t>En outre</w:t>
      </w:r>
      <w:r w:rsidR="005D0F0F" w:rsidRPr="00495482">
        <w:rPr>
          <w:lang w:val="fr-FR" w:eastAsia="sl-SI"/>
        </w:rPr>
        <w:t>,</w:t>
      </w:r>
      <w:r w:rsidRPr="00495482">
        <w:rPr>
          <w:lang w:val="fr-FR" w:eastAsia="sl-SI"/>
        </w:rPr>
        <w:t xml:space="preserve"> les organisations non gouvernementales apportent aux écoliers une aide quotidienne à l</w:t>
      </w:r>
      <w:r w:rsidR="005D0F0F" w:rsidRPr="00495482">
        <w:rPr>
          <w:lang w:val="fr-FR" w:eastAsia="sl-SI"/>
        </w:rPr>
        <w:t>’</w:t>
      </w:r>
      <w:r w:rsidRPr="00495482">
        <w:rPr>
          <w:lang w:val="fr-FR" w:eastAsia="sl-SI"/>
        </w:rPr>
        <w:t>apprentissage</w:t>
      </w:r>
      <w:r w:rsidR="005D0F0F" w:rsidRPr="00495482">
        <w:rPr>
          <w:lang w:val="fr-FR" w:eastAsia="sl-SI"/>
        </w:rPr>
        <w:t>,</w:t>
      </w:r>
      <w:r w:rsidRPr="00495482">
        <w:rPr>
          <w:lang w:val="fr-FR" w:eastAsia="sl-SI"/>
        </w:rPr>
        <w:t xml:space="preserve"> dans le cadre de projets financés par le Fonds européen pour les réfugiés.</w:t>
      </w:r>
      <w:r w:rsidR="003D1A4F" w:rsidRPr="00495482">
        <w:rPr>
          <w:lang w:val="fr-FR" w:eastAsia="sl-SI"/>
        </w:rPr>
        <w:t xml:space="preserve"> </w:t>
      </w:r>
    </w:p>
    <w:p w:rsidR="00317603" w:rsidRPr="00495482" w:rsidRDefault="00317603" w:rsidP="000700B3">
      <w:pPr>
        <w:pStyle w:val="H23G"/>
        <w:rPr>
          <w:lang w:val="fr-FR" w:eastAsia="sl-SI"/>
        </w:rPr>
      </w:pPr>
      <w:r w:rsidRPr="00495482">
        <w:rPr>
          <w:lang w:val="fr-FR" w:eastAsia="sl-SI"/>
        </w:rPr>
        <w:tab/>
      </w:r>
      <w:r w:rsidRPr="00495482">
        <w:rPr>
          <w:lang w:val="fr-FR" w:eastAsia="sl-SI"/>
        </w:rPr>
        <w:tab/>
        <w:t>Prévenir l</w:t>
      </w:r>
      <w:r w:rsidR="005D0F0F" w:rsidRPr="00495482">
        <w:rPr>
          <w:lang w:val="fr-FR" w:eastAsia="sl-SI"/>
        </w:rPr>
        <w:t>’</w:t>
      </w:r>
      <w:r w:rsidRPr="00495482">
        <w:rPr>
          <w:lang w:val="fr-FR" w:eastAsia="sl-SI"/>
        </w:rPr>
        <w:t>abandon scolaire</w:t>
      </w:r>
    </w:p>
    <w:p w:rsidR="00317603" w:rsidRPr="00495482" w:rsidRDefault="00317603" w:rsidP="000700B3">
      <w:pPr>
        <w:pStyle w:val="SingleTxtG"/>
        <w:rPr>
          <w:lang w:val="fr-FR"/>
        </w:rPr>
      </w:pPr>
      <w:r w:rsidRPr="00495482">
        <w:rPr>
          <w:lang w:val="fr-FR"/>
        </w:rPr>
        <w:t>183.</w:t>
      </w:r>
      <w:r w:rsidRPr="00495482">
        <w:rPr>
          <w:lang w:val="fr-FR"/>
        </w:rPr>
        <w:tab/>
        <w:t>La prévention de l</w:t>
      </w:r>
      <w:r w:rsidR="005D0F0F" w:rsidRPr="00495482">
        <w:rPr>
          <w:lang w:val="fr-FR"/>
        </w:rPr>
        <w:t>’</w:t>
      </w:r>
      <w:r w:rsidRPr="00495482">
        <w:rPr>
          <w:lang w:val="fr-FR"/>
        </w:rPr>
        <w:t>abandon scolaire s</w:t>
      </w:r>
      <w:r w:rsidR="005D0F0F" w:rsidRPr="00495482">
        <w:rPr>
          <w:lang w:val="fr-FR"/>
        </w:rPr>
        <w:t>’</w:t>
      </w:r>
      <w:r w:rsidRPr="00495482">
        <w:rPr>
          <w:lang w:val="fr-FR"/>
        </w:rPr>
        <w:t>inscrit dans le cadre des activités d</w:t>
      </w:r>
      <w:r w:rsidR="005D0F0F" w:rsidRPr="00495482">
        <w:rPr>
          <w:lang w:val="fr-FR"/>
        </w:rPr>
        <w:t>’</w:t>
      </w:r>
      <w:r w:rsidRPr="00495482">
        <w:rPr>
          <w:lang w:val="fr-FR"/>
        </w:rPr>
        <w:t>orientation tout au long de la vie. De nouveaux dispositifs ont été mis en place en Slovénie au cours des dernières années pour aider les jeunes et les adultes en matière d</w:t>
      </w:r>
      <w:r w:rsidR="005D0F0F" w:rsidRPr="00495482">
        <w:rPr>
          <w:lang w:val="fr-FR"/>
        </w:rPr>
        <w:t>’</w:t>
      </w:r>
      <w:r w:rsidRPr="00495482">
        <w:rPr>
          <w:lang w:val="fr-FR"/>
        </w:rPr>
        <w:t>orientation professionnelle</w:t>
      </w:r>
      <w:r w:rsidR="005D0F0F" w:rsidRPr="00495482">
        <w:rPr>
          <w:lang w:val="fr-FR"/>
        </w:rPr>
        <w:t>,</w:t>
      </w:r>
      <w:r w:rsidRPr="00495482">
        <w:rPr>
          <w:lang w:val="fr-FR"/>
        </w:rPr>
        <w:t xml:space="preserve"> d</w:t>
      </w:r>
      <w:r w:rsidR="005D0F0F" w:rsidRPr="00495482">
        <w:rPr>
          <w:lang w:val="fr-FR"/>
        </w:rPr>
        <w:t>’</w:t>
      </w:r>
      <w:r w:rsidRPr="00495482">
        <w:rPr>
          <w:lang w:val="fr-FR"/>
        </w:rPr>
        <w:t>éducation</w:t>
      </w:r>
      <w:r w:rsidR="005D0F0F" w:rsidRPr="00495482">
        <w:rPr>
          <w:lang w:val="fr-FR"/>
        </w:rPr>
        <w:t>,</w:t>
      </w:r>
      <w:r w:rsidRPr="00495482">
        <w:rPr>
          <w:lang w:val="fr-FR"/>
        </w:rPr>
        <w:t xml:space="preserve"> d</w:t>
      </w:r>
      <w:r w:rsidR="005D0F0F" w:rsidRPr="00495482">
        <w:rPr>
          <w:lang w:val="fr-FR"/>
        </w:rPr>
        <w:t>’</w:t>
      </w:r>
      <w:r w:rsidRPr="00495482">
        <w:rPr>
          <w:lang w:val="fr-FR"/>
        </w:rPr>
        <w:t>apprentissage</w:t>
      </w:r>
      <w:r w:rsidR="005D0F0F" w:rsidRPr="00495482">
        <w:rPr>
          <w:lang w:val="fr-FR"/>
        </w:rPr>
        <w:t>,</w:t>
      </w:r>
      <w:r w:rsidRPr="00495482">
        <w:rPr>
          <w:lang w:val="fr-FR"/>
        </w:rPr>
        <w:t xml:space="preserve"> d</w:t>
      </w:r>
      <w:r w:rsidR="005D0F0F" w:rsidRPr="00495482">
        <w:rPr>
          <w:lang w:val="fr-FR"/>
        </w:rPr>
        <w:t>’</w:t>
      </w:r>
      <w:r w:rsidRPr="00495482">
        <w:rPr>
          <w:lang w:val="fr-FR"/>
        </w:rPr>
        <w:t>emploi et de développement personnel et professionnel</w:t>
      </w:r>
      <w:r w:rsidR="005D0F0F" w:rsidRPr="00495482">
        <w:rPr>
          <w:lang w:val="fr-FR"/>
        </w:rPr>
        <w:t>;</w:t>
      </w:r>
      <w:r w:rsidRPr="00495482">
        <w:rPr>
          <w:lang w:val="fr-FR"/>
        </w:rPr>
        <w:t xml:space="preserve"> ils ont pour objectif d</w:t>
      </w:r>
      <w:r w:rsidR="005D0F0F" w:rsidRPr="00495482">
        <w:rPr>
          <w:lang w:val="fr-FR"/>
        </w:rPr>
        <w:t>’</w:t>
      </w:r>
      <w:r w:rsidRPr="00495482">
        <w:rPr>
          <w:lang w:val="fr-FR"/>
        </w:rPr>
        <w:t>encourager l</w:t>
      </w:r>
      <w:r w:rsidR="005D0F0F" w:rsidRPr="00495482">
        <w:rPr>
          <w:lang w:val="fr-FR"/>
        </w:rPr>
        <w:t>’</w:t>
      </w:r>
      <w:r w:rsidRPr="00495482">
        <w:rPr>
          <w:lang w:val="fr-FR"/>
        </w:rPr>
        <w:t>apprentissage tout au long de la vie avec une stratégie d</w:t>
      </w:r>
      <w:r w:rsidR="005D0F0F" w:rsidRPr="00495482">
        <w:rPr>
          <w:lang w:val="fr-FR"/>
        </w:rPr>
        <w:t>’</w:t>
      </w:r>
      <w:r w:rsidRPr="00495482">
        <w:rPr>
          <w:lang w:val="fr-FR"/>
        </w:rPr>
        <w:t>orientation professionnelle cohérente et de qualité.</w:t>
      </w:r>
      <w:r w:rsidR="003D1A4F" w:rsidRPr="00495482">
        <w:rPr>
          <w:lang w:val="fr-FR"/>
        </w:rPr>
        <w:t xml:space="preserve"> </w:t>
      </w:r>
      <w:r w:rsidRPr="00495482">
        <w:rPr>
          <w:lang w:val="fr-FR"/>
        </w:rPr>
        <w:t>En décembre 2005</w:t>
      </w:r>
      <w:r w:rsidR="005D0F0F" w:rsidRPr="00495482">
        <w:rPr>
          <w:lang w:val="fr-FR"/>
        </w:rPr>
        <w:t>,</w:t>
      </w:r>
      <w:r w:rsidRPr="00495482">
        <w:rPr>
          <w:lang w:val="fr-FR"/>
        </w:rPr>
        <w:t xml:space="preserve"> le Forum national sur la politique d</w:t>
      </w:r>
      <w:r w:rsidR="005D0F0F" w:rsidRPr="00495482">
        <w:rPr>
          <w:lang w:val="fr-FR"/>
        </w:rPr>
        <w:t>’</w:t>
      </w:r>
      <w:r w:rsidRPr="00495482">
        <w:rPr>
          <w:lang w:val="fr-FR"/>
        </w:rPr>
        <w:t>orientation professionnelle a été créé et il a élaboré une proposition pour compléter le programme opérationnel du Fonds social européen dans le domaine du développement des ressources humaines 2007-2013. Le taux d</w:t>
      </w:r>
      <w:r w:rsidR="005D0F0F" w:rsidRPr="00495482">
        <w:rPr>
          <w:lang w:val="fr-FR"/>
        </w:rPr>
        <w:t>’</w:t>
      </w:r>
      <w:r w:rsidRPr="00495482">
        <w:rPr>
          <w:lang w:val="fr-FR"/>
        </w:rPr>
        <w:t>abandon scolaire en Slovénie est inférieur à celui des autres États membres de l</w:t>
      </w:r>
      <w:r w:rsidR="005D0F0F" w:rsidRPr="00495482">
        <w:rPr>
          <w:lang w:val="fr-FR"/>
        </w:rPr>
        <w:t>’</w:t>
      </w:r>
      <w:r w:rsidRPr="00495482">
        <w:rPr>
          <w:lang w:val="fr-FR"/>
        </w:rPr>
        <w:t>Union européenne. Les élèves qui ne sont pas en mesure d</w:t>
      </w:r>
      <w:r w:rsidR="005D0F0F" w:rsidRPr="00495482">
        <w:rPr>
          <w:lang w:val="fr-FR"/>
        </w:rPr>
        <w:t>’</w:t>
      </w:r>
      <w:r w:rsidRPr="00495482">
        <w:rPr>
          <w:lang w:val="fr-FR"/>
        </w:rPr>
        <w:t>achever avec succès leur cursus peuvent obtenir un certificat national de qualification professionnelle leur permettant d</w:t>
      </w:r>
      <w:r w:rsidR="005D0F0F" w:rsidRPr="00495482">
        <w:rPr>
          <w:lang w:val="fr-FR"/>
        </w:rPr>
        <w:t>’</w:t>
      </w:r>
      <w:r w:rsidRPr="00495482">
        <w:rPr>
          <w:lang w:val="fr-FR"/>
        </w:rPr>
        <w:t>intégrer le marché du travail. Avec l</w:t>
      </w:r>
      <w:r w:rsidR="005D0F0F" w:rsidRPr="00495482">
        <w:rPr>
          <w:lang w:val="fr-FR"/>
        </w:rPr>
        <w:t>’</w:t>
      </w:r>
      <w:r w:rsidRPr="00495482">
        <w:rPr>
          <w:lang w:val="fr-FR"/>
        </w:rPr>
        <w:t>aide du Fonds social européen</w:t>
      </w:r>
      <w:r w:rsidR="005D0F0F" w:rsidRPr="00495482">
        <w:rPr>
          <w:lang w:val="fr-FR"/>
        </w:rPr>
        <w:t>,</w:t>
      </w:r>
      <w:r w:rsidRPr="00495482">
        <w:rPr>
          <w:lang w:val="fr-FR"/>
        </w:rPr>
        <w:t xml:space="preserve"> des projets sont également financés pour réduire l</w:t>
      </w:r>
      <w:r w:rsidR="005D0F0F" w:rsidRPr="00495482">
        <w:rPr>
          <w:lang w:val="fr-FR"/>
        </w:rPr>
        <w:t>’</w:t>
      </w:r>
      <w:r w:rsidRPr="00495482">
        <w:rPr>
          <w:lang w:val="fr-FR"/>
        </w:rPr>
        <w:t>abandon en cours d</w:t>
      </w:r>
      <w:r w:rsidR="005D0F0F" w:rsidRPr="00495482">
        <w:rPr>
          <w:lang w:val="fr-FR"/>
        </w:rPr>
        <w:t>’</w:t>
      </w:r>
      <w:r w:rsidRPr="00495482">
        <w:rPr>
          <w:lang w:val="fr-FR"/>
        </w:rPr>
        <w:t>étude</w:t>
      </w:r>
      <w:r w:rsidR="005D0F0F" w:rsidRPr="00495482">
        <w:rPr>
          <w:lang w:val="fr-FR"/>
        </w:rPr>
        <w:t>,</w:t>
      </w:r>
      <w:r w:rsidRPr="00495482">
        <w:rPr>
          <w:lang w:val="fr-FR"/>
        </w:rPr>
        <w:t xml:space="preserve"> par exemple</w:t>
      </w:r>
      <w:r w:rsidR="005D0F0F" w:rsidRPr="00495482">
        <w:rPr>
          <w:lang w:val="fr-FR"/>
        </w:rPr>
        <w:t>,</w:t>
      </w:r>
      <w:r w:rsidRPr="00495482">
        <w:rPr>
          <w:lang w:val="fr-FR"/>
        </w:rPr>
        <w:t xml:space="preserve"> des mesures de prévention de l</w:t>
      </w:r>
      <w:r w:rsidR="005D0F0F" w:rsidRPr="00495482">
        <w:rPr>
          <w:lang w:val="fr-FR"/>
        </w:rPr>
        <w:t>’</w:t>
      </w:r>
      <w:r w:rsidRPr="00495482">
        <w:rPr>
          <w:lang w:val="fr-FR"/>
        </w:rPr>
        <w:t>abandon scolaire (projet PUPO)</w:t>
      </w:r>
      <w:r w:rsidR="005D0F0F" w:rsidRPr="00495482">
        <w:rPr>
          <w:lang w:val="fr-FR"/>
        </w:rPr>
        <w:t>,</w:t>
      </w:r>
      <w:r w:rsidRPr="00495482">
        <w:rPr>
          <w:lang w:val="fr-FR"/>
        </w:rPr>
        <w:t xml:space="preserve"> un projet d</w:t>
      </w:r>
      <w:r w:rsidR="005D0F0F" w:rsidRPr="00495482">
        <w:rPr>
          <w:lang w:val="fr-FR"/>
        </w:rPr>
        <w:t>’</w:t>
      </w:r>
      <w:r w:rsidRPr="00495482">
        <w:rPr>
          <w:lang w:val="fr-FR"/>
        </w:rPr>
        <w:t>activités d</w:t>
      </w:r>
      <w:r w:rsidR="005D0F0F" w:rsidRPr="00495482">
        <w:rPr>
          <w:lang w:val="fr-FR"/>
        </w:rPr>
        <w:t>’</w:t>
      </w:r>
      <w:r w:rsidRPr="00495482">
        <w:rPr>
          <w:lang w:val="fr-FR"/>
        </w:rPr>
        <w:t>information et de conseil au profit des jeunes (projet ISM)</w:t>
      </w:r>
      <w:r w:rsidR="005D0F0F" w:rsidRPr="00495482">
        <w:rPr>
          <w:lang w:val="fr-FR"/>
        </w:rPr>
        <w:t>,</w:t>
      </w:r>
      <w:r w:rsidRPr="00495482">
        <w:rPr>
          <w:lang w:val="fr-FR"/>
        </w:rPr>
        <w:t xml:space="preserve"> le programme PUM qui</w:t>
      </w:r>
      <w:r w:rsidR="005D0F0F" w:rsidRPr="00495482">
        <w:rPr>
          <w:lang w:val="fr-FR"/>
        </w:rPr>
        <w:t>,</w:t>
      </w:r>
      <w:r w:rsidRPr="00495482">
        <w:rPr>
          <w:lang w:val="fr-FR"/>
        </w:rPr>
        <w:t xml:space="preserve"> même s</w:t>
      </w:r>
      <w:r w:rsidR="005D0F0F" w:rsidRPr="00495482">
        <w:rPr>
          <w:lang w:val="fr-FR"/>
        </w:rPr>
        <w:t>’</w:t>
      </w:r>
      <w:r w:rsidRPr="00495482">
        <w:rPr>
          <w:lang w:val="fr-FR"/>
        </w:rPr>
        <w:t>il ne dispense pas un enseignement formel</w:t>
      </w:r>
      <w:r w:rsidR="005D0F0F" w:rsidRPr="00495482">
        <w:rPr>
          <w:lang w:val="fr-FR"/>
        </w:rPr>
        <w:t>,</w:t>
      </w:r>
      <w:r w:rsidRPr="00495482">
        <w:rPr>
          <w:lang w:val="fr-FR"/>
        </w:rPr>
        <w:t xml:space="preserve"> est destiné aux jeunes qui ont quitté le système scolaire et ont de grandes difficultés d</w:t>
      </w:r>
      <w:r w:rsidR="005D0F0F" w:rsidRPr="00495482">
        <w:rPr>
          <w:lang w:val="fr-FR"/>
        </w:rPr>
        <w:t>’</w:t>
      </w:r>
      <w:r w:rsidRPr="00495482">
        <w:rPr>
          <w:lang w:val="fr-FR"/>
        </w:rPr>
        <w:t>insertion</w:t>
      </w:r>
      <w:r w:rsidR="005D0F0F" w:rsidRPr="00495482">
        <w:rPr>
          <w:lang w:val="fr-FR"/>
        </w:rPr>
        <w:t>,</w:t>
      </w:r>
      <w:r w:rsidR="003D1A4F" w:rsidRPr="00495482">
        <w:rPr>
          <w:lang w:val="fr-FR"/>
        </w:rPr>
        <w:t xml:space="preserve"> </w:t>
      </w:r>
      <w:r w:rsidRPr="00495482">
        <w:rPr>
          <w:lang w:val="fr-FR"/>
        </w:rPr>
        <w:t>à la fois à l</w:t>
      </w:r>
      <w:r w:rsidR="005D0F0F" w:rsidRPr="00495482">
        <w:rPr>
          <w:lang w:val="fr-FR"/>
        </w:rPr>
        <w:t>’</w:t>
      </w:r>
      <w:r w:rsidRPr="00495482">
        <w:rPr>
          <w:lang w:val="fr-FR"/>
        </w:rPr>
        <w:t xml:space="preserve">école et dans le monde du travail (voir ci-dessus le </w:t>
      </w:r>
      <w:r w:rsidR="008825EC">
        <w:rPr>
          <w:lang w:val="fr-FR"/>
        </w:rPr>
        <w:t xml:space="preserve">paragraphe </w:t>
      </w:r>
      <w:r w:rsidRPr="00495482">
        <w:rPr>
          <w:lang w:val="fr-FR"/>
        </w:rPr>
        <w:t>consacré à l</w:t>
      </w:r>
      <w:r w:rsidR="005D0F0F" w:rsidRPr="00495482">
        <w:rPr>
          <w:lang w:val="fr-FR"/>
        </w:rPr>
        <w:t>’</w:t>
      </w:r>
      <w:r w:rsidRPr="00495482">
        <w:rPr>
          <w:lang w:val="fr-FR"/>
        </w:rPr>
        <w:t>éducation des adultes). Selon une étude d</w:t>
      </w:r>
      <w:r w:rsidR="005D0F0F" w:rsidRPr="00495482">
        <w:rPr>
          <w:lang w:val="fr-FR"/>
        </w:rPr>
        <w:t>’</w:t>
      </w:r>
      <w:r w:rsidRPr="00495482">
        <w:rPr>
          <w:lang w:val="fr-FR"/>
        </w:rPr>
        <w:t>évaluation du programme PUM</w:t>
      </w:r>
      <w:r w:rsidR="005D0F0F" w:rsidRPr="00495482">
        <w:rPr>
          <w:lang w:val="fr-FR"/>
        </w:rPr>
        <w:t>,</w:t>
      </w:r>
      <w:r w:rsidRPr="00495482">
        <w:rPr>
          <w:lang w:val="fr-FR"/>
        </w:rPr>
        <w:t xml:space="preserve"> 40</w:t>
      </w:r>
      <w:r w:rsidR="005D0F0F" w:rsidRPr="00495482">
        <w:rPr>
          <w:lang w:val="fr-FR"/>
        </w:rPr>
        <w:t>,</w:t>
      </w:r>
      <w:r w:rsidRPr="00495482">
        <w:rPr>
          <w:lang w:val="fr-FR"/>
        </w:rPr>
        <w:t>6% des participants sont inscrits à une forme d</w:t>
      </w:r>
      <w:r w:rsidR="005D0F0F" w:rsidRPr="00495482">
        <w:rPr>
          <w:lang w:val="fr-FR"/>
        </w:rPr>
        <w:t>’</w:t>
      </w:r>
      <w:r w:rsidRPr="00495482">
        <w:rPr>
          <w:lang w:val="fr-FR"/>
        </w:rPr>
        <w:t>enseignement un an ou plus après avoir achevé le programme</w:t>
      </w:r>
      <w:r w:rsidR="005D0F0F" w:rsidRPr="00495482">
        <w:rPr>
          <w:lang w:val="fr-FR"/>
        </w:rPr>
        <w:t>,</w:t>
      </w:r>
      <w:r w:rsidRPr="00495482">
        <w:rPr>
          <w:lang w:val="fr-FR"/>
        </w:rPr>
        <w:t xml:space="preserve"> et 23</w:t>
      </w:r>
      <w:r w:rsidR="005D0F0F" w:rsidRPr="00495482">
        <w:rPr>
          <w:lang w:val="fr-FR"/>
        </w:rPr>
        <w:t>,</w:t>
      </w:r>
      <w:r w:rsidRPr="00495482">
        <w:rPr>
          <w:lang w:val="fr-FR"/>
        </w:rPr>
        <w:t>7% ont des contrats de travail de courte durée ou permanents.</w:t>
      </w:r>
      <w:r w:rsidR="003D1A4F" w:rsidRPr="00495482">
        <w:rPr>
          <w:lang w:val="fr-FR"/>
        </w:rPr>
        <w:t xml:space="preserve"> </w:t>
      </w:r>
    </w:p>
    <w:p w:rsidR="00317603" w:rsidRPr="00495482" w:rsidRDefault="00317603" w:rsidP="000700B3">
      <w:pPr>
        <w:pStyle w:val="H1G"/>
        <w:rPr>
          <w:lang w:val="fr-FR" w:eastAsia="sl-SI"/>
        </w:rPr>
      </w:pPr>
      <w:r w:rsidRPr="00495482">
        <w:rPr>
          <w:lang w:val="fr-FR" w:eastAsia="sl-SI"/>
        </w:rPr>
        <w:tab/>
      </w:r>
      <w:r w:rsidRPr="00495482">
        <w:rPr>
          <w:lang w:val="fr-FR" w:eastAsia="sl-SI"/>
        </w:rPr>
        <w:tab/>
        <w:t>Article 15</w:t>
      </w:r>
      <w:r w:rsidR="000700B3">
        <w:rPr>
          <w:lang w:val="fr-FR" w:eastAsia="sl-SI"/>
        </w:rPr>
        <w:br/>
      </w:r>
      <w:r w:rsidRPr="00495482">
        <w:rPr>
          <w:lang w:val="fr-FR" w:eastAsia="sl-SI"/>
        </w:rPr>
        <w:t>Le droit de chacun de participer à la vie culturelle</w:t>
      </w:r>
      <w:r w:rsidR="005D0F0F" w:rsidRPr="00495482">
        <w:rPr>
          <w:lang w:val="fr-FR" w:eastAsia="sl-SI"/>
        </w:rPr>
        <w:t>,</w:t>
      </w:r>
      <w:r w:rsidRPr="00495482">
        <w:rPr>
          <w:lang w:val="fr-FR" w:eastAsia="sl-SI"/>
        </w:rPr>
        <w:t xml:space="preserve"> de bénéficier du progrès scientifique et de ses applications</w:t>
      </w:r>
      <w:r w:rsidR="005D0F0F" w:rsidRPr="00495482">
        <w:rPr>
          <w:lang w:val="fr-FR" w:eastAsia="sl-SI"/>
        </w:rPr>
        <w:t>,</w:t>
      </w:r>
      <w:r w:rsidRPr="00495482">
        <w:rPr>
          <w:lang w:val="fr-FR" w:eastAsia="sl-SI"/>
        </w:rPr>
        <w:t xml:space="preserve"> et de bénéficier de la protection des intérêts moraux et matériels découlant de toute production dont il est l</w:t>
      </w:r>
      <w:r w:rsidR="005D0F0F" w:rsidRPr="00495482">
        <w:rPr>
          <w:lang w:val="fr-FR" w:eastAsia="sl-SI"/>
        </w:rPr>
        <w:t>’</w:t>
      </w:r>
      <w:r w:rsidRPr="00495482">
        <w:rPr>
          <w:lang w:val="fr-FR" w:eastAsia="sl-SI"/>
        </w:rPr>
        <w:t xml:space="preserve">auteur </w:t>
      </w:r>
    </w:p>
    <w:p w:rsidR="00317603" w:rsidRPr="00495482" w:rsidRDefault="00317603" w:rsidP="000700B3">
      <w:pPr>
        <w:pStyle w:val="SingleTxtG"/>
        <w:rPr>
          <w:lang w:val="fr-FR"/>
        </w:rPr>
      </w:pPr>
      <w:r w:rsidRPr="00495482">
        <w:rPr>
          <w:lang w:val="fr-FR"/>
        </w:rPr>
        <w:t>184.</w:t>
      </w:r>
      <w:r w:rsidRPr="00495482">
        <w:rPr>
          <w:lang w:val="fr-FR"/>
        </w:rPr>
        <w:tab/>
        <w:t>L</w:t>
      </w:r>
      <w:r w:rsidR="005D0F0F" w:rsidRPr="00495482">
        <w:rPr>
          <w:lang w:val="fr-FR"/>
        </w:rPr>
        <w:t>’</w:t>
      </w:r>
      <w:r w:rsidR="002B054C">
        <w:rPr>
          <w:lang w:val="fr-FR"/>
        </w:rPr>
        <w:t>a</w:t>
      </w:r>
      <w:r w:rsidRPr="00495482">
        <w:rPr>
          <w:lang w:val="fr-FR"/>
        </w:rPr>
        <w:t>rticle 15 du Pacte figure dans la législation en vigueur</w:t>
      </w:r>
      <w:r w:rsidR="005D0F0F" w:rsidRPr="00495482">
        <w:rPr>
          <w:lang w:val="fr-FR"/>
        </w:rPr>
        <w:t>,</w:t>
      </w:r>
      <w:r w:rsidRPr="00495482">
        <w:rPr>
          <w:lang w:val="fr-FR"/>
        </w:rPr>
        <w:t xml:space="preserve"> dans les documents</w:t>
      </w:r>
      <w:r w:rsidR="003D1A4F" w:rsidRPr="00495482">
        <w:rPr>
          <w:lang w:val="fr-FR"/>
        </w:rPr>
        <w:t xml:space="preserve"> </w:t>
      </w:r>
      <w:r w:rsidRPr="00495482">
        <w:rPr>
          <w:lang w:val="fr-FR"/>
        </w:rPr>
        <w:t>stratégiques généraux de l</w:t>
      </w:r>
      <w:r w:rsidR="005D0F0F" w:rsidRPr="00495482">
        <w:rPr>
          <w:lang w:val="fr-FR"/>
        </w:rPr>
        <w:t>’</w:t>
      </w:r>
      <w:r w:rsidRPr="00495482">
        <w:rPr>
          <w:lang w:val="fr-FR"/>
        </w:rPr>
        <w:t>État</w:t>
      </w:r>
      <w:r w:rsidR="005D0F0F" w:rsidRPr="00495482">
        <w:rPr>
          <w:lang w:val="fr-FR"/>
        </w:rPr>
        <w:t>,</w:t>
      </w:r>
      <w:r w:rsidRPr="00495482">
        <w:rPr>
          <w:lang w:val="fr-FR"/>
        </w:rPr>
        <w:t xml:space="preserve"> telle la stratégie</w:t>
      </w:r>
      <w:r w:rsidR="003D1A4F" w:rsidRPr="00495482">
        <w:rPr>
          <w:lang w:val="fr-FR"/>
        </w:rPr>
        <w:t xml:space="preserve"> </w:t>
      </w:r>
      <w:r w:rsidRPr="00495482">
        <w:rPr>
          <w:lang w:val="fr-FR"/>
        </w:rPr>
        <w:t>de développement de la Slovénie 2006-2013</w:t>
      </w:r>
      <w:r w:rsidR="005D0F0F" w:rsidRPr="00495482">
        <w:rPr>
          <w:lang w:val="fr-FR"/>
        </w:rPr>
        <w:t>,</w:t>
      </w:r>
      <w:r w:rsidRPr="00495482">
        <w:rPr>
          <w:lang w:val="fr-FR"/>
        </w:rPr>
        <w:t xml:space="preserve"> et dans les documents sectoriels</w:t>
      </w:r>
      <w:r w:rsidR="005D0F0F" w:rsidRPr="00495482">
        <w:rPr>
          <w:lang w:val="fr-FR"/>
        </w:rPr>
        <w:t>,</w:t>
      </w:r>
      <w:r w:rsidRPr="00495482">
        <w:rPr>
          <w:lang w:val="fr-FR"/>
        </w:rPr>
        <w:t xml:space="preserve"> en particulier le programme national pour la culture relatif à une période déterminée</w:t>
      </w:r>
      <w:r w:rsidR="005D0F0F" w:rsidRPr="00495482">
        <w:rPr>
          <w:lang w:val="fr-FR"/>
        </w:rPr>
        <w:t>,</w:t>
      </w:r>
      <w:r w:rsidRPr="00495482">
        <w:rPr>
          <w:lang w:val="fr-FR"/>
        </w:rPr>
        <w:t xml:space="preserve"> approuvé par l</w:t>
      </w:r>
      <w:r w:rsidR="005D0F0F" w:rsidRPr="00495482">
        <w:rPr>
          <w:lang w:val="fr-FR"/>
        </w:rPr>
        <w:t>’</w:t>
      </w:r>
      <w:r w:rsidRPr="00495482">
        <w:rPr>
          <w:lang w:val="fr-FR"/>
        </w:rPr>
        <w:t>Assemblée nationale slovène et dont la mise en œuvre est confiée au gouvernement. La résolution sur les programmes nationaux pour la culture</w:t>
      </w:r>
      <w:r w:rsidR="003D1A4F" w:rsidRPr="00495482">
        <w:rPr>
          <w:lang w:val="fr-FR"/>
        </w:rPr>
        <w:t xml:space="preserve"> </w:t>
      </w:r>
      <w:r w:rsidRPr="00495482">
        <w:rPr>
          <w:lang w:val="fr-FR"/>
        </w:rPr>
        <w:t>2004-2007</w:t>
      </w:r>
      <w:r w:rsidRPr="00495482">
        <w:rPr>
          <w:rStyle w:val="FootnoteReference"/>
        </w:rPr>
        <w:footnoteReference w:id="93"/>
      </w:r>
      <w:r w:rsidRPr="00495482">
        <w:rPr>
          <w:vertAlign w:val="superscript"/>
          <w:lang w:val="fr-FR"/>
        </w:rPr>
        <w:t xml:space="preserve"> </w:t>
      </w:r>
      <w:r w:rsidRPr="00495482">
        <w:rPr>
          <w:lang w:val="fr-FR"/>
        </w:rPr>
        <w:t>et 2008-2011</w:t>
      </w:r>
      <w:r w:rsidRPr="00495482">
        <w:rPr>
          <w:rStyle w:val="FootnoteReference"/>
        </w:rPr>
        <w:footnoteReference w:id="94"/>
      </w:r>
      <w:r w:rsidRPr="00495482">
        <w:rPr>
          <w:lang w:val="fr-FR"/>
        </w:rPr>
        <w:t xml:space="preserve"> souligne</w:t>
      </w:r>
      <w:r w:rsidR="005D0F0F" w:rsidRPr="00495482">
        <w:rPr>
          <w:lang w:val="fr-FR"/>
        </w:rPr>
        <w:t>,</w:t>
      </w:r>
      <w:r w:rsidRPr="00495482">
        <w:rPr>
          <w:lang w:val="fr-FR"/>
        </w:rPr>
        <w:t xml:space="preserve"> entre autres principes ou tâches prioritaires d</w:t>
      </w:r>
      <w:r w:rsidR="005D0F0F" w:rsidRPr="00495482">
        <w:rPr>
          <w:lang w:val="fr-FR"/>
        </w:rPr>
        <w:t>’</w:t>
      </w:r>
      <w:r w:rsidRPr="00495482">
        <w:rPr>
          <w:lang w:val="fr-FR"/>
        </w:rPr>
        <w:t>ordre général</w:t>
      </w:r>
      <w:r w:rsidR="005D0F0F" w:rsidRPr="00495482">
        <w:rPr>
          <w:lang w:val="fr-FR"/>
        </w:rPr>
        <w:t>,</w:t>
      </w:r>
      <w:r w:rsidRPr="00495482">
        <w:rPr>
          <w:lang w:val="fr-FR"/>
        </w:rPr>
        <w:t xml:space="preserve"> la nécessité d</w:t>
      </w:r>
      <w:r w:rsidR="005D0F0F" w:rsidRPr="00495482">
        <w:rPr>
          <w:lang w:val="fr-FR"/>
        </w:rPr>
        <w:t>’</w:t>
      </w:r>
      <w:r w:rsidRPr="00495482">
        <w:rPr>
          <w:lang w:val="fr-FR"/>
        </w:rPr>
        <w:t>assurer l</w:t>
      </w:r>
      <w:r w:rsidR="005D0F0F" w:rsidRPr="00495482">
        <w:rPr>
          <w:lang w:val="fr-FR"/>
        </w:rPr>
        <w:t>’</w:t>
      </w:r>
      <w:r w:rsidRPr="00495482">
        <w:rPr>
          <w:lang w:val="fr-FR"/>
        </w:rPr>
        <w:t>accès aux richesses culturelles et les conditions propices à la créativité</w:t>
      </w:r>
      <w:r w:rsidR="005D0F0F" w:rsidRPr="00495482">
        <w:rPr>
          <w:lang w:val="fr-FR"/>
        </w:rPr>
        <w:t>,</w:t>
      </w:r>
      <w:r w:rsidRPr="00495482">
        <w:rPr>
          <w:lang w:val="fr-FR"/>
        </w:rPr>
        <w:t xml:space="preserve"> le droit à la culture ou la diversification judicieuse de la culture à travers le pays. La loi-cadre en matière de culture est la loi sur l</w:t>
      </w:r>
      <w:r w:rsidR="005D0F0F" w:rsidRPr="00495482">
        <w:rPr>
          <w:lang w:val="fr-FR"/>
        </w:rPr>
        <w:t>’</w:t>
      </w:r>
      <w:r w:rsidRPr="00495482">
        <w:rPr>
          <w:lang w:val="fr-FR"/>
        </w:rPr>
        <w:t>exercice de l</w:t>
      </w:r>
      <w:r w:rsidR="005D0F0F" w:rsidRPr="00495482">
        <w:rPr>
          <w:lang w:val="fr-FR"/>
        </w:rPr>
        <w:t>’</w:t>
      </w:r>
      <w:r w:rsidRPr="00495482">
        <w:rPr>
          <w:lang w:val="fr-FR"/>
        </w:rPr>
        <w:t>intérêt public dans la culture</w:t>
      </w:r>
      <w:r w:rsidRPr="00495482">
        <w:rPr>
          <w:rStyle w:val="FootnoteReference"/>
        </w:rPr>
        <w:footnoteReference w:id="95"/>
      </w:r>
      <w:r w:rsidR="003D51E1" w:rsidRPr="00495482">
        <w:t>.</w:t>
      </w:r>
      <w:r w:rsidR="003D1A4F" w:rsidRPr="00495482">
        <w:rPr>
          <w:lang w:val="fr-FR"/>
        </w:rPr>
        <w:t xml:space="preserve"> </w:t>
      </w:r>
      <w:r w:rsidRPr="00495482">
        <w:rPr>
          <w:lang w:val="fr-FR"/>
        </w:rPr>
        <w:t>Toute la politique culturelle de la République slovène vise à élargir l</w:t>
      </w:r>
      <w:r w:rsidR="005D0F0F" w:rsidRPr="00495482">
        <w:rPr>
          <w:lang w:val="fr-FR"/>
        </w:rPr>
        <w:t>’</w:t>
      </w:r>
      <w:r w:rsidRPr="00495482">
        <w:rPr>
          <w:lang w:val="fr-FR"/>
        </w:rPr>
        <w:t xml:space="preserve">accès aux richesses culturelles. </w:t>
      </w:r>
    </w:p>
    <w:p w:rsidR="00317603" w:rsidRPr="00495482" w:rsidRDefault="00317603" w:rsidP="000700B3">
      <w:pPr>
        <w:pStyle w:val="SingleTxtG"/>
        <w:rPr>
          <w:lang w:val="fr-FR"/>
        </w:rPr>
      </w:pPr>
      <w:r w:rsidRPr="00495482">
        <w:rPr>
          <w:lang w:val="fr-FR"/>
        </w:rPr>
        <w:t>185.</w:t>
      </w:r>
      <w:r w:rsidRPr="00495482">
        <w:rPr>
          <w:lang w:val="fr-FR"/>
        </w:rPr>
        <w:tab/>
        <w:t>Le développement culturel en Slovénie repose sur le principe du développement polycentrique. Le Ministère de la culture tient des registres de l</w:t>
      </w:r>
      <w:r w:rsidR="005D0F0F" w:rsidRPr="00495482">
        <w:rPr>
          <w:lang w:val="fr-FR"/>
        </w:rPr>
        <w:t>’</w:t>
      </w:r>
      <w:r w:rsidRPr="00495482">
        <w:rPr>
          <w:lang w:val="fr-FR"/>
        </w:rPr>
        <w:t>infrastructure culturelle publique</w:t>
      </w:r>
      <w:r w:rsidR="005D0F0F" w:rsidRPr="00495482">
        <w:rPr>
          <w:lang w:val="fr-FR"/>
        </w:rPr>
        <w:t>,</w:t>
      </w:r>
      <w:r w:rsidRPr="00495482">
        <w:rPr>
          <w:lang w:val="fr-FR"/>
        </w:rPr>
        <w:t xml:space="preserve"> c</w:t>
      </w:r>
      <w:r w:rsidR="005D0F0F" w:rsidRPr="00495482">
        <w:rPr>
          <w:lang w:val="fr-FR"/>
        </w:rPr>
        <w:t>’</w:t>
      </w:r>
      <w:r w:rsidRPr="00495482">
        <w:rPr>
          <w:lang w:val="fr-FR"/>
        </w:rPr>
        <w:t>est-à-dire des installations à vocation culturelle appartenant à l</w:t>
      </w:r>
      <w:r w:rsidR="005D0F0F" w:rsidRPr="00495482">
        <w:rPr>
          <w:lang w:val="fr-FR"/>
        </w:rPr>
        <w:t>’</w:t>
      </w:r>
      <w:r w:rsidRPr="00495482">
        <w:rPr>
          <w:lang w:val="fr-FR"/>
        </w:rPr>
        <w:t>État et aux municipalités et regroupant 952 immeubles</w:t>
      </w:r>
      <w:r w:rsidR="005D0F0F" w:rsidRPr="00495482">
        <w:rPr>
          <w:lang w:val="fr-FR"/>
        </w:rPr>
        <w:t>,</w:t>
      </w:r>
      <w:r w:rsidRPr="00495482">
        <w:rPr>
          <w:lang w:val="fr-FR"/>
        </w:rPr>
        <w:t xml:space="preserve"> dont 73 appartiennent à l</w:t>
      </w:r>
      <w:r w:rsidR="005D0F0F" w:rsidRPr="00495482">
        <w:rPr>
          <w:lang w:val="fr-FR"/>
        </w:rPr>
        <w:t>’</w:t>
      </w:r>
      <w:r w:rsidRPr="00495482">
        <w:rPr>
          <w:lang w:val="fr-FR"/>
        </w:rPr>
        <w:t>État et 879 aux municipalités. Le Ministère de la culture tient en outre des registres des organismes culturels publics</w:t>
      </w:r>
      <w:r w:rsidR="005D0F0F" w:rsidRPr="00495482">
        <w:rPr>
          <w:lang w:val="fr-FR"/>
        </w:rPr>
        <w:t>,</w:t>
      </w:r>
      <w:r w:rsidRPr="00495482">
        <w:rPr>
          <w:lang w:val="fr-FR"/>
        </w:rPr>
        <w:t xml:space="preserve"> d</w:t>
      </w:r>
      <w:r w:rsidR="005D0F0F" w:rsidRPr="00495482">
        <w:rPr>
          <w:lang w:val="fr-FR"/>
        </w:rPr>
        <w:t>’</w:t>
      </w:r>
      <w:r w:rsidRPr="00495482">
        <w:rPr>
          <w:lang w:val="fr-FR"/>
        </w:rPr>
        <w:t>où il ressort qu</w:t>
      </w:r>
      <w:r w:rsidR="005D0F0F" w:rsidRPr="00495482">
        <w:rPr>
          <w:lang w:val="fr-FR"/>
        </w:rPr>
        <w:t>’</w:t>
      </w:r>
      <w:r w:rsidRPr="00495482">
        <w:rPr>
          <w:lang w:val="fr-FR"/>
        </w:rPr>
        <w:t>au 31 décembre 2008</w:t>
      </w:r>
      <w:r w:rsidR="005D0F0F" w:rsidRPr="00495482">
        <w:rPr>
          <w:lang w:val="fr-FR"/>
        </w:rPr>
        <w:t>,</w:t>
      </w:r>
      <w:r w:rsidRPr="00495482">
        <w:rPr>
          <w:lang w:val="fr-FR"/>
        </w:rPr>
        <w:t xml:space="preserve"> la Slovénie avaient 11 théâtres publics (2 nationaux et 6 municipaux)</w:t>
      </w:r>
      <w:r w:rsidR="005D0F0F" w:rsidRPr="00495482">
        <w:rPr>
          <w:lang w:val="fr-FR"/>
        </w:rPr>
        <w:t>,</w:t>
      </w:r>
      <w:r w:rsidRPr="00495482">
        <w:rPr>
          <w:lang w:val="fr-FR"/>
        </w:rPr>
        <w:t xml:space="preserve"> 3 institutions consacrées à la musique et au ballet (appartenant toutes à l</w:t>
      </w:r>
      <w:r w:rsidR="005D0F0F" w:rsidRPr="00495482">
        <w:rPr>
          <w:lang w:val="fr-FR"/>
        </w:rPr>
        <w:t>’</w:t>
      </w:r>
      <w:r w:rsidRPr="00495482">
        <w:rPr>
          <w:lang w:val="fr-FR"/>
        </w:rPr>
        <w:t>État)</w:t>
      </w:r>
      <w:r w:rsidR="005D0F0F" w:rsidRPr="00495482">
        <w:rPr>
          <w:lang w:val="fr-FR"/>
        </w:rPr>
        <w:t>,</w:t>
      </w:r>
      <w:r w:rsidRPr="00495482">
        <w:rPr>
          <w:lang w:val="fr-FR"/>
        </w:rPr>
        <w:t xml:space="preserve"> 51 musées et galeries (11</w:t>
      </w:r>
      <w:r w:rsidR="003D51E1" w:rsidRPr="00495482">
        <w:rPr>
          <w:lang w:val="fr-FR"/>
        </w:rPr>
        <w:t> </w:t>
      </w:r>
      <w:r w:rsidRPr="00495482">
        <w:rPr>
          <w:lang w:val="fr-FR"/>
        </w:rPr>
        <w:t>nationaux et 40</w:t>
      </w:r>
      <w:r w:rsidR="003D51E1" w:rsidRPr="00495482">
        <w:rPr>
          <w:lang w:val="fr-FR"/>
        </w:rPr>
        <w:t> </w:t>
      </w:r>
      <w:r w:rsidRPr="00495482">
        <w:rPr>
          <w:lang w:val="fr-FR"/>
        </w:rPr>
        <w:t>municipaux)</w:t>
      </w:r>
      <w:r w:rsidR="005D0F0F" w:rsidRPr="00495482">
        <w:rPr>
          <w:lang w:val="fr-FR"/>
        </w:rPr>
        <w:t>,</w:t>
      </w:r>
      <w:r w:rsidR="003D1A4F" w:rsidRPr="00495482">
        <w:rPr>
          <w:lang w:val="fr-FR"/>
        </w:rPr>
        <w:t xml:space="preserve"> </w:t>
      </w:r>
      <w:r w:rsidRPr="00495482">
        <w:rPr>
          <w:lang w:val="fr-FR"/>
        </w:rPr>
        <w:t>6</w:t>
      </w:r>
      <w:r w:rsidR="003D51E1" w:rsidRPr="00495482">
        <w:rPr>
          <w:lang w:val="fr-FR"/>
        </w:rPr>
        <w:t> </w:t>
      </w:r>
      <w:r w:rsidRPr="00495482">
        <w:rPr>
          <w:lang w:val="fr-FR"/>
        </w:rPr>
        <w:t>archives régionales</w:t>
      </w:r>
      <w:r w:rsidR="005D0F0F" w:rsidRPr="00495482">
        <w:rPr>
          <w:lang w:val="fr-FR"/>
        </w:rPr>
        <w:t>,</w:t>
      </w:r>
      <w:r w:rsidRPr="00495482">
        <w:rPr>
          <w:lang w:val="fr-FR"/>
        </w:rPr>
        <w:t xml:space="preserve"> outre les Archives de la République de Slovénie</w:t>
      </w:r>
      <w:r w:rsidR="005D0F0F" w:rsidRPr="00495482">
        <w:rPr>
          <w:lang w:val="fr-FR"/>
        </w:rPr>
        <w:t>,</w:t>
      </w:r>
      <w:r w:rsidRPr="00495482">
        <w:rPr>
          <w:lang w:val="fr-FR"/>
        </w:rPr>
        <w:t xml:space="preserve"> 53</w:t>
      </w:r>
      <w:r w:rsidR="003D51E1" w:rsidRPr="00495482">
        <w:rPr>
          <w:lang w:val="fr-FR"/>
        </w:rPr>
        <w:t> </w:t>
      </w:r>
      <w:r w:rsidRPr="00495482">
        <w:rPr>
          <w:lang w:val="fr-FR"/>
        </w:rPr>
        <w:t>centres culturels (1 national et 52 municipaux)</w:t>
      </w:r>
      <w:r w:rsidR="005D0F0F" w:rsidRPr="00495482">
        <w:rPr>
          <w:lang w:val="fr-FR"/>
        </w:rPr>
        <w:t>,</w:t>
      </w:r>
      <w:r w:rsidRPr="00495482">
        <w:rPr>
          <w:lang w:val="fr-FR"/>
        </w:rPr>
        <w:t xml:space="preserve"> 61 bibliothèques publiques (1</w:t>
      </w:r>
      <w:r w:rsidR="003D51E1" w:rsidRPr="00495482">
        <w:rPr>
          <w:lang w:val="fr-FR"/>
        </w:rPr>
        <w:t> </w:t>
      </w:r>
      <w:r w:rsidRPr="00495482">
        <w:rPr>
          <w:lang w:val="fr-FR"/>
        </w:rPr>
        <w:t>nationale</w:t>
      </w:r>
      <w:r w:rsidR="005D0F0F" w:rsidRPr="00495482">
        <w:rPr>
          <w:lang w:val="fr-FR"/>
        </w:rPr>
        <w:t>,</w:t>
      </w:r>
      <w:r w:rsidRPr="00495482">
        <w:rPr>
          <w:lang w:val="fr-FR"/>
        </w:rPr>
        <w:t xml:space="preserve"> 59</w:t>
      </w:r>
      <w:r w:rsidR="003D51E1" w:rsidRPr="00495482">
        <w:rPr>
          <w:lang w:val="fr-FR"/>
        </w:rPr>
        <w:t> </w:t>
      </w:r>
      <w:r w:rsidRPr="00495482">
        <w:rPr>
          <w:lang w:val="fr-FR"/>
        </w:rPr>
        <w:t>municipales)</w:t>
      </w:r>
      <w:r w:rsidR="005D0F0F" w:rsidRPr="00495482">
        <w:rPr>
          <w:lang w:val="fr-FR"/>
        </w:rPr>
        <w:t>,</w:t>
      </w:r>
      <w:r w:rsidRPr="00495482">
        <w:rPr>
          <w:lang w:val="fr-FR"/>
        </w:rPr>
        <w:t xml:space="preserve"> 2</w:t>
      </w:r>
      <w:r w:rsidR="003D51E1" w:rsidRPr="00495482">
        <w:rPr>
          <w:lang w:val="fr-FR"/>
        </w:rPr>
        <w:t> </w:t>
      </w:r>
      <w:r w:rsidRPr="00495482">
        <w:rPr>
          <w:lang w:val="fr-FR"/>
        </w:rPr>
        <w:t>organismes publics consacrés à la cinématographie</w:t>
      </w:r>
      <w:r w:rsidR="005D0F0F" w:rsidRPr="00495482">
        <w:rPr>
          <w:lang w:val="fr-FR"/>
        </w:rPr>
        <w:t>,</w:t>
      </w:r>
      <w:r w:rsidRPr="00495482">
        <w:rPr>
          <w:lang w:val="fr-FR"/>
        </w:rPr>
        <w:t xml:space="preserve"> et 7</w:t>
      </w:r>
      <w:r w:rsidR="003D51E1" w:rsidRPr="00495482">
        <w:rPr>
          <w:lang w:val="fr-FR"/>
        </w:rPr>
        <w:t> </w:t>
      </w:r>
      <w:r w:rsidRPr="00495482">
        <w:rPr>
          <w:lang w:val="fr-FR"/>
        </w:rPr>
        <w:t>dédiés à la protection du patrimoine culturel (2</w:t>
      </w:r>
      <w:r w:rsidR="003D51E1" w:rsidRPr="00495482">
        <w:rPr>
          <w:lang w:val="fr-FR"/>
        </w:rPr>
        <w:t> </w:t>
      </w:r>
      <w:r w:rsidRPr="00495482">
        <w:rPr>
          <w:lang w:val="fr-FR"/>
        </w:rPr>
        <w:t>organismes nationaux et 5 municipaux).</w:t>
      </w:r>
      <w:r w:rsidR="003D1A4F" w:rsidRPr="00495482">
        <w:rPr>
          <w:lang w:val="fr-FR"/>
        </w:rPr>
        <w:t xml:space="preserve"> </w:t>
      </w:r>
      <w:r w:rsidRPr="00495482">
        <w:rPr>
          <w:lang w:val="fr-FR"/>
        </w:rPr>
        <w:t>Le nombre d</w:t>
      </w:r>
      <w:r w:rsidR="005D0F0F" w:rsidRPr="00495482">
        <w:rPr>
          <w:lang w:val="fr-FR"/>
        </w:rPr>
        <w:t>’</w:t>
      </w:r>
      <w:r w:rsidRPr="00495482">
        <w:rPr>
          <w:lang w:val="fr-FR"/>
        </w:rPr>
        <w:t>organismes culturels publics n</w:t>
      </w:r>
      <w:r w:rsidR="005D0F0F" w:rsidRPr="00495482">
        <w:rPr>
          <w:lang w:val="fr-FR"/>
        </w:rPr>
        <w:t>’</w:t>
      </w:r>
      <w:r w:rsidRPr="00495482">
        <w:rPr>
          <w:lang w:val="fr-FR"/>
        </w:rPr>
        <w:t xml:space="preserve">a pas radicalement changé depuis 2008. </w:t>
      </w:r>
    </w:p>
    <w:p w:rsidR="00317603" w:rsidRPr="00495482" w:rsidRDefault="00317603" w:rsidP="007179E6">
      <w:pPr>
        <w:pStyle w:val="SingleTxtG"/>
        <w:rPr>
          <w:lang w:val="fr-FR"/>
        </w:rPr>
      </w:pPr>
      <w:r w:rsidRPr="00495482">
        <w:rPr>
          <w:lang w:val="fr-FR"/>
        </w:rPr>
        <w:t>186.</w:t>
      </w:r>
      <w:r w:rsidRPr="00495482">
        <w:rPr>
          <w:lang w:val="fr-FR"/>
        </w:rPr>
        <w:tab/>
        <w:t>L</w:t>
      </w:r>
      <w:r w:rsidR="005D0F0F" w:rsidRPr="00495482">
        <w:rPr>
          <w:lang w:val="fr-FR"/>
        </w:rPr>
        <w:t>’</w:t>
      </w:r>
      <w:r w:rsidRPr="00495482">
        <w:rPr>
          <w:lang w:val="fr-FR"/>
        </w:rPr>
        <w:t>intérêt public pour la culture est également garanti par l</w:t>
      </w:r>
      <w:r w:rsidR="005D0F0F" w:rsidRPr="00495482">
        <w:rPr>
          <w:lang w:val="fr-FR"/>
        </w:rPr>
        <w:t>’</w:t>
      </w:r>
      <w:r w:rsidRPr="00495482">
        <w:rPr>
          <w:lang w:val="fr-FR"/>
        </w:rPr>
        <w:t>octroi du statut de personne morale de droit privé d</w:t>
      </w:r>
      <w:r w:rsidR="005D0F0F" w:rsidRPr="00495482">
        <w:rPr>
          <w:lang w:val="fr-FR"/>
        </w:rPr>
        <w:t>’</w:t>
      </w:r>
      <w:r w:rsidRPr="00495482">
        <w:rPr>
          <w:lang w:val="fr-FR"/>
        </w:rPr>
        <w:t>intérêt public dans le domaine de la culture. Avec l</w:t>
      </w:r>
      <w:r w:rsidR="005D0F0F" w:rsidRPr="00495482">
        <w:rPr>
          <w:lang w:val="fr-FR"/>
        </w:rPr>
        <w:t>’</w:t>
      </w:r>
      <w:r w:rsidRPr="00495482">
        <w:rPr>
          <w:lang w:val="fr-FR"/>
        </w:rPr>
        <w:t>aide de ses 59 agences régionales</w:t>
      </w:r>
      <w:r w:rsidR="005D0F0F" w:rsidRPr="00495482">
        <w:rPr>
          <w:lang w:val="fr-FR"/>
        </w:rPr>
        <w:t>,</w:t>
      </w:r>
      <w:r w:rsidRPr="00495482">
        <w:rPr>
          <w:lang w:val="fr-FR"/>
        </w:rPr>
        <w:t xml:space="preserve"> le Fonds public pour les activités culturelles permet la mise en réseau des sociétés et des groupes (unités de production) dans le domaine des activités culturelles pour amateurs (on en comptait 4</w:t>
      </w:r>
      <w:r w:rsidR="000700B3">
        <w:rPr>
          <w:lang w:val="fr-FR"/>
        </w:rPr>
        <w:t> </w:t>
      </w:r>
      <w:r w:rsidRPr="00495482">
        <w:rPr>
          <w:lang w:val="fr-FR"/>
        </w:rPr>
        <w:t>123 en 2007 avec 96 940 membres actifs).</w:t>
      </w:r>
      <w:r w:rsidR="003D1A4F" w:rsidRPr="00495482">
        <w:rPr>
          <w:lang w:val="fr-FR"/>
        </w:rPr>
        <w:t xml:space="preserve"> </w:t>
      </w:r>
      <w:r w:rsidRPr="00495482">
        <w:rPr>
          <w:lang w:val="fr-FR"/>
        </w:rPr>
        <w:t>Pour faciliter leur fonctionnement</w:t>
      </w:r>
      <w:r w:rsidR="005D0F0F" w:rsidRPr="00495482">
        <w:rPr>
          <w:lang w:val="fr-FR"/>
        </w:rPr>
        <w:t>,</w:t>
      </w:r>
      <w:r w:rsidRPr="00495482">
        <w:rPr>
          <w:lang w:val="fr-FR"/>
        </w:rPr>
        <w:t xml:space="preserve"> les agences régionales travaillent en réseau dans 10 régions. L</w:t>
      </w:r>
      <w:r w:rsidR="005D0F0F" w:rsidRPr="00495482">
        <w:rPr>
          <w:lang w:val="fr-FR"/>
        </w:rPr>
        <w:t>’</w:t>
      </w:r>
      <w:r w:rsidRPr="00495482">
        <w:rPr>
          <w:lang w:val="fr-FR"/>
        </w:rPr>
        <w:t>organisation en réseau du fonds favorise une interaction multidirectionnelle qui opère par le biais des sociétés et des collectivités locales</w:t>
      </w:r>
      <w:r w:rsidR="005D0F0F" w:rsidRPr="00495482">
        <w:rPr>
          <w:lang w:val="fr-FR"/>
        </w:rPr>
        <w:t>,</w:t>
      </w:r>
      <w:r w:rsidRPr="00495482">
        <w:rPr>
          <w:lang w:val="fr-FR"/>
        </w:rPr>
        <w:t xml:space="preserve"> des agences régionales et des services centraux spécialisés</w:t>
      </w:r>
      <w:r w:rsidR="005D0F0F" w:rsidRPr="00495482">
        <w:rPr>
          <w:lang w:val="fr-FR"/>
        </w:rPr>
        <w:t>,</w:t>
      </w:r>
      <w:r w:rsidRPr="00495482">
        <w:rPr>
          <w:lang w:val="fr-FR"/>
        </w:rPr>
        <w:t xml:space="preserve"> comme des organismes d</w:t>
      </w:r>
      <w:r w:rsidR="005D0F0F" w:rsidRPr="00495482">
        <w:rPr>
          <w:lang w:val="fr-FR"/>
        </w:rPr>
        <w:t>’</w:t>
      </w:r>
      <w:r w:rsidRPr="00495482">
        <w:rPr>
          <w:lang w:val="fr-FR"/>
        </w:rPr>
        <w:t>État. Elle permet en outre de connaître facilement les réactions suscitées par les mesures adoptées au niveau de l</w:t>
      </w:r>
      <w:r w:rsidR="005D0F0F" w:rsidRPr="00495482">
        <w:rPr>
          <w:lang w:val="fr-FR"/>
        </w:rPr>
        <w:t>’</w:t>
      </w:r>
      <w:r w:rsidRPr="00495482">
        <w:rPr>
          <w:lang w:val="fr-FR"/>
        </w:rPr>
        <w:t xml:space="preserve">État. Une telle organisation permet aussi </w:t>
      </w:r>
      <w:r w:rsidR="0038572C">
        <w:rPr>
          <w:lang w:val="fr-FR"/>
        </w:rPr>
        <w:t>aux personnes</w:t>
      </w:r>
      <w:r w:rsidRPr="00495482">
        <w:rPr>
          <w:lang w:val="fr-FR"/>
        </w:rPr>
        <w:t xml:space="preserve"> qui travaillent dans le domaine culturel amateur d</w:t>
      </w:r>
      <w:r w:rsidR="005D0F0F" w:rsidRPr="00495482">
        <w:rPr>
          <w:lang w:val="fr-FR"/>
        </w:rPr>
        <w:t>’</w:t>
      </w:r>
      <w:r w:rsidRPr="00495482">
        <w:rPr>
          <w:lang w:val="fr-FR"/>
        </w:rPr>
        <w:t>avoir des liens en dehors de leur milieu local</w:t>
      </w:r>
      <w:r w:rsidR="005D0F0F" w:rsidRPr="00495482">
        <w:rPr>
          <w:lang w:val="fr-FR"/>
        </w:rPr>
        <w:t>,</w:t>
      </w:r>
      <w:r w:rsidRPr="00495482">
        <w:rPr>
          <w:lang w:val="fr-FR"/>
        </w:rPr>
        <w:t xml:space="preserve"> de renforcer ainsi les liens régionaux et de favoriser un développement régional coordonné. </w:t>
      </w:r>
    </w:p>
    <w:p w:rsidR="00317603" w:rsidRPr="00495482" w:rsidRDefault="00317603" w:rsidP="007179E6">
      <w:pPr>
        <w:pStyle w:val="SingleTxtG"/>
        <w:rPr>
          <w:lang w:val="fr-FR"/>
        </w:rPr>
      </w:pPr>
      <w:r w:rsidRPr="00495482">
        <w:rPr>
          <w:lang w:val="fr-FR"/>
        </w:rPr>
        <w:t>187.</w:t>
      </w:r>
      <w:r w:rsidRPr="00495482">
        <w:rPr>
          <w:lang w:val="fr-FR"/>
        </w:rPr>
        <w:tab/>
        <w:t>Pour stimuler au maximum la participation à la culture</w:t>
      </w:r>
      <w:r w:rsidR="005D0F0F" w:rsidRPr="00495482">
        <w:rPr>
          <w:lang w:val="fr-FR"/>
        </w:rPr>
        <w:t>,</w:t>
      </w:r>
      <w:r w:rsidRPr="00495482">
        <w:rPr>
          <w:lang w:val="fr-FR"/>
        </w:rPr>
        <w:t xml:space="preserve"> l</w:t>
      </w:r>
      <w:r w:rsidR="005D0F0F" w:rsidRPr="00495482">
        <w:rPr>
          <w:lang w:val="fr-FR"/>
        </w:rPr>
        <w:t>’</w:t>
      </w:r>
      <w:r w:rsidRPr="00495482">
        <w:rPr>
          <w:lang w:val="fr-FR"/>
        </w:rPr>
        <w:t>État et les municipalités apportent un soutien financier</w:t>
      </w:r>
      <w:r w:rsidR="005D0F0F" w:rsidRPr="00495482">
        <w:rPr>
          <w:lang w:val="fr-FR"/>
        </w:rPr>
        <w:t>,</w:t>
      </w:r>
      <w:r w:rsidRPr="00495482">
        <w:rPr>
          <w:lang w:val="fr-FR"/>
        </w:rPr>
        <w:t xml:space="preserve"> notamment</w:t>
      </w:r>
      <w:r w:rsidR="005D0F0F" w:rsidRPr="00495482">
        <w:rPr>
          <w:lang w:val="fr-FR"/>
        </w:rPr>
        <w:t>,</w:t>
      </w:r>
      <w:r w:rsidRPr="00495482">
        <w:rPr>
          <w:lang w:val="fr-FR"/>
        </w:rPr>
        <w:t xml:space="preserve"> à divers projets qui encouragent également une participation culturelle à moindre coût (entrée gratuite pour les chômeurs dans certains secteurs culturels</w:t>
      </w:r>
      <w:r w:rsidR="005D0F0F" w:rsidRPr="00495482">
        <w:rPr>
          <w:lang w:val="fr-FR"/>
        </w:rPr>
        <w:t>,</w:t>
      </w:r>
      <w:r w:rsidRPr="00495482">
        <w:rPr>
          <w:lang w:val="fr-FR"/>
        </w:rPr>
        <w:t xml:space="preserve"> et tarifs spéciaux pour les enfants</w:t>
      </w:r>
      <w:r w:rsidR="005D0F0F" w:rsidRPr="00495482">
        <w:rPr>
          <w:lang w:val="fr-FR"/>
        </w:rPr>
        <w:t>,</w:t>
      </w:r>
      <w:r w:rsidRPr="00495482">
        <w:rPr>
          <w:lang w:val="fr-FR"/>
        </w:rPr>
        <w:t xml:space="preserve"> les jeunes</w:t>
      </w:r>
      <w:r w:rsidR="005D0F0F" w:rsidRPr="00495482">
        <w:rPr>
          <w:lang w:val="fr-FR"/>
        </w:rPr>
        <w:t>,</w:t>
      </w:r>
      <w:r w:rsidRPr="00495482">
        <w:rPr>
          <w:lang w:val="fr-FR"/>
        </w:rPr>
        <w:t xml:space="preserve"> les étudiants</w:t>
      </w:r>
      <w:r w:rsidR="005D0F0F" w:rsidRPr="00495482">
        <w:rPr>
          <w:lang w:val="fr-FR"/>
        </w:rPr>
        <w:t>,</w:t>
      </w:r>
      <w:r w:rsidRPr="00495482">
        <w:rPr>
          <w:lang w:val="fr-FR"/>
        </w:rPr>
        <w:t xml:space="preserve"> les familles et </w:t>
      </w:r>
      <w:r w:rsidR="0014499F" w:rsidRPr="00495482">
        <w:rPr>
          <w:lang w:val="fr-FR"/>
        </w:rPr>
        <w:t>les personnes</w:t>
      </w:r>
      <w:r w:rsidRPr="00495482">
        <w:rPr>
          <w:lang w:val="fr-FR"/>
        </w:rPr>
        <w:t xml:space="preserve"> âgées). L</w:t>
      </w:r>
      <w:r w:rsidR="005D0F0F" w:rsidRPr="00495482">
        <w:rPr>
          <w:lang w:val="fr-FR"/>
        </w:rPr>
        <w:t>’</w:t>
      </w:r>
      <w:r w:rsidRPr="00495482">
        <w:rPr>
          <w:lang w:val="fr-FR"/>
        </w:rPr>
        <w:t>offre culturelle gratuite inclut par exemple généralement les spectacles et manifestations organisés par les bibliothèques publiques (ces dernières avaient déjà plus de 9 millions de visiteurs en 2006</w:t>
      </w:r>
      <w:r w:rsidR="005D0F0F" w:rsidRPr="00495482">
        <w:rPr>
          <w:lang w:val="fr-FR"/>
        </w:rPr>
        <w:t>,</w:t>
      </w:r>
      <w:r w:rsidRPr="00495482">
        <w:rPr>
          <w:lang w:val="fr-FR"/>
        </w:rPr>
        <w:t xml:space="preserve"> chiffre non négligeable</w:t>
      </w:r>
      <w:r w:rsidR="005D0F0F" w:rsidRPr="00495482">
        <w:rPr>
          <w:lang w:val="fr-FR"/>
        </w:rPr>
        <w:t>,</w:t>
      </w:r>
      <w:r w:rsidRPr="00495482">
        <w:rPr>
          <w:lang w:val="fr-FR"/>
        </w:rPr>
        <w:t xml:space="preserve"> compte tenu du fait que la Slovénie a moins de 2 millions d</w:t>
      </w:r>
      <w:r w:rsidR="005D0F0F" w:rsidRPr="00495482">
        <w:rPr>
          <w:lang w:val="fr-FR"/>
        </w:rPr>
        <w:t>’</w:t>
      </w:r>
      <w:r w:rsidRPr="00495482">
        <w:rPr>
          <w:lang w:val="fr-FR"/>
        </w:rPr>
        <w:t>habitants)</w:t>
      </w:r>
      <w:r w:rsidR="005D0F0F" w:rsidRPr="00495482">
        <w:rPr>
          <w:lang w:val="fr-FR"/>
        </w:rPr>
        <w:t>,</w:t>
      </w:r>
      <w:r w:rsidRPr="00495482">
        <w:rPr>
          <w:lang w:val="fr-FR"/>
        </w:rPr>
        <w:t xml:space="preserve"> les activités amateurs (plus de 3 millions de participants en 2008)</w:t>
      </w:r>
      <w:r w:rsidR="005D0F0F" w:rsidRPr="00495482">
        <w:rPr>
          <w:lang w:val="fr-FR"/>
        </w:rPr>
        <w:t>,</w:t>
      </w:r>
      <w:r w:rsidRPr="00495482">
        <w:rPr>
          <w:lang w:val="fr-FR"/>
        </w:rPr>
        <w:t xml:space="preserve"> et les manifestations organisées dans d</w:t>
      </w:r>
      <w:r w:rsidR="005D0F0F" w:rsidRPr="00495482">
        <w:rPr>
          <w:lang w:val="fr-FR"/>
        </w:rPr>
        <w:t>’</w:t>
      </w:r>
      <w:r w:rsidRPr="00495482">
        <w:rPr>
          <w:lang w:val="fr-FR"/>
        </w:rPr>
        <w:t>autres domaines</w:t>
      </w:r>
      <w:r w:rsidR="005D0F0F" w:rsidRPr="00495482">
        <w:rPr>
          <w:lang w:val="fr-FR"/>
        </w:rPr>
        <w:t>,</w:t>
      </w:r>
      <w:r w:rsidRPr="00495482">
        <w:rPr>
          <w:lang w:val="fr-FR"/>
        </w:rPr>
        <w:t xml:space="preserve"> en tant qu</w:t>
      </w:r>
      <w:r w:rsidR="005D0F0F" w:rsidRPr="00495482">
        <w:rPr>
          <w:lang w:val="fr-FR"/>
        </w:rPr>
        <w:t>’</w:t>
      </w:r>
      <w:r w:rsidRPr="00495482">
        <w:rPr>
          <w:lang w:val="fr-FR"/>
        </w:rPr>
        <w:t>évènements ponctuels</w:t>
      </w:r>
      <w:r w:rsidR="005D0F0F" w:rsidRPr="00495482">
        <w:rPr>
          <w:lang w:val="fr-FR"/>
        </w:rPr>
        <w:t>,</w:t>
      </w:r>
      <w:r w:rsidRPr="00495482">
        <w:rPr>
          <w:lang w:val="fr-FR"/>
        </w:rPr>
        <w:t xml:space="preserve"> ou dans le cadre de manifestations traditionnelles telles </w:t>
      </w:r>
      <w:r w:rsidRPr="00495482">
        <w:rPr>
          <w:i/>
          <w:lang w:val="fr-FR"/>
        </w:rPr>
        <w:t>Ta veseli da kulture</w:t>
      </w:r>
      <w:r w:rsidRPr="00495482">
        <w:rPr>
          <w:lang w:val="fr-FR"/>
        </w:rPr>
        <w:t xml:space="preserve"> (la Journée de la culture)</w:t>
      </w:r>
      <w:r w:rsidR="005D0F0F" w:rsidRPr="00495482">
        <w:rPr>
          <w:lang w:val="fr-FR"/>
        </w:rPr>
        <w:t>,</w:t>
      </w:r>
      <w:r w:rsidRPr="00495482">
        <w:rPr>
          <w:lang w:val="fr-FR"/>
        </w:rPr>
        <w:t xml:space="preserve"> </w:t>
      </w:r>
      <w:r w:rsidRPr="00495482">
        <w:rPr>
          <w:i/>
          <w:lang w:val="fr-FR"/>
        </w:rPr>
        <w:t>Muzejska noč</w:t>
      </w:r>
      <w:r w:rsidRPr="00495482">
        <w:rPr>
          <w:lang w:val="fr-FR"/>
        </w:rPr>
        <w:t xml:space="preserve"> (la Nuit des musées)</w:t>
      </w:r>
      <w:r w:rsidR="005D0F0F" w:rsidRPr="00495482">
        <w:rPr>
          <w:lang w:val="fr-FR"/>
        </w:rPr>
        <w:t>,</w:t>
      </w:r>
      <w:r w:rsidRPr="00495482">
        <w:rPr>
          <w:lang w:val="fr-FR"/>
        </w:rPr>
        <w:t xml:space="preserve"> </w:t>
      </w:r>
      <w:r w:rsidRPr="00495482">
        <w:rPr>
          <w:i/>
          <w:lang w:val="fr-FR"/>
        </w:rPr>
        <w:t>Kulturni bazar</w:t>
      </w:r>
      <w:r w:rsidRPr="00495482">
        <w:rPr>
          <w:lang w:val="fr-FR"/>
        </w:rPr>
        <w:t xml:space="preserve"> (le Bazar culturel)</w:t>
      </w:r>
      <w:r w:rsidR="005D0F0F" w:rsidRPr="00495482">
        <w:rPr>
          <w:lang w:val="fr-FR"/>
        </w:rPr>
        <w:t>,</w:t>
      </w:r>
      <w:r w:rsidRPr="00495482">
        <w:rPr>
          <w:lang w:val="fr-FR"/>
        </w:rPr>
        <w:t xml:space="preserve"> entre autres. </w:t>
      </w:r>
    </w:p>
    <w:p w:rsidR="00317603" w:rsidRPr="00495482" w:rsidRDefault="00317603" w:rsidP="00317603">
      <w:pPr>
        <w:keepNext/>
        <w:keepLines/>
        <w:tabs>
          <w:tab w:val="right" w:pos="851"/>
        </w:tabs>
        <w:spacing w:before="240" w:after="120" w:line="240" w:lineRule="exact"/>
        <w:ind w:left="1134" w:right="1134" w:hanging="1134"/>
        <w:rPr>
          <w:b/>
          <w:iCs/>
          <w:lang w:val="fr-FR" w:eastAsia="sl-SI"/>
        </w:rPr>
      </w:pPr>
      <w:r w:rsidRPr="00495482">
        <w:rPr>
          <w:b/>
          <w:lang w:val="fr-FR" w:eastAsia="sl-SI"/>
        </w:rPr>
        <w:tab/>
      </w:r>
      <w:r w:rsidRPr="00495482">
        <w:rPr>
          <w:b/>
          <w:lang w:val="fr-FR" w:eastAsia="sl-SI"/>
        </w:rPr>
        <w:tab/>
        <w:t>Patrimoine culturel</w:t>
      </w:r>
    </w:p>
    <w:p w:rsidR="00317603" w:rsidRPr="00495482" w:rsidRDefault="00317603" w:rsidP="00AB6843">
      <w:pPr>
        <w:pStyle w:val="SingleTxtG"/>
        <w:rPr>
          <w:lang w:val="fr-FR"/>
        </w:rPr>
      </w:pPr>
      <w:r w:rsidRPr="00495482">
        <w:rPr>
          <w:lang w:val="fr-FR"/>
        </w:rPr>
        <w:t>188.</w:t>
      </w:r>
      <w:r w:rsidRPr="00495482">
        <w:rPr>
          <w:lang w:val="fr-FR"/>
        </w:rPr>
        <w:tab/>
        <w:t>Le patrimoine culturel est régi par la loi sur la protection du patrimoine culturel</w:t>
      </w:r>
      <w:r w:rsidRPr="00495482">
        <w:rPr>
          <w:rStyle w:val="FootnoteReference"/>
        </w:rPr>
        <w:footnoteReference w:id="96"/>
      </w:r>
      <w:r w:rsidRPr="00495482">
        <w:rPr>
          <w:lang w:val="fr-FR"/>
        </w:rPr>
        <w:t xml:space="preserve"> et la loi sur les archives et la protection du patrimoine documentaire</w:t>
      </w:r>
      <w:r w:rsidRPr="00495482">
        <w:rPr>
          <w:rStyle w:val="FootnoteReference"/>
        </w:rPr>
        <w:footnoteReference w:id="97"/>
      </w:r>
      <w:r w:rsidR="003D51E1" w:rsidRPr="00495482">
        <w:rPr>
          <w:lang w:val="fr-FR"/>
        </w:rPr>
        <w:t>.</w:t>
      </w:r>
      <w:r w:rsidRPr="00495482">
        <w:rPr>
          <w:lang w:val="fr-FR"/>
        </w:rPr>
        <w:t xml:space="preserve"> Ces dernières années</w:t>
      </w:r>
      <w:r w:rsidR="005D0F0F" w:rsidRPr="00495482">
        <w:rPr>
          <w:lang w:val="fr-FR"/>
        </w:rPr>
        <w:t>,</w:t>
      </w:r>
      <w:r w:rsidRPr="00495482">
        <w:rPr>
          <w:lang w:val="fr-FR"/>
        </w:rPr>
        <w:t xml:space="preserve"> les musées en particulier ont multiplié leurs activités et</w:t>
      </w:r>
      <w:r w:rsidR="005D0F0F" w:rsidRPr="00495482">
        <w:rPr>
          <w:lang w:val="fr-FR"/>
        </w:rPr>
        <w:t>,</w:t>
      </w:r>
      <w:r w:rsidRPr="00495482">
        <w:rPr>
          <w:lang w:val="fr-FR"/>
        </w:rPr>
        <w:t xml:space="preserve"> à l</w:t>
      </w:r>
      <w:r w:rsidR="005D0F0F" w:rsidRPr="00495482">
        <w:rPr>
          <w:lang w:val="fr-FR"/>
        </w:rPr>
        <w:t>’</w:t>
      </w:r>
      <w:r w:rsidRPr="00495482">
        <w:rPr>
          <w:lang w:val="fr-FR"/>
        </w:rPr>
        <w:t>instar des bibliothèques publiques</w:t>
      </w:r>
      <w:r w:rsidR="005D0F0F" w:rsidRPr="00495482">
        <w:rPr>
          <w:lang w:val="fr-FR"/>
        </w:rPr>
        <w:t>,</w:t>
      </w:r>
      <w:r w:rsidRPr="00495482">
        <w:rPr>
          <w:lang w:val="fr-FR"/>
        </w:rPr>
        <w:t xml:space="preserve"> ils sont devenus des centres d</w:t>
      </w:r>
      <w:r w:rsidR="005D0F0F" w:rsidRPr="00495482">
        <w:rPr>
          <w:lang w:val="fr-FR"/>
        </w:rPr>
        <w:t>’</w:t>
      </w:r>
      <w:r w:rsidRPr="00495482">
        <w:rPr>
          <w:lang w:val="fr-FR"/>
        </w:rPr>
        <w:t>information et d</w:t>
      </w:r>
      <w:r w:rsidR="005D0F0F" w:rsidRPr="00495482">
        <w:rPr>
          <w:lang w:val="fr-FR"/>
        </w:rPr>
        <w:t>’</w:t>
      </w:r>
      <w:r w:rsidRPr="00495482">
        <w:rPr>
          <w:lang w:val="fr-FR"/>
        </w:rPr>
        <w:t>éducation. Grâce à la loi sur la privatisation des monuments culturels publics</w:t>
      </w:r>
      <w:r w:rsidRPr="00495482">
        <w:rPr>
          <w:rStyle w:val="FootnoteReference"/>
        </w:rPr>
        <w:footnoteReference w:id="98"/>
      </w:r>
      <w:r w:rsidR="005D0F0F" w:rsidRPr="00495482">
        <w:rPr>
          <w:lang w:val="fr-FR"/>
        </w:rPr>
        <w:t>,</w:t>
      </w:r>
      <w:r w:rsidRPr="00495482">
        <w:rPr>
          <w:lang w:val="fr-FR"/>
        </w:rPr>
        <w:t xml:space="preserve"> les principaux monuments appartenant antérieurement à l</w:t>
      </w:r>
      <w:r w:rsidR="005D0F0F" w:rsidRPr="00495482">
        <w:rPr>
          <w:lang w:val="fr-FR"/>
        </w:rPr>
        <w:t>’</w:t>
      </w:r>
      <w:r w:rsidRPr="00495482">
        <w:rPr>
          <w:lang w:val="fr-FR"/>
        </w:rPr>
        <w:t>État et qui n</w:t>
      </w:r>
      <w:r w:rsidR="005D0F0F" w:rsidRPr="00495482">
        <w:rPr>
          <w:lang w:val="fr-FR"/>
        </w:rPr>
        <w:t>’</w:t>
      </w:r>
      <w:r w:rsidRPr="00495482">
        <w:rPr>
          <w:lang w:val="fr-FR"/>
        </w:rPr>
        <w:t>ont pas été dénationalisés (c</w:t>
      </w:r>
      <w:r w:rsidR="005D0F0F" w:rsidRPr="00495482">
        <w:rPr>
          <w:lang w:val="fr-FR"/>
        </w:rPr>
        <w:t>’</w:t>
      </w:r>
      <w:r w:rsidRPr="00495482">
        <w:rPr>
          <w:lang w:val="fr-FR"/>
        </w:rPr>
        <w:t>est-à-dire rendus à leurs anciens propriétaires)</w:t>
      </w:r>
      <w:r w:rsidR="005D0F0F" w:rsidRPr="00495482">
        <w:rPr>
          <w:lang w:val="fr-FR"/>
        </w:rPr>
        <w:t>,</w:t>
      </w:r>
      <w:r w:rsidRPr="00495482">
        <w:rPr>
          <w:lang w:val="fr-FR"/>
        </w:rPr>
        <w:t xml:space="preserve"> sont restés publics et généralement accessibles pendant et après la période de transition.</w:t>
      </w:r>
      <w:r w:rsidR="003D1A4F" w:rsidRPr="00495482">
        <w:rPr>
          <w:lang w:val="fr-FR"/>
        </w:rPr>
        <w:t xml:space="preserve"> </w:t>
      </w:r>
    </w:p>
    <w:p w:rsidR="00317603" w:rsidRPr="00495482" w:rsidRDefault="00317603" w:rsidP="00AB6843">
      <w:pPr>
        <w:pStyle w:val="SingleTxtG"/>
        <w:rPr>
          <w:lang w:val="fr-FR"/>
        </w:rPr>
      </w:pPr>
      <w:r w:rsidRPr="00495482">
        <w:rPr>
          <w:lang w:val="fr-FR"/>
        </w:rPr>
        <w:t>189.</w:t>
      </w:r>
      <w:r w:rsidRPr="00495482">
        <w:rPr>
          <w:lang w:val="fr-FR"/>
        </w:rPr>
        <w:tab/>
        <w:t>L</w:t>
      </w:r>
      <w:r w:rsidR="005D0F0F" w:rsidRPr="00495482">
        <w:rPr>
          <w:lang w:val="fr-FR"/>
        </w:rPr>
        <w:t>’</w:t>
      </w:r>
      <w:r w:rsidRPr="00495482">
        <w:rPr>
          <w:lang w:val="fr-FR"/>
        </w:rPr>
        <w:t>une des priorités générales majeures concerne également l</w:t>
      </w:r>
      <w:r w:rsidR="005D0F0F" w:rsidRPr="00495482">
        <w:rPr>
          <w:lang w:val="fr-FR"/>
        </w:rPr>
        <w:t>’</w:t>
      </w:r>
      <w:r w:rsidRPr="00495482">
        <w:rPr>
          <w:lang w:val="fr-FR"/>
        </w:rPr>
        <w:t>accès à la cyberculture ou aux contenus culturels numériques qui</w:t>
      </w:r>
      <w:r w:rsidR="005D0F0F" w:rsidRPr="00495482">
        <w:rPr>
          <w:lang w:val="fr-FR"/>
        </w:rPr>
        <w:t>,</w:t>
      </w:r>
      <w:r w:rsidRPr="00495482">
        <w:rPr>
          <w:lang w:val="fr-FR"/>
        </w:rPr>
        <w:t xml:space="preserve"> en application du programme national pour la culture</w:t>
      </w:r>
      <w:r w:rsidR="005D0F0F" w:rsidRPr="00495482">
        <w:rPr>
          <w:lang w:val="fr-FR"/>
        </w:rPr>
        <w:t>,</w:t>
      </w:r>
      <w:r w:rsidRPr="00495482">
        <w:rPr>
          <w:lang w:val="fr-FR"/>
        </w:rPr>
        <w:t xml:space="preserve"> concerne l</w:t>
      </w:r>
      <w:r w:rsidR="005D0F0F" w:rsidRPr="00495482">
        <w:rPr>
          <w:lang w:val="fr-FR"/>
        </w:rPr>
        <w:t>’</w:t>
      </w:r>
      <w:r w:rsidRPr="00495482">
        <w:rPr>
          <w:lang w:val="fr-FR"/>
        </w:rPr>
        <w:t>ensemble du domaine culturel. Il s</w:t>
      </w:r>
      <w:r w:rsidR="005D0F0F" w:rsidRPr="00495482">
        <w:rPr>
          <w:lang w:val="fr-FR"/>
        </w:rPr>
        <w:t>’</w:t>
      </w:r>
      <w:r w:rsidRPr="00495482">
        <w:rPr>
          <w:lang w:val="fr-FR"/>
        </w:rPr>
        <w:t>agit d</w:t>
      </w:r>
      <w:r w:rsidR="005D0F0F" w:rsidRPr="00495482">
        <w:rPr>
          <w:lang w:val="fr-FR"/>
        </w:rPr>
        <w:t>’</w:t>
      </w:r>
      <w:r w:rsidRPr="00495482">
        <w:rPr>
          <w:lang w:val="fr-FR"/>
        </w:rPr>
        <w:t>intégrer les technologies de l</w:t>
      </w:r>
      <w:r w:rsidR="005D0F0F" w:rsidRPr="00495482">
        <w:rPr>
          <w:lang w:val="fr-FR"/>
        </w:rPr>
        <w:t>’</w:t>
      </w:r>
      <w:r w:rsidRPr="00495482">
        <w:rPr>
          <w:lang w:val="fr-FR"/>
        </w:rPr>
        <w:t>information et de la communication aux processus fondamentaux de création</w:t>
      </w:r>
      <w:r w:rsidR="005D0F0F" w:rsidRPr="00495482">
        <w:rPr>
          <w:lang w:val="fr-FR"/>
        </w:rPr>
        <w:t>,</w:t>
      </w:r>
      <w:r w:rsidRPr="00495482">
        <w:rPr>
          <w:lang w:val="fr-FR"/>
        </w:rPr>
        <w:t xml:space="preserve"> de stockage</w:t>
      </w:r>
      <w:r w:rsidR="005D0F0F" w:rsidRPr="00495482">
        <w:rPr>
          <w:lang w:val="fr-FR"/>
        </w:rPr>
        <w:t>,</w:t>
      </w:r>
      <w:r w:rsidRPr="00495482">
        <w:rPr>
          <w:lang w:val="fr-FR"/>
        </w:rPr>
        <w:t xml:space="preserve"> de diffusion</w:t>
      </w:r>
      <w:r w:rsidR="005D0F0F" w:rsidRPr="00495482">
        <w:rPr>
          <w:lang w:val="fr-FR"/>
        </w:rPr>
        <w:t>,</w:t>
      </w:r>
      <w:r w:rsidRPr="00495482">
        <w:rPr>
          <w:lang w:val="fr-FR"/>
        </w:rPr>
        <w:t xml:space="preserve"> de présentation publique</w:t>
      </w:r>
      <w:r w:rsidR="005D0F0F" w:rsidRPr="00495482">
        <w:rPr>
          <w:lang w:val="fr-FR"/>
        </w:rPr>
        <w:t>,</w:t>
      </w:r>
      <w:r w:rsidRPr="00495482">
        <w:rPr>
          <w:lang w:val="fr-FR"/>
        </w:rPr>
        <w:t xml:space="preserve"> de protection et de réutilisation des contenus culturels numériques par les créateurs de biens culturels</w:t>
      </w:r>
      <w:r w:rsidR="005D0F0F" w:rsidRPr="00495482">
        <w:rPr>
          <w:lang w:val="fr-FR"/>
        </w:rPr>
        <w:t>,</w:t>
      </w:r>
      <w:r w:rsidRPr="00495482">
        <w:rPr>
          <w:lang w:val="fr-FR"/>
        </w:rPr>
        <w:t xml:space="preserve"> comme les bibliothèques</w:t>
      </w:r>
      <w:r w:rsidR="005D0F0F" w:rsidRPr="00495482">
        <w:rPr>
          <w:lang w:val="fr-FR"/>
        </w:rPr>
        <w:t>,</w:t>
      </w:r>
      <w:r w:rsidRPr="00495482">
        <w:rPr>
          <w:lang w:val="fr-FR"/>
        </w:rPr>
        <w:t xml:space="preserve"> musées</w:t>
      </w:r>
      <w:r w:rsidR="005D0F0F" w:rsidRPr="00495482">
        <w:rPr>
          <w:lang w:val="fr-FR"/>
        </w:rPr>
        <w:t>,</w:t>
      </w:r>
      <w:r w:rsidRPr="00495482">
        <w:rPr>
          <w:lang w:val="fr-FR"/>
        </w:rPr>
        <w:t xml:space="preserve"> galeries</w:t>
      </w:r>
      <w:r w:rsidR="005D0F0F" w:rsidRPr="00495482">
        <w:rPr>
          <w:lang w:val="fr-FR"/>
        </w:rPr>
        <w:t>,</w:t>
      </w:r>
      <w:r w:rsidRPr="00495482">
        <w:rPr>
          <w:lang w:val="fr-FR"/>
        </w:rPr>
        <w:t xml:space="preserve"> archives</w:t>
      </w:r>
      <w:r w:rsidR="005D0F0F" w:rsidRPr="00495482">
        <w:rPr>
          <w:lang w:val="fr-FR"/>
        </w:rPr>
        <w:t>,</w:t>
      </w:r>
      <w:r w:rsidRPr="00495482">
        <w:rPr>
          <w:lang w:val="fr-FR"/>
        </w:rPr>
        <w:t xml:space="preserve"> médias et autres institutions culturelles. La Slovénie consacre les investissements nécessaires aux technologies de l</w:t>
      </w:r>
      <w:r w:rsidR="005D0F0F" w:rsidRPr="00495482">
        <w:rPr>
          <w:lang w:val="fr-FR"/>
        </w:rPr>
        <w:t>’</w:t>
      </w:r>
      <w:r w:rsidRPr="00495482">
        <w:rPr>
          <w:lang w:val="fr-FR"/>
        </w:rPr>
        <w:t>information et de la communication et à la numérisation</w:t>
      </w:r>
      <w:r w:rsidR="005D0F0F" w:rsidRPr="00495482">
        <w:rPr>
          <w:lang w:val="fr-FR"/>
        </w:rPr>
        <w:t>,</w:t>
      </w:r>
      <w:r w:rsidRPr="00495482">
        <w:rPr>
          <w:lang w:val="fr-FR"/>
        </w:rPr>
        <w:t xml:space="preserve"> à des fins de restructuration</w:t>
      </w:r>
      <w:r w:rsidR="005D0F0F" w:rsidRPr="00495482">
        <w:rPr>
          <w:lang w:val="fr-FR"/>
        </w:rPr>
        <w:t>,</w:t>
      </w:r>
      <w:r w:rsidRPr="00495482">
        <w:rPr>
          <w:lang w:val="fr-FR"/>
        </w:rPr>
        <w:t xml:space="preserve"> mais aussi pour se conformer aux principes directeurs de la stratégie i-2010 (Société européenne de l</w:t>
      </w:r>
      <w:r w:rsidR="005D0F0F" w:rsidRPr="00495482">
        <w:rPr>
          <w:lang w:val="fr-FR"/>
        </w:rPr>
        <w:t>’</w:t>
      </w:r>
      <w:r w:rsidRPr="00495482">
        <w:rPr>
          <w:lang w:val="fr-FR"/>
        </w:rPr>
        <w:t>information 2010 pour accélérer la croissance et l</w:t>
      </w:r>
      <w:r w:rsidR="005D0F0F" w:rsidRPr="00495482">
        <w:rPr>
          <w:lang w:val="fr-FR"/>
        </w:rPr>
        <w:t>’</w:t>
      </w:r>
      <w:r w:rsidRPr="00495482">
        <w:rPr>
          <w:lang w:val="fr-FR"/>
        </w:rPr>
        <w:t>emploi dans la société de l</w:t>
      </w:r>
      <w:r w:rsidR="005D0F0F" w:rsidRPr="00495482">
        <w:rPr>
          <w:lang w:val="fr-FR"/>
        </w:rPr>
        <w:t>’</w:t>
      </w:r>
      <w:r w:rsidRPr="00495482">
        <w:rPr>
          <w:lang w:val="fr-FR"/>
        </w:rPr>
        <w:t>information)</w:t>
      </w:r>
      <w:r w:rsidR="005D0F0F" w:rsidRPr="00495482">
        <w:rPr>
          <w:lang w:val="fr-FR"/>
        </w:rPr>
        <w:t>,</w:t>
      </w:r>
      <w:r w:rsidR="003D1A4F" w:rsidRPr="00495482">
        <w:rPr>
          <w:lang w:val="fr-FR"/>
        </w:rPr>
        <w:t xml:space="preserve"> </w:t>
      </w:r>
      <w:r w:rsidRPr="00495482">
        <w:rPr>
          <w:lang w:val="fr-FR"/>
        </w:rPr>
        <w:t>qui classe les bibliothèques</w:t>
      </w:r>
      <w:r w:rsidR="005D0F0F" w:rsidRPr="00495482">
        <w:rPr>
          <w:lang w:val="fr-FR"/>
        </w:rPr>
        <w:t>,</w:t>
      </w:r>
      <w:r w:rsidRPr="00495482">
        <w:rPr>
          <w:lang w:val="fr-FR"/>
        </w:rPr>
        <w:t xml:space="preserve"> musées</w:t>
      </w:r>
      <w:r w:rsidR="005D0F0F" w:rsidRPr="00495482">
        <w:rPr>
          <w:lang w:val="fr-FR"/>
        </w:rPr>
        <w:t>,</w:t>
      </w:r>
      <w:r w:rsidRPr="00495482">
        <w:rPr>
          <w:lang w:val="fr-FR"/>
        </w:rPr>
        <w:t xml:space="preserve"> archives et autres biens culturels numériques parmi les initiatives majeures de développement</w:t>
      </w:r>
      <w:r w:rsidR="005D0F0F" w:rsidRPr="00495482">
        <w:rPr>
          <w:lang w:val="fr-FR"/>
        </w:rPr>
        <w:t>,</w:t>
      </w:r>
      <w:r w:rsidRPr="00495482">
        <w:rPr>
          <w:lang w:val="fr-FR"/>
        </w:rPr>
        <w:t xml:space="preserve"> et vise à permettre à chacun d</w:t>
      </w:r>
      <w:r w:rsidR="005D0F0F" w:rsidRPr="00495482">
        <w:rPr>
          <w:lang w:val="fr-FR"/>
        </w:rPr>
        <w:t>’</w:t>
      </w:r>
      <w:r w:rsidRPr="00495482">
        <w:rPr>
          <w:lang w:val="fr-FR"/>
        </w:rPr>
        <w:t>accéder au patrimoine multimédia et multilingue européen. L</w:t>
      </w:r>
      <w:r w:rsidR="005D0F0F" w:rsidRPr="00495482">
        <w:rPr>
          <w:lang w:val="fr-FR"/>
        </w:rPr>
        <w:t>’</w:t>
      </w:r>
      <w:r w:rsidRPr="00495482">
        <w:rPr>
          <w:lang w:val="fr-FR"/>
        </w:rPr>
        <w:t>un des exemples réussis dans le domaine de la cyberculture en Slovénie est la bibliothèque numérique de Slovénie (www.dlib.si)</w:t>
      </w:r>
      <w:r w:rsidR="005D0F0F" w:rsidRPr="00495482">
        <w:rPr>
          <w:lang w:val="fr-FR"/>
        </w:rPr>
        <w:t>,</w:t>
      </w:r>
      <w:r w:rsidRPr="00495482">
        <w:rPr>
          <w:lang w:val="fr-FR"/>
        </w:rPr>
        <w:t xml:space="preserve"> un portail Web qui permet d</w:t>
      </w:r>
      <w:r w:rsidR="005D0F0F" w:rsidRPr="00495482">
        <w:rPr>
          <w:lang w:val="fr-FR"/>
        </w:rPr>
        <w:t>’</w:t>
      </w:r>
      <w:r w:rsidRPr="00495482">
        <w:rPr>
          <w:lang w:val="fr-FR"/>
        </w:rPr>
        <w:t>accéder au savoir numérique et aux trésors culturels. Toutes les collections y sont accessibles gratuitement.</w:t>
      </w:r>
    </w:p>
    <w:p w:rsidR="00317603" w:rsidRPr="00495482" w:rsidRDefault="00317603" w:rsidP="002656A1">
      <w:pPr>
        <w:pStyle w:val="H23G"/>
        <w:rPr>
          <w:iCs/>
          <w:lang w:val="fr-FR" w:eastAsia="sl-SI"/>
        </w:rPr>
      </w:pPr>
      <w:r w:rsidRPr="00495482">
        <w:rPr>
          <w:lang w:val="fr-FR" w:eastAsia="sl-SI"/>
        </w:rPr>
        <w:tab/>
      </w:r>
      <w:r w:rsidRPr="00495482">
        <w:rPr>
          <w:lang w:val="fr-FR" w:eastAsia="sl-SI"/>
        </w:rPr>
        <w:tab/>
        <w:t>Participation des enfants à la vie culturelle</w:t>
      </w:r>
      <w:r w:rsidR="005D0F0F" w:rsidRPr="00495482">
        <w:rPr>
          <w:lang w:val="fr-FR" w:eastAsia="sl-SI"/>
        </w:rPr>
        <w:t>,</w:t>
      </w:r>
      <w:r w:rsidRPr="00495482">
        <w:rPr>
          <w:lang w:val="fr-FR" w:eastAsia="sl-SI"/>
        </w:rPr>
        <w:t xml:space="preserve"> et éducation culturelle tout au long de la vie</w:t>
      </w:r>
      <w:r w:rsidR="003D1A4F" w:rsidRPr="00495482">
        <w:rPr>
          <w:lang w:val="fr-FR" w:eastAsia="sl-SI"/>
        </w:rPr>
        <w:t xml:space="preserve"> </w:t>
      </w:r>
    </w:p>
    <w:p w:rsidR="00317603" w:rsidRPr="00495482" w:rsidRDefault="00317603" w:rsidP="00AB6843">
      <w:pPr>
        <w:pStyle w:val="SingleTxtG"/>
        <w:rPr>
          <w:lang w:val="fr-FR" w:eastAsia="sl-SI"/>
        </w:rPr>
      </w:pPr>
      <w:r w:rsidRPr="00495482">
        <w:rPr>
          <w:lang w:val="fr-FR" w:eastAsia="sl-SI"/>
        </w:rPr>
        <w:t>190.</w:t>
      </w:r>
      <w:r w:rsidRPr="00495482">
        <w:rPr>
          <w:lang w:val="fr-FR" w:eastAsia="sl-SI"/>
        </w:rPr>
        <w:tab/>
        <w:t>Depuis 2003</w:t>
      </w:r>
      <w:r w:rsidR="005D0F0F" w:rsidRPr="00495482">
        <w:rPr>
          <w:lang w:val="fr-FR" w:eastAsia="sl-SI"/>
        </w:rPr>
        <w:t>,</w:t>
      </w:r>
      <w:r w:rsidRPr="00495482">
        <w:rPr>
          <w:lang w:val="fr-FR" w:eastAsia="sl-SI"/>
        </w:rPr>
        <w:t xml:space="preserve"> le Ministère de la Culture</w:t>
      </w:r>
      <w:r w:rsidR="005D0F0F" w:rsidRPr="00495482">
        <w:rPr>
          <w:lang w:val="fr-FR" w:eastAsia="sl-SI"/>
        </w:rPr>
        <w:t>,</w:t>
      </w:r>
      <w:r w:rsidRPr="00495482">
        <w:rPr>
          <w:lang w:val="fr-FR" w:eastAsia="sl-SI"/>
        </w:rPr>
        <w:t xml:space="preserve"> en coopération avec le Ministère de l</w:t>
      </w:r>
      <w:r w:rsidR="005D0F0F" w:rsidRPr="00495482">
        <w:rPr>
          <w:lang w:val="fr-FR" w:eastAsia="sl-SI"/>
        </w:rPr>
        <w:t>’</w:t>
      </w:r>
      <w:r w:rsidRPr="00495482">
        <w:rPr>
          <w:lang w:val="fr-FR" w:eastAsia="sl-SI"/>
        </w:rPr>
        <w:t>éducation et des sports</w:t>
      </w:r>
      <w:r w:rsidR="005D0F0F" w:rsidRPr="00495482">
        <w:rPr>
          <w:lang w:val="fr-FR" w:eastAsia="sl-SI"/>
        </w:rPr>
        <w:t>,</w:t>
      </w:r>
      <w:r w:rsidRPr="00495482">
        <w:rPr>
          <w:lang w:val="fr-FR" w:eastAsia="sl-SI"/>
        </w:rPr>
        <w:t xml:space="preserve"> a franchi une étape majeure dans la réalisation des droits culturels</w:t>
      </w:r>
      <w:r w:rsidR="005D0F0F" w:rsidRPr="00495482">
        <w:rPr>
          <w:lang w:val="fr-FR" w:eastAsia="sl-SI"/>
        </w:rPr>
        <w:t>,</w:t>
      </w:r>
      <w:r w:rsidRPr="00495482">
        <w:rPr>
          <w:lang w:val="fr-FR" w:eastAsia="sl-SI"/>
        </w:rPr>
        <w:t xml:space="preserve"> grâce au développement planifié de l</w:t>
      </w:r>
      <w:r w:rsidR="005D0F0F" w:rsidRPr="00495482">
        <w:rPr>
          <w:lang w:val="fr-FR" w:eastAsia="sl-SI"/>
        </w:rPr>
        <w:t>’</w:t>
      </w:r>
      <w:r w:rsidRPr="00495482">
        <w:rPr>
          <w:lang w:val="fr-FR" w:eastAsia="sl-SI"/>
        </w:rPr>
        <w:t>éducation culturelle dans l</w:t>
      </w:r>
      <w:r w:rsidR="005D0F0F" w:rsidRPr="00495482">
        <w:rPr>
          <w:lang w:val="fr-FR" w:eastAsia="sl-SI"/>
        </w:rPr>
        <w:t>’</w:t>
      </w:r>
      <w:r w:rsidRPr="00495482">
        <w:rPr>
          <w:lang w:val="fr-FR" w:eastAsia="sl-SI"/>
        </w:rPr>
        <w:t>enseignement. Le programme national pour la culture 2004-2007 et celui de 2008-2011</w:t>
      </w:r>
      <w:r w:rsidRPr="00495482">
        <w:rPr>
          <w:rStyle w:val="FootnoteReference"/>
        </w:rPr>
        <w:footnoteReference w:id="99"/>
      </w:r>
      <w:r w:rsidRPr="00495482">
        <w:rPr>
          <w:lang w:val="fr-FR" w:eastAsia="sl-SI"/>
        </w:rPr>
        <w:t xml:space="preserve"> actuellement en vigueur</w:t>
      </w:r>
      <w:r w:rsidR="005D0F0F" w:rsidRPr="00495482">
        <w:rPr>
          <w:lang w:val="fr-FR" w:eastAsia="sl-SI"/>
        </w:rPr>
        <w:t>,</w:t>
      </w:r>
      <w:r w:rsidR="00AB6843">
        <w:rPr>
          <w:lang w:val="fr-FR" w:eastAsia="sl-SI"/>
        </w:rPr>
        <w:t xml:space="preserve"> </w:t>
      </w:r>
      <w:r w:rsidRPr="00495482">
        <w:rPr>
          <w:lang w:val="fr-FR" w:eastAsia="sl-SI"/>
        </w:rPr>
        <w:t>contiennent déjà les fondements du développement systématique de l</w:t>
      </w:r>
      <w:r w:rsidR="005D0F0F" w:rsidRPr="00495482">
        <w:rPr>
          <w:lang w:val="fr-FR" w:eastAsia="sl-SI"/>
        </w:rPr>
        <w:t>’</w:t>
      </w:r>
      <w:r w:rsidRPr="00495482">
        <w:rPr>
          <w:lang w:val="fr-FR" w:eastAsia="sl-SI"/>
        </w:rPr>
        <w:t>éducation culturelle tout au long de la vie</w:t>
      </w:r>
      <w:r w:rsidR="005D0F0F" w:rsidRPr="00495482">
        <w:rPr>
          <w:lang w:val="fr-FR" w:eastAsia="sl-SI"/>
        </w:rPr>
        <w:t>,</w:t>
      </w:r>
      <w:r w:rsidR="003D1A4F" w:rsidRPr="00495482">
        <w:rPr>
          <w:lang w:val="fr-FR" w:eastAsia="sl-SI"/>
        </w:rPr>
        <w:t xml:space="preserve"> </w:t>
      </w:r>
      <w:r w:rsidRPr="00495482">
        <w:rPr>
          <w:lang w:val="fr-FR" w:eastAsia="sl-SI"/>
        </w:rPr>
        <w:t>et veiller à assurer une éducation culturelle planifiée est défini comme un objectif à long terme de la politique culturelle slovène. Les ministères susmentionnés ont conjointement rédigé une proposition de mesures et d</w:t>
      </w:r>
      <w:r w:rsidR="005D0F0F" w:rsidRPr="00495482">
        <w:rPr>
          <w:lang w:val="fr-FR" w:eastAsia="sl-SI"/>
        </w:rPr>
        <w:t>’</w:t>
      </w:r>
      <w:r w:rsidRPr="00495482">
        <w:rPr>
          <w:lang w:val="fr-FR" w:eastAsia="sl-SI"/>
        </w:rPr>
        <w:t>objectifs dont la réalisation incombe à l</w:t>
      </w:r>
      <w:r w:rsidR="005D0F0F" w:rsidRPr="00495482">
        <w:rPr>
          <w:lang w:val="fr-FR" w:eastAsia="sl-SI"/>
        </w:rPr>
        <w:t>’</w:t>
      </w:r>
      <w:r w:rsidRPr="00495482">
        <w:rPr>
          <w:lang w:val="fr-FR" w:eastAsia="sl-SI"/>
        </w:rPr>
        <w:t xml:space="preserve">ensemble des ministères gouvernementaux. Ces mesures conjointes respectent également les directives énoncées dans la Feuille de route </w:t>
      </w:r>
      <w:r w:rsidR="00206984">
        <w:rPr>
          <w:lang w:val="fr-FR" w:eastAsia="sl-SI"/>
        </w:rPr>
        <w:t xml:space="preserve">– 2006 – </w:t>
      </w:r>
      <w:r w:rsidRPr="00495482">
        <w:rPr>
          <w:lang w:val="fr-FR" w:eastAsia="sl-SI"/>
        </w:rPr>
        <w:t>pour l</w:t>
      </w:r>
      <w:r w:rsidR="005D0F0F" w:rsidRPr="00495482">
        <w:rPr>
          <w:lang w:val="fr-FR" w:eastAsia="sl-SI"/>
        </w:rPr>
        <w:t>’</w:t>
      </w:r>
      <w:r w:rsidRPr="00495482">
        <w:rPr>
          <w:lang w:val="fr-FR" w:eastAsia="sl-SI"/>
        </w:rPr>
        <w:t>éducation artistique</w:t>
      </w:r>
      <w:r w:rsidR="00206984">
        <w:rPr>
          <w:lang w:val="fr-FR" w:eastAsia="sl-SI"/>
        </w:rPr>
        <w:t xml:space="preserve"> </w:t>
      </w:r>
      <w:r w:rsidRPr="00495482">
        <w:rPr>
          <w:lang w:val="fr-FR" w:eastAsia="sl-SI"/>
        </w:rPr>
        <w:t>de l</w:t>
      </w:r>
      <w:r w:rsidR="005D0F0F" w:rsidRPr="00495482">
        <w:rPr>
          <w:lang w:val="fr-FR" w:eastAsia="sl-SI"/>
        </w:rPr>
        <w:t>’</w:t>
      </w:r>
      <w:r w:rsidRPr="00495482">
        <w:rPr>
          <w:lang w:val="fr-FR" w:eastAsia="sl-SI"/>
        </w:rPr>
        <w:t>UNESCO (Organisation des Nations Unies pour l</w:t>
      </w:r>
      <w:r w:rsidR="005D0F0F" w:rsidRPr="00495482">
        <w:rPr>
          <w:lang w:val="fr-FR" w:eastAsia="sl-SI"/>
        </w:rPr>
        <w:t>’</w:t>
      </w:r>
      <w:r w:rsidRPr="00495482">
        <w:rPr>
          <w:lang w:val="fr-FR" w:eastAsia="sl-SI"/>
        </w:rPr>
        <w:t>éducation</w:t>
      </w:r>
      <w:r w:rsidR="005D0F0F" w:rsidRPr="00495482">
        <w:rPr>
          <w:lang w:val="fr-FR" w:eastAsia="sl-SI"/>
        </w:rPr>
        <w:t>,</w:t>
      </w:r>
      <w:r w:rsidRPr="00495482">
        <w:rPr>
          <w:lang w:val="fr-FR" w:eastAsia="sl-SI"/>
        </w:rPr>
        <w:t xml:space="preserve"> la science et la culture).</w:t>
      </w:r>
      <w:r w:rsidR="003D1A4F" w:rsidRPr="00495482">
        <w:rPr>
          <w:lang w:val="fr-FR" w:eastAsia="sl-SI"/>
        </w:rPr>
        <w:t xml:space="preserve"> </w:t>
      </w:r>
    </w:p>
    <w:p w:rsidR="00317603" w:rsidRPr="00495482" w:rsidRDefault="00317603" w:rsidP="002656A1">
      <w:pPr>
        <w:pStyle w:val="H23G"/>
        <w:rPr>
          <w:iCs/>
          <w:lang w:val="fr-FR" w:eastAsia="sl-SI"/>
        </w:rPr>
      </w:pPr>
      <w:r w:rsidRPr="00495482">
        <w:rPr>
          <w:lang w:val="fr-FR" w:eastAsia="sl-SI"/>
        </w:rPr>
        <w:tab/>
      </w:r>
      <w:r w:rsidRPr="00495482">
        <w:rPr>
          <w:lang w:val="fr-FR" w:eastAsia="sl-SI"/>
        </w:rPr>
        <w:tab/>
        <w:t xml:space="preserve">Intégration sociale et égalité de traitement </w:t>
      </w:r>
      <w:r w:rsidR="00210F9A" w:rsidRPr="00495482">
        <w:rPr>
          <w:lang w:val="fr-FR" w:eastAsia="sl-SI"/>
        </w:rPr>
        <w:t>des personnes</w:t>
      </w:r>
      <w:r w:rsidRPr="00495482">
        <w:rPr>
          <w:lang w:val="fr-FR" w:eastAsia="sl-SI"/>
        </w:rPr>
        <w:t xml:space="preserve"> âgées et/ou </w:t>
      </w:r>
      <w:r w:rsidR="00210F9A" w:rsidRPr="00495482">
        <w:rPr>
          <w:lang w:val="fr-FR" w:eastAsia="sl-SI"/>
        </w:rPr>
        <w:t>des personnes</w:t>
      </w:r>
      <w:r w:rsidRPr="00495482">
        <w:rPr>
          <w:lang w:val="fr-FR" w:eastAsia="sl-SI"/>
        </w:rPr>
        <w:t xml:space="preserve"> handicapées </w:t>
      </w:r>
    </w:p>
    <w:p w:rsidR="00317603" w:rsidRPr="00495482" w:rsidRDefault="00317603" w:rsidP="002656A1">
      <w:pPr>
        <w:pStyle w:val="SingleTxtG"/>
        <w:rPr>
          <w:lang w:val="fr-FR"/>
        </w:rPr>
      </w:pPr>
      <w:r w:rsidRPr="00495482">
        <w:rPr>
          <w:lang w:val="fr-FR"/>
        </w:rPr>
        <w:t>191.</w:t>
      </w:r>
      <w:r w:rsidRPr="00495482">
        <w:rPr>
          <w:lang w:val="fr-FR"/>
        </w:rPr>
        <w:tab/>
        <w:t>Le programme national pour la culture 2008-2011 prévoit l</w:t>
      </w:r>
      <w:r w:rsidR="005D0F0F" w:rsidRPr="00495482">
        <w:rPr>
          <w:lang w:val="fr-FR"/>
        </w:rPr>
        <w:t>’</w:t>
      </w:r>
      <w:r w:rsidRPr="00495482">
        <w:rPr>
          <w:lang w:val="fr-FR"/>
        </w:rPr>
        <w:t xml:space="preserve">intégration sociale </w:t>
      </w:r>
      <w:r w:rsidR="00210F9A" w:rsidRPr="00495482">
        <w:rPr>
          <w:lang w:val="fr-FR"/>
        </w:rPr>
        <w:t>des personnes</w:t>
      </w:r>
      <w:r w:rsidRPr="00495482">
        <w:rPr>
          <w:lang w:val="fr-FR"/>
        </w:rPr>
        <w:t xml:space="preserve"> âgées et/ou handicapées et leur traitement égal</w:t>
      </w:r>
      <w:r w:rsidR="005D0F0F" w:rsidRPr="00495482">
        <w:rPr>
          <w:lang w:val="fr-FR"/>
        </w:rPr>
        <w:t>,</w:t>
      </w:r>
      <w:r w:rsidRPr="00495482">
        <w:rPr>
          <w:lang w:val="fr-FR"/>
        </w:rPr>
        <w:t xml:space="preserve"> ce qui implique l</w:t>
      </w:r>
      <w:r w:rsidR="005D0F0F" w:rsidRPr="00495482">
        <w:rPr>
          <w:lang w:val="fr-FR"/>
        </w:rPr>
        <w:t>’</w:t>
      </w:r>
      <w:r w:rsidRPr="00495482">
        <w:rPr>
          <w:lang w:val="fr-FR"/>
        </w:rPr>
        <w:t xml:space="preserve">interdiction de toute forme de discrimination négative </w:t>
      </w:r>
      <w:r w:rsidR="00210F9A" w:rsidRPr="00495482">
        <w:rPr>
          <w:lang w:val="fr-FR"/>
        </w:rPr>
        <w:t>des personnes</w:t>
      </w:r>
      <w:r w:rsidRPr="00495482">
        <w:rPr>
          <w:lang w:val="fr-FR"/>
        </w:rPr>
        <w:t xml:space="preserve"> handicapées en raison de leur handicap. Outre ce programme</w:t>
      </w:r>
      <w:r w:rsidR="005D0F0F" w:rsidRPr="00495482">
        <w:rPr>
          <w:lang w:val="fr-FR"/>
        </w:rPr>
        <w:t>,</w:t>
      </w:r>
      <w:r w:rsidRPr="00495482">
        <w:rPr>
          <w:lang w:val="fr-FR"/>
        </w:rPr>
        <w:t xml:space="preserve"> il faut mentionner les textes juridiques suivants auxquels la Slovénie se conforme et qui interdisent la discrimination négative </w:t>
      </w:r>
      <w:r w:rsidR="00210F9A" w:rsidRPr="00495482">
        <w:rPr>
          <w:lang w:val="fr-FR"/>
        </w:rPr>
        <w:t>des personnes</w:t>
      </w:r>
      <w:r w:rsidRPr="00495482">
        <w:rPr>
          <w:lang w:val="fr-FR"/>
        </w:rPr>
        <w:t xml:space="preserve"> handicapées</w:t>
      </w:r>
      <w:r w:rsidR="005D0F0F" w:rsidRPr="00495482">
        <w:rPr>
          <w:lang w:val="fr-FR"/>
        </w:rPr>
        <w:t>,</w:t>
      </w:r>
      <w:r w:rsidRPr="00495482">
        <w:rPr>
          <w:lang w:val="fr-FR"/>
        </w:rPr>
        <w:t xml:space="preserve"> l</w:t>
      </w:r>
      <w:r w:rsidR="005D0F0F" w:rsidRPr="00495482">
        <w:rPr>
          <w:lang w:val="fr-FR"/>
        </w:rPr>
        <w:t>’</w:t>
      </w:r>
      <w:r w:rsidRPr="00495482">
        <w:rPr>
          <w:lang w:val="fr-FR"/>
        </w:rPr>
        <w:t>hostilité ou la violence à leur égard et prévoient leur intégration dans la société</w:t>
      </w:r>
      <w:r w:rsidR="005D0F0F" w:rsidRPr="00495482">
        <w:rPr>
          <w:lang w:val="fr-FR"/>
        </w:rPr>
        <w:t>:</w:t>
      </w:r>
      <w:r w:rsidR="003D1A4F" w:rsidRPr="00495482">
        <w:rPr>
          <w:lang w:val="fr-FR"/>
        </w:rPr>
        <w:t xml:space="preserve"> </w:t>
      </w:r>
      <w:r w:rsidRPr="00495482">
        <w:rPr>
          <w:lang w:val="fr-FR"/>
        </w:rPr>
        <w:t xml:space="preserve">la Convention relative aux droits </w:t>
      </w:r>
      <w:r w:rsidR="00210F9A" w:rsidRPr="00495482">
        <w:rPr>
          <w:lang w:val="fr-FR"/>
        </w:rPr>
        <w:t>des personnes</w:t>
      </w:r>
      <w:r w:rsidRPr="00495482">
        <w:rPr>
          <w:lang w:val="fr-FR"/>
        </w:rPr>
        <w:t xml:space="preserve"> handicapées</w:t>
      </w:r>
      <w:r w:rsidR="005D0F0F" w:rsidRPr="00495482">
        <w:rPr>
          <w:lang w:val="fr-FR"/>
        </w:rPr>
        <w:t>,</w:t>
      </w:r>
      <w:r w:rsidRPr="00495482">
        <w:rPr>
          <w:lang w:val="fr-FR"/>
        </w:rPr>
        <w:t xml:space="preserve"> les Règles des Nations Unies pour l</w:t>
      </w:r>
      <w:r w:rsidR="005D0F0F" w:rsidRPr="00495482">
        <w:rPr>
          <w:lang w:val="fr-FR"/>
        </w:rPr>
        <w:t>’</w:t>
      </w:r>
      <w:r w:rsidRPr="00495482">
        <w:rPr>
          <w:lang w:val="fr-FR"/>
        </w:rPr>
        <w:t>égalisation des chances des handicapés</w:t>
      </w:r>
      <w:r w:rsidR="005D0F0F" w:rsidRPr="00495482">
        <w:rPr>
          <w:lang w:val="fr-FR"/>
        </w:rPr>
        <w:t>,</w:t>
      </w:r>
      <w:r w:rsidRPr="00495482">
        <w:rPr>
          <w:lang w:val="fr-FR"/>
        </w:rPr>
        <w:t xml:space="preserve"> la Directive européenne contre les discriminations (en cours d</w:t>
      </w:r>
      <w:r w:rsidR="005D0F0F" w:rsidRPr="00495482">
        <w:rPr>
          <w:lang w:val="fr-FR"/>
        </w:rPr>
        <w:t>’</w:t>
      </w:r>
      <w:r w:rsidRPr="00495482">
        <w:rPr>
          <w:lang w:val="fr-FR"/>
        </w:rPr>
        <w:t>adoption)</w:t>
      </w:r>
      <w:r w:rsidR="005D0F0F" w:rsidRPr="00495482">
        <w:rPr>
          <w:lang w:val="fr-FR"/>
        </w:rPr>
        <w:t>,</w:t>
      </w:r>
      <w:r w:rsidRPr="00495482">
        <w:rPr>
          <w:lang w:val="fr-FR"/>
        </w:rPr>
        <w:t xml:space="preserve"> la Constitution de la République de Slovénie</w:t>
      </w:r>
      <w:r w:rsidR="005D0F0F" w:rsidRPr="00495482">
        <w:rPr>
          <w:lang w:val="fr-FR"/>
        </w:rPr>
        <w:t>,</w:t>
      </w:r>
      <w:r w:rsidRPr="00495482">
        <w:rPr>
          <w:lang w:val="fr-FR"/>
        </w:rPr>
        <w:t xml:space="preserve"> la loi sur l</w:t>
      </w:r>
      <w:r w:rsidR="005D0F0F" w:rsidRPr="00495482">
        <w:rPr>
          <w:lang w:val="fr-FR"/>
        </w:rPr>
        <w:t>’</w:t>
      </w:r>
      <w:r w:rsidRPr="00495482">
        <w:rPr>
          <w:lang w:val="fr-FR"/>
        </w:rPr>
        <w:t xml:space="preserve">emploi et la réinsertion professionnelle </w:t>
      </w:r>
      <w:r w:rsidR="00210F9A" w:rsidRPr="00495482">
        <w:rPr>
          <w:lang w:val="fr-FR"/>
        </w:rPr>
        <w:t>des personnes</w:t>
      </w:r>
      <w:r w:rsidRPr="00495482">
        <w:rPr>
          <w:lang w:val="fr-FR"/>
        </w:rPr>
        <w:t xml:space="preserve"> handicapées</w:t>
      </w:r>
      <w:r w:rsidR="005D0F0F" w:rsidRPr="00495482">
        <w:rPr>
          <w:lang w:val="fr-FR"/>
        </w:rPr>
        <w:t>,</w:t>
      </w:r>
      <w:r w:rsidRPr="00495482">
        <w:rPr>
          <w:lang w:val="fr-FR"/>
        </w:rPr>
        <w:t xml:space="preserve"> le programme national d</w:t>
      </w:r>
      <w:r w:rsidR="005D0F0F" w:rsidRPr="00495482">
        <w:rPr>
          <w:lang w:val="fr-FR"/>
        </w:rPr>
        <w:t>’</w:t>
      </w:r>
      <w:r w:rsidRPr="00495482">
        <w:rPr>
          <w:lang w:val="fr-FR"/>
        </w:rPr>
        <w:t xml:space="preserve">action en faveur </w:t>
      </w:r>
      <w:r w:rsidR="00210F9A" w:rsidRPr="00495482">
        <w:rPr>
          <w:lang w:val="fr-FR"/>
        </w:rPr>
        <w:t>des personnes</w:t>
      </w:r>
      <w:r w:rsidRPr="00495482">
        <w:rPr>
          <w:lang w:val="fr-FR"/>
        </w:rPr>
        <w:t xml:space="preserve"> handicapées 2007-2013</w:t>
      </w:r>
      <w:r w:rsidR="005D0F0F" w:rsidRPr="00495482">
        <w:rPr>
          <w:lang w:val="fr-FR"/>
        </w:rPr>
        <w:t>,</w:t>
      </w:r>
      <w:r w:rsidRPr="00495482">
        <w:rPr>
          <w:lang w:val="fr-FR"/>
        </w:rPr>
        <w:t xml:space="preserve"> et la loi sur l</w:t>
      </w:r>
      <w:r w:rsidR="005D0F0F" w:rsidRPr="00495482">
        <w:rPr>
          <w:lang w:val="fr-FR"/>
        </w:rPr>
        <w:t>’</w:t>
      </w:r>
      <w:r w:rsidRPr="00495482">
        <w:rPr>
          <w:lang w:val="fr-FR"/>
        </w:rPr>
        <w:t xml:space="preserve">égalité des chances </w:t>
      </w:r>
      <w:r w:rsidR="00210F9A" w:rsidRPr="00495482">
        <w:rPr>
          <w:lang w:val="fr-FR"/>
        </w:rPr>
        <w:t>des personnes</w:t>
      </w:r>
      <w:r w:rsidRPr="00495482">
        <w:rPr>
          <w:lang w:val="fr-FR"/>
        </w:rPr>
        <w:t xml:space="preserve"> handicapées</w:t>
      </w:r>
      <w:r w:rsidRPr="00495482">
        <w:rPr>
          <w:rStyle w:val="FootnoteReference"/>
        </w:rPr>
        <w:footnoteReference w:id="100"/>
      </w:r>
      <w:r w:rsidRPr="00495482">
        <w:rPr>
          <w:lang w:val="fr-FR"/>
        </w:rPr>
        <w:t>. Le Ministère de la culture encourage la mise en œuvre de divers projets et programmes d</w:t>
      </w:r>
      <w:r w:rsidR="005D0F0F" w:rsidRPr="00495482">
        <w:rPr>
          <w:lang w:val="fr-FR"/>
        </w:rPr>
        <w:t>’</w:t>
      </w:r>
      <w:r w:rsidRPr="00495482">
        <w:rPr>
          <w:lang w:val="fr-FR"/>
        </w:rPr>
        <w:t>éducation des adultes</w:t>
      </w:r>
      <w:r w:rsidR="005D0F0F" w:rsidRPr="00495482">
        <w:rPr>
          <w:lang w:val="fr-FR"/>
        </w:rPr>
        <w:t>,</w:t>
      </w:r>
      <w:r w:rsidRPr="00495482">
        <w:rPr>
          <w:lang w:val="fr-FR"/>
        </w:rPr>
        <w:t xml:space="preserve"> à la fois en matière de contenu et de domaine ou de répartition régionale</w:t>
      </w:r>
      <w:r w:rsidR="005D0F0F" w:rsidRPr="00495482">
        <w:rPr>
          <w:lang w:val="fr-FR"/>
        </w:rPr>
        <w:t>,</w:t>
      </w:r>
      <w:r w:rsidRPr="00495482">
        <w:rPr>
          <w:lang w:val="fr-FR"/>
        </w:rPr>
        <w:t xml:space="preserve"> et il garantit également l</w:t>
      </w:r>
      <w:r w:rsidR="005D0F0F" w:rsidRPr="00495482">
        <w:rPr>
          <w:lang w:val="fr-FR"/>
        </w:rPr>
        <w:t>’</w:t>
      </w:r>
      <w:r w:rsidRPr="00495482">
        <w:rPr>
          <w:lang w:val="fr-FR"/>
        </w:rPr>
        <w:t xml:space="preserve">égalité de traitement </w:t>
      </w:r>
      <w:r w:rsidR="00210F9A" w:rsidRPr="00495482">
        <w:rPr>
          <w:lang w:val="fr-FR"/>
        </w:rPr>
        <w:t>des personnes</w:t>
      </w:r>
      <w:r w:rsidRPr="00495482">
        <w:rPr>
          <w:lang w:val="fr-FR"/>
        </w:rPr>
        <w:t xml:space="preserve"> handicapées</w:t>
      </w:r>
      <w:r w:rsidR="005D0F0F" w:rsidRPr="00495482">
        <w:rPr>
          <w:lang w:val="fr-FR"/>
        </w:rPr>
        <w:t>,</w:t>
      </w:r>
      <w:r w:rsidRPr="00495482">
        <w:rPr>
          <w:lang w:val="fr-FR"/>
        </w:rPr>
        <w:t xml:space="preserve"> leur intégration à la vie culturelle</w:t>
      </w:r>
      <w:r w:rsidR="005D0F0F" w:rsidRPr="00495482">
        <w:rPr>
          <w:lang w:val="fr-FR"/>
        </w:rPr>
        <w:t>,</w:t>
      </w:r>
      <w:r w:rsidRPr="00495482">
        <w:rPr>
          <w:lang w:val="fr-FR"/>
        </w:rPr>
        <w:t xml:space="preserve"> et leur insertion professionnelle dans le domaine de la culture (voir également en annexe). </w:t>
      </w:r>
    </w:p>
    <w:p w:rsidR="00317603" w:rsidRPr="00495482" w:rsidRDefault="00317603" w:rsidP="002656A1">
      <w:pPr>
        <w:pStyle w:val="SingleTxtG"/>
        <w:rPr>
          <w:lang w:val="fr-FR"/>
        </w:rPr>
      </w:pPr>
      <w:r w:rsidRPr="00495482">
        <w:rPr>
          <w:lang w:val="fr-FR"/>
        </w:rPr>
        <w:t>192.</w:t>
      </w:r>
      <w:r w:rsidRPr="00495482">
        <w:rPr>
          <w:lang w:val="fr-FR"/>
        </w:rPr>
        <w:tab/>
        <w:t>S</w:t>
      </w:r>
      <w:r w:rsidR="005D0F0F" w:rsidRPr="00495482">
        <w:rPr>
          <w:lang w:val="fr-FR"/>
        </w:rPr>
        <w:t>’</w:t>
      </w:r>
      <w:r w:rsidRPr="00495482">
        <w:rPr>
          <w:lang w:val="fr-FR"/>
        </w:rPr>
        <w:t>agissant de l</w:t>
      </w:r>
      <w:r w:rsidR="005D0F0F" w:rsidRPr="00495482">
        <w:rPr>
          <w:lang w:val="fr-FR"/>
        </w:rPr>
        <w:t>’</w:t>
      </w:r>
      <w:r w:rsidRPr="00495482">
        <w:rPr>
          <w:lang w:val="fr-FR"/>
        </w:rPr>
        <w:t xml:space="preserve">égalité des chances </w:t>
      </w:r>
      <w:r w:rsidR="00210F9A" w:rsidRPr="00495482">
        <w:rPr>
          <w:lang w:val="fr-FR"/>
        </w:rPr>
        <w:t>des personnes</w:t>
      </w:r>
      <w:r w:rsidRPr="00495482">
        <w:rPr>
          <w:lang w:val="fr-FR"/>
        </w:rPr>
        <w:t xml:space="preserve"> handicapées en matière d</w:t>
      </w:r>
      <w:r w:rsidR="005D0F0F" w:rsidRPr="00495482">
        <w:rPr>
          <w:lang w:val="fr-FR"/>
        </w:rPr>
        <w:t>’</w:t>
      </w:r>
      <w:r w:rsidRPr="00495482">
        <w:rPr>
          <w:lang w:val="fr-FR"/>
        </w:rPr>
        <w:t>insertion professionnelle dans le domaine de la culture</w:t>
      </w:r>
      <w:r w:rsidR="005D0F0F" w:rsidRPr="00495482">
        <w:rPr>
          <w:lang w:val="fr-FR"/>
        </w:rPr>
        <w:t>,</w:t>
      </w:r>
      <w:r w:rsidRPr="00495482">
        <w:rPr>
          <w:lang w:val="fr-FR"/>
        </w:rPr>
        <w:t xml:space="preserve"> le Ministère de la culture a également lancé en 2008 et 2009 dans le cadre du Fonds social européen</w:t>
      </w:r>
      <w:r w:rsidR="005D0F0F" w:rsidRPr="00495482">
        <w:rPr>
          <w:lang w:val="fr-FR"/>
        </w:rPr>
        <w:t>,</w:t>
      </w:r>
      <w:r w:rsidRPr="00495482">
        <w:rPr>
          <w:lang w:val="fr-FR"/>
        </w:rPr>
        <w:t xml:space="preserve"> un </w:t>
      </w:r>
      <w:r w:rsidR="00274387" w:rsidRPr="00495482">
        <w:rPr>
          <w:lang w:val="fr-FR"/>
        </w:rPr>
        <w:t>«</w:t>
      </w:r>
      <w:r w:rsidRPr="00495482">
        <w:rPr>
          <w:lang w:val="fr-FR"/>
        </w:rPr>
        <w:t>appel public à soumissions de projets culturels pour accroître les capacités d</w:t>
      </w:r>
      <w:r w:rsidR="005D0F0F" w:rsidRPr="00495482">
        <w:rPr>
          <w:lang w:val="fr-FR"/>
        </w:rPr>
        <w:t>’</w:t>
      </w:r>
      <w:r w:rsidRPr="00495482">
        <w:rPr>
          <w:lang w:val="fr-FR"/>
        </w:rPr>
        <w:t>emploi des groupes sociaux vulnérables dans le domaine de la culture et encourager leur intégration sociale</w:t>
      </w:r>
      <w:r w:rsidR="00274387" w:rsidRPr="00495482">
        <w:rPr>
          <w:lang w:val="fr-FR"/>
        </w:rPr>
        <w:t>»</w:t>
      </w:r>
      <w:r w:rsidRPr="00495482">
        <w:rPr>
          <w:lang w:val="fr-FR"/>
        </w:rPr>
        <w:t>. Les soumissions sont actuellement recueillies pour la période 2010-2011.</w:t>
      </w:r>
      <w:r w:rsidR="003D1A4F" w:rsidRPr="00495482">
        <w:rPr>
          <w:lang w:val="fr-FR"/>
        </w:rPr>
        <w:t xml:space="preserve"> </w:t>
      </w:r>
    </w:p>
    <w:p w:rsidR="00317603" w:rsidRPr="00495482" w:rsidRDefault="00317603" w:rsidP="002656A1">
      <w:pPr>
        <w:pStyle w:val="SingleTxtG"/>
        <w:rPr>
          <w:lang w:val="fr-FR"/>
        </w:rPr>
      </w:pPr>
      <w:r w:rsidRPr="00495482">
        <w:rPr>
          <w:lang w:val="fr-FR" w:eastAsia="sl-SI"/>
        </w:rPr>
        <w:t>193.</w:t>
      </w:r>
      <w:r w:rsidRPr="00495482">
        <w:rPr>
          <w:lang w:val="fr-FR" w:eastAsia="sl-SI"/>
        </w:rPr>
        <w:tab/>
        <w:t xml:space="preserve">Les minorités linguistiques incluent également </w:t>
      </w:r>
      <w:r w:rsidR="0014499F" w:rsidRPr="00495482">
        <w:rPr>
          <w:lang w:val="fr-FR" w:eastAsia="sl-SI"/>
        </w:rPr>
        <w:t>les personnes</w:t>
      </w:r>
      <w:r w:rsidRPr="00495482">
        <w:rPr>
          <w:lang w:val="fr-FR" w:eastAsia="sl-SI"/>
        </w:rPr>
        <w:t xml:space="preserve"> sourdes qui communiquent dans leur propre langue</w:t>
      </w:r>
      <w:r w:rsidR="005D0F0F" w:rsidRPr="00495482">
        <w:rPr>
          <w:lang w:val="fr-FR" w:eastAsia="sl-SI"/>
        </w:rPr>
        <w:t>,</w:t>
      </w:r>
      <w:r w:rsidRPr="00495482">
        <w:rPr>
          <w:lang w:val="fr-FR" w:eastAsia="sl-SI"/>
        </w:rPr>
        <w:t xml:space="preserve"> la langue des signes slovène. La loi sur la langue des signes slovène régit le droit des sourds d</w:t>
      </w:r>
      <w:r w:rsidR="005D0F0F" w:rsidRPr="00495482">
        <w:rPr>
          <w:lang w:val="fr-FR" w:eastAsia="sl-SI"/>
        </w:rPr>
        <w:t>’</w:t>
      </w:r>
      <w:r w:rsidRPr="00495482">
        <w:rPr>
          <w:lang w:val="fr-FR" w:eastAsia="sl-SI"/>
        </w:rPr>
        <w:t>utiliser leur propre langu</w:t>
      </w:r>
      <w:r w:rsidRPr="00495482">
        <w:rPr>
          <w:lang w:val="fr-FR"/>
        </w:rPr>
        <w:t>e</w:t>
      </w:r>
      <w:r w:rsidRPr="00495482">
        <w:rPr>
          <w:rStyle w:val="FootnoteReference"/>
        </w:rPr>
        <w:footnoteReference w:id="101"/>
      </w:r>
      <w:r w:rsidR="003D51E1" w:rsidRPr="00495482">
        <w:rPr>
          <w:lang w:val="fr-FR"/>
        </w:rPr>
        <w:t>.</w:t>
      </w:r>
      <w:r w:rsidRPr="00495482">
        <w:rPr>
          <w:lang w:val="fr-FR"/>
        </w:rPr>
        <w:t xml:space="preserve"> Le Ministère de la culture veille au développement</w:t>
      </w:r>
      <w:r w:rsidR="005D0F0F" w:rsidRPr="00495482">
        <w:rPr>
          <w:lang w:val="fr-FR"/>
        </w:rPr>
        <w:t>,</w:t>
      </w:r>
      <w:r w:rsidRPr="00495482">
        <w:rPr>
          <w:lang w:val="fr-FR"/>
        </w:rPr>
        <w:t xml:space="preserve"> à la promotion et à la diffusion de la langue des signes slovène en cofinançant les projets culturels destinés à la production de programmes télévisuels</w:t>
      </w:r>
      <w:r w:rsidR="005D0F0F" w:rsidRPr="00495482">
        <w:rPr>
          <w:lang w:val="fr-FR"/>
        </w:rPr>
        <w:t>,</w:t>
      </w:r>
      <w:r w:rsidRPr="00495482">
        <w:rPr>
          <w:lang w:val="fr-FR"/>
        </w:rPr>
        <w:t xml:space="preserve"> de vidéos et de contenus Web conçus pour </w:t>
      </w:r>
      <w:r w:rsidR="0014499F" w:rsidRPr="00495482">
        <w:rPr>
          <w:lang w:val="fr-FR"/>
        </w:rPr>
        <w:t>les personnes</w:t>
      </w:r>
      <w:r w:rsidRPr="00495482">
        <w:rPr>
          <w:lang w:val="fr-FR"/>
        </w:rPr>
        <w:t xml:space="preserve"> malentendantes</w:t>
      </w:r>
      <w:r w:rsidR="005D0F0F" w:rsidRPr="00495482">
        <w:rPr>
          <w:lang w:val="fr-FR"/>
        </w:rPr>
        <w:t>,</w:t>
      </w:r>
      <w:r w:rsidRPr="00495482">
        <w:rPr>
          <w:lang w:val="fr-FR"/>
        </w:rPr>
        <w:t xml:space="preserve"> et interprétés en langue des signes slovène. Ces dernières années</w:t>
      </w:r>
      <w:r w:rsidR="005D0F0F" w:rsidRPr="00495482">
        <w:rPr>
          <w:lang w:val="fr-FR"/>
        </w:rPr>
        <w:t>,</w:t>
      </w:r>
      <w:r w:rsidRPr="00495482">
        <w:rPr>
          <w:lang w:val="fr-FR"/>
        </w:rPr>
        <w:t xml:space="preserve"> on a noté une hausse du nombre des participations aux sites Web et aux émissions té</w:t>
      </w:r>
      <w:r w:rsidR="002656A1">
        <w:rPr>
          <w:lang w:val="fr-FR"/>
        </w:rPr>
        <w:t>lévisées; elles sont passées de </w:t>
      </w:r>
      <w:r w:rsidRPr="00495482">
        <w:rPr>
          <w:lang w:val="fr-FR"/>
        </w:rPr>
        <w:t>220 en 2007 à 393 en 2009</w:t>
      </w:r>
      <w:r w:rsidR="005D0F0F" w:rsidRPr="00495482">
        <w:rPr>
          <w:lang w:val="fr-FR"/>
        </w:rPr>
        <w:t>,</w:t>
      </w:r>
      <w:r w:rsidRPr="00495482">
        <w:rPr>
          <w:lang w:val="fr-FR"/>
        </w:rPr>
        <w:t xml:space="preserve"> le nombre de visiteurs étant passé de 100 000 en 2007 à 135 345 en 2009. </w:t>
      </w:r>
    </w:p>
    <w:p w:rsidR="00317603" w:rsidRPr="00495482" w:rsidRDefault="00317603" w:rsidP="002656A1">
      <w:pPr>
        <w:pStyle w:val="H23G"/>
        <w:rPr>
          <w:lang w:val="fr-FR" w:eastAsia="sl-SI"/>
        </w:rPr>
      </w:pPr>
      <w:r w:rsidRPr="00495482">
        <w:rPr>
          <w:lang w:val="fr-FR" w:eastAsia="sl-SI"/>
        </w:rPr>
        <w:tab/>
      </w:r>
      <w:r w:rsidRPr="00495482">
        <w:rPr>
          <w:lang w:val="fr-FR" w:eastAsia="sl-SI"/>
        </w:rPr>
        <w:tab/>
        <w:t>Intégration des minorités dans la vie culturelle</w:t>
      </w:r>
    </w:p>
    <w:p w:rsidR="00317603" w:rsidRPr="00495482" w:rsidRDefault="00317603" w:rsidP="002656A1">
      <w:pPr>
        <w:pStyle w:val="SingleTxtG"/>
        <w:rPr>
          <w:lang w:val="fr-FR" w:eastAsia="sl-SI"/>
        </w:rPr>
      </w:pPr>
      <w:r w:rsidRPr="00495482">
        <w:rPr>
          <w:lang w:val="fr-FR" w:eastAsia="sl-SI"/>
        </w:rPr>
        <w:t>194.</w:t>
      </w:r>
      <w:r w:rsidRPr="00495482">
        <w:rPr>
          <w:lang w:val="fr-FR" w:eastAsia="sl-SI"/>
        </w:rPr>
        <w:tab/>
        <w:t>Le Ministère de la culture agit en faveur de ces communautés par le biais d</w:t>
      </w:r>
      <w:r w:rsidR="005D0F0F" w:rsidRPr="00495482">
        <w:rPr>
          <w:lang w:val="fr-FR" w:eastAsia="sl-SI"/>
        </w:rPr>
        <w:t>’</w:t>
      </w:r>
      <w:r w:rsidRPr="00495482">
        <w:rPr>
          <w:lang w:val="fr-FR" w:eastAsia="sl-SI"/>
        </w:rPr>
        <w:t>instruments normatifs</w:t>
      </w:r>
      <w:r w:rsidR="005D0F0F" w:rsidRPr="00495482">
        <w:rPr>
          <w:lang w:val="fr-FR" w:eastAsia="sl-SI"/>
        </w:rPr>
        <w:t>,</w:t>
      </w:r>
      <w:r w:rsidRPr="00495482">
        <w:rPr>
          <w:lang w:val="fr-FR" w:eastAsia="sl-SI"/>
        </w:rPr>
        <w:t xml:space="preserve"> organisationnels et financiers</w:t>
      </w:r>
      <w:r w:rsidR="005D0F0F" w:rsidRPr="00495482">
        <w:rPr>
          <w:lang w:val="fr-FR" w:eastAsia="sl-SI"/>
        </w:rPr>
        <w:t>,</w:t>
      </w:r>
      <w:r w:rsidRPr="00495482">
        <w:rPr>
          <w:lang w:val="fr-FR" w:eastAsia="sl-SI"/>
        </w:rPr>
        <w:t xml:space="preserve"> et il s</w:t>
      </w:r>
      <w:r w:rsidR="005D0F0F" w:rsidRPr="00495482">
        <w:rPr>
          <w:lang w:val="fr-FR" w:eastAsia="sl-SI"/>
        </w:rPr>
        <w:t>’</w:t>
      </w:r>
      <w:r w:rsidR="002656A1" w:rsidRPr="00495482">
        <w:rPr>
          <w:lang w:val="fr-FR" w:eastAsia="sl-SI"/>
        </w:rPr>
        <w:t>appuie</w:t>
      </w:r>
      <w:r w:rsidRPr="00495482">
        <w:rPr>
          <w:lang w:val="fr-FR" w:eastAsia="sl-SI"/>
        </w:rPr>
        <w:t xml:space="preserve"> sur trois types de programmes: les programmes spéciaux</w:t>
      </w:r>
      <w:r w:rsidR="005D0F0F" w:rsidRPr="00495482">
        <w:rPr>
          <w:lang w:val="fr-FR" w:eastAsia="sl-SI"/>
        </w:rPr>
        <w:t>,</w:t>
      </w:r>
      <w:r w:rsidRPr="00495482">
        <w:rPr>
          <w:lang w:val="fr-FR" w:eastAsia="sl-SI"/>
        </w:rPr>
        <w:t xml:space="preserve"> les programmes d</w:t>
      </w:r>
      <w:r w:rsidR="005D0F0F" w:rsidRPr="00495482">
        <w:rPr>
          <w:lang w:val="fr-FR" w:eastAsia="sl-SI"/>
        </w:rPr>
        <w:t>’</w:t>
      </w:r>
      <w:r w:rsidRPr="00495482">
        <w:rPr>
          <w:lang w:val="fr-FR" w:eastAsia="sl-SI"/>
        </w:rPr>
        <w:t>intégration et les programmes en faveur des ressources humaines du Fonds social européen. Le Ministère de la culture applique en outre les principes fondamentaux suivants en matière de politique relative aux minorités: le premier: respect des membres des communautés minoritaires en tant que sujets à part entière; le deuxième:</w:t>
      </w:r>
      <w:r w:rsidR="003D1A4F" w:rsidRPr="00495482">
        <w:rPr>
          <w:lang w:val="fr-FR" w:eastAsia="sl-SI"/>
        </w:rPr>
        <w:t xml:space="preserve"> </w:t>
      </w:r>
      <w:r w:rsidRPr="00495482">
        <w:rPr>
          <w:lang w:val="fr-FR" w:eastAsia="sl-SI"/>
        </w:rPr>
        <w:t>respect de leur mode de vie</w:t>
      </w:r>
      <w:r w:rsidR="005D0F0F" w:rsidRPr="00495482">
        <w:rPr>
          <w:lang w:val="fr-FR" w:eastAsia="sl-SI"/>
        </w:rPr>
        <w:t>,</w:t>
      </w:r>
      <w:r w:rsidRPr="00495482">
        <w:rPr>
          <w:lang w:val="fr-FR" w:eastAsia="sl-SI"/>
        </w:rPr>
        <w:t xml:space="preserve"> et le troisième principe très important</w:t>
      </w:r>
      <w:r w:rsidR="005D0F0F" w:rsidRPr="00495482">
        <w:rPr>
          <w:lang w:val="fr-FR" w:eastAsia="sl-SI"/>
        </w:rPr>
        <w:t>,</w:t>
      </w:r>
      <w:r w:rsidR="003D1A4F" w:rsidRPr="00495482">
        <w:rPr>
          <w:lang w:val="fr-FR" w:eastAsia="sl-SI"/>
        </w:rPr>
        <w:t xml:space="preserve"> </w:t>
      </w:r>
      <w:r w:rsidRPr="00495482">
        <w:rPr>
          <w:lang w:val="fr-FR" w:eastAsia="sl-SI"/>
        </w:rPr>
        <w:t>celui de l</w:t>
      </w:r>
      <w:r w:rsidR="005D0F0F" w:rsidRPr="00495482">
        <w:rPr>
          <w:lang w:val="fr-FR" w:eastAsia="sl-SI"/>
        </w:rPr>
        <w:t>’</w:t>
      </w:r>
      <w:r w:rsidRPr="00495482">
        <w:rPr>
          <w:lang w:val="fr-FR" w:eastAsia="sl-SI"/>
        </w:rPr>
        <w:t>intégration (voir en annexe).</w:t>
      </w:r>
      <w:r w:rsidR="003D1A4F" w:rsidRPr="00495482">
        <w:rPr>
          <w:lang w:val="fr-FR" w:eastAsia="sl-SI"/>
        </w:rPr>
        <w:t xml:space="preserve"> </w:t>
      </w:r>
    </w:p>
    <w:p w:rsidR="00317603" w:rsidRPr="00495482" w:rsidRDefault="00317603" w:rsidP="00317603">
      <w:pPr>
        <w:keepNext/>
        <w:keepLines/>
        <w:tabs>
          <w:tab w:val="right" w:pos="851"/>
        </w:tabs>
        <w:spacing w:before="240" w:after="120" w:line="240" w:lineRule="exact"/>
        <w:ind w:left="1134" w:right="1134" w:hanging="1134"/>
        <w:rPr>
          <w:b/>
          <w:lang w:val="fr-FR" w:eastAsia="sl-SI"/>
        </w:rPr>
      </w:pPr>
      <w:r w:rsidRPr="00495482">
        <w:rPr>
          <w:b/>
          <w:lang w:val="fr-FR" w:eastAsia="sl-SI"/>
        </w:rPr>
        <w:tab/>
      </w:r>
      <w:r w:rsidRPr="00495482">
        <w:rPr>
          <w:b/>
          <w:lang w:val="fr-FR" w:eastAsia="sl-SI"/>
        </w:rPr>
        <w:tab/>
        <w:t>Activités culturelles de la communauté rom</w:t>
      </w:r>
    </w:p>
    <w:p w:rsidR="00317603" w:rsidRPr="00495482" w:rsidRDefault="00317603" w:rsidP="00317603">
      <w:pPr>
        <w:spacing w:after="120"/>
        <w:ind w:left="1134" w:right="1134"/>
        <w:jc w:val="both"/>
        <w:rPr>
          <w:lang w:val="fr-FR"/>
        </w:rPr>
      </w:pPr>
      <w:r w:rsidRPr="00495482">
        <w:rPr>
          <w:lang w:val="fr-FR"/>
        </w:rPr>
        <w:t>195.</w:t>
      </w:r>
      <w:r w:rsidRPr="00495482">
        <w:rPr>
          <w:lang w:val="fr-FR"/>
        </w:rPr>
        <w:tab/>
        <w:t>Le Ministère de la culture a</w:t>
      </w:r>
      <w:r w:rsidR="005D0F0F" w:rsidRPr="00495482">
        <w:rPr>
          <w:lang w:val="fr-FR"/>
        </w:rPr>
        <w:t>,</w:t>
      </w:r>
      <w:r w:rsidRPr="00495482">
        <w:rPr>
          <w:lang w:val="fr-FR"/>
        </w:rPr>
        <w:t xml:space="preserve"> dès 1993</w:t>
      </w:r>
      <w:r w:rsidR="005D0F0F" w:rsidRPr="00495482">
        <w:rPr>
          <w:lang w:val="fr-FR"/>
        </w:rPr>
        <w:t>,</w:t>
      </w:r>
      <w:r w:rsidRPr="00495482">
        <w:rPr>
          <w:lang w:val="fr-FR"/>
        </w:rPr>
        <w:t xml:space="preserve"> mis en place les conditions propres à favoriser l</w:t>
      </w:r>
      <w:r w:rsidR="005D0F0F" w:rsidRPr="00495482">
        <w:rPr>
          <w:lang w:val="fr-FR"/>
        </w:rPr>
        <w:t>’</w:t>
      </w:r>
      <w:r w:rsidRPr="00495482">
        <w:rPr>
          <w:lang w:val="fr-FR"/>
        </w:rPr>
        <w:t>activité culturelle de la communauté rom en Slovénie et il continue à remplir sa mission à cet égard</w:t>
      </w:r>
      <w:r w:rsidR="005D0F0F" w:rsidRPr="00495482">
        <w:rPr>
          <w:lang w:val="fr-FR"/>
        </w:rPr>
        <w:t>,</w:t>
      </w:r>
      <w:r w:rsidRPr="00495482">
        <w:rPr>
          <w:lang w:val="fr-FR"/>
        </w:rPr>
        <w:t xml:space="preserve"> dans le cadre du secteur en faveur des droits culturels des minorités (voir en annexe). </w:t>
      </w:r>
    </w:p>
    <w:p w:rsidR="00317603" w:rsidRPr="00495482" w:rsidRDefault="00317603" w:rsidP="00317603">
      <w:pPr>
        <w:spacing w:after="120"/>
        <w:ind w:left="1134" w:right="1134"/>
        <w:jc w:val="both"/>
        <w:rPr>
          <w:lang w:val="fr-FR"/>
        </w:rPr>
      </w:pPr>
      <w:r w:rsidRPr="00495482">
        <w:rPr>
          <w:lang w:val="fr-FR"/>
        </w:rPr>
        <w:t>196.</w:t>
      </w:r>
      <w:r w:rsidRPr="00495482">
        <w:rPr>
          <w:lang w:val="fr-FR"/>
        </w:rPr>
        <w:tab/>
        <w:t>Divers instruments normatifs</w:t>
      </w:r>
      <w:r w:rsidR="005D0F0F" w:rsidRPr="00495482">
        <w:rPr>
          <w:lang w:val="fr-FR"/>
        </w:rPr>
        <w:t>,</w:t>
      </w:r>
      <w:r w:rsidRPr="00495482">
        <w:rPr>
          <w:lang w:val="fr-FR"/>
        </w:rPr>
        <w:t xml:space="preserve"> organisationnels et financiers ont été élaborés à cette fin</w:t>
      </w:r>
      <w:r w:rsidR="005D0F0F" w:rsidRPr="00495482">
        <w:rPr>
          <w:lang w:val="fr-FR"/>
        </w:rPr>
        <w:t>,</w:t>
      </w:r>
      <w:r w:rsidRPr="00495482">
        <w:rPr>
          <w:lang w:val="fr-FR"/>
        </w:rPr>
        <w:t xml:space="preserve"> ainsi qu</w:t>
      </w:r>
      <w:r w:rsidR="005D0F0F" w:rsidRPr="00495482">
        <w:rPr>
          <w:lang w:val="fr-FR"/>
        </w:rPr>
        <w:t>’</w:t>
      </w:r>
      <w:r w:rsidRPr="00495482">
        <w:rPr>
          <w:lang w:val="fr-FR"/>
        </w:rPr>
        <w:t>une politique cohérente comprenant trois programmes</w:t>
      </w:r>
      <w:r w:rsidR="005D0F0F" w:rsidRPr="00495482">
        <w:rPr>
          <w:lang w:val="fr-FR"/>
        </w:rPr>
        <w:t>:</w:t>
      </w:r>
      <w:r w:rsidRPr="00495482">
        <w:rPr>
          <w:lang w:val="fr-FR"/>
        </w:rPr>
        <w:t xml:space="preserve"> un programme spécial</w:t>
      </w:r>
      <w:r w:rsidR="005D0F0F" w:rsidRPr="00495482">
        <w:rPr>
          <w:lang w:val="fr-FR"/>
        </w:rPr>
        <w:t>,</w:t>
      </w:r>
      <w:r w:rsidRPr="00495482">
        <w:rPr>
          <w:lang w:val="fr-FR"/>
        </w:rPr>
        <w:t xml:space="preserve"> un programme consacré à la protection des droits particuliers de la communauté rom</w:t>
      </w:r>
      <w:r w:rsidR="005D0F0F" w:rsidRPr="00495482">
        <w:rPr>
          <w:lang w:val="fr-FR"/>
        </w:rPr>
        <w:t>,</w:t>
      </w:r>
      <w:r w:rsidRPr="00495482">
        <w:rPr>
          <w:lang w:val="fr-FR"/>
        </w:rPr>
        <w:t xml:space="preserve"> incluant également des mesures de discrimination positive et d</w:t>
      </w:r>
      <w:r w:rsidR="005D0F0F" w:rsidRPr="00495482">
        <w:rPr>
          <w:lang w:val="fr-FR"/>
        </w:rPr>
        <w:t>’</w:t>
      </w:r>
      <w:r w:rsidRPr="00495482">
        <w:rPr>
          <w:lang w:val="fr-FR"/>
        </w:rPr>
        <w:t>intégration destinées à son insertion dans les divers projets culturels et artistiques des institutions publiques et autres organismes</w:t>
      </w:r>
      <w:r w:rsidR="005D0F0F" w:rsidRPr="00495482">
        <w:rPr>
          <w:lang w:val="fr-FR"/>
        </w:rPr>
        <w:t>,</w:t>
      </w:r>
      <w:r w:rsidRPr="00495482">
        <w:rPr>
          <w:lang w:val="fr-FR"/>
        </w:rPr>
        <w:t xml:space="preserve"> et un programme européen qui vise à combler l</w:t>
      </w:r>
      <w:r w:rsidR="005D0F0F" w:rsidRPr="00495482">
        <w:rPr>
          <w:lang w:val="fr-FR"/>
        </w:rPr>
        <w:t>’</w:t>
      </w:r>
      <w:r w:rsidRPr="00495482">
        <w:rPr>
          <w:lang w:val="fr-FR"/>
        </w:rPr>
        <w:t>écart existant en matière de formation et d</w:t>
      </w:r>
      <w:r w:rsidR="005D0F0F" w:rsidRPr="00495482">
        <w:rPr>
          <w:lang w:val="fr-FR"/>
        </w:rPr>
        <w:t>’</w:t>
      </w:r>
      <w:r w:rsidRPr="00495482">
        <w:rPr>
          <w:lang w:val="fr-FR"/>
        </w:rPr>
        <w:t>emploi des Roms dans le domaine culturel. Une évolution positive concernant les activités d</w:t>
      </w:r>
      <w:r w:rsidR="005D0F0F" w:rsidRPr="00495482">
        <w:rPr>
          <w:lang w:val="fr-FR"/>
        </w:rPr>
        <w:t>’</w:t>
      </w:r>
      <w:r w:rsidRPr="00495482">
        <w:rPr>
          <w:lang w:val="fr-FR"/>
        </w:rPr>
        <w:t>information de la communauté rom peut être observée dans l</w:t>
      </w:r>
      <w:r w:rsidR="005D0F0F" w:rsidRPr="00495482">
        <w:rPr>
          <w:lang w:val="fr-FR"/>
        </w:rPr>
        <w:t>’</w:t>
      </w:r>
      <w:r w:rsidRPr="00495482">
        <w:rPr>
          <w:lang w:val="fr-FR"/>
        </w:rPr>
        <w:t>élaboration d</w:t>
      </w:r>
      <w:r w:rsidR="005D0F0F" w:rsidRPr="00495482">
        <w:rPr>
          <w:lang w:val="fr-FR"/>
        </w:rPr>
        <w:t>’</w:t>
      </w:r>
      <w:r w:rsidRPr="00495482">
        <w:rPr>
          <w:lang w:val="fr-FR"/>
        </w:rPr>
        <w:t>émissions de radio et de télévision destinées aux Roms. Sous les auspices de l</w:t>
      </w:r>
      <w:r w:rsidR="005D0F0F" w:rsidRPr="00495482">
        <w:rPr>
          <w:lang w:val="fr-FR"/>
        </w:rPr>
        <w:t>’</w:t>
      </w:r>
      <w:r w:rsidRPr="00495482">
        <w:rPr>
          <w:lang w:val="fr-FR"/>
        </w:rPr>
        <w:t>association des Roms de Slovénie</w:t>
      </w:r>
      <w:r w:rsidR="005D0F0F" w:rsidRPr="00495482">
        <w:rPr>
          <w:lang w:val="fr-FR"/>
        </w:rPr>
        <w:t>,</w:t>
      </w:r>
      <w:r w:rsidRPr="00495482">
        <w:rPr>
          <w:lang w:val="fr-FR"/>
        </w:rPr>
        <w:t xml:space="preserve"> le centre d</w:t>
      </w:r>
      <w:r w:rsidR="005D0F0F" w:rsidRPr="00495482">
        <w:rPr>
          <w:lang w:val="fr-FR"/>
        </w:rPr>
        <w:t>’</w:t>
      </w:r>
      <w:r w:rsidRPr="00495482">
        <w:rPr>
          <w:lang w:val="fr-FR"/>
        </w:rPr>
        <w:t>information sur les Roms – ROMIC</w:t>
      </w:r>
      <w:r w:rsidR="005D0F0F" w:rsidRPr="00495482">
        <w:rPr>
          <w:lang w:val="fr-FR"/>
        </w:rPr>
        <w:t>,</w:t>
      </w:r>
      <w:r w:rsidR="003D1A4F" w:rsidRPr="00495482">
        <w:rPr>
          <w:lang w:val="fr-FR"/>
        </w:rPr>
        <w:t xml:space="preserve"> </w:t>
      </w:r>
      <w:r w:rsidRPr="00495482">
        <w:rPr>
          <w:lang w:val="fr-FR"/>
        </w:rPr>
        <w:t>opérationnel depuis 2003</w:t>
      </w:r>
      <w:r w:rsidR="005D0F0F" w:rsidRPr="00495482">
        <w:rPr>
          <w:lang w:val="fr-FR"/>
        </w:rPr>
        <w:t>,</w:t>
      </w:r>
      <w:r w:rsidRPr="00495482">
        <w:rPr>
          <w:lang w:val="fr-FR"/>
        </w:rPr>
        <w:t xml:space="preserve"> s</w:t>
      </w:r>
      <w:r w:rsidR="005D0F0F" w:rsidRPr="00495482">
        <w:rPr>
          <w:lang w:val="fr-FR"/>
        </w:rPr>
        <w:t>’</w:t>
      </w:r>
      <w:r w:rsidRPr="00495482">
        <w:rPr>
          <w:lang w:val="fr-FR"/>
        </w:rPr>
        <w:t>est vu octroyer en 2008 une fréquence radio locale pour toute la zone de Murska Sobota (voir tableau en annexe). Les mesures adoptées dans ce domaine sont également inscrites dans le programme national des mesures en faveur des Roms du Gouvernement de la République de Slovénie</w:t>
      </w:r>
      <w:r w:rsidR="005D0F0F" w:rsidRPr="00495482">
        <w:rPr>
          <w:lang w:val="fr-FR"/>
        </w:rPr>
        <w:t>,</w:t>
      </w:r>
      <w:r w:rsidRPr="00495482">
        <w:rPr>
          <w:lang w:val="fr-FR"/>
        </w:rPr>
        <w:t xml:space="preserve"> pour la période 2010-2015.</w:t>
      </w:r>
    </w:p>
    <w:p w:rsidR="00317603" w:rsidRPr="00495482" w:rsidRDefault="00317603" w:rsidP="002656A1">
      <w:pPr>
        <w:pStyle w:val="H23G"/>
        <w:rPr>
          <w:lang w:val="fr-FR" w:eastAsia="sl-SI"/>
        </w:rPr>
      </w:pPr>
      <w:r w:rsidRPr="00495482">
        <w:rPr>
          <w:lang w:val="fr-FR" w:eastAsia="sl-SI"/>
        </w:rPr>
        <w:tab/>
      </w:r>
      <w:r w:rsidRPr="00495482">
        <w:rPr>
          <w:lang w:val="fr-FR" w:eastAsia="sl-SI"/>
        </w:rPr>
        <w:tab/>
        <w:t>Droit d</w:t>
      </w:r>
      <w:r w:rsidR="005D0F0F" w:rsidRPr="00495482">
        <w:rPr>
          <w:lang w:val="fr-FR" w:eastAsia="sl-SI"/>
        </w:rPr>
        <w:t>’</w:t>
      </w:r>
      <w:r w:rsidRPr="00495482">
        <w:rPr>
          <w:lang w:val="fr-FR" w:eastAsia="sl-SI"/>
        </w:rPr>
        <w:t>auteur</w:t>
      </w:r>
    </w:p>
    <w:p w:rsidR="00317603" w:rsidRPr="00495482" w:rsidRDefault="00317603" w:rsidP="002656A1">
      <w:pPr>
        <w:pStyle w:val="SingleTxtG"/>
        <w:rPr>
          <w:lang w:val="fr-FR"/>
        </w:rPr>
      </w:pPr>
      <w:r w:rsidRPr="00495482">
        <w:rPr>
          <w:lang w:val="fr-FR"/>
        </w:rPr>
        <w:t>197.</w:t>
      </w:r>
      <w:r w:rsidRPr="00495482">
        <w:rPr>
          <w:lang w:val="fr-FR"/>
        </w:rPr>
        <w:tab/>
        <w:t>La loi sur le droit d</w:t>
      </w:r>
      <w:r w:rsidR="005D0F0F" w:rsidRPr="00495482">
        <w:rPr>
          <w:lang w:val="fr-FR"/>
        </w:rPr>
        <w:t>’</w:t>
      </w:r>
      <w:r w:rsidRPr="00495482">
        <w:rPr>
          <w:lang w:val="fr-FR"/>
        </w:rPr>
        <w:t>auteur et les droits connexes régit en Slovénie les droits y relatifs</w:t>
      </w:r>
      <w:r w:rsidRPr="00495482">
        <w:rPr>
          <w:rStyle w:val="FootnoteReference"/>
        </w:rPr>
        <w:footnoteReference w:id="102"/>
      </w:r>
      <w:r w:rsidR="003D51E1" w:rsidRPr="00495482">
        <w:rPr>
          <w:lang w:val="fr-FR"/>
        </w:rPr>
        <w:t>.</w:t>
      </w:r>
      <w:r w:rsidRPr="00495482">
        <w:rPr>
          <w:lang w:val="fr-FR"/>
        </w:rPr>
        <w:t xml:space="preserve"> Elle s</w:t>
      </w:r>
      <w:r w:rsidR="005D0F0F" w:rsidRPr="00495482">
        <w:rPr>
          <w:lang w:val="fr-FR"/>
        </w:rPr>
        <w:t>’</w:t>
      </w:r>
      <w:r w:rsidRPr="00495482">
        <w:rPr>
          <w:lang w:val="fr-FR"/>
        </w:rPr>
        <w:t>inscrit parmi les dispositions européennes en la matière qui placent l</w:t>
      </w:r>
      <w:r w:rsidR="005D0F0F" w:rsidRPr="00495482">
        <w:rPr>
          <w:lang w:val="fr-FR"/>
        </w:rPr>
        <w:t>’</w:t>
      </w:r>
      <w:r w:rsidRPr="00495482">
        <w:rPr>
          <w:lang w:val="fr-FR"/>
        </w:rPr>
        <w:t>auteur (personne physique) au centre du dispositif. Le droit d</w:t>
      </w:r>
      <w:r w:rsidR="005D0F0F" w:rsidRPr="00495482">
        <w:rPr>
          <w:lang w:val="fr-FR"/>
        </w:rPr>
        <w:t>’</w:t>
      </w:r>
      <w:r w:rsidRPr="00495482">
        <w:rPr>
          <w:lang w:val="fr-FR"/>
        </w:rPr>
        <w:t>auteur est un droit de l</w:t>
      </w:r>
      <w:r w:rsidR="005D0F0F" w:rsidRPr="00495482">
        <w:rPr>
          <w:lang w:val="fr-FR"/>
        </w:rPr>
        <w:t>’</w:t>
      </w:r>
      <w:r w:rsidRPr="00495482">
        <w:rPr>
          <w:lang w:val="fr-FR"/>
        </w:rPr>
        <w:t>homme</w:t>
      </w:r>
      <w:r w:rsidR="005D0F0F" w:rsidRPr="00495482">
        <w:rPr>
          <w:lang w:val="fr-FR"/>
        </w:rPr>
        <w:t>,</w:t>
      </w:r>
      <w:r w:rsidRPr="00495482">
        <w:rPr>
          <w:lang w:val="fr-FR"/>
        </w:rPr>
        <w:t xml:space="preserve"> fondé sur le droit naturel</w:t>
      </w:r>
      <w:r w:rsidR="003D1A4F" w:rsidRPr="00495482">
        <w:rPr>
          <w:lang w:val="fr-FR"/>
        </w:rPr>
        <w:t xml:space="preserve"> </w:t>
      </w:r>
      <w:r w:rsidRPr="00495482">
        <w:rPr>
          <w:lang w:val="fr-FR"/>
        </w:rPr>
        <w:t>et dont découlent des droits acquis moraux et matériels absolus. Il est toujours créé principalement par un auteur en tant que personne physique. Le droit d</w:t>
      </w:r>
      <w:r w:rsidR="005D0F0F" w:rsidRPr="00495482">
        <w:rPr>
          <w:lang w:val="fr-FR"/>
        </w:rPr>
        <w:t>’</w:t>
      </w:r>
      <w:r w:rsidRPr="00495482">
        <w:rPr>
          <w:lang w:val="fr-FR"/>
        </w:rPr>
        <w:t>auteur et les droits connexes sont essentiels pour encourager et représenter la créativité et la vie culturelles de la société; ils garantissent l</w:t>
      </w:r>
      <w:r w:rsidR="005D0F0F" w:rsidRPr="00495482">
        <w:rPr>
          <w:lang w:val="fr-FR"/>
        </w:rPr>
        <w:t>’</w:t>
      </w:r>
      <w:r w:rsidRPr="00495482">
        <w:rPr>
          <w:lang w:val="fr-FR"/>
        </w:rPr>
        <w:t>existence de créateurs et de co-créateurs talentueux et ainsi</w:t>
      </w:r>
      <w:r w:rsidR="005D0F0F" w:rsidRPr="00495482">
        <w:rPr>
          <w:lang w:val="fr-FR"/>
        </w:rPr>
        <w:t>,</w:t>
      </w:r>
      <w:r w:rsidR="003D1A4F" w:rsidRPr="00495482">
        <w:rPr>
          <w:lang w:val="fr-FR"/>
        </w:rPr>
        <w:t xml:space="preserve"> </w:t>
      </w:r>
      <w:r w:rsidRPr="00495482">
        <w:rPr>
          <w:lang w:val="fr-FR"/>
        </w:rPr>
        <w:t>indirectement</w:t>
      </w:r>
      <w:r w:rsidR="005D0F0F" w:rsidRPr="00495482">
        <w:rPr>
          <w:lang w:val="fr-FR"/>
        </w:rPr>
        <w:t>,</w:t>
      </w:r>
      <w:r w:rsidRPr="00495482">
        <w:rPr>
          <w:lang w:val="fr-FR"/>
        </w:rPr>
        <w:t xml:space="preserve"> l</w:t>
      </w:r>
      <w:r w:rsidR="005D0F0F" w:rsidRPr="00495482">
        <w:rPr>
          <w:lang w:val="fr-FR"/>
        </w:rPr>
        <w:t>’</w:t>
      </w:r>
      <w:r w:rsidRPr="00495482">
        <w:rPr>
          <w:lang w:val="fr-FR"/>
        </w:rPr>
        <w:t>identité d</w:t>
      </w:r>
      <w:r w:rsidR="005D0F0F" w:rsidRPr="00495482">
        <w:rPr>
          <w:lang w:val="fr-FR"/>
        </w:rPr>
        <w:t>’</w:t>
      </w:r>
      <w:r w:rsidRPr="00495482">
        <w:rPr>
          <w:lang w:val="fr-FR"/>
        </w:rPr>
        <w:t>une nation. D</w:t>
      </w:r>
      <w:r w:rsidR="005D0F0F" w:rsidRPr="00495482">
        <w:rPr>
          <w:lang w:val="fr-FR"/>
        </w:rPr>
        <w:t>’</w:t>
      </w:r>
      <w:r w:rsidRPr="00495482">
        <w:rPr>
          <w:lang w:val="fr-FR"/>
        </w:rPr>
        <w:t>un point de vue économique</w:t>
      </w:r>
      <w:r w:rsidR="005D0F0F" w:rsidRPr="00495482">
        <w:rPr>
          <w:lang w:val="fr-FR"/>
        </w:rPr>
        <w:t>,</w:t>
      </w:r>
      <w:r w:rsidRPr="00495482">
        <w:rPr>
          <w:lang w:val="fr-FR"/>
        </w:rPr>
        <w:t xml:space="preserve"> ces droits sont très importants pour les secteurs concernés tels l</w:t>
      </w:r>
      <w:r w:rsidR="005D0F0F" w:rsidRPr="00495482">
        <w:rPr>
          <w:lang w:val="fr-FR"/>
        </w:rPr>
        <w:t>’</w:t>
      </w:r>
      <w:r w:rsidRPr="00495482">
        <w:rPr>
          <w:lang w:val="fr-FR"/>
        </w:rPr>
        <w:t>édition</w:t>
      </w:r>
      <w:r w:rsidR="005D0F0F" w:rsidRPr="00495482">
        <w:rPr>
          <w:lang w:val="fr-FR"/>
        </w:rPr>
        <w:t>,</w:t>
      </w:r>
      <w:r w:rsidRPr="00495482">
        <w:rPr>
          <w:lang w:val="fr-FR"/>
        </w:rPr>
        <w:t xml:space="preserve"> la production cinématographique</w:t>
      </w:r>
      <w:r w:rsidR="005D0F0F" w:rsidRPr="00495482">
        <w:rPr>
          <w:lang w:val="fr-FR"/>
        </w:rPr>
        <w:t>,</w:t>
      </w:r>
      <w:r w:rsidRPr="00495482">
        <w:rPr>
          <w:lang w:val="fr-FR"/>
        </w:rPr>
        <w:t xml:space="preserve"> les industries phonographique et vidéographique</w:t>
      </w:r>
      <w:r w:rsidR="005D0F0F" w:rsidRPr="00495482">
        <w:rPr>
          <w:lang w:val="fr-FR"/>
        </w:rPr>
        <w:t>,</w:t>
      </w:r>
      <w:r w:rsidRPr="00495482">
        <w:rPr>
          <w:lang w:val="fr-FR"/>
        </w:rPr>
        <w:t xml:space="preserve"> les organismes de radiodiffusion</w:t>
      </w:r>
      <w:r w:rsidR="005D0F0F" w:rsidRPr="00495482">
        <w:rPr>
          <w:lang w:val="fr-FR"/>
        </w:rPr>
        <w:t>,</w:t>
      </w:r>
      <w:r w:rsidRPr="00495482">
        <w:rPr>
          <w:lang w:val="fr-FR"/>
        </w:rPr>
        <w:t xml:space="preserve"> etc. Le droit d</w:t>
      </w:r>
      <w:r w:rsidR="005D0F0F" w:rsidRPr="00495482">
        <w:rPr>
          <w:lang w:val="fr-FR"/>
        </w:rPr>
        <w:t>’</w:t>
      </w:r>
      <w:r w:rsidRPr="00495482">
        <w:rPr>
          <w:lang w:val="fr-FR"/>
        </w:rPr>
        <w:t>auteur</w:t>
      </w:r>
      <w:r w:rsidR="005D0F0F" w:rsidRPr="00495482">
        <w:rPr>
          <w:lang w:val="fr-FR"/>
        </w:rPr>
        <w:t>,</w:t>
      </w:r>
      <w:r w:rsidRPr="00495482">
        <w:rPr>
          <w:lang w:val="fr-FR"/>
        </w:rPr>
        <w:t xml:space="preserve"> comme les droits de propriété industrielle</w:t>
      </w:r>
      <w:r w:rsidR="005D0F0F" w:rsidRPr="00495482">
        <w:rPr>
          <w:lang w:val="fr-FR"/>
        </w:rPr>
        <w:t>,</w:t>
      </w:r>
      <w:r w:rsidRPr="00495482">
        <w:rPr>
          <w:lang w:val="fr-FR"/>
        </w:rPr>
        <w:t xml:space="preserve"> relèvent intégralement des droits de propriété intellectuelle</w:t>
      </w:r>
      <w:r w:rsidR="005D0F0F" w:rsidRPr="00495482">
        <w:rPr>
          <w:lang w:val="fr-FR"/>
        </w:rPr>
        <w:t>,</w:t>
      </w:r>
      <w:r w:rsidRPr="00495482">
        <w:rPr>
          <w:lang w:val="fr-FR"/>
        </w:rPr>
        <w:t xml:space="preserve"> et donc des droits découlant des activités humaines scientifiques</w:t>
      </w:r>
      <w:r w:rsidR="005D0F0F" w:rsidRPr="00495482">
        <w:rPr>
          <w:lang w:val="fr-FR"/>
        </w:rPr>
        <w:t>,</w:t>
      </w:r>
      <w:r w:rsidRPr="00495482">
        <w:rPr>
          <w:lang w:val="fr-FR"/>
        </w:rPr>
        <w:t xml:space="preserve"> techniques</w:t>
      </w:r>
      <w:r w:rsidR="005D0F0F" w:rsidRPr="00495482">
        <w:rPr>
          <w:lang w:val="fr-FR"/>
        </w:rPr>
        <w:t>,</w:t>
      </w:r>
      <w:r w:rsidRPr="00495482">
        <w:rPr>
          <w:lang w:val="fr-FR"/>
        </w:rPr>
        <w:t xml:space="preserve"> inventives et artistiques créatives. La loi slovène sur le droit d</w:t>
      </w:r>
      <w:r w:rsidR="005D0F0F" w:rsidRPr="00495482">
        <w:rPr>
          <w:lang w:val="fr-FR"/>
        </w:rPr>
        <w:t>’</w:t>
      </w:r>
      <w:r w:rsidRPr="00495482">
        <w:rPr>
          <w:lang w:val="fr-FR"/>
        </w:rPr>
        <w:t>auteur et les droits connexes régit: le droit des auteurs pour leurs travaux littéraires</w:t>
      </w:r>
      <w:r w:rsidR="005D0F0F" w:rsidRPr="00495482">
        <w:rPr>
          <w:lang w:val="fr-FR"/>
        </w:rPr>
        <w:t>,</w:t>
      </w:r>
      <w:r w:rsidRPr="00495482">
        <w:rPr>
          <w:lang w:val="fr-FR"/>
        </w:rPr>
        <w:t xml:space="preserve"> scientifiques et artistiques (droit d</w:t>
      </w:r>
      <w:r w:rsidR="005D0F0F" w:rsidRPr="00495482">
        <w:rPr>
          <w:lang w:val="fr-FR"/>
        </w:rPr>
        <w:t>’</w:t>
      </w:r>
      <w:r w:rsidRPr="00495482">
        <w:rPr>
          <w:lang w:val="fr-FR"/>
        </w:rPr>
        <w:t>auteur); les droits des artistes-interprètes</w:t>
      </w:r>
      <w:r w:rsidR="005D0F0F" w:rsidRPr="00495482">
        <w:rPr>
          <w:lang w:val="fr-FR"/>
        </w:rPr>
        <w:t>,</w:t>
      </w:r>
      <w:r w:rsidRPr="00495482">
        <w:rPr>
          <w:lang w:val="fr-FR"/>
        </w:rPr>
        <w:t xml:space="preserve"> producteurs de phonogrammes et producteurs de films</w:t>
      </w:r>
      <w:r w:rsidR="005D0F0F" w:rsidRPr="00495482">
        <w:rPr>
          <w:lang w:val="fr-FR"/>
        </w:rPr>
        <w:t>,</w:t>
      </w:r>
      <w:r w:rsidRPr="00495482">
        <w:rPr>
          <w:lang w:val="fr-FR"/>
        </w:rPr>
        <w:t xml:space="preserve"> les droits des organismes de radiodiffusion et de télévision (RTV)</w:t>
      </w:r>
      <w:r w:rsidR="005D0F0F" w:rsidRPr="00495482">
        <w:rPr>
          <w:lang w:val="fr-FR"/>
        </w:rPr>
        <w:t>,</w:t>
      </w:r>
      <w:r w:rsidRPr="00495482">
        <w:rPr>
          <w:lang w:val="fr-FR"/>
        </w:rPr>
        <w:t xml:space="preserve"> et ceux des maisons d</w:t>
      </w:r>
      <w:r w:rsidR="005D0F0F" w:rsidRPr="00495482">
        <w:rPr>
          <w:lang w:val="fr-FR"/>
        </w:rPr>
        <w:t>’</w:t>
      </w:r>
      <w:r w:rsidRPr="00495482">
        <w:rPr>
          <w:lang w:val="fr-FR"/>
        </w:rPr>
        <w:t>édition (droits connexes)</w:t>
      </w:r>
      <w:r w:rsidR="005D0F0F" w:rsidRPr="00495482">
        <w:rPr>
          <w:lang w:val="fr-FR"/>
        </w:rPr>
        <w:t>,</w:t>
      </w:r>
      <w:r w:rsidRPr="00495482">
        <w:rPr>
          <w:lang w:val="fr-FR"/>
        </w:rPr>
        <w:t xml:space="preserve"> et la mise en application individuelle et collective du droit d</w:t>
      </w:r>
      <w:r w:rsidR="005D0F0F" w:rsidRPr="00495482">
        <w:rPr>
          <w:lang w:val="fr-FR"/>
        </w:rPr>
        <w:t>’</w:t>
      </w:r>
      <w:r w:rsidRPr="00495482">
        <w:rPr>
          <w:lang w:val="fr-FR"/>
        </w:rPr>
        <w:t>auteur et des droits connexes.</w:t>
      </w:r>
      <w:r w:rsidR="003D1A4F" w:rsidRPr="00495482">
        <w:rPr>
          <w:lang w:val="fr-FR"/>
        </w:rPr>
        <w:t xml:space="preserve"> </w:t>
      </w:r>
    </w:p>
    <w:p w:rsidR="00317603" w:rsidRPr="00495482" w:rsidRDefault="00317603" w:rsidP="002656A1">
      <w:pPr>
        <w:pStyle w:val="H23G"/>
        <w:rPr>
          <w:lang w:val="fr-FR" w:eastAsia="sl-SI"/>
        </w:rPr>
      </w:pPr>
      <w:r w:rsidRPr="00495482">
        <w:rPr>
          <w:lang w:val="fr-FR" w:eastAsia="sl-SI"/>
        </w:rPr>
        <w:tab/>
      </w:r>
      <w:r w:rsidRPr="00495482">
        <w:rPr>
          <w:lang w:val="fr-FR" w:eastAsia="sl-SI"/>
        </w:rPr>
        <w:tab/>
        <w:t xml:space="preserve">Relations de travail dans le domaine de la culture </w:t>
      </w:r>
    </w:p>
    <w:p w:rsidR="00317603" w:rsidRPr="00495482" w:rsidRDefault="00317603" w:rsidP="002656A1">
      <w:pPr>
        <w:pStyle w:val="SingleTxtG"/>
        <w:rPr>
          <w:lang w:val="fr-FR"/>
        </w:rPr>
      </w:pPr>
      <w:r w:rsidRPr="00495482">
        <w:rPr>
          <w:lang w:val="fr-FR"/>
        </w:rPr>
        <w:t>198.</w:t>
      </w:r>
      <w:r w:rsidRPr="00495482">
        <w:rPr>
          <w:lang w:val="fr-FR"/>
        </w:rPr>
        <w:tab/>
        <w:t xml:space="preserve">Les relations de travail dans le domaine artistique et culturel reposent généralement sur des contrats permanents. Fondée sur </w:t>
      </w:r>
      <w:r w:rsidR="00657B60" w:rsidRPr="00495482">
        <w:rPr>
          <w:lang w:val="fr-FR"/>
        </w:rPr>
        <w:t>l’</w:t>
      </w:r>
      <w:r w:rsidR="003C4F70">
        <w:rPr>
          <w:lang w:val="fr-FR"/>
        </w:rPr>
        <w:t>article </w:t>
      </w:r>
      <w:r w:rsidRPr="00495482">
        <w:rPr>
          <w:lang w:val="fr-FR"/>
        </w:rPr>
        <w:t>46 de la loi sur l</w:t>
      </w:r>
      <w:r w:rsidR="005D0F0F" w:rsidRPr="00495482">
        <w:rPr>
          <w:lang w:val="fr-FR"/>
        </w:rPr>
        <w:t>’</w:t>
      </w:r>
      <w:r w:rsidRPr="00495482">
        <w:rPr>
          <w:lang w:val="fr-FR"/>
        </w:rPr>
        <w:t>exercice de l</w:t>
      </w:r>
      <w:r w:rsidR="005D0F0F" w:rsidRPr="00495482">
        <w:rPr>
          <w:lang w:val="fr-FR"/>
        </w:rPr>
        <w:t>’</w:t>
      </w:r>
      <w:r w:rsidRPr="00495482">
        <w:rPr>
          <w:lang w:val="fr-FR"/>
        </w:rPr>
        <w:t>intérêt public dans la culture</w:t>
      </w:r>
      <w:r w:rsidR="005D0F0F" w:rsidRPr="00495482">
        <w:rPr>
          <w:lang w:val="fr-FR"/>
        </w:rPr>
        <w:t>,</w:t>
      </w:r>
      <w:r w:rsidRPr="00495482">
        <w:rPr>
          <w:lang w:val="fr-FR"/>
        </w:rPr>
        <w:t xml:space="preserve"> la loi sur la systématisation des emplois peut</w:t>
      </w:r>
      <w:r w:rsidR="005D0F0F" w:rsidRPr="00495482">
        <w:rPr>
          <w:lang w:val="fr-FR"/>
        </w:rPr>
        <w:t>,</w:t>
      </w:r>
      <w:r w:rsidRPr="00495482">
        <w:rPr>
          <w:lang w:val="fr-FR"/>
        </w:rPr>
        <w:t xml:space="preserve"> lorsque la nature de l</w:t>
      </w:r>
      <w:r w:rsidR="005D0F0F" w:rsidRPr="00495482">
        <w:rPr>
          <w:lang w:val="fr-FR"/>
        </w:rPr>
        <w:t>’</w:t>
      </w:r>
      <w:r w:rsidRPr="00495482">
        <w:rPr>
          <w:lang w:val="fr-FR"/>
        </w:rPr>
        <w:t>emploi dans le domaine artistique ou culturel l</w:t>
      </w:r>
      <w:r w:rsidR="005D0F0F" w:rsidRPr="00495482">
        <w:rPr>
          <w:lang w:val="fr-FR"/>
        </w:rPr>
        <w:t>’</w:t>
      </w:r>
      <w:r w:rsidRPr="00495482">
        <w:rPr>
          <w:lang w:val="fr-FR"/>
        </w:rPr>
        <w:t>exige</w:t>
      </w:r>
      <w:r w:rsidR="005D0F0F" w:rsidRPr="00495482">
        <w:rPr>
          <w:lang w:val="fr-FR"/>
        </w:rPr>
        <w:t>,</w:t>
      </w:r>
      <w:r w:rsidRPr="00495482">
        <w:rPr>
          <w:lang w:val="fr-FR"/>
        </w:rPr>
        <w:t xml:space="preserve"> préciser pour quels types d</w:t>
      </w:r>
      <w:r w:rsidR="005D0F0F" w:rsidRPr="00495482">
        <w:rPr>
          <w:lang w:val="fr-FR"/>
        </w:rPr>
        <w:t>’</w:t>
      </w:r>
      <w:r w:rsidRPr="00495482">
        <w:rPr>
          <w:lang w:val="fr-FR"/>
        </w:rPr>
        <w:t>emplois des contrats courts peuvent être conclus</w:t>
      </w:r>
      <w:r w:rsidR="005D0F0F" w:rsidRPr="00495482">
        <w:rPr>
          <w:lang w:val="fr-FR"/>
        </w:rPr>
        <w:t>,</w:t>
      </w:r>
      <w:r w:rsidRPr="00495482">
        <w:rPr>
          <w:lang w:val="fr-FR"/>
        </w:rPr>
        <w:t xml:space="preserve"> dont la durée peut ne pas excéder celle des fonctions du réalisateur ou ne pas dépasser cinq</w:t>
      </w:r>
      <w:r w:rsidR="002328BD" w:rsidRPr="00495482">
        <w:rPr>
          <w:lang w:val="fr-FR"/>
        </w:rPr>
        <w:t> ans</w:t>
      </w:r>
      <w:r w:rsidRPr="00495482">
        <w:rPr>
          <w:lang w:val="fr-FR"/>
        </w:rPr>
        <w:t>. Il s</w:t>
      </w:r>
      <w:r w:rsidR="005D0F0F" w:rsidRPr="00495482">
        <w:rPr>
          <w:lang w:val="fr-FR"/>
        </w:rPr>
        <w:t>’</w:t>
      </w:r>
      <w:r w:rsidRPr="00495482">
        <w:rPr>
          <w:lang w:val="fr-FR"/>
        </w:rPr>
        <w:t>agit là d</w:t>
      </w:r>
      <w:r w:rsidR="005D0F0F" w:rsidRPr="00495482">
        <w:rPr>
          <w:lang w:val="fr-FR"/>
        </w:rPr>
        <w:t>’</w:t>
      </w:r>
      <w:r w:rsidRPr="00495482">
        <w:rPr>
          <w:lang w:val="fr-FR"/>
        </w:rPr>
        <w:t>une nouvelle disposition</w:t>
      </w:r>
      <w:r w:rsidR="005D0F0F" w:rsidRPr="00495482">
        <w:rPr>
          <w:lang w:val="fr-FR"/>
        </w:rPr>
        <w:t>:</w:t>
      </w:r>
      <w:r w:rsidRPr="00495482">
        <w:rPr>
          <w:lang w:val="fr-FR"/>
        </w:rPr>
        <w:t xml:space="preserve"> du 1</w:t>
      </w:r>
      <w:r w:rsidRPr="00495482">
        <w:rPr>
          <w:vertAlign w:val="superscript"/>
          <w:lang w:val="fr-FR"/>
        </w:rPr>
        <w:t>er</w:t>
      </w:r>
      <w:r w:rsidR="002656A1">
        <w:rPr>
          <w:lang w:val="fr-FR"/>
        </w:rPr>
        <w:t> </w:t>
      </w:r>
      <w:r w:rsidRPr="00495482">
        <w:rPr>
          <w:lang w:val="fr-FR"/>
        </w:rPr>
        <w:t>janvier 2003 au 31 décembre 2008 (et jusqu</w:t>
      </w:r>
      <w:r w:rsidR="005D0F0F" w:rsidRPr="00495482">
        <w:rPr>
          <w:lang w:val="fr-FR"/>
        </w:rPr>
        <w:t>’</w:t>
      </w:r>
      <w:r w:rsidRPr="00495482">
        <w:rPr>
          <w:lang w:val="fr-FR"/>
        </w:rPr>
        <w:t>à février 2010)</w:t>
      </w:r>
      <w:r w:rsidR="005D0F0F" w:rsidRPr="00495482">
        <w:rPr>
          <w:lang w:val="fr-FR"/>
        </w:rPr>
        <w:t>,</w:t>
      </w:r>
      <w:r w:rsidRPr="00495482">
        <w:rPr>
          <w:lang w:val="fr-FR"/>
        </w:rPr>
        <w:t xml:space="preserve"> il n</w:t>
      </w:r>
      <w:r w:rsidR="005D0F0F" w:rsidRPr="00495482">
        <w:rPr>
          <w:lang w:val="fr-FR"/>
        </w:rPr>
        <w:t>’</w:t>
      </w:r>
      <w:r w:rsidRPr="00495482">
        <w:rPr>
          <w:lang w:val="fr-FR"/>
        </w:rPr>
        <w:t xml:space="preserve">y avait pas de restriction aux contrats de travail de courte durée nouvellement conclus. </w:t>
      </w:r>
    </w:p>
    <w:p w:rsidR="00317603" w:rsidRPr="00495482" w:rsidRDefault="00317603" w:rsidP="002656A1">
      <w:pPr>
        <w:pStyle w:val="SingleTxtG"/>
        <w:rPr>
          <w:lang w:val="fr-FR"/>
        </w:rPr>
      </w:pPr>
      <w:r w:rsidRPr="00495482">
        <w:rPr>
          <w:lang w:val="fr-FR"/>
        </w:rPr>
        <w:t>Parallèlement</w:t>
      </w:r>
      <w:r w:rsidR="005D0F0F" w:rsidRPr="00495482">
        <w:rPr>
          <w:lang w:val="fr-FR"/>
        </w:rPr>
        <w:t>,</w:t>
      </w:r>
      <w:r w:rsidRPr="00495482">
        <w:rPr>
          <w:lang w:val="fr-FR"/>
        </w:rPr>
        <w:t xml:space="preserve"> l</w:t>
      </w:r>
      <w:r w:rsidR="005D0F0F" w:rsidRPr="00495482">
        <w:rPr>
          <w:lang w:val="fr-FR"/>
        </w:rPr>
        <w:t>’</w:t>
      </w:r>
      <w:r w:rsidRPr="00495482">
        <w:rPr>
          <w:lang w:val="fr-FR"/>
        </w:rPr>
        <w:t>État soutient également d</w:t>
      </w:r>
      <w:r w:rsidR="005D0F0F" w:rsidRPr="00495482">
        <w:rPr>
          <w:lang w:val="fr-FR"/>
        </w:rPr>
        <w:t>’</w:t>
      </w:r>
      <w:r w:rsidRPr="00495482">
        <w:rPr>
          <w:lang w:val="fr-FR"/>
        </w:rPr>
        <w:t>autres formes d</w:t>
      </w:r>
      <w:r w:rsidR="005D0F0F" w:rsidRPr="00495482">
        <w:rPr>
          <w:lang w:val="fr-FR"/>
        </w:rPr>
        <w:t>’</w:t>
      </w:r>
      <w:r w:rsidRPr="00495482">
        <w:rPr>
          <w:lang w:val="fr-FR"/>
        </w:rPr>
        <w:t>activités dans le domaine de la culture</w:t>
      </w:r>
      <w:r w:rsidR="005D0F0F" w:rsidRPr="00495482">
        <w:rPr>
          <w:lang w:val="fr-FR"/>
        </w:rPr>
        <w:t>,</w:t>
      </w:r>
      <w:r w:rsidRPr="00495482">
        <w:rPr>
          <w:lang w:val="fr-FR"/>
        </w:rPr>
        <w:t xml:space="preserve"> notamment</w:t>
      </w:r>
      <w:r w:rsidR="003D1A4F" w:rsidRPr="00495482">
        <w:rPr>
          <w:lang w:val="fr-FR"/>
        </w:rPr>
        <w:t xml:space="preserve"> </w:t>
      </w:r>
      <w:r w:rsidRPr="00495482">
        <w:rPr>
          <w:lang w:val="fr-FR"/>
        </w:rPr>
        <w:t>par l</w:t>
      </w:r>
      <w:r w:rsidR="005D0F0F" w:rsidRPr="00495482">
        <w:rPr>
          <w:lang w:val="fr-FR"/>
        </w:rPr>
        <w:t>’</w:t>
      </w:r>
      <w:r w:rsidRPr="00495482">
        <w:rPr>
          <w:lang w:val="fr-FR"/>
        </w:rPr>
        <w:t>octroi du statut de travailleur indépendant de la culture. Si les revenus d</w:t>
      </w:r>
      <w:r w:rsidR="005D0F0F" w:rsidRPr="00495482">
        <w:rPr>
          <w:lang w:val="fr-FR"/>
        </w:rPr>
        <w:t>’</w:t>
      </w:r>
      <w:r w:rsidRPr="00495482">
        <w:rPr>
          <w:lang w:val="fr-FR"/>
        </w:rPr>
        <w:t>un travailleur indépendant dans ce secteur ne lui assurent pas des conditions de vie suffisantes</w:t>
      </w:r>
      <w:r w:rsidR="005D0F0F" w:rsidRPr="00495482">
        <w:rPr>
          <w:lang w:val="fr-FR"/>
        </w:rPr>
        <w:t>,</w:t>
      </w:r>
      <w:r w:rsidRPr="00495482">
        <w:rPr>
          <w:lang w:val="fr-FR"/>
        </w:rPr>
        <w:t xml:space="preserve"> il peut obtenir de l</w:t>
      </w:r>
      <w:r w:rsidR="005D0F0F" w:rsidRPr="00495482">
        <w:rPr>
          <w:lang w:val="fr-FR"/>
        </w:rPr>
        <w:t>’</w:t>
      </w:r>
      <w:r w:rsidRPr="00495482">
        <w:rPr>
          <w:lang w:val="fr-FR"/>
        </w:rPr>
        <w:t>État</w:t>
      </w:r>
      <w:r w:rsidR="005D0F0F" w:rsidRPr="00495482">
        <w:rPr>
          <w:lang w:val="fr-FR"/>
        </w:rPr>
        <w:t>,</w:t>
      </w:r>
      <w:r w:rsidRPr="00495482">
        <w:rPr>
          <w:lang w:val="fr-FR"/>
        </w:rPr>
        <w:t xml:space="preserve"> à partir du budget national</w:t>
      </w:r>
      <w:r w:rsidR="005D0F0F" w:rsidRPr="00495482">
        <w:rPr>
          <w:lang w:val="fr-FR"/>
        </w:rPr>
        <w:t>,</w:t>
      </w:r>
      <w:r w:rsidR="003D1A4F" w:rsidRPr="00495482">
        <w:rPr>
          <w:lang w:val="fr-FR"/>
        </w:rPr>
        <w:t xml:space="preserve"> </w:t>
      </w:r>
      <w:r w:rsidRPr="00495482">
        <w:rPr>
          <w:lang w:val="fr-FR"/>
        </w:rPr>
        <w:t>le versement de ses cotisations d</w:t>
      </w:r>
      <w:r w:rsidR="005D0F0F" w:rsidRPr="00495482">
        <w:rPr>
          <w:lang w:val="fr-FR"/>
        </w:rPr>
        <w:t>’</w:t>
      </w:r>
      <w:r w:rsidRPr="00495482">
        <w:rPr>
          <w:lang w:val="fr-FR"/>
        </w:rPr>
        <w:t>assurance retraite-invalidité et d</w:t>
      </w:r>
      <w:r w:rsidR="005D0F0F" w:rsidRPr="00495482">
        <w:rPr>
          <w:lang w:val="fr-FR"/>
        </w:rPr>
        <w:t>’</w:t>
      </w:r>
      <w:r w:rsidRPr="00495482">
        <w:rPr>
          <w:lang w:val="fr-FR"/>
        </w:rPr>
        <w:t>assurance santé obligatoires. Ce droit peut être octroyé aux travailleurs indépendants dans le domaine culturel</w:t>
      </w:r>
      <w:r w:rsidR="005D0F0F" w:rsidRPr="00495482">
        <w:rPr>
          <w:lang w:val="fr-FR"/>
        </w:rPr>
        <w:t>,</w:t>
      </w:r>
      <w:r w:rsidRPr="00495482">
        <w:rPr>
          <w:lang w:val="fr-FR"/>
        </w:rPr>
        <w:t xml:space="preserve"> dont l</w:t>
      </w:r>
      <w:r w:rsidR="005D0F0F" w:rsidRPr="00495482">
        <w:rPr>
          <w:lang w:val="fr-FR"/>
        </w:rPr>
        <w:t>’</w:t>
      </w:r>
      <w:r w:rsidR="002328BD" w:rsidRPr="00495482">
        <w:rPr>
          <w:lang w:val="fr-FR"/>
        </w:rPr>
        <w:t>œuvre</w:t>
      </w:r>
      <w:r w:rsidRPr="00495482">
        <w:rPr>
          <w:lang w:val="fr-FR"/>
        </w:rPr>
        <w:t xml:space="preserve"> représente une contribution exceptionnelle</w:t>
      </w:r>
      <w:r w:rsidR="005D0F0F" w:rsidRPr="00495482">
        <w:rPr>
          <w:lang w:val="fr-FR"/>
        </w:rPr>
        <w:t>,</w:t>
      </w:r>
      <w:r w:rsidRPr="00495482">
        <w:rPr>
          <w:lang w:val="fr-FR"/>
        </w:rPr>
        <w:t xml:space="preserve"> ou à une profession qui</w:t>
      </w:r>
      <w:r w:rsidR="005D0F0F" w:rsidRPr="00495482">
        <w:rPr>
          <w:lang w:val="fr-FR"/>
        </w:rPr>
        <w:t>,</w:t>
      </w:r>
      <w:r w:rsidRPr="00495482">
        <w:rPr>
          <w:lang w:val="fr-FR"/>
        </w:rPr>
        <w:t xml:space="preserve"> en raison de ses exigences en matière de ressources humaines</w:t>
      </w:r>
      <w:r w:rsidR="005D0F0F" w:rsidRPr="00495482">
        <w:rPr>
          <w:lang w:val="fr-FR"/>
        </w:rPr>
        <w:t>,</w:t>
      </w:r>
      <w:r w:rsidRPr="00495482">
        <w:rPr>
          <w:lang w:val="fr-FR"/>
        </w:rPr>
        <w:t xml:space="preserve"> doit être soutenue (profession en déficit de compétences). Cela exclut toute forme de discrimination. Les travailleurs indépendants dans le domaine culturel peuvent</w:t>
      </w:r>
      <w:r w:rsidR="005D0F0F" w:rsidRPr="00495482">
        <w:rPr>
          <w:lang w:val="fr-FR"/>
        </w:rPr>
        <w:t>,</w:t>
      </w:r>
      <w:r w:rsidRPr="00495482">
        <w:rPr>
          <w:lang w:val="fr-FR"/>
        </w:rPr>
        <w:t xml:space="preserve"> dans des conditions d</w:t>
      </w:r>
      <w:r w:rsidR="005D0F0F" w:rsidRPr="00495482">
        <w:rPr>
          <w:lang w:val="fr-FR"/>
        </w:rPr>
        <w:t>’</w:t>
      </w:r>
      <w:r w:rsidRPr="00495482">
        <w:rPr>
          <w:lang w:val="fr-FR"/>
        </w:rPr>
        <w:t>égalité</w:t>
      </w:r>
      <w:r w:rsidR="005D0F0F" w:rsidRPr="00495482">
        <w:rPr>
          <w:lang w:val="fr-FR"/>
        </w:rPr>
        <w:t>,</w:t>
      </w:r>
      <w:r w:rsidRPr="00495482">
        <w:rPr>
          <w:lang w:val="fr-FR"/>
        </w:rPr>
        <w:t xml:space="preserve"> lancer des appels d</w:t>
      </w:r>
      <w:r w:rsidR="005D0F0F" w:rsidRPr="00495482">
        <w:rPr>
          <w:lang w:val="fr-FR"/>
        </w:rPr>
        <w:t>’</w:t>
      </w:r>
      <w:r w:rsidRPr="00495482">
        <w:rPr>
          <w:lang w:val="fr-FR"/>
        </w:rPr>
        <w:t>offres publics</w:t>
      </w:r>
      <w:r w:rsidR="005D0F0F" w:rsidRPr="00495482">
        <w:rPr>
          <w:lang w:val="fr-FR"/>
        </w:rPr>
        <w:t>,</w:t>
      </w:r>
      <w:r w:rsidRPr="00495482">
        <w:rPr>
          <w:lang w:val="fr-FR"/>
        </w:rPr>
        <w:t xml:space="preserve"> ou des appels à candidatures pour cofinancer leurs projets culturels. </w:t>
      </w:r>
    </w:p>
    <w:p w:rsidR="00317603" w:rsidRPr="00495482" w:rsidRDefault="00317603" w:rsidP="002656A1">
      <w:pPr>
        <w:pStyle w:val="SingleTxtG"/>
        <w:rPr>
          <w:lang w:val="fr-FR"/>
        </w:rPr>
      </w:pPr>
      <w:r w:rsidRPr="00495482">
        <w:rPr>
          <w:lang w:val="fr-FR"/>
        </w:rPr>
        <w:t>199.</w:t>
      </w:r>
      <w:r w:rsidRPr="00495482">
        <w:rPr>
          <w:lang w:val="fr-FR"/>
        </w:rPr>
        <w:tab/>
        <w:t>Les autres formes de soutien à la créativité culturelle comprennent notamment l</w:t>
      </w:r>
      <w:r w:rsidR="005D0F0F" w:rsidRPr="00495482">
        <w:rPr>
          <w:lang w:val="fr-FR"/>
        </w:rPr>
        <w:t>’</w:t>
      </w:r>
      <w:r w:rsidRPr="00495482">
        <w:rPr>
          <w:lang w:val="fr-FR"/>
        </w:rPr>
        <w:t>octroi de bourses d</w:t>
      </w:r>
      <w:r w:rsidR="005D0F0F" w:rsidRPr="00495482">
        <w:rPr>
          <w:lang w:val="fr-FR"/>
        </w:rPr>
        <w:t>’</w:t>
      </w:r>
      <w:r w:rsidRPr="00495482">
        <w:rPr>
          <w:lang w:val="fr-FR"/>
        </w:rPr>
        <w:t>études dans le domaine de la culture</w:t>
      </w:r>
      <w:r w:rsidR="005D0F0F" w:rsidRPr="00495482">
        <w:rPr>
          <w:lang w:val="fr-FR"/>
        </w:rPr>
        <w:t>,</w:t>
      </w:r>
      <w:r w:rsidRPr="00495482">
        <w:rPr>
          <w:lang w:val="fr-FR"/>
        </w:rPr>
        <w:t xml:space="preserve"> de prix et de pensions exceptionnelles. </w:t>
      </w:r>
    </w:p>
    <w:p w:rsidR="00317603" w:rsidRPr="00495482" w:rsidRDefault="00317603" w:rsidP="002656A1">
      <w:pPr>
        <w:pStyle w:val="H23G"/>
        <w:rPr>
          <w:iCs/>
          <w:lang w:val="fr-FR" w:eastAsia="sl-SI"/>
        </w:rPr>
      </w:pPr>
      <w:r w:rsidRPr="00495482">
        <w:rPr>
          <w:lang w:val="fr-FR" w:eastAsia="sl-SI"/>
        </w:rPr>
        <w:tab/>
      </w:r>
      <w:r w:rsidRPr="00495482">
        <w:rPr>
          <w:lang w:val="fr-FR" w:eastAsia="sl-SI"/>
        </w:rPr>
        <w:tab/>
        <w:t>Exercice de l</w:t>
      </w:r>
      <w:r w:rsidR="005D0F0F" w:rsidRPr="00495482">
        <w:rPr>
          <w:lang w:val="fr-FR" w:eastAsia="sl-SI"/>
        </w:rPr>
        <w:t>’</w:t>
      </w:r>
      <w:r w:rsidRPr="00495482">
        <w:rPr>
          <w:lang w:val="fr-FR" w:eastAsia="sl-SI"/>
        </w:rPr>
        <w:t>intérêt public dans la culture</w:t>
      </w:r>
    </w:p>
    <w:p w:rsidR="00317603" w:rsidRPr="00495482" w:rsidRDefault="00317603" w:rsidP="002656A1">
      <w:pPr>
        <w:pStyle w:val="SingleTxtG"/>
        <w:rPr>
          <w:lang w:val="fr-FR"/>
        </w:rPr>
      </w:pPr>
      <w:r w:rsidRPr="00495482">
        <w:rPr>
          <w:lang w:val="fr-FR"/>
        </w:rPr>
        <w:t>200.</w:t>
      </w:r>
      <w:r w:rsidRPr="00495482">
        <w:rPr>
          <w:lang w:val="fr-FR"/>
        </w:rPr>
        <w:tab/>
        <w:t>La loi régissant l</w:t>
      </w:r>
      <w:r w:rsidR="005D0F0F" w:rsidRPr="00495482">
        <w:rPr>
          <w:lang w:val="fr-FR"/>
        </w:rPr>
        <w:t>’</w:t>
      </w:r>
      <w:r w:rsidRPr="00495482">
        <w:rPr>
          <w:lang w:val="fr-FR"/>
        </w:rPr>
        <w:t>exercice de l</w:t>
      </w:r>
      <w:r w:rsidR="005D0F0F" w:rsidRPr="00495482">
        <w:rPr>
          <w:lang w:val="fr-FR"/>
        </w:rPr>
        <w:t>’</w:t>
      </w:r>
      <w:r w:rsidRPr="00495482">
        <w:rPr>
          <w:lang w:val="fr-FR"/>
        </w:rPr>
        <w:t>intérêt public dans la culture</w:t>
      </w:r>
      <w:r w:rsidRPr="00495482">
        <w:rPr>
          <w:rStyle w:val="FootnoteReference"/>
        </w:rPr>
        <w:footnoteReference w:id="103"/>
      </w:r>
      <w:r w:rsidRPr="00495482">
        <w:rPr>
          <w:lang w:val="fr-FR"/>
        </w:rPr>
        <w:t xml:space="preserve"> garantit la liberté dans le domaine de la culture (en matière de création et de diffusion des biens culturels). Elle préserve l</w:t>
      </w:r>
      <w:r w:rsidR="005D0F0F" w:rsidRPr="00495482">
        <w:rPr>
          <w:lang w:val="fr-FR"/>
        </w:rPr>
        <w:t>’</w:t>
      </w:r>
      <w:r w:rsidRPr="00495482">
        <w:rPr>
          <w:lang w:val="fr-FR"/>
        </w:rPr>
        <w:t>exercice des droits au titre de la création artistique</w:t>
      </w:r>
      <w:r w:rsidR="005D0F0F" w:rsidRPr="00495482">
        <w:rPr>
          <w:lang w:val="fr-FR"/>
        </w:rPr>
        <w:t>,</w:t>
      </w:r>
      <w:r w:rsidRPr="00495482">
        <w:rPr>
          <w:lang w:val="fr-FR"/>
        </w:rPr>
        <w:t xml:space="preserve"> sans discrimination d</w:t>
      </w:r>
      <w:r w:rsidR="005D0F0F" w:rsidRPr="00495482">
        <w:rPr>
          <w:lang w:val="fr-FR"/>
        </w:rPr>
        <w:t>’</w:t>
      </w:r>
      <w:r w:rsidRPr="00495482">
        <w:rPr>
          <w:lang w:val="fr-FR"/>
        </w:rPr>
        <w:t>aucune sorte.</w:t>
      </w:r>
      <w:r w:rsidR="003D1A4F" w:rsidRPr="00495482">
        <w:rPr>
          <w:lang w:val="fr-FR"/>
        </w:rPr>
        <w:t xml:space="preserve"> </w:t>
      </w:r>
      <w:r w:rsidRPr="00495482">
        <w:rPr>
          <w:lang w:val="fr-FR"/>
        </w:rPr>
        <w:t>Elle permet pour l</w:t>
      </w:r>
      <w:r w:rsidR="005D0F0F" w:rsidRPr="00495482">
        <w:rPr>
          <w:lang w:val="fr-FR"/>
        </w:rPr>
        <w:t>’</w:t>
      </w:r>
      <w:r w:rsidRPr="00495482">
        <w:rPr>
          <w:lang w:val="fr-FR"/>
        </w:rPr>
        <w:t>essentiel de réaliser l</w:t>
      </w:r>
      <w:r w:rsidR="005D0F0F" w:rsidRPr="00495482">
        <w:rPr>
          <w:lang w:val="fr-FR"/>
        </w:rPr>
        <w:t>’</w:t>
      </w:r>
      <w:r w:rsidRPr="00495482">
        <w:rPr>
          <w:lang w:val="fr-FR"/>
        </w:rPr>
        <w:t>intérêt public dans la culture en garantissant des possibilités de créativité</w:t>
      </w:r>
      <w:r w:rsidR="005D0F0F" w:rsidRPr="00495482">
        <w:rPr>
          <w:lang w:val="fr-FR"/>
        </w:rPr>
        <w:t>,</w:t>
      </w:r>
      <w:r w:rsidRPr="00495482">
        <w:rPr>
          <w:lang w:val="fr-FR"/>
        </w:rPr>
        <w:t xml:space="preserve"> l</w:t>
      </w:r>
      <w:r w:rsidR="005D0F0F" w:rsidRPr="00495482">
        <w:rPr>
          <w:lang w:val="fr-FR"/>
        </w:rPr>
        <w:t>’</w:t>
      </w:r>
      <w:r w:rsidRPr="00495482">
        <w:rPr>
          <w:lang w:val="fr-FR"/>
        </w:rPr>
        <w:t>accès aux biens culturels</w:t>
      </w:r>
      <w:r w:rsidR="005D0F0F" w:rsidRPr="00495482">
        <w:rPr>
          <w:lang w:val="fr-FR"/>
        </w:rPr>
        <w:t>,</w:t>
      </w:r>
      <w:r w:rsidRPr="00495482">
        <w:rPr>
          <w:lang w:val="fr-FR"/>
        </w:rPr>
        <w:t xml:space="preserve"> la diversité culturelle</w:t>
      </w:r>
      <w:r w:rsidR="005D0F0F" w:rsidRPr="00495482">
        <w:rPr>
          <w:lang w:val="fr-FR"/>
        </w:rPr>
        <w:t>,</w:t>
      </w:r>
      <w:r w:rsidRPr="00495482">
        <w:rPr>
          <w:lang w:val="fr-FR"/>
        </w:rPr>
        <w:t xml:space="preserve"> l</w:t>
      </w:r>
      <w:r w:rsidR="005D0F0F" w:rsidRPr="00495482">
        <w:rPr>
          <w:lang w:val="fr-FR"/>
        </w:rPr>
        <w:t>’</w:t>
      </w:r>
      <w:r w:rsidRPr="00495482">
        <w:rPr>
          <w:lang w:val="fr-FR"/>
        </w:rPr>
        <w:t>emploi effectif et la diffusion de la langue slovène</w:t>
      </w:r>
      <w:r w:rsidR="005D0F0F" w:rsidRPr="00495482">
        <w:rPr>
          <w:lang w:val="fr-FR"/>
        </w:rPr>
        <w:t>,</w:t>
      </w:r>
      <w:r w:rsidRPr="00495482">
        <w:rPr>
          <w:lang w:val="fr-FR"/>
        </w:rPr>
        <w:t xml:space="preserve"> l</w:t>
      </w:r>
      <w:r w:rsidR="005D0F0F" w:rsidRPr="00495482">
        <w:rPr>
          <w:lang w:val="fr-FR"/>
        </w:rPr>
        <w:t>’</w:t>
      </w:r>
      <w:r w:rsidRPr="00495482">
        <w:rPr>
          <w:lang w:val="fr-FR"/>
        </w:rPr>
        <w:t>identité culturelle du pays et son espace culturel commun</w:t>
      </w:r>
      <w:r w:rsidR="005D0F0F" w:rsidRPr="00495482">
        <w:rPr>
          <w:lang w:val="fr-FR"/>
        </w:rPr>
        <w:t>,</w:t>
      </w:r>
      <w:r w:rsidRPr="00495482">
        <w:rPr>
          <w:lang w:val="fr-FR"/>
        </w:rPr>
        <w:t xml:space="preserve"> son identité internationale et la notoriété de sa culture et de son art dans le monde. La loi sur l</w:t>
      </w:r>
      <w:r w:rsidR="005D0F0F" w:rsidRPr="00495482">
        <w:rPr>
          <w:lang w:val="fr-FR"/>
        </w:rPr>
        <w:t>’</w:t>
      </w:r>
      <w:r w:rsidRPr="00495482">
        <w:rPr>
          <w:lang w:val="fr-FR"/>
        </w:rPr>
        <w:t>exercice de l</w:t>
      </w:r>
      <w:r w:rsidR="005D0F0F" w:rsidRPr="00495482">
        <w:rPr>
          <w:lang w:val="fr-FR"/>
        </w:rPr>
        <w:t>’</w:t>
      </w:r>
      <w:r w:rsidRPr="00495482">
        <w:rPr>
          <w:lang w:val="fr-FR"/>
        </w:rPr>
        <w:t>intérêt public dans la culture est la loi-cadre en la matière</w:t>
      </w:r>
      <w:r w:rsidR="005D0F0F" w:rsidRPr="00495482">
        <w:rPr>
          <w:lang w:val="fr-FR"/>
        </w:rPr>
        <w:t>,</w:t>
      </w:r>
      <w:r w:rsidRPr="00495482">
        <w:rPr>
          <w:lang w:val="fr-FR"/>
        </w:rPr>
        <w:t xml:space="preserve"> mais la Slovénie dispose parallèlement d</w:t>
      </w:r>
      <w:r w:rsidR="005D0F0F" w:rsidRPr="00495482">
        <w:rPr>
          <w:lang w:val="fr-FR"/>
        </w:rPr>
        <w:t>’</w:t>
      </w:r>
      <w:r w:rsidRPr="00495482">
        <w:rPr>
          <w:lang w:val="fr-FR"/>
        </w:rPr>
        <w:t>autres lois régissant des domaines particuliers de la culture.</w:t>
      </w:r>
    </w:p>
    <w:p w:rsidR="00317603" w:rsidRPr="00495482" w:rsidRDefault="00317603" w:rsidP="002656A1">
      <w:pPr>
        <w:pStyle w:val="SingleTxtG"/>
        <w:rPr>
          <w:lang w:val="fr-FR"/>
        </w:rPr>
      </w:pPr>
      <w:r w:rsidRPr="00495482">
        <w:rPr>
          <w:lang w:val="fr-FR"/>
        </w:rPr>
        <w:t>201.</w:t>
      </w:r>
      <w:r w:rsidRPr="00495482">
        <w:rPr>
          <w:lang w:val="fr-FR"/>
        </w:rPr>
        <w:tab/>
        <w:t>Le programme national pour la culture est élaboré chaque année</w:t>
      </w:r>
      <w:r w:rsidR="005D0F0F" w:rsidRPr="00495482">
        <w:rPr>
          <w:lang w:val="fr-FR"/>
        </w:rPr>
        <w:t>;</w:t>
      </w:r>
      <w:r w:rsidRPr="00495482">
        <w:rPr>
          <w:lang w:val="fr-FR"/>
        </w:rPr>
        <w:t xml:space="preserve"> il s</w:t>
      </w:r>
      <w:r w:rsidR="005D0F0F" w:rsidRPr="00495482">
        <w:rPr>
          <w:lang w:val="fr-FR"/>
        </w:rPr>
        <w:t>’</w:t>
      </w:r>
      <w:r w:rsidRPr="00495482">
        <w:rPr>
          <w:lang w:val="fr-FR"/>
        </w:rPr>
        <w:t>appuie sur la loi relative à l</w:t>
      </w:r>
      <w:r w:rsidR="005D0F0F" w:rsidRPr="00495482">
        <w:rPr>
          <w:lang w:val="fr-FR"/>
        </w:rPr>
        <w:t>’</w:t>
      </w:r>
      <w:r w:rsidRPr="00495482">
        <w:rPr>
          <w:lang w:val="fr-FR"/>
        </w:rPr>
        <w:t>exercice de l</w:t>
      </w:r>
      <w:r w:rsidR="005D0F0F" w:rsidRPr="00495482">
        <w:rPr>
          <w:lang w:val="fr-FR"/>
        </w:rPr>
        <w:t>’</w:t>
      </w:r>
      <w:r w:rsidRPr="00495482">
        <w:rPr>
          <w:lang w:val="fr-FR"/>
        </w:rPr>
        <w:t>intérêt public dans la culture</w:t>
      </w:r>
      <w:r w:rsidR="005D0F0F" w:rsidRPr="00495482">
        <w:rPr>
          <w:lang w:val="fr-FR"/>
        </w:rPr>
        <w:t>,</w:t>
      </w:r>
      <w:r w:rsidRPr="00495482">
        <w:rPr>
          <w:lang w:val="fr-FR"/>
        </w:rPr>
        <w:t xml:space="preserve"> et sert de document stratégique à la politique culturelle slovène</w:t>
      </w:r>
      <w:r w:rsidR="005D0F0F" w:rsidRPr="00495482">
        <w:rPr>
          <w:lang w:val="fr-FR"/>
        </w:rPr>
        <w:t>,</w:t>
      </w:r>
      <w:r w:rsidRPr="00495482">
        <w:rPr>
          <w:lang w:val="fr-FR"/>
        </w:rPr>
        <w:t xml:space="preserve"> en définissant les principes</w:t>
      </w:r>
      <w:r w:rsidR="005D0F0F" w:rsidRPr="00495482">
        <w:rPr>
          <w:lang w:val="fr-FR"/>
        </w:rPr>
        <w:t>,</w:t>
      </w:r>
      <w:r w:rsidRPr="00495482">
        <w:rPr>
          <w:lang w:val="fr-FR"/>
        </w:rPr>
        <w:t xml:space="preserve"> objectifs</w:t>
      </w:r>
      <w:r w:rsidR="005D0F0F" w:rsidRPr="00495482">
        <w:rPr>
          <w:lang w:val="fr-FR"/>
        </w:rPr>
        <w:t>,</w:t>
      </w:r>
      <w:r w:rsidRPr="00495482">
        <w:rPr>
          <w:lang w:val="fr-FR"/>
        </w:rPr>
        <w:t xml:space="preserve"> priorités et mesures qui encouragent le développement de la créativité individuelle et collective dans le domaine culturel en Slovénie</w:t>
      </w:r>
      <w:r w:rsidR="005D0F0F" w:rsidRPr="00495482">
        <w:rPr>
          <w:lang w:val="fr-FR"/>
        </w:rPr>
        <w:t>,</w:t>
      </w:r>
      <w:r w:rsidRPr="00495482">
        <w:rPr>
          <w:lang w:val="fr-FR"/>
        </w:rPr>
        <w:t xml:space="preserve"> assurent une culture libre</w:t>
      </w:r>
      <w:r w:rsidR="005D0F0F" w:rsidRPr="00495482">
        <w:rPr>
          <w:lang w:val="fr-FR"/>
        </w:rPr>
        <w:t>,</w:t>
      </w:r>
      <w:r w:rsidRPr="00495482">
        <w:rPr>
          <w:lang w:val="fr-FR"/>
        </w:rPr>
        <w:t xml:space="preserve"> indépendante et dynamique</w:t>
      </w:r>
      <w:r w:rsidR="005D0F0F" w:rsidRPr="00495482">
        <w:rPr>
          <w:lang w:val="fr-FR"/>
        </w:rPr>
        <w:t>,</w:t>
      </w:r>
      <w:r w:rsidRPr="00495482">
        <w:rPr>
          <w:lang w:val="fr-FR"/>
        </w:rPr>
        <w:t xml:space="preserve"> favorisent la sauvegarde du patrimoine culturel et des traditions slovènes</w:t>
      </w:r>
      <w:r w:rsidR="005D0F0F" w:rsidRPr="00495482">
        <w:rPr>
          <w:lang w:val="fr-FR"/>
        </w:rPr>
        <w:t>,</w:t>
      </w:r>
      <w:r w:rsidRPr="00495482">
        <w:rPr>
          <w:lang w:val="fr-FR"/>
        </w:rPr>
        <w:t xml:space="preserve"> développent la diversité culturelle et accélèrent les échanges culturels entre la Slovénie et le monde. Conformément à cette loi</w:t>
      </w:r>
      <w:r w:rsidR="005D0F0F" w:rsidRPr="00495482">
        <w:rPr>
          <w:lang w:val="fr-FR"/>
        </w:rPr>
        <w:t>,</w:t>
      </w:r>
      <w:r w:rsidRPr="00495482">
        <w:rPr>
          <w:lang w:val="fr-FR"/>
        </w:rPr>
        <w:t xml:space="preserve"> l</w:t>
      </w:r>
      <w:r w:rsidR="005D0F0F" w:rsidRPr="00495482">
        <w:rPr>
          <w:lang w:val="fr-FR"/>
        </w:rPr>
        <w:t>’</w:t>
      </w:r>
      <w:r w:rsidRPr="00495482">
        <w:rPr>
          <w:lang w:val="fr-FR"/>
        </w:rPr>
        <w:t>intérêt public dans la culture est essentiellement réalisé en garantissant les possibilités de créativité culturelle</w:t>
      </w:r>
      <w:r w:rsidR="005D0F0F" w:rsidRPr="00495482">
        <w:rPr>
          <w:lang w:val="fr-FR"/>
        </w:rPr>
        <w:t>,</w:t>
      </w:r>
      <w:r w:rsidRPr="00495482">
        <w:rPr>
          <w:lang w:val="fr-FR"/>
        </w:rPr>
        <w:t xml:space="preserve"> l</w:t>
      </w:r>
      <w:r w:rsidR="005D0F0F" w:rsidRPr="00495482">
        <w:rPr>
          <w:lang w:val="fr-FR"/>
        </w:rPr>
        <w:t>’</w:t>
      </w:r>
      <w:r w:rsidRPr="00495482">
        <w:rPr>
          <w:lang w:val="fr-FR"/>
        </w:rPr>
        <w:t>accessibilité des biens culturels</w:t>
      </w:r>
      <w:r w:rsidR="005D0F0F" w:rsidRPr="00495482">
        <w:rPr>
          <w:lang w:val="fr-FR"/>
        </w:rPr>
        <w:t>,</w:t>
      </w:r>
      <w:r w:rsidRPr="00495482">
        <w:rPr>
          <w:lang w:val="fr-FR"/>
        </w:rPr>
        <w:t xml:space="preserve"> la diversité culturelle</w:t>
      </w:r>
      <w:r w:rsidR="005D0F0F" w:rsidRPr="00495482">
        <w:rPr>
          <w:lang w:val="fr-FR"/>
        </w:rPr>
        <w:t>,</w:t>
      </w:r>
      <w:r w:rsidRPr="00495482">
        <w:rPr>
          <w:lang w:val="fr-FR"/>
        </w:rPr>
        <w:t xml:space="preserve"> le respect et la diffusion de la langue slovène</w:t>
      </w:r>
      <w:r w:rsidR="005D0F0F" w:rsidRPr="00495482">
        <w:rPr>
          <w:lang w:val="fr-FR"/>
        </w:rPr>
        <w:t>,</w:t>
      </w:r>
      <w:r w:rsidRPr="00495482">
        <w:rPr>
          <w:lang w:val="fr-FR"/>
        </w:rPr>
        <w:t xml:space="preserve"> l</w:t>
      </w:r>
      <w:r w:rsidR="005D0F0F" w:rsidRPr="00495482">
        <w:rPr>
          <w:lang w:val="fr-FR"/>
        </w:rPr>
        <w:t>’</w:t>
      </w:r>
      <w:r w:rsidRPr="00495482">
        <w:rPr>
          <w:lang w:val="fr-FR"/>
        </w:rPr>
        <w:t>identité et l</w:t>
      </w:r>
      <w:r w:rsidR="005D0F0F" w:rsidRPr="00495482">
        <w:rPr>
          <w:lang w:val="fr-FR"/>
        </w:rPr>
        <w:t>’</w:t>
      </w:r>
      <w:r w:rsidRPr="00495482">
        <w:rPr>
          <w:lang w:val="fr-FR"/>
        </w:rPr>
        <w:t>espace culturels communs</w:t>
      </w:r>
      <w:r w:rsidR="005D0F0F" w:rsidRPr="00495482">
        <w:rPr>
          <w:lang w:val="fr-FR"/>
        </w:rPr>
        <w:t>,</w:t>
      </w:r>
      <w:r w:rsidRPr="00495482">
        <w:rPr>
          <w:lang w:val="fr-FR"/>
        </w:rPr>
        <w:t xml:space="preserve"> la notoriété et la promotion internationales de la culture et de l</w:t>
      </w:r>
      <w:r w:rsidR="005D0F0F" w:rsidRPr="00495482">
        <w:rPr>
          <w:lang w:val="fr-FR"/>
        </w:rPr>
        <w:t>’</w:t>
      </w:r>
      <w:r w:rsidRPr="00495482">
        <w:rPr>
          <w:lang w:val="fr-FR"/>
        </w:rPr>
        <w:t xml:space="preserve">art slovènes. </w:t>
      </w:r>
    </w:p>
    <w:p w:rsidR="00317603" w:rsidRPr="00495482" w:rsidRDefault="00317603" w:rsidP="002656A1">
      <w:pPr>
        <w:pStyle w:val="H23G"/>
        <w:rPr>
          <w:lang w:val="fr-FR" w:eastAsia="sl-SI"/>
        </w:rPr>
      </w:pPr>
      <w:r w:rsidRPr="00495482">
        <w:rPr>
          <w:lang w:val="fr-FR" w:eastAsia="sl-SI"/>
        </w:rPr>
        <w:tab/>
      </w:r>
      <w:r w:rsidRPr="00495482">
        <w:rPr>
          <w:lang w:val="fr-FR" w:eastAsia="sl-SI"/>
        </w:rPr>
        <w:tab/>
        <w:t>Liberté de l</w:t>
      </w:r>
      <w:r w:rsidR="005D0F0F" w:rsidRPr="00495482">
        <w:rPr>
          <w:lang w:val="fr-FR" w:eastAsia="sl-SI"/>
        </w:rPr>
        <w:t>’</w:t>
      </w:r>
      <w:r w:rsidRPr="00495482">
        <w:rPr>
          <w:lang w:val="fr-FR" w:eastAsia="sl-SI"/>
        </w:rPr>
        <w:t>espace médiatique</w:t>
      </w:r>
    </w:p>
    <w:p w:rsidR="00317603" w:rsidRPr="00495482" w:rsidRDefault="00317603" w:rsidP="002656A1">
      <w:pPr>
        <w:pStyle w:val="SingleTxtG"/>
        <w:rPr>
          <w:lang w:val="fr-FR"/>
        </w:rPr>
      </w:pPr>
      <w:r w:rsidRPr="00495482">
        <w:rPr>
          <w:lang w:val="fr-FR"/>
        </w:rPr>
        <w:t>202.</w:t>
      </w:r>
      <w:r w:rsidRPr="00495482">
        <w:rPr>
          <w:lang w:val="fr-FR"/>
        </w:rPr>
        <w:tab/>
        <w:t>Le programme national pour la culture 2008-2011 définit en tant qu</w:t>
      </w:r>
      <w:r w:rsidR="005D0F0F" w:rsidRPr="00495482">
        <w:rPr>
          <w:lang w:val="fr-FR"/>
        </w:rPr>
        <w:t>’</w:t>
      </w:r>
      <w:r w:rsidRPr="00495482">
        <w:rPr>
          <w:lang w:val="fr-FR"/>
        </w:rPr>
        <w:t>objectifs stratégiques de la politique culturelle</w:t>
      </w:r>
      <w:r w:rsidR="005D0F0F" w:rsidRPr="00495482">
        <w:rPr>
          <w:lang w:val="fr-FR"/>
        </w:rPr>
        <w:t>:</w:t>
      </w:r>
      <w:r w:rsidRPr="00495482">
        <w:rPr>
          <w:lang w:val="fr-FR"/>
        </w:rPr>
        <w:t xml:space="preserve"> la liberté de l</w:t>
      </w:r>
      <w:r w:rsidR="005D0F0F" w:rsidRPr="00495482">
        <w:rPr>
          <w:lang w:val="fr-FR"/>
        </w:rPr>
        <w:t>’</w:t>
      </w:r>
      <w:r w:rsidRPr="00495482">
        <w:rPr>
          <w:lang w:val="fr-FR"/>
        </w:rPr>
        <w:t>espace médiatique</w:t>
      </w:r>
      <w:r w:rsidR="005D0F0F" w:rsidRPr="00495482">
        <w:rPr>
          <w:lang w:val="fr-FR"/>
        </w:rPr>
        <w:t>,</w:t>
      </w:r>
      <w:r w:rsidRPr="00495482">
        <w:rPr>
          <w:lang w:val="fr-FR"/>
        </w:rPr>
        <w:t xml:space="preserve"> l</w:t>
      </w:r>
      <w:r w:rsidR="005D0F0F" w:rsidRPr="00495482">
        <w:rPr>
          <w:lang w:val="fr-FR"/>
        </w:rPr>
        <w:t>’</w:t>
      </w:r>
      <w:r w:rsidRPr="00495482">
        <w:rPr>
          <w:lang w:val="fr-FR"/>
        </w:rPr>
        <w:t>attention portée à la langue et à la communication à l</w:t>
      </w:r>
      <w:r w:rsidR="005D0F0F" w:rsidRPr="00495482">
        <w:rPr>
          <w:lang w:val="fr-FR"/>
        </w:rPr>
        <w:t>’</w:t>
      </w:r>
      <w:r w:rsidRPr="00495482">
        <w:rPr>
          <w:lang w:val="fr-FR"/>
        </w:rPr>
        <w:t>ère de la globalisation</w:t>
      </w:r>
      <w:r w:rsidR="005D0F0F" w:rsidRPr="00495482">
        <w:rPr>
          <w:lang w:val="fr-FR"/>
        </w:rPr>
        <w:t>,</w:t>
      </w:r>
      <w:r w:rsidRPr="00495482">
        <w:rPr>
          <w:lang w:val="fr-FR"/>
        </w:rPr>
        <w:t xml:space="preserve"> la préservation du patrimoine et le développement des milieux naturel et culturel</w:t>
      </w:r>
      <w:r w:rsidR="005D0F0F" w:rsidRPr="00495482">
        <w:rPr>
          <w:lang w:val="fr-FR"/>
        </w:rPr>
        <w:t>,</w:t>
      </w:r>
      <w:r w:rsidRPr="00495482">
        <w:rPr>
          <w:lang w:val="fr-FR"/>
        </w:rPr>
        <w:t xml:space="preserve"> et la contribution de la culture à la croissance et à l</w:t>
      </w:r>
      <w:r w:rsidR="005D0F0F" w:rsidRPr="00495482">
        <w:rPr>
          <w:lang w:val="fr-FR"/>
        </w:rPr>
        <w:t>’</w:t>
      </w:r>
      <w:r w:rsidRPr="00495482">
        <w:rPr>
          <w:lang w:val="fr-FR"/>
        </w:rPr>
        <w:t xml:space="preserve">emploi. </w:t>
      </w:r>
    </w:p>
    <w:p w:rsidR="00317603" w:rsidRPr="00495482" w:rsidRDefault="00317603" w:rsidP="007C0F06">
      <w:pPr>
        <w:pStyle w:val="SingleTxtG"/>
        <w:rPr>
          <w:lang w:val="fr-FR"/>
        </w:rPr>
      </w:pPr>
      <w:r w:rsidRPr="00495482">
        <w:rPr>
          <w:lang w:val="fr-FR"/>
        </w:rPr>
        <w:t>203.</w:t>
      </w:r>
      <w:r w:rsidRPr="00495482">
        <w:rPr>
          <w:lang w:val="fr-FR"/>
        </w:rPr>
        <w:tab/>
        <w:t>Au nombre des objectifs remplis citons: l</w:t>
      </w:r>
      <w:r w:rsidR="005D0F0F" w:rsidRPr="00495482">
        <w:rPr>
          <w:lang w:val="fr-FR"/>
        </w:rPr>
        <w:t>’</w:t>
      </w:r>
      <w:r w:rsidRPr="00495482">
        <w:rPr>
          <w:lang w:val="fr-FR"/>
        </w:rPr>
        <w:t>aide apportée aux créateurs (et aux professionnels) – particuliers et groupes d</w:t>
      </w:r>
      <w:r w:rsidR="005D0F0F" w:rsidRPr="00495482">
        <w:rPr>
          <w:lang w:val="fr-FR"/>
        </w:rPr>
        <w:t>’</w:t>
      </w:r>
      <w:r w:rsidRPr="00495482">
        <w:rPr>
          <w:lang w:val="fr-FR"/>
        </w:rPr>
        <w:t>intérêts</w:t>
      </w:r>
      <w:r w:rsidR="005D0F0F" w:rsidRPr="00495482">
        <w:rPr>
          <w:lang w:val="fr-FR"/>
        </w:rPr>
        <w:t>,</w:t>
      </w:r>
      <w:r w:rsidRPr="00495482">
        <w:rPr>
          <w:lang w:val="fr-FR"/>
        </w:rPr>
        <w:t xml:space="preserve"> notamment en augmentant les ressources en faveur de programmes et de projets culturels de qualité</w:t>
      </w:r>
      <w:r w:rsidR="005D0F0F" w:rsidRPr="00495482">
        <w:rPr>
          <w:lang w:val="fr-FR"/>
        </w:rPr>
        <w:t>,</w:t>
      </w:r>
      <w:r w:rsidRPr="00495482">
        <w:rPr>
          <w:lang w:val="fr-FR"/>
        </w:rPr>
        <w:t xml:space="preserve"> en encourageant les institutions à accueillir de nouveaux défis et en même temps</w:t>
      </w:r>
      <w:r w:rsidR="005D0F0F" w:rsidRPr="00495482">
        <w:rPr>
          <w:lang w:val="fr-FR"/>
        </w:rPr>
        <w:t>,</w:t>
      </w:r>
      <w:r w:rsidRPr="00495482">
        <w:rPr>
          <w:lang w:val="fr-FR"/>
        </w:rPr>
        <w:t xml:space="preserve"> pour la stabilité de leurs activités</w:t>
      </w:r>
      <w:r w:rsidR="005D0F0F" w:rsidRPr="00495482">
        <w:rPr>
          <w:lang w:val="fr-FR"/>
        </w:rPr>
        <w:t>,</w:t>
      </w:r>
      <w:r w:rsidRPr="00495482">
        <w:rPr>
          <w:lang w:val="fr-FR"/>
        </w:rPr>
        <w:t xml:space="preserve"> à soutenir les réseaux culturels et la coopération entre prestataires d</w:t>
      </w:r>
      <w:r w:rsidR="005D0F0F" w:rsidRPr="00495482">
        <w:rPr>
          <w:lang w:val="fr-FR"/>
        </w:rPr>
        <w:t>’</w:t>
      </w:r>
      <w:r w:rsidRPr="00495482">
        <w:rPr>
          <w:lang w:val="fr-FR"/>
        </w:rPr>
        <w:t>activités culturelles</w:t>
      </w:r>
      <w:r w:rsidR="005D0F0F" w:rsidRPr="00495482">
        <w:rPr>
          <w:lang w:val="fr-FR"/>
        </w:rPr>
        <w:t>,</w:t>
      </w:r>
      <w:r w:rsidRPr="00495482">
        <w:rPr>
          <w:lang w:val="fr-FR"/>
        </w:rPr>
        <w:t xml:space="preserve"> et en favorisant le partenariat entre ces mêmes prestataires</w:t>
      </w:r>
      <w:r w:rsidR="005D0F0F" w:rsidRPr="00495482">
        <w:rPr>
          <w:lang w:val="fr-FR"/>
        </w:rPr>
        <w:t>,</w:t>
      </w:r>
      <w:r w:rsidRPr="00495482">
        <w:rPr>
          <w:lang w:val="fr-FR"/>
        </w:rPr>
        <w:t xml:space="preserve"> le secteur de l</w:t>
      </w:r>
      <w:r w:rsidR="005D0F0F" w:rsidRPr="00495482">
        <w:rPr>
          <w:lang w:val="fr-FR"/>
        </w:rPr>
        <w:t>’</w:t>
      </w:r>
      <w:r w:rsidRPr="00495482">
        <w:rPr>
          <w:lang w:val="fr-FR"/>
        </w:rPr>
        <w:t>éducation</w:t>
      </w:r>
      <w:r w:rsidR="005D0F0F" w:rsidRPr="00495482">
        <w:rPr>
          <w:lang w:val="fr-FR"/>
        </w:rPr>
        <w:t>,</w:t>
      </w:r>
      <w:r w:rsidRPr="00495482">
        <w:rPr>
          <w:lang w:val="fr-FR"/>
        </w:rPr>
        <w:t xml:space="preserv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la société civile et l</w:t>
      </w:r>
      <w:r w:rsidR="005D0F0F" w:rsidRPr="00495482">
        <w:rPr>
          <w:lang w:val="fr-FR"/>
        </w:rPr>
        <w:t>’</w:t>
      </w:r>
      <w:r w:rsidRPr="00495482">
        <w:rPr>
          <w:lang w:val="fr-FR"/>
        </w:rPr>
        <w:t>économie</w:t>
      </w:r>
      <w:r w:rsidR="005D0F0F" w:rsidRPr="00495482">
        <w:rPr>
          <w:lang w:val="fr-FR"/>
        </w:rPr>
        <w:t>,</w:t>
      </w:r>
      <w:r w:rsidRPr="00495482">
        <w:rPr>
          <w:lang w:val="fr-FR"/>
        </w:rPr>
        <w:t xml:space="preserve"> et la promotion de la culture et de la langue slovènes en Slovénie</w:t>
      </w:r>
      <w:r w:rsidR="005D0F0F" w:rsidRPr="00495482">
        <w:rPr>
          <w:lang w:val="fr-FR"/>
        </w:rPr>
        <w:t>,</w:t>
      </w:r>
      <w:r w:rsidRPr="00495482">
        <w:rPr>
          <w:lang w:val="fr-FR"/>
        </w:rPr>
        <w:t xml:space="preserve"> en Europe et partout dans le monde. </w:t>
      </w:r>
    </w:p>
    <w:p w:rsidR="00317603" w:rsidRPr="00495482" w:rsidRDefault="00317603" w:rsidP="002656A1">
      <w:pPr>
        <w:pStyle w:val="H23G"/>
        <w:rPr>
          <w:lang w:val="fr-FR" w:eastAsia="sl-SI"/>
        </w:rPr>
      </w:pPr>
      <w:r w:rsidRPr="00495482">
        <w:rPr>
          <w:lang w:val="fr-FR" w:eastAsia="sl-SI"/>
        </w:rPr>
        <w:tab/>
      </w:r>
      <w:r w:rsidRPr="00495482">
        <w:rPr>
          <w:lang w:val="fr-FR" w:eastAsia="sl-SI"/>
        </w:rPr>
        <w:tab/>
        <w:t xml:space="preserve">Progrès scientifiques et résultats de la recherche </w:t>
      </w:r>
    </w:p>
    <w:p w:rsidR="00317603" w:rsidRPr="00495482" w:rsidRDefault="00317603" w:rsidP="002656A1">
      <w:pPr>
        <w:pStyle w:val="SingleTxtG"/>
        <w:rPr>
          <w:lang w:val="fr-FR"/>
        </w:rPr>
      </w:pPr>
      <w:r w:rsidRPr="00495482">
        <w:rPr>
          <w:lang w:val="fr-FR"/>
        </w:rPr>
        <w:t>204.</w:t>
      </w:r>
      <w:r w:rsidRPr="00495482">
        <w:rPr>
          <w:lang w:val="fr-FR"/>
        </w:rPr>
        <w:tab/>
        <w:t>La législation en vigueur maintient une continuité avec la précédente loi sur les activités de recherche-développement</w:t>
      </w:r>
      <w:r w:rsidRPr="00495482">
        <w:rPr>
          <w:rStyle w:val="FootnoteReference"/>
        </w:rPr>
        <w:footnoteReference w:id="104"/>
      </w:r>
      <w:r w:rsidR="003D51E1" w:rsidRPr="00495482">
        <w:rPr>
          <w:lang w:val="fr-FR"/>
        </w:rPr>
        <w:t>,</w:t>
      </w:r>
      <w:r w:rsidRPr="00495482">
        <w:rPr>
          <w:lang w:val="fr-FR"/>
        </w:rPr>
        <w:t xml:space="preserve"> et elle préserve les principes d</w:t>
      </w:r>
      <w:r w:rsidR="005D0F0F" w:rsidRPr="00495482">
        <w:rPr>
          <w:lang w:val="fr-FR"/>
        </w:rPr>
        <w:t>’</w:t>
      </w:r>
      <w:r w:rsidRPr="00495482">
        <w:rPr>
          <w:lang w:val="fr-FR"/>
        </w:rPr>
        <w:t>éthique</w:t>
      </w:r>
      <w:r w:rsidR="005D0F0F" w:rsidRPr="00495482">
        <w:rPr>
          <w:lang w:val="fr-FR"/>
        </w:rPr>
        <w:t>,</w:t>
      </w:r>
      <w:r w:rsidRPr="00495482">
        <w:rPr>
          <w:lang w:val="fr-FR"/>
        </w:rPr>
        <w:t xml:space="preserve"> de responsabilité et d</w:t>
      </w:r>
      <w:r w:rsidR="005D0F0F" w:rsidRPr="00495482">
        <w:rPr>
          <w:lang w:val="fr-FR"/>
        </w:rPr>
        <w:t>’</w:t>
      </w:r>
      <w:r w:rsidRPr="00495482">
        <w:rPr>
          <w:lang w:val="fr-FR"/>
        </w:rPr>
        <w:t>autonomie de la recherche</w:t>
      </w:r>
      <w:r w:rsidR="005D0F0F" w:rsidRPr="00495482">
        <w:rPr>
          <w:lang w:val="fr-FR"/>
        </w:rPr>
        <w:t>,</w:t>
      </w:r>
      <w:r w:rsidR="003D1A4F" w:rsidRPr="00495482">
        <w:rPr>
          <w:lang w:val="fr-FR"/>
        </w:rPr>
        <w:t xml:space="preserve"> </w:t>
      </w:r>
      <w:r w:rsidRPr="00495482">
        <w:rPr>
          <w:lang w:val="fr-FR"/>
        </w:rPr>
        <w:t>pour réaliser les objectifs énoncés dans le programme national pour la recherche et le développement 2006-2010</w:t>
      </w:r>
      <w:r w:rsidRPr="00495482">
        <w:rPr>
          <w:rStyle w:val="FootnoteReference"/>
        </w:rPr>
        <w:footnoteReference w:id="105"/>
      </w:r>
      <w:r w:rsidRPr="00495482">
        <w:rPr>
          <w:lang w:val="fr-FR"/>
        </w:rPr>
        <w:t xml:space="preserve"> et dans les mémorandums budgétaires. </w:t>
      </w:r>
    </w:p>
    <w:p w:rsidR="00317603" w:rsidRPr="00495482" w:rsidRDefault="00317603" w:rsidP="002656A1">
      <w:pPr>
        <w:pStyle w:val="SingleTxtG"/>
        <w:rPr>
          <w:lang w:val="fr-FR"/>
        </w:rPr>
      </w:pPr>
      <w:r w:rsidRPr="00495482">
        <w:rPr>
          <w:lang w:val="fr-FR"/>
        </w:rPr>
        <w:t>205.</w:t>
      </w:r>
      <w:r w:rsidRPr="00495482">
        <w:rPr>
          <w:lang w:val="fr-FR"/>
        </w:rPr>
        <w:tab/>
        <w:t>L</w:t>
      </w:r>
      <w:r w:rsidR="005D0F0F" w:rsidRPr="00495482">
        <w:rPr>
          <w:lang w:val="fr-FR"/>
        </w:rPr>
        <w:t>’</w:t>
      </w:r>
      <w:r w:rsidRPr="00495482">
        <w:rPr>
          <w:lang w:val="fr-FR"/>
        </w:rPr>
        <w:t>Agence slovène de la recherche a été crée</w:t>
      </w:r>
      <w:r w:rsidR="002656A1">
        <w:rPr>
          <w:lang w:val="fr-FR"/>
        </w:rPr>
        <w:t xml:space="preserve"> </w:t>
      </w:r>
      <w:r w:rsidRPr="00495482">
        <w:rPr>
          <w:lang w:val="fr-FR"/>
        </w:rPr>
        <w:t>en 2004; le Ministère de l</w:t>
      </w:r>
      <w:r w:rsidR="005D0F0F" w:rsidRPr="00495482">
        <w:rPr>
          <w:lang w:val="fr-FR"/>
        </w:rPr>
        <w:t>’</w:t>
      </w:r>
      <w:r w:rsidRPr="00495482">
        <w:rPr>
          <w:lang w:val="fr-FR"/>
        </w:rPr>
        <w:t>éducation</w:t>
      </w:r>
      <w:r w:rsidR="005D0F0F" w:rsidRPr="00495482">
        <w:rPr>
          <w:lang w:val="fr-FR"/>
        </w:rPr>
        <w:t>,</w:t>
      </w:r>
      <w:r w:rsidRPr="00495482">
        <w:rPr>
          <w:lang w:val="fr-FR"/>
        </w:rPr>
        <w:t xml:space="preserve"> des sciences et des sports a été transformé en 2006</w:t>
      </w:r>
      <w:r w:rsidR="005D0F0F" w:rsidRPr="00495482">
        <w:rPr>
          <w:lang w:val="fr-FR"/>
        </w:rPr>
        <w:t>;</w:t>
      </w:r>
      <w:r w:rsidRPr="00495482">
        <w:rPr>
          <w:lang w:val="fr-FR"/>
        </w:rPr>
        <w:t xml:space="preserve"> ont alors été fondés</w:t>
      </w:r>
      <w:r w:rsidR="005D0F0F" w:rsidRPr="00495482">
        <w:rPr>
          <w:lang w:val="fr-FR"/>
        </w:rPr>
        <w:t>,</w:t>
      </w:r>
      <w:r w:rsidRPr="00495482">
        <w:rPr>
          <w:lang w:val="fr-FR"/>
        </w:rPr>
        <w:t xml:space="preserve"> le Ministère de l</w:t>
      </w:r>
      <w:r w:rsidR="005D0F0F" w:rsidRPr="00495482">
        <w:rPr>
          <w:lang w:val="fr-FR"/>
        </w:rPr>
        <w:t>’</w:t>
      </w:r>
      <w:r w:rsidRPr="00495482">
        <w:rPr>
          <w:lang w:val="fr-FR"/>
        </w:rPr>
        <w:t>éducation et des sports et le Ministère de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de la science et de la technologie. Au cours des deux années suivantes</w:t>
      </w:r>
      <w:r w:rsidR="005D0F0F" w:rsidRPr="00495482">
        <w:rPr>
          <w:lang w:val="fr-FR"/>
        </w:rPr>
        <w:t>,</w:t>
      </w:r>
      <w:r w:rsidRPr="00495482">
        <w:rPr>
          <w:lang w:val="fr-FR"/>
        </w:rPr>
        <w:t xml:space="preserve"> ce dernier a été une nouvelle fois réorganisé</w:t>
      </w:r>
      <w:r w:rsidR="005D0F0F" w:rsidRPr="00495482">
        <w:rPr>
          <w:lang w:val="fr-FR"/>
        </w:rPr>
        <w:t>,</w:t>
      </w:r>
      <w:r w:rsidRPr="00495482">
        <w:rPr>
          <w:lang w:val="fr-FR"/>
        </w:rPr>
        <w:t xml:space="preserve"> de sorte qu</w:t>
      </w:r>
      <w:r w:rsidR="005D0F0F" w:rsidRPr="00495482">
        <w:rPr>
          <w:lang w:val="fr-FR"/>
        </w:rPr>
        <w:t>’</w:t>
      </w:r>
      <w:r w:rsidRPr="00495482">
        <w:rPr>
          <w:lang w:val="fr-FR"/>
        </w:rPr>
        <w:t>il s</w:t>
      </w:r>
      <w:r w:rsidR="005D0F0F" w:rsidRPr="00495482">
        <w:rPr>
          <w:lang w:val="fr-FR"/>
        </w:rPr>
        <w:t>’</w:t>
      </w:r>
      <w:r w:rsidRPr="00495482">
        <w:rPr>
          <w:lang w:val="fr-FR"/>
        </w:rPr>
        <w:t>occupe à présent de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des activités de recherche</w:t>
      </w:r>
      <w:r w:rsidR="005D0F0F" w:rsidRPr="00495482">
        <w:rPr>
          <w:lang w:val="fr-FR"/>
        </w:rPr>
        <w:t>,</w:t>
      </w:r>
      <w:r w:rsidRPr="00495482">
        <w:rPr>
          <w:lang w:val="fr-FR"/>
        </w:rPr>
        <w:t xml:space="preserve"> de technologie</w:t>
      </w:r>
      <w:r w:rsidR="005D0F0F" w:rsidRPr="00495482">
        <w:rPr>
          <w:lang w:val="fr-FR"/>
        </w:rPr>
        <w:t>,</w:t>
      </w:r>
      <w:r w:rsidRPr="00495482">
        <w:rPr>
          <w:lang w:val="fr-FR"/>
        </w:rPr>
        <w:t xml:space="preserve"> de métrologie et de promotion de la société de l</w:t>
      </w:r>
      <w:r w:rsidR="005D0F0F" w:rsidRPr="00495482">
        <w:rPr>
          <w:lang w:val="fr-FR"/>
        </w:rPr>
        <w:t>’</w:t>
      </w:r>
      <w:r w:rsidRPr="00495482">
        <w:rPr>
          <w:lang w:val="fr-FR"/>
        </w:rPr>
        <w:t>information</w:t>
      </w:r>
      <w:r w:rsidR="005D0F0F" w:rsidRPr="00495482">
        <w:rPr>
          <w:lang w:val="fr-FR"/>
        </w:rPr>
        <w:t>,</w:t>
      </w:r>
      <w:r w:rsidRPr="00495482">
        <w:rPr>
          <w:lang w:val="fr-FR"/>
        </w:rPr>
        <w:t xml:space="preserve"> dans les domaines qui ne relèvent pas des autres ministères</w:t>
      </w:r>
      <w:r w:rsidR="005D0F0F" w:rsidRPr="00495482">
        <w:rPr>
          <w:lang w:val="fr-FR"/>
        </w:rPr>
        <w:t>,</w:t>
      </w:r>
      <w:r w:rsidRPr="00495482">
        <w:rPr>
          <w:lang w:val="fr-FR"/>
        </w:rPr>
        <w:t xml:space="preserve"> ainsi que de la coordination des travaux touchant à la société de l</w:t>
      </w:r>
      <w:r w:rsidR="005D0F0F" w:rsidRPr="00495482">
        <w:rPr>
          <w:lang w:val="fr-FR"/>
        </w:rPr>
        <w:t>’</w:t>
      </w:r>
      <w:r w:rsidRPr="00495482">
        <w:rPr>
          <w:lang w:val="fr-FR"/>
        </w:rPr>
        <w:t xml:space="preserve">information. </w:t>
      </w:r>
    </w:p>
    <w:p w:rsidR="00317603" w:rsidRPr="00495482" w:rsidRDefault="00317603" w:rsidP="002656A1">
      <w:pPr>
        <w:pStyle w:val="SingleTxtG"/>
        <w:rPr>
          <w:lang w:val="fr-FR"/>
        </w:rPr>
      </w:pPr>
      <w:r w:rsidRPr="00495482">
        <w:rPr>
          <w:lang w:val="fr-FR"/>
        </w:rPr>
        <w:t>206.</w:t>
      </w:r>
      <w:r w:rsidRPr="00495482">
        <w:rPr>
          <w:lang w:val="fr-FR"/>
        </w:rPr>
        <w:tab/>
        <w:t>Pendant la période d</w:t>
      </w:r>
      <w:r w:rsidR="005D0F0F" w:rsidRPr="00495482">
        <w:rPr>
          <w:lang w:val="fr-FR"/>
        </w:rPr>
        <w:t>’</w:t>
      </w:r>
      <w:r w:rsidRPr="00495482">
        <w:rPr>
          <w:lang w:val="fr-FR"/>
        </w:rPr>
        <w:t>établissement du rapport</w:t>
      </w:r>
      <w:r w:rsidR="005D0F0F" w:rsidRPr="00495482">
        <w:rPr>
          <w:lang w:val="fr-FR"/>
        </w:rPr>
        <w:t>,</w:t>
      </w:r>
      <w:r w:rsidR="003D1A4F" w:rsidRPr="00495482">
        <w:rPr>
          <w:lang w:val="fr-FR"/>
        </w:rPr>
        <w:t xml:space="preserve"> </w:t>
      </w:r>
      <w:r w:rsidRPr="00495482">
        <w:rPr>
          <w:lang w:val="fr-FR"/>
        </w:rPr>
        <w:t>l</w:t>
      </w:r>
      <w:r w:rsidR="005D0F0F" w:rsidRPr="00495482">
        <w:rPr>
          <w:lang w:val="fr-FR"/>
        </w:rPr>
        <w:t>’</w:t>
      </w:r>
      <w:r w:rsidRPr="00495482">
        <w:rPr>
          <w:lang w:val="fr-FR"/>
        </w:rPr>
        <w:t>Agence slovène de technologie et l</w:t>
      </w:r>
      <w:r w:rsidR="005D0F0F" w:rsidRPr="00495482">
        <w:rPr>
          <w:lang w:val="fr-FR"/>
        </w:rPr>
        <w:t>’</w:t>
      </w:r>
      <w:r w:rsidRPr="00495482">
        <w:rPr>
          <w:lang w:val="fr-FR"/>
        </w:rPr>
        <w:t>Agence publique de la République de Slovénie en faveur de l</w:t>
      </w:r>
      <w:r w:rsidR="005D0F0F" w:rsidRPr="00495482">
        <w:rPr>
          <w:lang w:val="fr-FR"/>
        </w:rPr>
        <w:t>’</w:t>
      </w:r>
      <w:r w:rsidRPr="00495482">
        <w:rPr>
          <w:lang w:val="fr-FR"/>
        </w:rPr>
        <w:t>entreprenariat et de l</w:t>
      </w:r>
      <w:r w:rsidR="005D0F0F" w:rsidRPr="00495482">
        <w:rPr>
          <w:lang w:val="fr-FR"/>
        </w:rPr>
        <w:t>’</w:t>
      </w:r>
      <w:r w:rsidRPr="00495482">
        <w:rPr>
          <w:lang w:val="fr-FR"/>
        </w:rPr>
        <w:t>investissement étranger ont débuté leurs activités; en décembre 2009</w:t>
      </w:r>
      <w:r w:rsidR="005D0F0F" w:rsidRPr="00495482">
        <w:rPr>
          <w:lang w:val="fr-FR"/>
        </w:rPr>
        <w:t>,</w:t>
      </w:r>
      <w:r w:rsidRPr="00495482">
        <w:rPr>
          <w:lang w:val="fr-FR"/>
        </w:rPr>
        <w:t xml:space="preserve"> l</w:t>
      </w:r>
      <w:r w:rsidR="005D0F0F" w:rsidRPr="00495482">
        <w:rPr>
          <w:lang w:val="fr-FR"/>
        </w:rPr>
        <w:t>’</w:t>
      </w:r>
      <w:r w:rsidRPr="00495482">
        <w:rPr>
          <w:lang w:val="fr-FR"/>
        </w:rPr>
        <w:t xml:space="preserve">Agence nationale pour un enseignement supérieur de qualité a également été fondée. </w:t>
      </w:r>
    </w:p>
    <w:p w:rsidR="00317603" w:rsidRPr="00495482" w:rsidRDefault="00317603" w:rsidP="002656A1">
      <w:pPr>
        <w:pStyle w:val="H23G"/>
        <w:rPr>
          <w:lang w:val="fr-FR" w:eastAsia="sl-SI"/>
        </w:rPr>
      </w:pPr>
      <w:r w:rsidRPr="00495482">
        <w:rPr>
          <w:lang w:val="fr-FR" w:eastAsia="sl-SI"/>
        </w:rPr>
        <w:tab/>
      </w:r>
      <w:r w:rsidRPr="00495482">
        <w:rPr>
          <w:lang w:val="fr-FR" w:eastAsia="sl-SI"/>
        </w:rPr>
        <w:tab/>
        <w:t>Enseignement supérieur et recherche</w:t>
      </w:r>
    </w:p>
    <w:p w:rsidR="00317603" w:rsidRPr="00495482" w:rsidRDefault="00317603" w:rsidP="002656A1">
      <w:pPr>
        <w:pStyle w:val="SingleTxtG"/>
        <w:rPr>
          <w:lang w:val="fr-FR"/>
        </w:rPr>
      </w:pPr>
      <w:r w:rsidRPr="00495482">
        <w:rPr>
          <w:lang w:val="fr-FR"/>
        </w:rPr>
        <w:t>207.</w:t>
      </w:r>
      <w:r w:rsidRPr="00495482">
        <w:rPr>
          <w:lang w:val="fr-FR"/>
        </w:rPr>
        <w:tab/>
        <w:t>En 2009</w:t>
      </w:r>
      <w:r w:rsidR="005D0F0F" w:rsidRPr="00495482">
        <w:rPr>
          <w:lang w:val="fr-FR"/>
        </w:rPr>
        <w:t>,</w:t>
      </w:r>
      <w:r w:rsidRPr="00495482">
        <w:rPr>
          <w:lang w:val="fr-FR"/>
        </w:rPr>
        <w:t xml:space="preserve"> le Ministère de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de la science et de la technologie a réalisé une évaluation du programme national pour la recherche et le développement 2006-2010 et il a commencé à élaborer un nouveau cadre législatif dans le domaine de la science (activités de recherche et développement) et de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et parallèlement</w:t>
      </w:r>
      <w:r w:rsidR="005D0F0F" w:rsidRPr="00495482">
        <w:rPr>
          <w:lang w:val="fr-FR"/>
        </w:rPr>
        <w:t>,</w:t>
      </w:r>
      <w:r w:rsidR="003D1A4F" w:rsidRPr="00495482">
        <w:rPr>
          <w:lang w:val="fr-FR"/>
        </w:rPr>
        <w:t xml:space="preserve"> </w:t>
      </w:r>
      <w:r w:rsidRPr="00495482">
        <w:rPr>
          <w:lang w:val="fr-FR"/>
        </w:rPr>
        <w:t>comme les textes législatifs précités</w:t>
      </w:r>
      <w:r w:rsidR="005D0F0F" w:rsidRPr="00495482">
        <w:rPr>
          <w:lang w:val="fr-FR"/>
        </w:rPr>
        <w:t>,</w:t>
      </w:r>
      <w:r w:rsidRPr="00495482">
        <w:rPr>
          <w:lang w:val="fr-FR"/>
        </w:rPr>
        <w:t xml:space="preserve"> le programme national pour la recherche et le développement 2011-2015</w:t>
      </w:r>
      <w:r w:rsidR="005D0F0F" w:rsidRPr="00495482">
        <w:rPr>
          <w:lang w:val="fr-FR"/>
        </w:rPr>
        <w:t>,</w:t>
      </w:r>
      <w:r w:rsidRPr="00495482">
        <w:rPr>
          <w:lang w:val="fr-FR"/>
        </w:rPr>
        <w:t xml:space="preserve"> et le programme national de l</w:t>
      </w:r>
      <w:r w:rsidR="005D0F0F" w:rsidRPr="00495482">
        <w:rPr>
          <w:lang w:val="fr-FR"/>
        </w:rPr>
        <w:t>’</w:t>
      </w:r>
      <w:r w:rsidRPr="00495482">
        <w:rPr>
          <w:lang w:val="fr-FR"/>
        </w:rPr>
        <w:t>enseignement supérieur 2011-2020. Un plan d</w:t>
      </w:r>
      <w:r w:rsidR="005D0F0F" w:rsidRPr="00495482">
        <w:rPr>
          <w:lang w:val="fr-FR"/>
        </w:rPr>
        <w:t>’</w:t>
      </w:r>
      <w:r w:rsidRPr="00495482">
        <w:rPr>
          <w:lang w:val="fr-FR"/>
        </w:rPr>
        <w:t>action national pour un partenariat européen des chercheurs également à l</w:t>
      </w:r>
      <w:r w:rsidR="005D0F0F" w:rsidRPr="00495482">
        <w:rPr>
          <w:lang w:val="fr-FR"/>
        </w:rPr>
        <w:t>’</w:t>
      </w:r>
      <w:r w:rsidRPr="00495482">
        <w:rPr>
          <w:lang w:val="fr-FR"/>
        </w:rPr>
        <w:t>étude repose sur les principes de la Charte européenne des chercheurs et du Partenariat européen des chercheurs (cinquième liberté</w:t>
      </w:r>
      <w:r w:rsidR="005D0F0F" w:rsidRPr="00495482">
        <w:rPr>
          <w:lang w:val="fr-FR"/>
        </w:rPr>
        <w:t>,</w:t>
      </w:r>
      <w:r w:rsidRPr="00495482">
        <w:rPr>
          <w:lang w:val="fr-FR"/>
        </w:rPr>
        <w:t xml:space="preserve"> libre circulation </w:t>
      </w:r>
      <w:r w:rsidR="00210F9A" w:rsidRPr="00495482">
        <w:rPr>
          <w:lang w:val="fr-FR"/>
        </w:rPr>
        <w:t>des personnes</w:t>
      </w:r>
      <w:r w:rsidRPr="00495482">
        <w:rPr>
          <w:lang w:val="fr-FR"/>
        </w:rPr>
        <w:t xml:space="preserve"> et des connaissances). En mars 2010</w:t>
      </w:r>
      <w:r w:rsidR="005D0F0F" w:rsidRPr="00495482">
        <w:rPr>
          <w:lang w:val="fr-FR"/>
        </w:rPr>
        <w:t>,</w:t>
      </w:r>
      <w:r w:rsidRPr="00495482">
        <w:rPr>
          <w:lang w:val="fr-FR"/>
        </w:rPr>
        <w:t xml:space="preserve"> le ministère a créé un groupe spécial d</w:t>
      </w:r>
      <w:r w:rsidR="005D0F0F" w:rsidRPr="00495482">
        <w:rPr>
          <w:lang w:val="fr-FR"/>
        </w:rPr>
        <w:t>’</w:t>
      </w:r>
      <w:r w:rsidRPr="00495482">
        <w:rPr>
          <w:lang w:val="fr-FR"/>
        </w:rPr>
        <w:t>experts sur les ressources humaines en science qui prépare un plan d</w:t>
      </w:r>
      <w:r w:rsidR="005D0F0F" w:rsidRPr="00495482">
        <w:rPr>
          <w:lang w:val="fr-FR"/>
        </w:rPr>
        <w:t>’</w:t>
      </w:r>
      <w:r w:rsidRPr="00495482">
        <w:rPr>
          <w:lang w:val="fr-FR"/>
        </w:rPr>
        <w:t>action national pour réaliser le Partenariat européen des chercheurs.</w:t>
      </w:r>
      <w:r w:rsidR="003D1A4F" w:rsidRPr="00495482">
        <w:rPr>
          <w:lang w:val="fr-FR"/>
        </w:rPr>
        <w:t xml:space="preserve"> </w:t>
      </w:r>
    </w:p>
    <w:p w:rsidR="00317603" w:rsidRPr="00495482" w:rsidRDefault="00317603" w:rsidP="00317603">
      <w:pPr>
        <w:keepNext/>
        <w:keepLines/>
        <w:tabs>
          <w:tab w:val="right" w:pos="851"/>
        </w:tabs>
        <w:spacing w:before="240" w:after="120" w:line="240" w:lineRule="exact"/>
        <w:ind w:left="1134" w:right="1134" w:hanging="1134"/>
        <w:rPr>
          <w:b/>
          <w:lang w:val="fr-FR" w:eastAsia="sl-SI"/>
        </w:rPr>
      </w:pPr>
      <w:r w:rsidRPr="00495482">
        <w:rPr>
          <w:b/>
          <w:lang w:val="fr-FR" w:eastAsia="sl-SI"/>
        </w:rPr>
        <w:tab/>
      </w:r>
      <w:r w:rsidRPr="00495482">
        <w:rPr>
          <w:b/>
          <w:lang w:val="fr-FR" w:eastAsia="sl-SI"/>
        </w:rPr>
        <w:tab/>
        <w:t>Encourager l</w:t>
      </w:r>
      <w:r w:rsidR="005D0F0F" w:rsidRPr="00495482">
        <w:rPr>
          <w:b/>
          <w:lang w:val="fr-FR" w:eastAsia="sl-SI"/>
        </w:rPr>
        <w:t>’</w:t>
      </w:r>
      <w:r w:rsidRPr="00495482">
        <w:rPr>
          <w:b/>
          <w:lang w:val="fr-FR" w:eastAsia="sl-SI"/>
        </w:rPr>
        <w:t xml:space="preserve">application des bénéfices du progrès scientifique </w:t>
      </w:r>
    </w:p>
    <w:p w:rsidR="00317603" w:rsidRPr="00495482" w:rsidRDefault="00317603" w:rsidP="007C0F06">
      <w:pPr>
        <w:pStyle w:val="SingleTxtG"/>
        <w:rPr>
          <w:lang w:val="fr-FR"/>
        </w:rPr>
      </w:pPr>
      <w:r w:rsidRPr="00495482">
        <w:rPr>
          <w:lang w:val="fr-FR"/>
        </w:rPr>
        <w:t>208.</w:t>
      </w:r>
      <w:r w:rsidRPr="00495482">
        <w:rPr>
          <w:lang w:val="fr-FR"/>
        </w:rPr>
        <w:tab/>
        <w:t>Pendant la période d</w:t>
      </w:r>
      <w:r w:rsidR="005D0F0F" w:rsidRPr="00495482">
        <w:rPr>
          <w:lang w:val="fr-FR"/>
        </w:rPr>
        <w:t>’</w:t>
      </w:r>
      <w:r w:rsidRPr="00495482">
        <w:rPr>
          <w:lang w:val="fr-FR"/>
        </w:rPr>
        <w:t>établissement du rapport</w:t>
      </w:r>
      <w:r w:rsidR="005D0F0F" w:rsidRPr="00495482">
        <w:rPr>
          <w:lang w:val="fr-FR"/>
        </w:rPr>
        <w:t>,</w:t>
      </w:r>
      <w:r w:rsidRPr="00495482">
        <w:rPr>
          <w:lang w:val="fr-FR"/>
        </w:rPr>
        <w:t xml:space="preserve"> le Ministère de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de la science et de la technologie a conservé les mécanismes d</w:t>
      </w:r>
      <w:r w:rsidR="005D0F0F" w:rsidRPr="00495482">
        <w:rPr>
          <w:lang w:val="fr-FR"/>
        </w:rPr>
        <w:t>’</w:t>
      </w:r>
      <w:r w:rsidRPr="00495482">
        <w:rPr>
          <w:lang w:val="fr-FR"/>
        </w:rPr>
        <w:t>appui institutionnels en faveur du progrès scientifique et de l</w:t>
      </w:r>
      <w:r w:rsidR="005D0F0F" w:rsidRPr="00495482">
        <w:rPr>
          <w:lang w:val="fr-FR"/>
        </w:rPr>
        <w:t>’</w:t>
      </w:r>
      <w:r w:rsidRPr="00495482">
        <w:rPr>
          <w:lang w:val="fr-FR"/>
        </w:rPr>
        <w:t>exercice des droits de l</w:t>
      </w:r>
      <w:r w:rsidR="005D0F0F" w:rsidRPr="00495482">
        <w:rPr>
          <w:lang w:val="fr-FR"/>
        </w:rPr>
        <w:t>’</w:t>
      </w:r>
      <w:r w:rsidRPr="00495482">
        <w:rPr>
          <w:lang w:val="fr-FR"/>
        </w:rPr>
        <w:t>homme utilisés au cours de la période précédente</w:t>
      </w:r>
      <w:r w:rsidR="005D0F0F" w:rsidRPr="00495482">
        <w:rPr>
          <w:lang w:val="fr-FR"/>
        </w:rPr>
        <w:t>,</w:t>
      </w:r>
      <w:r w:rsidRPr="00495482">
        <w:rPr>
          <w:lang w:val="fr-FR"/>
        </w:rPr>
        <w:t xml:space="preserve"> notamment</w:t>
      </w:r>
      <w:r w:rsidR="005D0F0F" w:rsidRPr="00495482">
        <w:rPr>
          <w:lang w:val="fr-FR"/>
        </w:rPr>
        <w:t>:</w:t>
      </w:r>
      <w:r w:rsidRPr="00495482">
        <w:rPr>
          <w:lang w:val="fr-FR"/>
        </w:rPr>
        <w:t xml:space="preserve"> les projets de recherche scientifique fondamentale et appliquée</w:t>
      </w:r>
      <w:r w:rsidR="005D0F0F" w:rsidRPr="00495482">
        <w:rPr>
          <w:lang w:val="fr-FR"/>
        </w:rPr>
        <w:t>,</w:t>
      </w:r>
      <w:r w:rsidRPr="00495482">
        <w:rPr>
          <w:lang w:val="fr-FR"/>
        </w:rPr>
        <w:t xml:space="preserve"> les projets de recherche ciblés</w:t>
      </w:r>
      <w:r w:rsidR="005D0F0F" w:rsidRPr="00495482">
        <w:rPr>
          <w:lang w:val="fr-FR"/>
        </w:rPr>
        <w:t>,</w:t>
      </w:r>
      <w:r w:rsidRPr="00495482">
        <w:rPr>
          <w:lang w:val="fr-FR"/>
        </w:rPr>
        <w:t xml:space="preserve"> et les activités de recherche indépendantes menées par tous les autres ministères.</w:t>
      </w:r>
      <w:r w:rsidR="003D1A4F" w:rsidRPr="00495482">
        <w:rPr>
          <w:lang w:val="fr-FR"/>
        </w:rPr>
        <w:t xml:space="preserve"> </w:t>
      </w:r>
    </w:p>
    <w:p w:rsidR="00317603" w:rsidRPr="00495482" w:rsidRDefault="00317603" w:rsidP="007C0F06">
      <w:pPr>
        <w:pStyle w:val="SingleTxtG"/>
        <w:rPr>
          <w:lang w:val="fr-FR"/>
        </w:rPr>
      </w:pPr>
      <w:r w:rsidRPr="00495482">
        <w:rPr>
          <w:lang w:val="fr-FR"/>
        </w:rPr>
        <w:t>209.</w:t>
      </w:r>
      <w:r w:rsidRPr="00495482">
        <w:rPr>
          <w:lang w:val="fr-FR"/>
        </w:rPr>
        <w:tab/>
        <w:t>Les activités de recherche se poursuivent dans 18 organismes et instituts publics de recherche et dans quatre universités slovènes: (les Universités de Ljubljana</w:t>
      </w:r>
      <w:r w:rsidR="005D0F0F" w:rsidRPr="00495482">
        <w:rPr>
          <w:lang w:val="fr-FR"/>
        </w:rPr>
        <w:t>,</w:t>
      </w:r>
      <w:r w:rsidRPr="00495482">
        <w:rPr>
          <w:lang w:val="fr-FR"/>
        </w:rPr>
        <w:t xml:space="preserve"> Maribor</w:t>
      </w:r>
      <w:r w:rsidR="005D0F0F" w:rsidRPr="00495482">
        <w:rPr>
          <w:lang w:val="fr-FR"/>
        </w:rPr>
        <w:t>,</w:t>
      </w:r>
      <w:r w:rsidRPr="00495482">
        <w:rPr>
          <w:lang w:val="fr-FR"/>
        </w:rPr>
        <w:t xml:space="preserve"> Primorska et Nova Gorica – les deux dernières ont été fondées pendant la période d</w:t>
      </w:r>
      <w:r w:rsidR="005D0F0F" w:rsidRPr="00495482">
        <w:rPr>
          <w:lang w:val="fr-FR"/>
        </w:rPr>
        <w:t>’</w:t>
      </w:r>
      <w:r w:rsidRPr="00495482">
        <w:rPr>
          <w:lang w:val="fr-FR"/>
        </w:rPr>
        <w:t>établissement du rapport)</w:t>
      </w:r>
      <w:r w:rsidR="005D0F0F" w:rsidRPr="00495482">
        <w:rPr>
          <w:lang w:val="fr-FR"/>
        </w:rPr>
        <w:t>,</w:t>
      </w:r>
      <w:r w:rsidRPr="00495482">
        <w:rPr>
          <w:lang w:val="fr-FR"/>
        </w:rPr>
        <w:t xml:space="preserve"> auxquelles s</w:t>
      </w:r>
      <w:r w:rsidR="005D0F0F" w:rsidRPr="00495482">
        <w:rPr>
          <w:lang w:val="fr-FR"/>
        </w:rPr>
        <w:t>’</w:t>
      </w:r>
      <w:r w:rsidRPr="00495482">
        <w:rPr>
          <w:lang w:val="fr-FR"/>
        </w:rPr>
        <w:t>est jointe en avril 2010 une cinquième université slovène</w:t>
      </w:r>
      <w:r w:rsidR="005D0F0F" w:rsidRPr="00495482">
        <w:rPr>
          <w:lang w:val="fr-FR"/>
        </w:rPr>
        <w:t>,</w:t>
      </w:r>
      <w:r w:rsidRPr="00495482">
        <w:rPr>
          <w:lang w:val="fr-FR"/>
        </w:rPr>
        <w:t xml:space="preserve"> EMUNI – Université euro-méditerranéenne). </w:t>
      </w:r>
    </w:p>
    <w:p w:rsidR="00317603" w:rsidRPr="00495482" w:rsidRDefault="00317603" w:rsidP="007C0F06">
      <w:pPr>
        <w:pStyle w:val="SingleTxtG"/>
        <w:rPr>
          <w:lang w:val="fr-FR"/>
        </w:rPr>
      </w:pPr>
      <w:r w:rsidRPr="00495482">
        <w:rPr>
          <w:lang w:val="fr-FR"/>
        </w:rPr>
        <w:t>210.</w:t>
      </w:r>
      <w:r w:rsidRPr="00495482">
        <w:rPr>
          <w:lang w:val="fr-FR"/>
        </w:rPr>
        <w:tab/>
        <w:t xml:space="preserve">Outre les programmes </w:t>
      </w:r>
      <w:r w:rsidR="00274387" w:rsidRPr="00495482">
        <w:rPr>
          <w:lang w:val="fr-FR"/>
        </w:rPr>
        <w:t>«</w:t>
      </w:r>
      <w:r w:rsidRPr="00495482">
        <w:rPr>
          <w:lang w:val="fr-FR"/>
        </w:rPr>
        <w:t>Jeunes chercheurs</w:t>
      </w:r>
      <w:r w:rsidR="00274387" w:rsidRPr="00495482">
        <w:rPr>
          <w:lang w:val="fr-FR"/>
        </w:rPr>
        <w:t>»</w:t>
      </w:r>
      <w:r w:rsidRPr="00495482">
        <w:rPr>
          <w:lang w:val="fr-FR"/>
        </w:rPr>
        <w:t xml:space="preserve"> et </w:t>
      </w:r>
      <w:r w:rsidR="00274387" w:rsidRPr="00495482">
        <w:rPr>
          <w:lang w:val="fr-FR"/>
        </w:rPr>
        <w:t>«</w:t>
      </w:r>
      <w:r w:rsidRPr="00495482">
        <w:rPr>
          <w:lang w:val="fr-FR"/>
        </w:rPr>
        <w:t>Jeunes chercheurs pour l</w:t>
      </w:r>
      <w:r w:rsidR="005D0F0F" w:rsidRPr="00495482">
        <w:rPr>
          <w:lang w:val="fr-FR"/>
        </w:rPr>
        <w:t>’</w:t>
      </w:r>
      <w:r w:rsidRPr="00495482">
        <w:rPr>
          <w:lang w:val="fr-FR"/>
        </w:rPr>
        <w:t>économie</w:t>
      </w:r>
      <w:r w:rsidR="00274387" w:rsidRPr="00495482">
        <w:rPr>
          <w:lang w:val="fr-FR"/>
        </w:rPr>
        <w:t>»</w:t>
      </w:r>
      <w:r w:rsidR="005D0F0F" w:rsidRPr="00495482">
        <w:rPr>
          <w:lang w:val="fr-FR"/>
        </w:rPr>
        <w:t>,</w:t>
      </w:r>
      <w:r w:rsidRPr="00495482">
        <w:rPr>
          <w:lang w:val="fr-FR"/>
        </w:rPr>
        <w:t xml:space="preserve"> il convient de mentionner un dispositif spécial destiné à encourager une plus grande participation des femmes à la science et</w:t>
      </w:r>
      <w:r w:rsidR="005D0F0F" w:rsidRPr="00495482">
        <w:rPr>
          <w:lang w:val="fr-FR"/>
        </w:rPr>
        <w:t>,</w:t>
      </w:r>
      <w:r w:rsidRPr="00495482">
        <w:rPr>
          <w:lang w:val="fr-FR"/>
        </w:rPr>
        <w:t xml:space="preserve"> en liaison avec la réalisation de la politique scientifique</w:t>
      </w:r>
      <w:r w:rsidR="005D0F0F" w:rsidRPr="00495482">
        <w:rPr>
          <w:lang w:val="fr-FR"/>
        </w:rPr>
        <w:t>,</w:t>
      </w:r>
      <w:r w:rsidR="003D1A4F" w:rsidRPr="00495482">
        <w:rPr>
          <w:lang w:val="fr-FR"/>
        </w:rPr>
        <w:t xml:space="preserve"> </w:t>
      </w:r>
      <w:r w:rsidRPr="00495482">
        <w:rPr>
          <w:lang w:val="fr-FR"/>
        </w:rPr>
        <w:t>l</w:t>
      </w:r>
      <w:r w:rsidR="005D0F0F" w:rsidRPr="00495482">
        <w:rPr>
          <w:lang w:val="fr-FR"/>
        </w:rPr>
        <w:t>’</w:t>
      </w:r>
      <w:r w:rsidRPr="00495482">
        <w:rPr>
          <w:lang w:val="fr-FR"/>
        </w:rPr>
        <w:t xml:space="preserve">action de la Commission pour un rôle accru des femmes dans la science. </w:t>
      </w:r>
    </w:p>
    <w:p w:rsidR="00317603" w:rsidRPr="00495482" w:rsidRDefault="00317603" w:rsidP="007C0F06">
      <w:pPr>
        <w:pStyle w:val="SingleTxtG"/>
        <w:rPr>
          <w:lang w:val="fr-FR"/>
        </w:rPr>
      </w:pPr>
      <w:r w:rsidRPr="00495482">
        <w:rPr>
          <w:lang w:val="fr-FR"/>
        </w:rPr>
        <w:t>211.</w:t>
      </w:r>
      <w:r w:rsidRPr="00495482">
        <w:rPr>
          <w:lang w:val="fr-FR"/>
        </w:rPr>
        <w:tab/>
        <w:t>En Slovénie</w:t>
      </w:r>
      <w:r w:rsidR="005D0F0F" w:rsidRPr="00495482">
        <w:rPr>
          <w:lang w:val="fr-FR"/>
        </w:rPr>
        <w:t>,</w:t>
      </w:r>
      <w:r w:rsidRPr="00495482">
        <w:rPr>
          <w:lang w:val="fr-FR"/>
        </w:rPr>
        <w:t xml:space="preserve"> la place des femmes dans la science diffère peu de celle qu</w:t>
      </w:r>
      <w:r w:rsidR="005D0F0F" w:rsidRPr="00495482">
        <w:rPr>
          <w:lang w:val="fr-FR"/>
        </w:rPr>
        <w:t>’</w:t>
      </w:r>
      <w:r w:rsidRPr="00495482">
        <w:rPr>
          <w:lang w:val="fr-FR"/>
        </w:rPr>
        <w:t>elles occupent dans les autres États européens. Le Bureau de la Commission nationale slovène pour l</w:t>
      </w:r>
      <w:r w:rsidR="005D0F0F" w:rsidRPr="00495482">
        <w:rPr>
          <w:lang w:val="fr-FR"/>
        </w:rPr>
        <w:t>’</w:t>
      </w:r>
      <w:r w:rsidRPr="00495482">
        <w:rPr>
          <w:lang w:val="fr-FR"/>
        </w:rPr>
        <w:t>UNESCO a initialement soulevé la question de l</w:t>
      </w:r>
      <w:r w:rsidR="005D0F0F" w:rsidRPr="00495482">
        <w:rPr>
          <w:lang w:val="fr-FR"/>
        </w:rPr>
        <w:t>’</w:t>
      </w:r>
      <w:r w:rsidRPr="00495482">
        <w:rPr>
          <w:lang w:val="fr-FR"/>
        </w:rPr>
        <w:t>égalité des chances et</w:t>
      </w:r>
      <w:r w:rsidR="005D0F0F" w:rsidRPr="00495482">
        <w:rPr>
          <w:lang w:val="fr-FR"/>
        </w:rPr>
        <w:t>,</w:t>
      </w:r>
      <w:r w:rsidRPr="00495482">
        <w:rPr>
          <w:lang w:val="fr-FR"/>
        </w:rPr>
        <w:t xml:space="preserve"> à l</w:t>
      </w:r>
      <w:r w:rsidR="005D0F0F" w:rsidRPr="00495482">
        <w:rPr>
          <w:lang w:val="fr-FR"/>
        </w:rPr>
        <w:t>’</w:t>
      </w:r>
      <w:r w:rsidR="007C0F06">
        <w:rPr>
          <w:lang w:val="fr-FR"/>
        </w:rPr>
        <w:t>automne </w:t>
      </w:r>
      <w:r w:rsidRPr="00495482">
        <w:rPr>
          <w:lang w:val="fr-FR"/>
        </w:rPr>
        <w:t>1994</w:t>
      </w:r>
      <w:r w:rsidR="005D0F0F" w:rsidRPr="00495482">
        <w:rPr>
          <w:lang w:val="fr-FR"/>
        </w:rPr>
        <w:t>,</w:t>
      </w:r>
      <w:r w:rsidRPr="00495482">
        <w:rPr>
          <w:lang w:val="fr-FR"/>
        </w:rPr>
        <w:t xml:space="preserve"> dans le cadre de la Semaine de la science</w:t>
      </w:r>
      <w:r w:rsidR="005D0F0F" w:rsidRPr="00495482">
        <w:rPr>
          <w:lang w:val="fr-FR"/>
        </w:rPr>
        <w:t>,</w:t>
      </w:r>
      <w:r w:rsidRPr="00495482">
        <w:rPr>
          <w:lang w:val="fr-FR"/>
        </w:rPr>
        <w:t xml:space="preserve"> il a organisé une table ronde sur la participation des femmes à la science et à la recherche. À l</w:t>
      </w:r>
      <w:r w:rsidR="005D0F0F" w:rsidRPr="00495482">
        <w:rPr>
          <w:lang w:val="fr-FR"/>
        </w:rPr>
        <w:t>’</w:t>
      </w:r>
      <w:r w:rsidRPr="00495482">
        <w:rPr>
          <w:lang w:val="fr-FR"/>
        </w:rPr>
        <w:t>initiative du Bureau (en 1997)</w:t>
      </w:r>
      <w:r w:rsidR="005D0F0F" w:rsidRPr="00495482">
        <w:rPr>
          <w:lang w:val="fr-FR"/>
        </w:rPr>
        <w:t>,</w:t>
      </w:r>
      <w:r w:rsidRPr="00495482">
        <w:rPr>
          <w:lang w:val="fr-FR"/>
        </w:rPr>
        <w:t xml:space="preserve"> l</w:t>
      </w:r>
      <w:r w:rsidR="005D0F0F" w:rsidRPr="00495482">
        <w:rPr>
          <w:lang w:val="fr-FR"/>
        </w:rPr>
        <w:t>’</w:t>
      </w:r>
      <w:r w:rsidRPr="00495482">
        <w:rPr>
          <w:lang w:val="fr-FR"/>
        </w:rPr>
        <w:t xml:space="preserve">UNESCO a inscrit le thème </w:t>
      </w:r>
      <w:r w:rsidR="00274387" w:rsidRPr="00495482">
        <w:rPr>
          <w:lang w:val="fr-FR"/>
        </w:rPr>
        <w:t>«</w:t>
      </w:r>
      <w:r w:rsidRPr="00495482">
        <w:rPr>
          <w:lang w:val="fr-FR"/>
        </w:rPr>
        <w:t>Le rôle des femmes dans la science</w:t>
      </w:r>
      <w:r w:rsidR="00274387" w:rsidRPr="00495482">
        <w:rPr>
          <w:lang w:val="fr-FR"/>
        </w:rPr>
        <w:t>»</w:t>
      </w:r>
      <w:r w:rsidRPr="00495482">
        <w:rPr>
          <w:lang w:val="fr-FR"/>
        </w:rPr>
        <w:t xml:space="preserve"> lors de l</w:t>
      </w:r>
      <w:r w:rsidR="005D0F0F" w:rsidRPr="00495482">
        <w:rPr>
          <w:lang w:val="fr-FR"/>
        </w:rPr>
        <w:t>’</w:t>
      </w:r>
      <w:r w:rsidRPr="00495482">
        <w:rPr>
          <w:lang w:val="fr-FR"/>
        </w:rPr>
        <w:t>élaboration du programme de la Conférence mondiale sur la science. En 1999</w:t>
      </w:r>
      <w:r w:rsidR="005D0F0F" w:rsidRPr="00495482">
        <w:rPr>
          <w:lang w:val="fr-FR"/>
        </w:rPr>
        <w:t>,</w:t>
      </w:r>
      <w:r w:rsidRPr="00495482">
        <w:rPr>
          <w:lang w:val="fr-FR"/>
        </w:rPr>
        <w:t xml:space="preserve"> le Ministère des sciences et de la technologie a nommé un Coordonnateur national chargé de la question de la participation des femmes à la science</w:t>
      </w:r>
      <w:r w:rsidR="005D0F0F" w:rsidRPr="00495482">
        <w:rPr>
          <w:lang w:val="fr-FR"/>
        </w:rPr>
        <w:t>,</w:t>
      </w:r>
      <w:r w:rsidRPr="00495482">
        <w:rPr>
          <w:lang w:val="fr-FR"/>
        </w:rPr>
        <w:t xml:space="preserve"> nomination suivie en 2001 de la création de la Commission visant à faire respecter le rôle des femmes dans la science</w:t>
      </w:r>
      <w:r w:rsidR="005D0F0F" w:rsidRPr="00495482">
        <w:rPr>
          <w:lang w:val="fr-FR"/>
        </w:rPr>
        <w:t>,</w:t>
      </w:r>
      <w:r w:rsidRPr="00495482">
        <w:rPr>
          <w:lang w:val="fr-FR"/>
        </w:rPr>
        <w:t xml:space="preserve"> et ultérieurement de la Commission en faveur de la participation des femmes à la science</w:t>
      </w:r>
      <w:r w:rsidR="005D0F0F" w:rsidRPr="00495482">
        <w:rPr>
          <w:lang w:val="fr-FR"/>
        </w:rPr>
        <w:t>,</w:t>
      </w:r>
      <w:r w:rsidRPr="00495482">
        <w:rPr>
          <w:lang w:val="fr-FR"/>
        </w:rPr>
        <w:t xml:space="preserve"> commission que le ministère a également créée en application de ses propres lignes directrices</w:t>
      </w:r>
      <w:r w:rsidR="005D0F0F" w:rsidRPr="00495482">
        <w:rPr>
          <w:lang w:val="fr-FR"/>
        </w:rPr>
        <w:t>,</w:t>
      </w:r>
      <w:r w:rsidRPr="00495482">
        <w:rPr>
          <w:lang w:val="fr-FR"/>
        </w:rPr>
        <w:t xml:space="preserve"> le 7 janvier 2010. </w:t>
      </w:r>
    </w:p>
    <w:p w:rsidR="00317603" w:rsidRPr="00495482" w:rsidRDefault="00317603" w:rsidP="007C0F06">
      <w:pPr>
        <w:pStyle w:val="SingleTxtG"/>
        <w:rPr>
          <w:lang w:val="fr-FR"/>
        </w:rPr>
      </w:pPr>
      <w:r w:rsidRPr="00495482">
        <w:rPr>
          <w:lang w:val="fr-FR"/>
        </w:rPr>
        <w:t>212.</w:t>
      </w:r>
      <w:r w:rsidRPr="00495482">
        <w:rPr>
          <w:lang w:val="fr-FR"/>
        </w:rPr>
        <w:tab/>
        <w:t>Au Ministère de l</w:t>
      </w:r>
      <w:r w:rsidR="005D0F0F" w:rsidRPr="00495482">
        <w:rPr>
          <w:lang w:val="fr-FR"/>
        </w:rPr>
        <w:t>’</w:t>
      </w:r>
      <w:r w:rsidRPr="00495482">
        <w:rPr>
          <w:lang w:val="fr-FR"/>
        </w:rPr>
        <w:t>enseignement supérieur</w:t>
      </w:r>
      <w:r w:rsidR="005D0F0F" w:rsidRPr="00495482">
        <w:rPr>
          <w:lang w:val="fr-FR"/>
        </w:rPr>
        <w:t>,</w:t>
      </w:r>
      <w:r w:rsidRPr="00495482">
        <w:rPr>
          <w:lang w:val="fr-FR"/>
        </w:rPr>
        <w:t xml:space="preserve"> de la science et de la technologie</w:t>
      </w:r>
      <w:r w:rsidR="005D0F0F" w:rsidRPr="00495482">
        <w:rPr>
          <w:lang w:val="fr-FR"/>
        </w:rPr>
        <w:t>,</w:t>
      </w:r>
      <w:r w:rsidRPr="00495482">
        <w:rPr>
          <w:lang w:val="fr-FR"/>
        </w:rPr>
        <w:t xml:space="preserve"> la Commission chargée d</w:t>
      </w:r>
      <w:r w:rsidR="005D0F0F" w:rsidRPr="00495482">
        <w:rPr>
          <w:lang w:val="fr-FR"/>
        </w:rPr>
        <w:t>’</w:t>
      </w:r>
      <w:r w:rsidRPr="00495482">
        <w:rPr>
          <w:lang w:val="fr-FR"/>
        </w:rPr>
        <w:t>évaluer les aspects éthiques et l</w:t>
      </w:r>
      <w:r w:rsidR="005D0F0F" w:rsidRPr="00495482">
        <w:rPr>
          <w:lang w:val="fr-FR"/>
        </w:rPr>
        <w:t>’</w:t>
      </w:r>
      <w:r w:rsidRPr="00495482">
        <w:rPr>
          <w:lang w:val="fr-FR"/>
        </w:rPr>
        <w:t>admissibilité de la recherche médicale</w:t>
      </w:r>
      <w:r w:rsidR="005D0F0F" w:rsidRPr="00495482">
        <w:rPr>
          <w:lang w:val="fr-FR"/>
        </w:rPr>
        <w:t>,</w:t>
      </w:r>
      <w:r w:rsidRPr="00495482">
        <w:rPr>
          <w:lang w:val="fr-FR"/>
        </w:rPr>
        <w:t xml:space="preserve"> poursuit également sa tâche dans le domaine des sciences médicales. </w:t>
      </w:r>
    </w:p>
    <w:p w:rsidR="00317603" w:rsidRDefault="00317603" w:rsidP="00317603">
      <w:pPr>
        <w:spacing w:before="240"/>
        <w:ind w:left="1134" w:right="1134"/>
        <w:jc w:val="center"/>
        <w:rPr>
          <w:u w:val="single"/>
          <w:lang w:val="fr-FR" w:eastAsia="sl-SI"/>
        </w:rPr>
      </w:pPr>
      <w:r w:rsidRPr="00495482">
        <w:rPr>
          <w:u w:val="single"/>
          <w:lang w:val="fr-FR" w:eastAsia="sl-SI"/>
        </w:rPr>
        <w:tab/>
      </w:r>
      <w:r w:rsidRPr="00495482">
        <w:rPr>
          <w:u w:val="single"/>
          <w:lang w:val="fr-FR" w:eastAsia="sl-SI"/>
        </w:rPr>
        <w:tab/>
      </w:r>
      <w:r w:rsidRPr="00495482">
        <w:rPr>
          <w:u w:val="single"/>
          <w:lang w:val="fr-FR" w:eastAsia="sl-SI"/>
        </w:rPr>
        <w:tab/>
      </w:r>
    </w:p>
    <w:sectPr w:rsidR="00317603" w:rsidSect="009F525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46" w:rsidRDefault="00695746"/>
  </w:endnote>
  <w:endnote w:type="continuationSeparator" w:id="0">
    <w:p w:rsidR="00695746" w:rsidRDefault="00695746"/>
  </w:endnote>
  <w:endnote w:type="continuationNotice" w:id="1">
    <w:p w:rsidR="00695746" w:rsidRDefault="006957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B" w:rsidRPr="008C38D2" w:rsidRDefault="0025154B" w:rsidP="008C38D2">
    <w:pPr>
      <w:pStyle w:val="Footer"/>
      <w:tabs>
        <w:tab w:val="right" w:pos="9638"/>
      </w:tabs>
      <w:rPr>
        <w:szCs w:val="16"/>
        <w:lang w:val="en-GB"/>
      </w:rPr>
    </w:pPr>
    <w:r w:rsidRPr="008C38D2">
      <w:rPr>
        <w:b/>
        <w:sz w:val="18"/>
        <w:lang w:val="en-GB"/>
      </w:rPr>
      <w:fldChar w:fldCharType="begin"/>
    </w:r>
    <w:r w:rsidRPr="008C38D2">
      <w:rPr>
        <w:b/>
        <w:sz w:val="18"/>
        <w:lang w:val="en-GB"/>
      </w:rPr>
      <w:instrText xml:space="preserve"> PAGE  \* MERGEFORMAT </w:instrText>
    </w:r>
    <w:r w:rsidRPr="008C38D2">
      <w:rPr>
        <w:b/>
        <w:sz w:val="18"/>
        <w:lang w:val="en-GB"/>
      </w:rPr>
      <w:fldChar w:fldCharType="separate"/>
    </w:r>
    <w:r>
      <w:rPr>
        <w:b/>
        <w:noProof/>
        <w:sz w:val="18"/>
        <w:lang w:val="en-GB"/>
      </w:rPr>
      <w:t>50</w:t>
    </w:r>
    <w:r w:rsidRPr="008C38D2">
      <w:rPr>
        <w:b/>
        <w:sz w:val="18"/>
        <w:lang w:val="en-GB"/>
      </w:rPr>
      <w:fldChar w:fldCharType="end"/>
    </w:r>
    <w:r w:rsidRPr="008C38D2">
      <w:rPr>
        <w:b/>
        <w:sz w:val="18"/>
        <w:lang w:val="en-GB"/>
      </w:rPr>
      <w:tab/>
    </w:r>
    <w:r w:rsidRPr="008C38D2">
      <w:rPr>
        <w:szCs w:val="16"/>
        <w:lang w:val="en-GB"/>
      </w:rPr>
      <w:t>GE.13-44770</w:t>
    </w:r>
    <w:r>
      <w:rPr>
        <w:szCs w:val="16"/>
        <w:lang w:val="en-GB"/>
      </w:rPr>
      <w:t xml:space="preserve">  </w:t>
    </w:r>
    <w:r w:rsidRPr="008C38D2">
      <w:rPr>
        <w:szCs w:val="16"/>
        <w:lang w:val="en-GB"/>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B" w:rsidRPr="005D2AEE" w:rsidRDefault="0025154B" w:rsidP="008C38D2">
    <w:pPr>
      <w:pStyle w:val="Footer"/>
      <w:tabs>
        <w:tab w:val="right" w:pos="9638"/>
      </w:tabs>
      <w:rPr>
        <w:b/>
        <w:sz w:val="18"/>
      </w:rPr>
    </w:pPr>
    <w:r>
      <w:t>GE.13-44770  (EXT)</w:t>
    </w:r>
    <w:r>
      <w:tab/>
    </w:r>
    <w:r w:rsidRPr="005D2AEE">
      <w:rPr>
        <w:b/>
        <w:sz w:val="18"/>
      </w:rPr>
      <w:fldChar w:fldCharType="begin"/>
    </w:r>
    <w:r w:rsidRPr="005D2AEE">
      <w:rPr>
        <w:b/>
        <w:sz w:val="18"/>
      </w:rPr>
      <w:instrText xml:space="preserve"> PAGE  \* MERGEFORMAT </w:instrText>
    </w:r>
    <w:r w:rsidRPr="005D2AEE">
      <w:rPr>
        <w:b/>
        <w:sz w:val="18"/>
      </w:rPr>
      <w:fldChar w:fldCharType="separate"/>
    </w:r>
    <w:r>
      <w:rPr>
        <w:b/>
        <w:noProof/>
        <w:sz w:val="18"/>
      </w:rPr>
      <w:t>51</w:t>
    </w:r>
    <w:r w:rsidRPr="005D2AE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B" w:rsidRPr="008C38D2" w:rsidRDefault="0025154B">
    <w:pPr>
      <w:pStyle w:val="Footer"/>
      <w:rPr>
        <w:sz w:val="20"/>
      </w:rPr>
    </w:pPr>
    <w:r w:rsidRPr="008C38D2">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sidRPr="008C38D2">
      <w:rPr>
        <w:sz w:val="20"/>
      </w:rPr>
      <w:t>GE.13-44770</w:t>
    </w:r>
    <w:r>
      <w:rPr>
        <w:sz w:val="20"/>
      </w:rPr>
      <w:t xml:space="preserve">  </w:t>
    </w:r>
    <w:r w:rsidRPr="008C38D2">
      <w:rPr>
        <w:sz w:val="20"/>
      </w:rPr>
      <w: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46" w:rsidRPr="00D27D5E" w:rsidRDefault="00695746" w:rsidP="00D27D5E">
      <w:pPr>
        <w:tabs>
          <w:tab w:val="right" w:pos="2155"/>
        </w:tabs>
        <w:spacing w:after="80"/>
        <w:ind w:left="680"/>
        <w:rPr>
          <w:u w:val="single"/>
        </w:rPr>
      </w:pPr>
      <w:r>
        <w:rPr>
          <w:u w:val="single"/>
        </w:rPr>
        <w:tab/>
      </w:r>
    </w:p>
  </w:footnote>
  <w:footnote w:type="continuationSeparator" w:id="0">
    <w:p w:rsidR="00695746" w:rsidRPr="005B09DD" w:rsidRDefault="00695746" w:rsidP="005B09DD">
      <w:pPr>
        <w:tabs>
          <w:tab w:val="right" w:pos="2155"/>
        </w:tabs>
        <w:spacing w:after="80"/>
        <w:ind w:left="680"/>
        <w:rPr>
          <w:u w:val="single"/>
        </w:rPr>
      </w:pPr>
      <w:r w:rsidRPr="005B09DD">
        <w:rPr>
          <w:u w:val="single"/>
        </w:rPr>
        <w:tab/>
      </w:r>
    </w:p>
  </w:footnote>
  <w:footnote w:type="continuationNotice" w:id="1">
    <w:p w:rsidR="00695746" w:rsidRDefault="00695746"/>
  </w:footnote>
  <w:footnote w:id="2">
    <w:p w:rsidR="0025154B" w:rsidRPr="004C5E5F" w:rsidRDefault="0025154B" w:rsidP="00317603">
      <w:pPr>
        <w:pStyle w:val="FootnoteText"/>
        <w:rPr>
          <w:lang w:val="fr-FR"/>
        </w:rPr>
      </w:pPr>
      <w:r>
        <w:tab/>
      </w:r>
      <w:r w:rsidRPr="002D0D16">
        <w:rPr>
          <w:rStyle w:val="FootnoteReference"/>
          <w:sz w:val="20"/>
          <w:vertAlign w:val="baseline"/>
          <w:lang w:val="fr-FR"/>
        </w:rPr>
        <w:t>*</w:t>
      </w:r>
      <w:r w:rsidRPr="004C5E5F">
        <w:rPr>
          <w:sz w:val="20"/>
          <w:lang w:val="fr-FR"/>
        </w:rPr>
        <w:tab/>
      </w:r>
      <w:r>
        <w:rPr>
          <w:lang w:val="fr-FR"/>
        </w:rPr>
        <w:t>Confor</w:t>
      </w:r>
      <w:r w:rsidRPr="004C5E5F">
        <w:rPr>
          <w:lang w:val="fr-FR"/>
        </w:rPr>
        <w:t>m</w:t>
      </w:r>
      <w:r>
        <w:rPr>
          <w:lang w:val="fr-FR"/>
        </w:rPr>
        <w:t>é</w:t>
      </w:r>
      <w:r w:rsidRPr="004C5E5F">
        <w:rPr>
          <w:lang w:val="fr-FR"/>
        </w:rPr>
        <w:t>ment aux informations communiqué</w:t>
      </w:r>
      <w:r>
        <w:rPr>
          <w:lang w:val="fr-FR"/>
        </w:rPr>
        <w:t>e</w:t>
      </w:r>
      <w:r w:rsidRPr="004C5E5F">
        <w:rPr>
          <w:lang w:val="fr-FR"/>
        </w:rPr>
        <w:t>s aux États parties concernant le traitement de leurs rapports</w:t>
      </w:r>
      <w:r>
        <w:rPr>
          <w:lang w:val="fr-FR"/>
        </w:rPr>
        <w:t>,</w:t>
      </w:r>
      <w:r w:rsidRPr="004C5E5F">
        <w:rPr>
          <w:lang w:val="fr-FR"/>
        </w:rPr>
        <w:t xml:space="preserve"> le </w:t>
      </w:r>
      <w:r>
        <w:rPr>
          <w:lang w:val="fr-FR"/>
        </w:rPr>
        <w:t>pré</w:t>
      </w:r>
      <w:r w:rsidRPr="004C5E5F">
        <w:rPr>
          <w:lang w:val="fr-FR"/>
        </w:rPr>
        <w:t>sent document n</w:t>
      </w:r>
      <w:r>
        <w:rPr>
          <w:lang w:val="fr-FR"/>
        </w:rPr>
        <w:t>’</w:t>
      </w:r>
      <w:r w:rsidRPr="004C5E5F">
        <w:rPr>
          <w:lang w:val="fr-FR"/>
        </w:rPr>
        <w:t>a pas été revu par les services d</w:t>
      </w:r>
      <w:r>
        <w:rPr>
          <w:lang w:val="fr-FR"/>
        </w:rPr>
        <w:t>’</w:t>
      </w:r>
      <w:r w:rsidRPr="004C5E5F">
        <w:rPr>
          <w:lang w:val="fr-FR"/>
        </w:rPr>
        <w:t>édition.</w:t>
      </w:r>
      <w:r>
        <w:rPr>
          <w:lang w:val="fr-FR"/>
        </w:rPr>
        <w:t xml:space="preserve"> </w:t>
      </w:r>
    </w:p>
  </w:footnote>
  <w:footnote w:id="3">
    <w:p w:rsidR="0025154B" w:rsidRPr="005A2ED9" w:rsidRDefault="0025154B" w:rsidP="00317603">
      <w:pPr>
        <w:pStyle w:val="FootnoteText"/>
        <w:rPr>
          <w:szCs w:val="24"/>
          <w:lang w:val="fr-FR"/>
        </w:rPr>
      </w:pPr>
      <w:r w:rsidRPr="004C5E5F">
        <w:rPr>
          <w:szCs w:val="24"/>
          <w:lang w:val="fr-FR"/>
        </w:rPr>
        <w:tab/>
      </w:r>
      <w:r w:rsidRPr="006B50E4">
        <w:rPr>
          <w:rStyle w:val="FootnoteReference"/>
          <w:sz w:val="20"/>
          <w:vertAlign w:val="baseline"/>
          <w:lang w:val="fr-FR"/>
        </w:rPr>
        <w:t>**</w:t>
      </w:r>
      <w:r w:rsidRPr="009B5B9B">
        <w:rPr>
          <w:rStyle w:val="FootnoteReference"/>
          <w:szCs w:val="24"/>
          <w:vertAlign w:val="baseline"/>
          <w:lang w:val="fr-FR"/>
        </w:rPr>
        <w:tab/>
      </w:r>
      <w:r w:rsidRPr="005A2ED9">
        <w:rPr>
          <w:szCs w:val="24"/>
          <w:lang w:val="fr-FR"/>
        </w:rPr>
        <w:t>Les annexes peuvent être consultées aux archives du secrétariat.</w:t>
      </w:r>
    </w:p>
  </w:footnote>
  <w:footnote w:id="4">
    <w:p w:rsidR="0025154B" w:rsidRPr="005A2ED9" w:rsidRDefault="0025154B" w:rsidP="00317603">
      <w:pPr>
        <w:pStyle w:val="FootnoteText"/>
        <w:rPr>
          <w:color w:val="000000"/>
          <w:szCs w:val="18"/>
          <w:lang w:val="fr-FR"/>
        </w:rPr>
      </w:pPr>
      <w:r w:rsidRPr="005A2ED9">
        <w:rPr>
          <w:color w:val="000000"/>
          <w:szCs w:val="18"/>
          <w:lang w:val="fr-FR"/>
        </w:rPr>
        <w:tab/>
      </w:r>
      <w:r w:rsidRPr="009B5B9B">
        <w:rPr>
          <w:rStyle w:val="FootnoteReference"/>
        </w:rPr>
        <w:footnoteRef/>
      </w:r>
      <w:r>
        <w:rPr>
          <w:color w:val="000000"/>
          <w:szCs w:val="18"/>
          <w:lang w:val="fr-FR"/>
        </w:rPr>
        <w:tab/>
      </w:r>
      <w:r w:rsidRPr="00534C5E">
        <w:rPr>
          <w:i/>
          <w:color w:val="000000"/>
          <w:szCs w:val="18"/>
          <w:lang w:val="fr-FR"/>
        </w:rPr>
        <w:t>Journal officiel de la République de Slovénie</w:t>
      </w:r>
      <w:r>
        <w:rPr>
          <w:color w:val="000000"/>
          <w:szCs w:val="18"/>
          <w:lang w:val="fr-FR"/>
        </w:rPr>
        <w:t xml:space="preserve">, </w:t>
      </w:r>
      <w:r>
        <w:rPr>
          <w:szCs w:val="18"/>
        </w:rPr>
        <w:t>n</w:t>
      </w:r>
      <w:r w:rsidRPr="001B12ED">
        <w:rPr>
          <w:szCs w:val="18"/>
          <w:vertAlign w:val="superscript"/>
          <w:lang w:val="fr-FR"/>
        </w:rPr>
        <w:t>o</w:t>
      </w:r>
      <w:r>
        <w:rPr>
          <w:szCs w:val="18"/>
          <w:lang w:val="fr-CH"/>
        </w:rPr>
        <w:t> </w:t>
      </w:r>
      <w:r w:rsidRPr="005A2ED9">
        <w:rPr>
          <w:color w:val="000000"/>
          <w:szCs w:val="18"/>
          <w:lang w:val="fr-FR"/>
        </w:rPr>
        <w:t>64/07.</w:t>
      </w:r>
    </w:p>
  </w:footnote>
  <w:footnote w:id="5">
    <w:p w:rsidR="0025154B" w:rsidRPr="00E4315F" w:rsidRDefault="0025154B" w:rsidP="00317603">
      <w:pPr>
        <w:pStyle w:val="FootnoteText"/>
        <w:rPr>
          <w:color w:val="000000"/>
          <w:szCs w:val="18"/>
          <w:lang w:val="fr-FR"/>
        </w:rPr>
      </w:pPr>
      <w:r w:rsidRPr="005A2ED9">
        <w:rPr>
          <w:color w:val="000000"/>
          <w:szCs w:val="18"/>
          <w:lang w:val="fr-FR"/>
        </w:rPr>
        <w:tab/>
      </w:r>
      <w:r w:rsidRPr="009B5B9B">
        <w:rPr>
          <w:rStyle w:val="FootnoteReference"/>
        </w:rPr>
        <w:footnoteRef/>
      </w:r>
      <w:r w:rsidRPr="00E4315F">
        <w:rPr>
          <w:color w:val="000000"/>
          <w:szCs w:val="18"/>
          <w:lang w:val="fr-FR"/>
        </w:rPr>
        <w:tab/>
        <w:t>Loi sur les soins de santé et l</w:t>
      </w:r>
      <w:r>
        <w:rPr>
          <w:color w:val="000000"/>
          <w:szCs w:val="18"/>
          <w:lang w:val="fr-FR"/>
        </w:rPr>
        <w:t>’</w:t>
      </w:r>
      <w:r w:rsidRPr="00E4315F">
        <w:rPr>
          <w:color w:val="000000"/>
          <w:szCs w:val="18"/>
          <w:lang w:val="fr-FR"/>
        </w:rPr>
        <w:t>assurance maladie</w:t>
      </w:r>
      <w:r>
        <w:rPr>
          <w:color w:val="000000"/>
          <w:szCs w:val="18"/>
          <w:lang w:val="fr-FR"/>
        </w:rPr>
        <w:t xml:space="preserve"> (</w:t>
      </w:r>
      <w:r w:rsidRPr="00534C5E">
        <w:rPr>
          <w:i/>
          <w:color w:val="000000"/>
          <w:szCs w:val="18"/>
          <w:lang w:val="fr-FR"/>
        </w:rPr>
        <w:t>Journal officiel de la République de Slovénie</w:t>
      </w:r>
      <w:r>
        <w:rPr>
          <w:color w:val="000000"/>
          <w:szCs w:val="18"/>
          <w:lang w:val="fr-FR"/>
        </w:rPr>
        <w:t xml:space="preserve">, </w:t>
      </w:r>
      <w:r>
        <w:rPr>
          <w:szCs w:val="18"/>
        </w:rPr>
        <w:t>n</w:t>
      </w:r>
      <w:r w:rsidRPr="001B12ED">
        <w:rPr>
          <w:szCs w:val="18"/>
          <w:vertAlign w:val="superscript"/>
          <w:lang w:val="fr-FR"/>
        </w:rPr>
        <w:t>o</w:t>
      </w:r>
      <w:r>
        <w:rPr>
          <w:szCs w:val="18"/>
          <w:lang w:val="fr-CH"/>
        </w:rPr>
        <w:t> </w:t>
      </w:r>
      <w:r>
        <w:rPr>
          <w:color w:val="000000"/>
          <w:szCs w:val="18"/>
          <w:lang w:val="fr-FR"/>
        </w:rPr>
        <w:t>100/05 et 38/06</w:t>
      </w:r>
      <w:r w:rsidRPr="00E4315F">
        <w:rPr>
          <w:color w:val="000000"/>
          <w:szCs w:val="18"/>
          <w:lang w:val="fr-FR"/>
        </w:rPr>
        <w:t>).</w:t>
      </w:r>
    </w:p>
  </w:footnote>
  <w:footnote w:id="6">
    <w:p w:rsidR="0025154B" w:rsidRPr="00E4315F" w:rsidRDefault="0025154B" w:rsidP="00317603">
      <w:pPr>
        <w:pStyle w:val="FootnoteText"/>
        <w:rPr>
          <w:color w:val="000000"/>
          <w:szCs w:val="18"/>
          <w:lang w:val="fr-FR"/>
        </w:rPr>
      </w:pPr>
      <w:r w:rsidRPr="00E4315F">
        <w:rPr>
          <w:color w:val="000000"/>
          <w:szCs w:val="18"/>
          <w:lang w:val="fr-FR"/>
        </w:rPr>
        <w:tab/>
      </w:r>
      <w:r w:rsidRPr="009B5B9B">
        <w:rPr>
          <w:rStyle w:val="FootnoteReference"/>
        </w:rPr>
        <w:footnoteRef/>
      </w:r>
      <w:r w:rsidRPr="00E4315F">
        <w:rPr>
          <w:color w:val="000000"/>
          <w:szCs w:val="18"/>
          <w:lang w:val="fr-FR"/>
        </w:rPr>
        <w:tab/>
        <w:t>Régime de l</w:t>
      </w:r>
      <w:r>
        <w:rPr>
          <w:color w:val="000000"/>
          <w:szCs w:val="18"/>
          <w:lang w:val="fr-FR"/>
        </w:rPr>
        <w:t>’assurance maladie obligatoire (</w:t>
      </w:r>
      <w:r w:rsidRPr="00534C5E">
        <w:rPr>
          <w:i/>
          <w:color w:val="000000"/>
          <w:szCs w:val="18"/>
          <w:lang w:val="fr-FR"/>
        </w:rPr>
        <w:t>Journal officiel de la République de Slovénie</w:t>
      </w:r>
      <w:r>
        <w:rPr>
          <w:color w:val="000000"/>
          <w:szCs w:val="18"/>
          <w:lang w:val="fr-FR"/>
        </w:rPr>
        <w:t>,</w:t>
      </w:r>
      <w:r w:rsidRPr="00E4315F">
        <w:rPr>
          <w:color w:val="000000"/>
          <w:szCs w:val="18"/>
          <w:lang w:val="fr-FR"/>
        </w:rPr>
        <w:t xml:space="preserve"> </w:t>
      </w:r>
      <w:r>
        <w:rPr>
          <w:szCs w:val="18"/>
        </w:rPr>
        <w:t>n</w:t>
      </w:r>
      <w:r w:rsidRPr="001B12ED">
        <w:rPr>
          <w:szCs w:val="18"/>
          <w:vertAlign w:val="superscript"/>
          <w:lang w:val="fr-FR"/>
        </w:rPr>
        <w:t>o</w:t>
      </w:r>
      <w:r>
        <w:rPr>
          <w:szCs w:val="18"/>
          <w:lang w:val="fr-CH"/>
        </w:rPr>
        <w:t> </w:t>
      </w:r>
      <w:r>
        <w:rPr>
          <w:color w:val="000000"/>
          <w:szCs w:val="18"/>
          <w:lang w:val="fr-FR"/>
        </w:rPr>
        <w:t>30/03, 35/03, 78/03, 84/04 et</w:t>
      </w:r>
      <w:r w:rsidRPr="00E4315F">
        <w:rPr>
          <w:color w:val="000000"/>
          <w:szCs w:val="18"/>
          <w:lang w:val="fr-FR"/>
        </w:rPr>
        <w:t xml:space="preserve"> 44/05).</w:t>
      </w:r>
    </w:p>
  </w:footnote>
  <w:footnote w:id="7">
    <w:p w:rsidR="0025154B" w:rsidRPr="00E4315F" w:rsidRDefault="0025154B" w:rsidP="00317603">
      <w:pPr>
        <w:pStyle w:val="FootnoteText"/>
        <w:rPr>
          <w:color w:val="000000"/>
          <w:szCs w:val="18"/>
          <w:lang w:val="fr-FR"/>
        </w:rPr>
      </w:pPr>
      <w:r w:rsidRPr="00E4315F">
        <w:rPr>
          <w:color w:val="000000"/>
          <w:szCs w:val="18"/>
          <w:lang w:val="fr-FR"/>
        </w:rPr>
        <w:tab/>
      </w:r>
      <w:r w:rsidRPr="009B5B9B">
        <w:rPr>
          <w:rStyle w:val="FootnoteReference"/>
        </w:rPr>
        <w:footnoteRef/>
      </w:r>
      <w:r>
        <w:rPr>
          <w:color w:val="000000"/>
          <w:szCs w:val="18"/>
          <w:lang w:val="fr-FR"/>
        </w:rPr>
        <w:tab/>
        <w:t>Convention des N</w:t>
      </w:r>
      <w:r w:rsidRPr="00E4315F">
        <w:rPr>
          <w:color w:val="000000"/>
          <w:szCs w:val="18"/>
          <w:lang w:val="fr-FR"/>
        </w:rPr>
        <w:t>ations Unies re</w:t>
      </w:r>
      <w:r>
        <w:rPr>
          <w:color w:val="000000"/>
          <w:szCs w:val="18"/>
          <w:lang w:val="fr-FR"/>
        </w:rPr>
        <w:t>lative aux droits de l’enfant (</w:t>
      </w:r>
      <w:r w:rsidRPr="00534C5E">
        <w:rPr>
          <w:i/>
          <w:color w:val="000000"/>
          <w:szCs w:val="18"/>
          <w:lang w:val="fr-FR"/>
        </w:rPr>
        <w:t>Journal officiel de la République de Slovénie</w:t>
      </w:r>
      <w:r>
        <w:rPr>
          <w:color w:val="000000"/>
          <w:szCs w:val="18"/>
          <w:lang w:val="fr-FR"/>
        </w:rPr>
        <w:t xml:space="preserve">- Contrats internationaux, </w:t>
      </w:r>
      <w:r>
        <w:rPr>
          <w:szCs w:val="18"/>
        </w:rPr>
        <w:t>n</w:t>
      </w:r>
      <w:r w:rsidRPr="001B12ED">
        <w:rPr>
          <w:szCs w:val="18"/>
          <w:vertAlign w:val="superscript"/>
          <w:lang w:val="fr-FR"/>
        </w:rPr>
        <w:t>o</w:t>
      </w:r>
      <w:r>
        <w:rPr>
          <w:szCs w:val="18"/>
          <w:lang w:val="fr-CH"/>
        </w:rPr>
        <w:t> </w:t>
      </w:r>
      <w:r w:rsidRPr="00E4315F">
        <w:rPr>
          <w:color w:val="000000"/>
          <w:szCs w:val="18"/>
          <w:lang w:val="fr-FR"/>
        </w:rPr>
        <w:t>35/92).</w:t>
      </w:r>
    </w:p>
  </w:footnote>
  <w:footnote w:id="8">
    <w:p w:rsidR="0025154B" w:rsidRPr="00E4315F" w:rsidRDefault="0025154B" w:rsidP="00317603">
      <w:pPr>
        <w:pStyle w:val="FootnoteText"/>
        <w:rPr>
          <w:color w:val="000000"/>
          <w:szCs w:val="18"/>
          <w:lang w:val="fr-FR"/>
        </w:rPr>
      </w:pPr>
      <w:r w:rsidRPr="00E4315F">
        <w:rPr>
          <w:color w:val="000000"/>
          <w:szCs w:val="18"/>
          <w:lang w:val="fr-FR"/>
        </w:rPr>
        <w:tab/>
      </w:r>
      <w:r w:rsidRPr="009B5B9B">
        <w:rPr>
          <w:rStyle w:val="FootnoteReference"/>
        </w:rPr>
        <w:footnoteRef/>
      </w:r>
      <w:r w:rsidRPr="00E4315F">
        <w:rPr>
          <w:color w:val="000000"/>
          <w:szCs w:val="18"/>
          <w:lang w:val="fr-FR"/>
        </w:rPr>
        <w:tab/>
        <w:t xml:space="preserve">Loi sur les </w:t>
      </w:r>
      <w:r>
        <w:rPr>
          <w:color w:val="000000"/>
          <w:szCs w:val="18"/>
          <w:lang w:val="fr-FR"/>
        </w:rPr>
        <w:t>administrations locales autonom</w:t>
      </w:r>
      <w:r w:rsidRPr="00E4315F">
        <w:rPr>
          <w:color w:val="000000"/>
          <w:szCs w:val="18"/>
          <w:lang w:val="fr-FR"/>
        </w:rPr>
        <w:t>es</w:t>
      </w:r>
      <w:r>
        <w:rPr>
          <w:color w:val="000000"/>
          <w:szCs w:val="18"/>
          <w:lang w:val="fr-FR"/>
        </w:rPr>
        <w:t xml:space="preserve"> </w:t>
      </w:r>
      <w:r w:rsidRPr="00E4315F">
        <w:rPr>
          <w:color w:val="000000"/>
          <w:szCs w:val="18"/>
          <w:lang w:val="fr-FR"/>
        </w:rPr>
        <w:t>(</w:t>
      </w:r>
      <w:r w:rsidRPr="00955B3E">
        <w:rPr>
          <w:i/>
          <w:color w:val="000000"/>
          <w:szCs w:val="18"/>
          <w:lang w:val="fr-FR"/>
        </w:rPr>
        <w:t>Journal officiel de la République de Slovénie</w:t>
      </w:r>
      <w:r>
        <w:rPr>
          <w:color w:val="000000"/>
          <w:szCs w:val="18"/>
          <w:lang w:val="fr-FR"/>
        </w:rPr>
        <w:t>,</w:t>
      </w:r>
      <w:r w:rsidRPr="00E4315F">
        <w:rPr>
          <w:color w:val="000000"/>
          <w:szCs w:val="18"/>
          <w:lang w:val="fr-FR"/>
        </w:rPr>
        <w:t xml:space="preserve"> </w:t>
      </w:r>
      <w:r>
        <w:rPr>
          <w:szCs w:val="18"/>
        </w:rPr>
        <w:t>n</w:t>
      </w:r>
      <w:r w:rsidRPr="001B12ED">
        <w:rPr>
          <w:szCs w:val="18"/>
          <w:vertAlign w:val="superscript"/>
          <w:lang w:val="fr-FR"/>
        </w:rPr>
        <w:t>o</w:t>
      </w:r>
      <w:r>
        <w:rPr>
          <w:szCs w:val="18"/>
          <w:lang w:val="fr-CH"/>
        </w:rPr>
        <w:t> </w:t>
      </w:r>
      <w:r w:rsidRPr="00E4315F">
        <w:rPr>
          <w:color w:val="000000"/>
          <w:szCs w:val="18"/>
          <w:lang w:val="fr-FR"/>
        </w:rPr>
        <w:t>100/05).</w:t>
      </w:r>
    </w:p>
  </w:footnote>
  <w:footnote w:id="9">
    <w:p w:rsidR="0025154B" w:rsidRPr="001806D3" w:rsidRDefault="0025154B" w:rsidP="00317603">
      <w:pPr>
        <w:pStyle w:val="FootnoteText"/>
        <w:rPr>
          <w:szCs w:val="18"/>
          <w:lang w:val="fr-FR"/>
        </w:rPr>
      </w:pPr>
      <w:r w:rsidRPr="00E4315F">
        <w:rPr>
          <w:szCs w:val="18"/>
          <w:lang w:val="fr-FR"/>
        </w:rPr>
        <w:tab/>
      </w:r>
      <w:r w:rsidRPr="009B5B9B">
        <w:rPr>
          <w:rStyle w:val="FootnoteReference"/>
        </w:rPr>
        <w:footnoteRef/>
      </w:r>
      <w:r w:rsidRPr="001806D3">
        <w:rPr>
          <w:szCs w:val="18"/>
          <w:lang w:val="fr-FR"/>
        </w:rPr>
        <w:tab/>
        <w:t xml:space="preserve">Loi sur les </w:t>
      </w:r>
      <w:r>
        <w:rPr>
          <w:szCs w:val="18"/>
          <w:lang w:val="fr-FR"/>
        </w:rPr>
        <w:t>administrations locales autonom</w:t>
      </w:r>
      <w:r w:rsidRPr="001806D3">
        <w:rPr>
          <w:szCs w:val="18"/>
          <w:lang w:val="fr-FR"/>
        </w:rPr>
        <w:t>es (</w:t>
      </w:r>
      <w:r w:rsidRPr="00955B3E">
        <w:rPr>
          <w:i/>
          <w:szCs w:val="18"/>
          <w:lang w:val="fr-FR"/>
        </w:rPr>
        <w:t>Journal officiel de la République de Slovénie</w:t>
      </w:r>
      <w:r>
        <w:rPr>
          <w:szCs w:val="18"/>
          <w:lang w:val="fr-FR"/>
        </w:rPr>
        <w:t>,</w:t>
      </w:r>
      <w:r w:rsidRPr="001806D3">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 xml:space="preserve">94/07 – </w:t>
      </w:r>
      <w:r w:rsidRPr="001806D3">
        <w:rPr>
          <w:szCs w:val="18"/>
          <w:lang w:val="fr-FR"/>
        </w:rPr>
        <w:t>text</w:t>
      </w:r>
      <w:r>
        <w:rPr>
          <w:szCs w:val="18"/>
          <w:lang w:val="fr-FR"/>
        </w:rPr>
        <w:t>e de synthèse, 76/08, 79/09 et</w:t>
      </w:r>
      <w:r w:rsidRPr="001806D3">
        <w:rPr>
          <w:szCs w:val="18"/>
          <w:lang w:val="fr-FR"/>
        </w:rPr>
        <w:t xml:space="preserve"> 51/10).</w:t>
      </w:r>
    </w:p>
  </w:footnote>
  <w:footnote w:id="10">
    <w:p w:rsidR="0025154B" w:rsidRPr="00E4315F" w:rsidRDefault="0025154B" w:rsidP="00317603">
      <w:pPr>
        <w:pStyle w:val="FootnoteText"/>
        <w:rPr>
          <w:szCs w:val="18"/>
          <w:lang w:val="fr-FR"/>
        </w:rPr>
      </w:pPr>
      <w:r w:rsidRPr="001806D3">
        <w:rPr>
          <w:szCs w:val="18"/>
          <w:lang w:val="fr-FR"/>
        </w:rPr>
        <w:tab/>
      </w:r>
      <w:r w:rsidRPr="009B5B9B">
        <w:rPr>
          <w:rStyle w:val="FootnoteReference"/>
        </w:rPr>
        <w:footnoteRef/>
      </w:r>
      <w:r w:rsidRPr="00E4315F">
        <w:rPr>
          <w:szCs w:val="18"/>
          <w:lang w:val="fr-FR"/>
        </w:rPr>
        <w:tab/>
        <w:t>Loi r</w:t>
      </w:r>
      <w:r>
        <w:rPr>
          <w:szCs w:val="18"/>
          <w:lang w:val="fr-FR"/>
        </w:rPr>
        <w:t>elative à la communauté rom de la R</w:t>
      </w:r>
      <w:r w:rsidRPr="00E4315F">
        <w:rPr>
          <w:szCs w:val="18"/>
          <w:lang w:val="fr-FR"/>
        </w:rPr>
        <w:t>épublique de Slovénie (</w:t>
      </w:r>
      <w:r w:rsidRPr="00955B3E">
        <w:rPr>
          <w:i/>
          <w:szCs w:val="18"/>
          <w:lang w:val="fr-FR"/>
        </w:rPr>
        <w:t>Journal officiel de la République de Slovénie</w:t>
      </w:r>
      <w:r>
        <w:rPr>
          <w:szCs w:val="18"/>
          <w:lang w:val="fr-FR"/>
        </w:rPr>
        <w:t>,</w:t>
      </w:r>
      <w:r w:rsidRPr="00E4315F">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 xml:space="preserve">94/07 – </w:t>
      </w:r>
      <w:r w:rsidRPr="00E4315F">
        <w:rPr>
          <w:szCs w:val="18"/>
          <w:lang w:val="fr-FR"/>
        </w:rPr>
        <w:t>text</w:t>
      </w:r>
      <w:r>
        <w:rPr>
          <w:szCs w:val="18"/>
          <w:lang w:val="fr-FR"/>
        </w:rPr>
        <w:t>e de synthèse et</w:t>
      </w:r>
      <w:r w:rsidRPr="00E4315F">
        <w:rPr>
          <w:szCs w:val="18"/>
          <w:lang w:val="fr-FR"/>
        </w:rPr>
        <w:t xml:space="preserve"> 76/08).</w:t>
      </w:r>
    </w:p>
  </w:footnote>
  <w:footnote w:id="11">
    <w:p w:rsidR="0025154B" w:rsidRPr="00E4315F" w:rsidRDefault="0025154B" w:rsidP="00317603">
      <w:pPr>
        <w:pStyle w:val="FootnoteText"/>
        <w:rPr>
          <w:sz w:val="16"/>
          <w:szCs w:val="16"/>
          <w:lang w:val="fr-FR"/>
        </w:rPr>
      </w:pPr>
      <w:r w:rsidRPr="00E4315F">
        <w:rPr>
          <w:szCs w:val="18"/>
          <w:lang w:val="fr-FR"/>
        </w:rPr>
        <w:tab/>
      </w:r>
      <w:r w:rsidRPr="009B5B9B">
        <w:rPr>
          <w:rStyle w:val="FootnoteReference"/>
        </w:rPr>
        <w:footnoteRef/>
      </w:r>
      <w:r w:rsidRPr="00E4315F">
        <w:rPr>
          <w:szCs w:val="18"/>
          <w:lang w:val="fr-FR"/>
        </w:rPr>
        <w:tab/>
        <w:t>Loi r</w:t>
      </w:r>
      <w:r>
        <w:rPr>
          <w:szCs w:val="18"/>
          <w:lang w:val="fr-FR"/>
        </w:rPr>
        <w:t>elative à la communauté rom de la R</w:t>
      </w:r>
      <w:r w:rsidRPr="00E4315F">
        <w:rPr>
          <w:szCs w:val="18"/>
          <w:lang w:val="fr-FR"/>
        </w:rPr>
        <w:t>épublique de Slovénie</w:t>
      </w:r>
      <w:r>
        <w:rPr>
          <w:szCs w:val="18"/>
          <w:lang w:val="fr-FR"/>
        </w:rPr>
        <w:t xml:space="preserve"> (</w:t>
      </w:r>
      <w:r w:rsidRPr="00955B3E">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E4315F">
        <w:rPr>
          <w:szCs w:val="18"/>
          <w:lang w:val="fr-FR"/>
        </w:rPr>
        <w:t>33</w:t>
      </w:r>
      <w:r>
        <w:rPr>
          <w:szCs w:val="18"/>
          <w:lang w:val="fr-FR"/>
        </w:rPr>
        <w:t>/07</w:t>
      </w:r>
      <w:r w:rsidRPr="00E4315F">
        <w:rPr>
          <w:szCs w:val="18"/>
          <w:lang w:val="fr-FR"/>
        </w:rPr>
        <w:t>).</w:t>
      </w:r>
    </w:p>
  </w:footnote>
  <w:footnote w:id="12">
    <w:p w:rsidR="0025154B" w:rsidRPr="003B4EA1" w:rsidRDefault="0025154B" w:rsidP="00317603">
      <w:pPr>
        <w:pStyle w:val="FootnoteText"/>
        <w:rPr>
          <w:szCs w:val="18"/>
        </w:rPr>
      </w:pPr>
      <w:r w:rsidRPr="00E4315F">
        <w:rPr>
          <w:szCs w:val="18"/>
          <w:lang w:val="fr-FR"/>
        </w:rPr>
        <w:tab/>
      </w:r>
      <w:r w:rsidRPr="009B5B9B">
        <w:rPr>
          <w:rStyle w:val="FootnoteReference"/>
        </w:rPr>
        <w:footnoteRef/>
      </w:r>
      <w:r>
        <w:rPr>
          <w:szCs w:val="18"/>
        </w:rPr>
        <w:tab/>
        <w:t>R</w:t>
      </w:r>
      <w:r w:rsidRPr="00285948">
        <w:rPr>
          <w:szCs w:val="18"/>
          <w:lang w:val="fr-FR"/>
        </w:rPr>
        <w:t>é</w:t>
      </w:r>
      <w:r>
        <w:rPr>
          <w:szCs w:val="18"/>
        </w:rPr>
        <w:t xml:space="preserve">solution </w:t>
      </w:r>
      <w:r>
        <w:rPr>
          <w:szCs w:val="18"/>
          <w:lang w:val="fr-FR"/>
        </w:rPr>
        <w:t>sur la coopération pour le développement international</w:t>
      </w:r>
      <w:r w:rsidRPr="003B4EA1">
        <w:rPr>
          <w:szCs w:val="18"/>
        </w:rPr>
        <w:t xml:space="preserve"> </w:t>
      </w:r>
      <w:r>
        <w:rPr>
          <w:szCs w:val="18"/>
          <w:lang w:val="fr-FR"/>
        </w:rPr>
        <w:t xml:space="preserve">de la République de Slovénie pour la période allant jusqu’à 2015 </w:t>
      </w:r>
      <w:r w:rsidRPr="003B4EA1">
        <w:rPr>
          <w:szCs w:val="18"/>
        </w:rPr>
        <w:t>(</w:t>
      </w:r>
      <w:r>
        <w:rPr>
          <w:szCs w:val="18"/>
          <w:lang w:val="fr-FR"/>
        </w:rPr>
        <w:t>J</w:t>
      </w:r>
      <w:r w:rsidRPr="006B544D">
        <w:rPr>
          <w:i/>
          <w:szCs w:val="18"/>
          <w:lang w:val="fr-FR"/>
        </w:rPr>
        <w:t>ournal officiel de la République de Slovénie</w:t>
      </w:r>
      <w:r>
        <w:rPr>
          <w:i/>
          <w:szCs w:val="18"/>
          <w:lang w:val="fr-FR"/>
        </w:rPr>
        <w:t>,</w:t>
      </w:r>
      <w:r>
        <w:rPr>
          <w:szCs w:val="18"/>
          <w:lang w:val="fr-FR"/>
        </w:rPr>
        <w:t xml:space="preserve"> </w:t>
      </w:r>
      <w:r>
        <w:rPr>
          <w:szCs w:val="18"/>
        </w:rPr>
        <w:t>n</w:t>
      </w:r>
      <w:r w:rsidRPr="001B12ED">
        <w:rPr>
          <w:szCs w:val="18"/>
          <w:vertAlign w:val="superscript"/>
          <w:lang w:val="fr-FR"/>
        </w:rPr>
        <w:t>o</w:t>
      </w:r>
      <w:r>
        <w:rPr>
          <w:szCs w:val="18"/>
          <w:lang w:val="fr-CH"/>
        </w:rPr>
        <w:t> </w:t>
      </w:r>
      <w:r w:rsidRPr="003B4EA1">
        <w:rPr>
          <w:szCs w:val="18"/>
        </w:rPr>
        <w:t>73/08)</w:t>
      </w:r>
      <w:r>
        <w:rPr>
          <w:szCs w:val="18"/>
        </w:rPr>
        <w:t>.</w:t>
      </w:r>
    </w:p>
  </w:footnote>
  <w:footnote w:id="13">
    <w:p w:rsidR="0025154B" w:rsidRPr="008B3129" w:rsidRDefault="0025154B" w:rsidP="00317603">
      <w:pPr>
        <w:pStyle w:val="FootnoteText"/>
        <w:rPr>
          <w:sz w:val="16"/>
          <w:szCs w:val="16"/>
        </w:rPr>
      </w:pPr>
      <w:r w:rsidRPr="003B4EA1">
        <w:rPr>
          <w:szCs w:val="18"/>
        </w:rPr>
        <w:tab/>
      </w:r>
      <w:r w:rsidRPr="009B5B9B">
        <w:rPr>
          <w:rStyle w:val="FootnoteReference"/>
        </w:rPr>
        <w:footnoteRef/>
      </w:r>
      <w:r>
        <w:rPr>
          <w:szCs w:val="18"/>
        </w:rPr>
        <w:tab/>
      </w:r>
      <w:r>
        <w:rPr>
          <w:szCs w:val="18"/>
          <w:lang w:val="fr-FR"/>
        </w:rPr>
        <w:t>Loi relative à la communauté rom de la République de Slovénie</w:t>
      </w:r>
      <w:r>
        <w:rPr>
          <w:szCs w:val="18"/>
        </w:rPr>
        <w:t xml:space="preserve"> (</w:t>
      </w:r>
      <w:r w:rsidRPr="00955B3E">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3B4EA1">
        <w:rPr>
          <w:szCs w:val="18"/>
        </w:rPr>
        <w:t>33/07)</w:t>
      </w:r>
      <w:r>
        <w:rPr>
          <w:szCs w:val="18"/>
        </w:rPr>
        <w:t>.</w:t>
      </w:r>
    </w:p>
  </w:footnote>
  <w:footnote w:id="14">
    <w:p w:rsidR="0025154B" w:rsidRPr="00B96434" w:rsidRDefault="0025154B" w:rsidP="00317603">
      <w:pPr>
        <w:pStyle w:val="FootnoteText"/>
        <w:jc w:val="both"/>
        <w:rPr>
          <w:szCs w:val="18"/>
        </w:rPr>
      </w:pPr>
      <w:r>
        <w:rPr>
          <w:sz w:val="16"/>
          <w:szCs w:val="16"/>
        </w:rPr>
        <w:tab/>
      </w:r>
      <w:r w:rsidRPr="009B5B9B">
        <w:rPr>
          <w:rStyle w:val="FootnoteReference"/>
        </w:rPr>
        <w:footnoteRef/>
      </w:r>
      <w:r>
        <w:rPr>
          <w:szCs w:val="18"/>
        </w:rPr>
        <w:tab/>
        <w:t>Lo</w:t>
      </w:r>
      <w:r>
        <w:rPr>
          <w:szCs w:val="18"/>
          <w:lang w:val="fr-FR"/>
        </w:rPr>
        <w:t>i sur les administrations locales autonomes</w:t>
      </w:r>
      <w:r>
        <w:rPr>
          <w:szCs w:val="18"/>
        </w:rPr>
        <w:t xml:space="preserve"> (</w:t>
      </w:r>
      <w:r w:rsidRPr="0036091B">
        <w:rPr>
          <w:i/>
          <w:szCs w:val="18"/>
          <w:lang w:val="fr-FR"/>
        </w:rPr>
        <w:t>Journal officiel de la République de Slovénie</w:t>
      </w:r>
      <w:r>
        <w:rPr>
          <w:szCs w:val="18"/>
        </w:rPr>
        <w:t xml:space="preserve"> n</w:t>
      </w:r>
      <w:r w:rsidRPr="001B12ED">
        <w:rPr>
          <w:szCs w:val="18"/>
          <w:vertAlign w:val="superscript"/>
          <w:lang w:val="fr-FR"/>
        </w:rPr>
        <w:t>o</w:t>
      </w:r>
      <w:r>
        <w:rPr>
          <w:szCs w:val="18"/>
          <w:lang w:val="fr-CH"/>
        </w:rPr>
        <w:t> </w:t>
      </w:r>
      <w:r>
        <w:rPr>
          <w:szCs w:val="18"/>
        </w:rPr>
        <w:t>94/07 –</w:t>
      </w:r>
      <w:r>
        <w:rPr>
          <w:szCs w:val="18"/>
          <w:lang w:val="fr-CH"/>
        </w:rPr>
        <w:t xml:space="preserve"> </w:t>
      </w:r>
      <w:r>
        <w:rPr>
          <w:szCs w:val="18"/>
        </w:rPr>
        <w:t xml:space="preserve">UPB2, 76/08,79/09 </w:t>
      </w:r>
      <w:r>
        <w:rPr>
          <w:szCs w:val="18"/>
          <w:lang w:val="fr-FR"/>
        </w:rPr>
        <w:t>et</w:t>
      </w:r>
      <w:r w:rsidRPr="00B96434">
        <w:rPr>
          <w:szCs w:val="18"/>
        </w:rPr>
        <w:t xml:space="preserve"> 51/10).</w:t>
      </w:r>
    </w:p>
  </w:footnote>
  <w:footnote w:id="15">
    <w:p w:rsidR="0025154B" w:rsidRPr="00B96434" w:rsidRDefault="0025154B" w:rsidP="00317603">
      <w:pPr>
        <w:pStyle w:val="FootnoteText"/>
        <w:jc w:val="both"/>
        <w:rPr>
          <w:szCs w:val="18"/>
        </w:rPr>
      </w:pPr>
      <w:r w:rsidRPr="00B96434">
        <w:rPr>
          <w:szCs w:val="18"/>
        </w:rPr>
        <w:tab/>
      </w:r>
      <w:r w:rsidRPr="009B5B9B">
        <w:rPr>
          <w:rStyle w:val="FootnoteReference"/>
        </w:rPr>
        <w:footnoteRef/>
      </w:r>
      <w:r>
        <w:rPr>
          <w:szCs w:val="18"/>
        </w:rPr>
        <w:t xml:space="preserve"> </w:t>
      </w:r>
      <w:r>
        <w:rPr>
          <w:szCs w:val="18"/>
          <w:lang w:val="fr-CH"/>
        </w:rPr>
        <w:tab/>
      </w:r>
      <w:r>
        <w:rPr>
          <w:szCs w:val="18"/>
          <w:lang w:val="fr-FR"/>
        </w:rPr>
        <w:t xml:space="preserve">Loi régissant le statut juridique des citoyens de l’ex-Yougoslavie vivant en République de Slovénie </w:t>
      </w:r>
      <w:r>
        <w:rPr>
          <w:szCs w:val="18"/>
        </w:rPr>
        <w:t>(</w:t>
      </w:r>
      <w:r w:rsidRPr="0036091B">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B96434">
        <w:rPr>
          <w:szCs w:val="18"/>
        </w:rPr>
        <w:t>76/10).</w:t>
      </w:r>
    </w:p>
  </w:footnote>
  <w:footnote w:id="16">
    <w:p w:rsidR="0025154B" w:rsidRPr="00B96434" w:rsidRDefault="0025154B" w:rsidP="00317603">
      <w:pPr>
        <w:pStyle w:val="FootnoteText"/>
        <w:jc w:val="both"/>
        <w:rPr>
          <w:szCs w:val="18"/>
        </w:rPr>
      </w:pPr>
      <w:r w:rsidRPr="00B96434">
        <w:rPr>
          <w:szCs w:val="18"/>
        </w:rPr>
        <w:tab/>
      </w:r>
      <w:r w:rsidRPr="009B5B9B">
        <w:rPr>
          <w:rStyle w:val="FootnoteReference"/>
        </w:rPr>
        <w:footnoteRef/>
      </w:r>
      <w:r w:rsidRPr="00B96434">
        <w:rPr>
          <w:szCs w:val="18"/>
        </w:rPr>
        <w:tab/>
      </w:r>
      <w:r>
        <w:rPr>
          <w:color w:val="000000"/>
          <w:szCs w:val="18"/>
        </w:rPr>
        <w:t>D</w:t>
      </w:r>
      <w:r w:rsidRPr="00EF27AA">
        <w:rPr>
          <w:color w:val="000000"/>
          <w:szCs w:val="18"/>
          <w:lang w:val="fr-FR"/>
        </w:rPr>
        <w:t>é</w:t>
      </w:r>
      <w:r>
        <w:rPr>
          <w:color w:val="000000"/>
          <w:szCs w:val="18"/>
        </w:rPr>
        <w:t xml:space="preserve">cision </w:t>
      </w:r>
      <w:r>
        <w:rPr>
          <w:color w:val="000000"/>
          <w:szCs w:val="18"/>
          <w:lang w:val="fr-FR"/>
        </w:rPr>
        <w:t xml:space="preserve">de la Cour constitutionnelle de la République de Slovénie </w:t>
      </w:r>
      <w:r>
        <w:rPr>
          <w:szCs w:val="18"/>
        </w:rPr>
        <w:t>n</w:t>
      </w:r>
      <w:r w:rsidRPr="001B12ED">
        <w:rPr>
          <w:szCs w:val="18"/>
          <w:vertAlign w:val="superscript"/>
          <w:lang w:val="fr-FR"/>
        </w:rPr>
        <w:t>o</w:t>
      </w:r>
      <w:r>
        <w:rPr>
          <w:szCs w:val="18"/>
          <w:lang w:val="fr-CH"/>
        </w:rPr>
        <w:t> </w:t>
      </w:r>
      <w:r w:rsidRPr="00B96434">
        <w:rPr>
          <w:color w:val="000000"/>
          <w:szCs w:val="18"/>
        </w:rPr>
        <w:t>U-I</w:t>
      </w:r>
      <w:r>
        <w:rPr>
          <w:color w:val="000000"/>
          <w:szCs w:val="18"/>
        </w:rPr>
        <w:t xml:space="preserve">I-1/10-19 </w:t>
      </w:r>
      <w:r>
        <w:rPr>
          <w:color w:val="000000"/>
          <w:szCs w:val="18"/>
          <w:lang w:val="fr-FR"/>
        </w:rPr>
        <w:t>du</w:t>
      </w:r>
      <w:r>
        <w:rPr>
          <w:color w:val="000000"/>
          <w:szCs w:val="18"/>
        </w:rPr>
        <w:t xml:space="preserve"> 10</w:t>
      </w:r>
      <w:r>
        <w:rPr>
          <w:color w:val="000000"/>
          <w:szCs w:val="18"/>
          <w:lang w:val="fr-FR"/>
        </w:rPr>
        <w:t xml:space="preserve"> juin </w:t>
      </w:r>
      <w:r>
        <w:rPr>
          <w:color w:val="000000"/>
          <w:szCs w:val="18"/>
        </w:rPr>
        <w:t>2010 (</w:t>
      </w:r>
      <w:r w:rsidRPr="00385CCD">
        <w:rPr>
          <w:i/>
          <w:color w:val="000000"/>
          <w:szCs w:val="18"/>
          <w:lang w:val="fr-FR"/>
        </w:rPr>
        <w:t>Journal officiel de la République de Slovénie</w:t>
      </w:r>
      <w:r>
        <w:rPr>
          <w:color w:val="000000"/>
          <w:szCs w:val="18"/>
          <w:lang w:val="fr-FR"/>
        </w:rPr>
        <w:t xml:space="preserve">, </w:t>
      </w:r>
      <w:r>
        <w:rPr>
          <w:szCs w:val="18"/>
        </w:rPr>
        <w:t>n</w:t>
      </w:r>
      <w:r w:rsidRPr="001B12ED">
        <w:rPr>
          <w:szCs w:val="18"/>
          <w:vertAlign w:val="superscript"/>
          <w:lang w:val="fr-FR"/>
        </w:rPr>
        <w:t>o</w:t>
      </w:r>
      <w:r>
        <w:rPr>
          <w:szCs w:val="18"/>
          <w:lang w:val="fr-CH"/>
        </w:rPr>
        <w:t> </w:t>
      </w:r>
      <w:r w:rsidRPr="00B96434">
        <w:rPr>
          <w:color w:val="000000"/>
          <w:szCs w:val="18"/>
        </w:rPr>
        <w:t>50/10).</w:t>
      </w:r>
    </w:p>
  </w:footnote>
  <w:footnote w:id="17">
    <w:p w:rsidR="0025154B" w:rsidRPr="0023165E" w:rsidRDefault="0025154B" w:rsidP="001B12ED">
      <w:pPr>
        <w:pStyle w:val="FootnoteText"/>
        <w:jc w:val="both"/>
        <w:rPr>
          <w:sz w:val="16"/>
          <w:szCs w:val="16"/>
        </w:rPr>
      </w:pPr>
      <w:r>
        <w:rPr>
          <w:szCs w:val="18"/>
          <w:vertAlign w:val="superscript"/>
        </w:rPr>
        <w:tab/>
      </w:r>
      <w:r w:rsidRPr="009B5B9B">
        <w:rPr>
          <w:rStyle w:val="FootnoteReference"/>
        </w:rPr>
        <w:footnoteRef/>
      </w:r>
      <w:r w:rsidRPr="00B96434">
        <w:rPr>
          <w:szCs w:val="18"/>
          <w:vertAlign w:val="superscript"/>
        </w:rPr>
        <w:tab/>
      </w:r>
      <w:r>
        <w:rPr>
          <w:szCs w:val="18"/>
          <w:lang w:val="fr-FR"/>
        </w:rPr>
        <w:t>Loi sur les soins de santé et l’assurance maladie</w:t>
      </w:r>
      <w:r>
        <w:rPr>
          <w:szCs w:val="18"/>
        </w:rPr>
        <w:t xml:space="preserve"> (</w:t>
      </w:r>
      <w:r w:rsidRPr="00385CCD">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Pr>
          <w:szCs w:val="18"/>
        </w:rPr>
        <w:t>72/0</w:t>
      </w:r>
      <w:r>
        <w:rPr>
          <w:szCs w:val="18"/>
          <w:lang w:val="fr-CH"/>
        </w:rPr>
        <w:t>-</w:t>
      </w:r>
      <w:r w:rsidRPr="00B96434">
        <w:rPr>
          <w:szCs w:val="18"/>
        </w:rPr>
        <w:t>UPB3</w:t>
      </w:r>
      <w:r>
        <w:rPr>
          <w:szCs w:val="18"/>
        </w:rPr>
        <w:t>, 114/06</w:t>
      </w:r>
      <w:r>
        <w:rPr>
          <w:szCs w:val="18"/>
          <w:lang w:val="fr-CH"/>
        </w:rPr>
        <w:t>-</w:t>
      </w:r>
      <w:r w:rsidRPr="00B96434">
        <w:rPr>
          <w:szCs w:val="18"/>
        </w:rPr>
        <w:t>ZUTPG</w:t>
      </w:r>
      <w:r>
        <w:rPr>
          <w:szCs w:val="18"/>
        </w:rPr>
        <w:t xml:space="preserve">, </w:t>
      </w:r>
      <w:r w:rsidRPr="00B96434">
        <w:rPr>
          <w:szCs w:val="18"/>
        </w:rPr>
        <w:t>91/07</w:t>
      </w:r>
      <w:r>
        <w:rPr>
          <w:szCs w:val="18"/>
        </w:rPr>
        <w:t>,</w:t>
      </w:r>
      <w:r w:rsidRPr="00B96434">
        <w:rPr>
          <w:szCs w:val="18"/>
        </w:rPr>
        <w:t xml:space="preserve"> 71/08</w:t>
      </w:r>
      <w:r>
        <w:rPr>
          <w:szCs w:val="18"/>
          <w:lang w:val="fr-CH"/>
        </w:rPr>
        <w:t xml:space="preserve"> </w:t>
      </w:r>
      <w:r w:rsidRPr="00B96434">
        <w:rPr>
          <w:szCs w:val="18"/>
        </w:rPr>
        <w:t>– Ref.CC: U-I-163/08-7</w:t>
      </w:r>
      <w:r>
        <w:rPr>
          <w:szCs w:val="18"/>
        </w:rPr>
        <w:t xml:space="preserve">, </w:t>
      </w:r>
      <w:r w:rsidRPr="00B96434">
        <w:rPr>
          <w:szCs w:val="18"/>
        </w:rPr>
        <w:t>76/08</w:t>
      </w:r>
      <w:r>
        <w:rPr>
          <w:szCs w:val="18"/>
        </w:rPr>
        <w:t xml:space="preserve">, </w:t>
      </w:r>
      <w:r w:rsidRPr="00B96434">
        <w:rPr>
          <w:szCs w:val="18"/>
        </w:rPr>
        <w:t>118/08 –</w:t>
      </w:r>
      <w:r>
        <w:rPr>
          <w:szCs w:val="18"/>
          <w:lang w:val="fr-CH"/>
        </w:rPr>
        <w:t xml:space="preserve"> </w:t>
      </w:r>
      <w:r w:rsidRPr="00B96434">
        <w:rPr>
          <w:szCs w:val="18"/>
        </w:rPr>
        <w:t>Ref.CC: U-I-163/08-12</w:t>
      </w:r>
      <w:r>
        <w:rPr>
          <w:szCs w:val="18"/>
        </w:rPr>
        <w:t xml:space="preserve">, </w:t>
      </w:r>
      <w:r w:rsidRPr="00B96434">
        <w:rPr>
          <w:szCs w:val="18"/>
        </w:rPr>
        <w:t>47/10</w:t>
      </w:r>
      <w:r>
        <w:rPr>
          <w:szCs w:val="18"/>
          <w:lang w:val="fr-CH"/>
        </w:rPr>
        <w:t xml:space="preserve"> </w:t>
      </w:r>
      <w:r>
        <w:rPr>
          <w:szCs w:val="18"/>
        </w:rPr>
        <w:t xml:space="preserve">– Dec.CC: U-I-312/08-31 </w:t>
      </w:r>
      <w:r>
        <w:rPr>
          <w:szCs w:val="18"/>
          <w:lang w:val="fr-FR"/>
        </w:rPr>
        <w:t>et</w:t>
      </w:r>
      <w:r>
        <w:rPr>
          <w:szCs w:val="18"/>
        </w:rPr>
        <w:t xml:space="preserve"> 62/10</w:t>
      </w:r>
      <w:r>
        <w:rPr>
          <w:szCs w:val="18"/>
          <w:lang w:val="fr-CH"/>
        </w:rPr>
        <w:t>-</w:t>
      </w:r>
      <w:r w:rsidRPr="00B96434">
        <w:rPr>
          <w:szCs w:val="18"/>
        </w:rPr>
        <w:t>ZUPJS).</w:t>
      </w:r>
      <w:r w:rsidRPr="0023165E">
        <w:rPr>
          <w:sz w:val="16"/>
          <w:szCs w:val="16"/>
        </w:rPr>
        <w:t xml:space="preserve"> </w:t>
      </w:r>
    </w:p>
  </w:footnote>
  <w:footnote w:id="18">
    <w:p w:rsidR="0025154B" w:rsidRPr="00FB3B3D" w:rsidRDefault="0025154B" w:rsidP="00317603">
      <w:pPr>
        <w:pStyle w:val="FootnoteText"/>
        <w:jc w:val="both"/>
        <w:rPr>
          <w:szCs w:val="18"/>
          <w:lang w:val="fr-FR"/>
        </w:rPr>
      </w:pPr>
      <w:r w:rsidRPr="009A79DC">
        <w:rPr>
          <w:szCs w:val="18"/>
        </w:rPr>
        <w:tab/>
      </w:r>
      <w:r w:rsidRPr="009B5B9B">
        <w:rPr>
          <w:rStyle w:val="FootnoteReference"/>
        </w:rPr>
        <w:footnoteRef/>
      </w:r>
      <w:r>
        <w:rPr>
          <w:szCs w:val="18"/>
        </w:rPr>
        <w:tab/>
      </w:r>
      <w:r>
        <w:rPr>
          <w:szCs w:val="18"/>
          <w:lang w:val="fr-FR"/>
        </w:rPr>
        <w:t>Application de la loi sur le principe de l’égalité de traitement (</w:t>
      </w:r>
      <w:r w:rsidRPr="00385CCD">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50/04).</w:t>
      </w:r>
    </w:p>
  </w:footnote>
  <w:footnote w:id="19">
    <w:p w:rsidR="0025154B" w:rsidRPr="009A79DC" w:rsidRDefault="0025154B" w:rsidP="00317603">
      <w:pPr>
        <w:pStyle w:val="FootnoteText"/>
        <w:jc w:val="both"/>
        <w:rPr>
          <w:szCs w:val="18"/>
        </w:rPr>
      </w:pPr>
      <w:r>
        <w:rPr>
          <w:szCs w:val="18"/>
        </w:rPr>
        <w:tab/>
      </w:r>
      <w:r w:rsidRPr="009B5B9B">
        <w:rPr>
          <w:rStyle w:val="FootnoteReference"/>
        </w:rPr>
        <w:footnoteRef/>
      </w:r>
      <w:r>
        <w:rPr>
          <w:szCs w:val="18"/>
        </w:rPr>
        <w:tab/>
        <w:t>R</w:t>
      </w:r>
      <w:r w:rsidRPr="001B2F7A">
        <w:rPr>
          <w:szCs w:val="18"/>
          <w:lang w:val="fr-FR"/>
        </w:rPr>
        <w:t>é</w:t>
      </w:r>
      <w:r>
        <w:rPr>
          <w:szCs w:val="18"/>
        </w:rPr>
        <w:t xml:space="preserve">solution </w:t>
      </w:r>
      <w:r>
        <w:rPr>
          <w:szCs w:val="18"/>
          <w:lang w:val="fr-FR"/>
        </w:rPr>
        <w:t xml:space="preserve">relative au programme national d’égalité des chances des femmes et des hommes, </w:t>
      </w:r>
      <w:r>
        <w:rPr>
          <w:szCs w:val="18"/>
        </w:rPr>
        <w:t>2005-2013 (</w:t>
      </w:r>
      <w:r w:rsidRPr="00385CCD">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9A79DC">
        <w:rPr>
          <w:szCs w:val="18"/>
        </w:rPr>
        <w:t>100/05).</w:t>
      </w:r>
    </w:p>
  </w:footnote>
  <w:footnote w:id="20">
    <w:p w:rsidR="0025154B" w:rsidRPr="00D42559" w:rsidRDefault="0025154B" w:rsidP="00317603">
      <w:pPr>
        <w:pStyle w:val="FootnoteText"/>
        <w:jc w:val="both"/>
        <w:rPr>
          <w:sz w:val="16"/>
          <w:szCs w:val="16"/>
        </w:rPr>
      </w:pPr>
      <w:r w:rsidRPr="009A79DC">
        <w:rPr>
          <w:szCs w:val="18"/>
        </w:rPr>
        <w:tab/>
      </w:r>
      <w:r w:rsidRPr="009B5B9B">
        <w:rPr>
          <w:rStyle w:val="FootnoteReference"/>
        </w:rPr>
        <w:footnoteRef/>
      </w:r>
      <w:r w:rsidRPr="009A79DC">
        <w:rPr>
          <w:szCs w:val="18"/>
        </w:rPr>
        <w:tab/>
        <w:t>CEDAW/C/SVN/4</w:t>
      </w:r>
      <w:r>
        <w:rPr>
          <w:szCs w:val="18"/>
        </w:rPr>
        <w:t>.</w:t>
      </w:r>
    </w:p>
  </w:footnote>
  <w:footnote w:id="21">
    <w:p w:rsidR="0025154B" w:rsidRPr="009A79DC" w:rsidRDefault="0025154B" w:rsidP="00317603">
      <w:pPr>
        <w:pStyle w:val="FootnoteText"/>
        <w:jc w:val="both"/>
        <w:rPr>
          <w:szCs w:val="18"/>
        </w:rPr>
      </w:pPr>
      <w:r w:rsidRPr="009A79DC">
        <w:rPr>
          <w:szCs w:val="18"/>
        </w:rPr>
        <w:tab/>
      </w:r>
      <w:r w:rsidRPr="009B5B9B">
        <w:rPr>
          <w:rStyle w:val="FootnoteReference"/>
        </w:rPr>
        <w:footnoteRef/>
      </w:r>
      <w:r>
        <w:rPr>
          <w:szCs w:val="18"/>
        </w:rPr>
        <w:tab/>
      </w:r>
      <w:r>
        <w:rPr>
          <w:szCs w:val="18"/>
          <w:lang w:val="fr-FR"/>
        </w:rPr>
        <w:t xml:space="preserve">Loi sur les relations professionnelles, </w:t>
      </w:r>
      <w:r w:rsidRPr="00385CCD">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9A79DC">
        <w:rPr>
          <w:szCs w:val="18"/>
        </w:rPr>
        <w:t>42/02</w:t>
      </w:r>
      <w:r>
        <w:rPr>
          <w:szCs w:val="18"/>
        </w:rPr>
        <w:t>, n</w:t>
      </w:r>
      <w:r w:rsidRPr="001B12ED">
        <w:rPr>
          <w:szCs w:val="18"/>
          <w:vertAlign w:val="superscript"/>
          <w:lang w:val="fr-FR"/>
        </w:rPr>
        <w:t>o</w:t>
      </w:r>
      <w:r>
        <w:rPr>
          <w:szCs w:val="18"/>
          <w:lang w:val="fr-CH"/>
        </w:rPr>
        <w:t> </w:t>
      </w:r>
      <w:r w:rsidRPr="009A79DC">
        <w:rPr>
          <w:szCs w:val="18"/>
        </w:rPr>
        <w:t>79/2006 −</w:t>
      </w:r>
      <w:r>
        <w:rPr>
          <w:szCs w:val="18"/>
          <w:lang w:val="fr-CH"/>
        </w:rPr>
        <w:t xml:space="preserve"> </w:t>
      </w:r>
      <w:r w:rsidRPr="009A79DC">
        <w:rPr>
          <w:szCs w:val="18"/>
        </w:rPr>
        <w:t>ZZZPB-F</w:t>
      </w:r>
      <w:r>
        <w:rPr>
          <w:szCs w:val="18"/>
        </w:rPr>
        <w:t>,</w:t>
      </w:r>
      <w:r w:rsidRPr="009A79DC">
        <w:rPr>
          <w:szCs w:val="18"/>
        </w:rPr>
        <w:t xml:space="preserve"> 46/07</w:t>
      </w:r>
      <w:r>
        <w:rPr>
          <w:szCs w:val="18"/>
          <w:lang w:val="fr-CH"/>
        </w:rPr>
        <w:t xml:space="preserve"> </w:t>
      </w:r>
      <w:r w:rsidRPr="009A79DC">
        <w:rPr>
          <w:szCs w:val="18"/>
        </w:rPr>
        <w:t>−</w:t>
      </w:r>
      <w:r>
        <w:rPr>
          <w:szCs w:val="18"/>
          <w:lang w:val="fr-CH"/>
        </w:rPr>
        <w:t xml:space="preserve"> </w:t>
      </w:r>
      <w:r w:rsidRPr="009A79DC">
        <w:rPr>
          <w:szCs w:val="18"/>
        </w:rPr>
        <w:t>Dec.CC: U-I-45/07</w:t>
      </w:r>
      <w:r>
        <w:rPr>
          <w:szCs w:val="18"/>
        </w:rPr>
        <w:t>,</w:t>
      </w:r>
      <w:r w:rsidRPr="009A79DC">
        <w:rPr>
          <w:szCs w:val="18"/>
        </w:rPr>
        <w:t xml:space="preserve"> Up-249/06-22</w:t>
      </w:r>
      <w:r>
        <w:rPr>
          <w:szCs w:val="18"/>
        </w:rPr>
        <w:t>,</w:t>
      </w:r>
      <w:r w:rsidRPr="009A79DC">
        <w:rPr>
          <w:szCs w:val="18"/>
        </w:rPr>
        <w:t xml:space="preserve"> 103/07</w:t>
      </w:r>
      <w:r>
        <w:rPr>
          <w:szCs w:val="18"/>
        </w:rPr>
        <w:t>,</w:t>
      </w:r>
      <w:r w:rsidRPr="009A79DC">
        <w:rPr>
          <w:szCs w:val="18"/>
        </w:rPr>
        <w:t xml:space="preserve"> 45/08 </w:t>
      </w:r>
      <w:r>
        <w:rPr>
          <w:szCs w:val="18"/>
          <w:lang w:val="fr-CH"/>
        </w:rPr>
        <w:t xml:space="preserve">– </w:t>
      </w:r>
      <w:r w:rsidRPr="009A79DC">
        <w:rPr>
          <w:szCs w:val="18"/>
        </w:rPr>
        <w:t>ZArbit</w:t>
      </w:r>
      <w:r>
        <w:rPr>
          <w:szCs w:val="18"/>
        </w:rPr>
        <w:t>,</w:t>
      </w:r>
      <w:r w:rsidRPr="009A79DC">
        <w:rPr>
          <w:szCs w:val="18"/>
        </w:rPr>
        <w:t xml:space="preserve"> 83/09 −</w:t>
      </w:r>
      <w:r>
        <w:rPr>
          <w:szCs w:val="18"/>
          <w:lang w:val="fr-CH"/>
        </w:rPr>
        <w:t xml:space="preserve"> </w:t>
      </w:r>
      <w:r w:rsidRPr="009A79DC">
        <w:rPr>
          <w:szCs w:val="18"/>
        </w:rPr>
        <w:t>Dec.CC: U-I-284/06-26).</w:t>
      </w:r>
    </w:p>
  </w:footnote>
  <w:footnote w:id="22">
    <w:p w:rsidR="0025154B" w:rsidRPr="009A79DC" w:rsidRDefault="0025154B" w:rsidP="00317603">
      <w:pPr>
        <w:pStyle w:val="FootnoteText"/>
        <w:jc w:val="both"/>
        <w:rPr>
          <w:szCs w:val="18"/>
        </w:rPr>
      </w:pPr>
      <w:r>
        <w:rPr>
          <w:szCs w:val="18"/>
        </w:rPr>
        <w:tab/>
      </w:r>
      <w:r w:rsidRPr="009B5B9B">
        <w:rPr>
          <w:rStyle w:val="FootnoteReference"/>
        </w:rPr>
        <w:footnoteRef/>
      </w:r>
      <w:r>
        <w:rPr>
          <w:szCs w:val="18"/>
        </w:rPr>
        <w:tab/>
        <w:t>D</w:t>
      </w:r>
      <w:r>
        <w:rPr>
          <w:szCs w:val="18"/>
          <w:lang w:val="fr-FR"/>
        </w:rPr>
        <w:t>écret sur les mesures visant à protéger la dignité des employés dans la fonction publique (</w:t>
      </w:r>
      <w:r w:rsidRPr="00385CCD">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9A79DC">
        <w:rPr>
          <w:szCs w:val="18"/>
        </w:rPr>
        <w:t>36/09).</w:t>
      </w:r>
    </w:p>
  </w:footnote>
  <w:footnote w:id="23">
    <w:p w:rsidR="0025154B" w:rsidRPr="0023165E" w:rsidRDefault="0025154B" w:rsidP="00317603">
      <w:pPr>
        <w:pStyle w:val="FootnoteText"/>
        <w:jc w:val="both"/>
        <w:rPr>
          <w:sz w:val="16"/>
          <w:szCs w:val="16"/>
        </w:rPr>
      </w:pPr>
      <w:r w:rsidRPr="009A79DC">
        <w:rPr>
          <w:szCs w:val="18"/>
        </w:rPr>
        <w:tab/>
      </w:r>
      <w:r w:rsidRPr="009B5B9B">
        <w:rPr>
          <w:rStyle w:val="FootnoteReference"/>
        </w:rPr>
        <w:footnoteRef/>
      </w:r>
      <w:r>
        <w:rPr>
          <w:szCs w:val="18"/>
        </w:rPr>
        <w:tab/>
      </w:r>
      <w:r>
        <w:rPr>
          <w:szCs w:val="18"/>
          <w:lang w:val="fr-FR"/>
        </w:rPr>
        <w:t>Loi sur les relations professionnelles</w:t>
      </w:r>
      <w:r>
        <w:rPr>
          <w:szCs w:val="18"/>
        </w:rPr>
        <w:t xml:space="preserve"> (</w:t>
      </w:r>
      <w:r w:rsidRPr="00385CCD">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9A79DC">
        <w:rPr>
          <w:szCs w:val="18"/>
        </w:rPr>
        <w:t>42/02</w:t>
      </w:r>
      <w:r>
        <w:rPr>
          <w:szCs w:val="18"/>
        </w:rPr>
        <w:t xml:space="preserve">, </w:t>
      </w:r>
      <w:r w:rsidRPr="009A79DC">
        <w:rPr>
          <w:szCs w:val="18"/>
        </w:rPr>
        <w:t xml:space="preserve">79/2006 </w:t>
      </w:r>
      <w:r>
        <w:rPr>
          <w:szCs w:val="18"/>
          <w:lang w:val="fr-CH"/>
        </w:rPr>
        <w:t>–</w:t>
      </w:r>
      <w:r w:rsidRPr="009A79DC">
        <w:rPr>
          <w:szCs w:val="18"/>
        </w:rPr>
        <w:t xml:space="preserve"> ZZZPB-F</w:t>
      </w:r>
      <w:r>
        <w:rPr>
          <w:szCs w:val="18"/>
        </w:rPr>
        <w:t>,</w:t>
      </w:r>
      <w:r w:rsidRPr="009A79DC">
        <w:rPr>
          <w:szCs w:val="18"/>
        </w:rPr>
        <w:t xml:space="preserve"> 46/07 −</w:t>
      </w:r>
      <w:r>
        <w:rPr>
          <w:szCs w:val="18"/>
          <w:lang w:val="fr-CH"/>
        </w:rPr>
        <w:t xml:space="preserve"> </w:t>
      </w:r>
      <w:r w:rsidRPr="009A79DC">
        <w:rPr>
          <w:szCs w:val="18"/>
        </w:rPr>
        <w:t>Dec.CC: U-I-45/07</w:t>
      </w:r>
      <w:r>
        <w:rPr>
          <w:szCs w:val="18"/>
        </w:rPr>
        <w:t>,</w:t>
      </w:r>
      <w:r w:rsidRPr="009A79DC">
        <w:rPr>
          <w:szCs w:val="18"/>
        </w:rPr>
        <w:t xml:space="preserve"> Up-249/06-22</w:t>
      </w:r>
      <w:r>
        <w:rPr>
          <w:szCs w:val="18"/>
        </w:rPr>
        <w:t>,</w:t>
      </w:r>
      <w:r w:rsidRPr="009A79DC">
        <w:rPr>
          <w:szCs w:val="18"/>
        </w:rPr>
        <w:t xml:space="preserve"> 103/07</w:t>
      </w:r>
      <w:r>
        <w:rPr>
          <w:szCs w:val="18"/>
        </w:rPr>
        <w:t>,</w:t>
      </w:r>
      <w:r w:rsidRPr="009A79DC">
        <w:rPr>
          <w:szCs w:val="18"/>
        </w:rPr>
        <w:t xml:space="preserve"> 45/08-ZArbit</w:t>
      </w:r>
      <w:r>
        <w:rPr>
          <w:szCs w:val="18"/>
        </w:rPr>
        <w:t>,</w:t>
      </w:r>
      <w:r w:rsidRPr="009A79DC">
        <w:rPr>
          <w:szCs w:val="18"/>
        </w:rPr>
        <w:t xml:space="preserve"> 83/09 −</w:t>
      </w:r>
      <w:r>
        <w:rPr>
          <w:szCs w:val="18"/>
          <w:lang w:val="fr-CH"/>
        </w:rPr>
        <w:t xml:space="preserve"> </w:t>
      </w:r>
      <w:r w:rsidRPr="009A79DC">
        <w:rPr>
          <w:szCs w:val="18"/>
        </w:rPr>
        <w:t>Dec.CC: U-I-284/06-26).</w:t>
      </w:r>
    </w:p>
  </w:footnote>
  <w:footnote w:id="24">
    <w:p w:rsidR="0025154B" w:rsidRPr="00B57186"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portant modification de la loi sur les relations professionnelles</w:t>
      </w:r>
      <w:r>
        <w:rPr>
          <w:szCs w:val="18"/>
        </w:rPr>
        <w:t xml:space="preserve"> (</w:t>
      </w:r>
      <w:r w:rsidRPr="00385CCD">
        <w:rPr>
          <w:i/>
          <w:szCs w:val="18"/>
          <w:lang w:val="fr-FR"/>
        </w:rPr>
        <w:t>Journal officiel de la République de Slovénie</w:t>
      </w:r>
      <w:r>
        <w:rPr>
          <w:szCs w:val="18"/>
        </w:rPr>
        <w:t xml:space="preserve"> n</w:t>
      </w:r>
      <w:r w:rsidRPr="001B12ED">
        <w:rPr>
          <w:szCs w:val="18"/>
          <w:vertAlign w:val="superscript"/>
          <w:lang w:val="fr-FR"/>
        </w:rPr>
        <w:t>o</w:t>
      </w:r>
      <w:r>
        <w:rPr>
          <w:szCs w:val="18"/>
          <w:lang w:val="fr-CH"/>
        </w:rPr>
        <w:t> </w:t>
      </w:r>
      <w:r w:rsidRPr="00B57186">
        <w:rPr>
          <w:szCs w:val="18"/>
        </w:rPr>
        <w:t>103/07).</w:t>
      </w:r>
    </w:p>
  </w:footnote>
  <w:footnote w:id="25">
    <w:p w:rsidR="0025154B" w:rsidRPr="00B57186"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portant modification de la loi sur les élections locales</w:t>
      </w:r>
      <w:r>
        <w:rPr>
          <w:szCs w:val="18"/>
        </w:rPr>
        <w:t xml:space="preserve"> (</w:t>
      </w:r>
      <w:r w:rsidRPr="00385CCD">
        <w:rPr>
          <w:i/>
          <w:szCs w:val="18"/>
          <w:lang w:val="fr-FR"/>
        </w:rPr>
        <w:t>Journal officiel de la République de Slovénie</w:t>
      </w:r>
      <w:r>
        <w:rPr>
          <w:szCs w:val="18"/>
        </w:rPr>
        <w:t xml:space="preserve"> n</w:t>
      </w:r>
      <w:r w:rsidRPr="001B12ED">
        <w:rPr>
          <w:szCs w:val="18"/>
          <w:vertAlign w:val="superscript"/>
          <w:lang w:val="fr-FR"/>
        </w:rPr>
        <w:t>o</w:t>
      </w:r>
      <w:r>
        <w:rPr>
          <w:szCs w:val="18"/>
          <w:lang w:val="fr-CH"/>
        </w:rPr>
        <w:t> </w:t>
      </w:r>
      <w:r w:rsidRPr="00B57186">
        <w:rPr>
          <w:szCs w:val="18"/>
        </w:rPr>
        <w:t>72/05).</w:t>
      </w:r>
    </w:p>
  </w:footnote>
  <w:footnote w:id="26">
    <w:p w:rsidR="0025154B" w:rsidRPr="00D42559" w:rsidRDefault="0025154B" w:rsidP="00317603">
      <w:pPr>
        <w:pStyle w:val="FootnoteText"/>
        <w:jc w:val="both"/>
        <w:rPr>
          <w:sz w:val="16"/>
          <w:szCs w:val="16"/>
        </w:rPr>
      </w:pPr>
      <w:r>
        <w:rPr>
          <w:szCs w:val="18"/>
        </w:rPr>
        <w:tab/>
      </w:r>
      <w:r w:rsidRPr="009B5B9B">
        <w:rPr>
          <w:rStyle w:val="FootnoteReference"/>
        </w:rPr>
        <w:footnoteRef/>
      </w:r>
      <w:r>
        <w:rPr>
          <w:szCs w:val="18"/>
        </w:rPr>
        <w:tab/>
      </w:r>
      <w:r>
        <w:rPr>
          <w:szCs w:val="18"/>
          <w:lang w:val="fr-FR"/>
        </w:rPr>
        <w:t>Loi portant modification de la loi sur les élections législatives nationales (</w:t>
      </w:r>
      <w:r w:rsidRPr="00385CCD">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B57186">
        <w:rPr>
          <w:szCs w:val="18"/>
        </w:rPr>
        <w:t>78/2006).</w:t>
      </w:r>
    </w:p>
  </w:footnote>
  <w:footnote w:id="27">
    <w:p w:rsidR="0025154B" w:rsidRPr="000840A8" w:rsidRDefault="0025154B" w:rsidP="00317603">
      <w:pPr>
        <w:pStyle w:val="FootnoteText"/>
        <w:jc w:val="both"/>
        <w:rPr>
          <w:szCs w:val="18"/>
          <w:lang w:val="fr-FR"/>
        </w:rPr>
      </w:pPr>
      <w:r>
        <w:rPr>
          <w:szCs w:val="18"/>
        </w:rPr>
        <w:tab/>
      </w:r>
      <w:r w:rsidRPr="009B5B9B">
        <w:rPr>
          <w:rStyle w:val="FootnoteReference"/>
        </w:rPr>
        <w:footnoteRef/>
      </w:r>
      <w:r>
        <w:rPr>
          <w:szCs w:val="18"/>
        </w:rPr>
        <w:tab/>
      </w:r>
      <w:r w:rsidRPr="000840A8">
        <w:rPr>
          <w:szCs w:val="18"/>
          <w:lang w:val="fr-FR"/>
        </w:rPr>
        <w:t>La restriction horaire proposée (672 heures pour une année calendaire)</w:t>
      </w:r>
      <w:r w:rsidRPr="00F6595F">
        <w:rPr>
          <w:szCs w:val="18"/>
        </w:rPr>
        <w:t xml:space="preserve"> </w:t>
      </w:r>
      <w:r w:rsidRPr="000840A8">
        <w:rPr>
          <w:szCs w:val="18"/>
          <w:lang w:val="fr-FR"/>
        </w:rPr>
        <w:t>découle de la définition des form</w:t>
      </w:r>
      <w:r>
        <w:rPr>
          <w:szCs w:val="18"/>
          <w:lang w:val="fr-FR"/>
        </w:rPr>
        <w:t>e</w:t>
      </w:r>
      <w:r w:rsidRPr="000840A8">
        <w:rPr>
          <w:szCs w:val="18"/>
          <w:lang w:val="fr-FR"/>
        </w:rPr>
        <w:t>s de travail liées au temps de travail hebdomadaire</w:t>
      </w:r>
      <w:r>
        <w:rPr>
          <w:szCs w:val="18"/>
          <w:lang w:val="fr-FR"/>
        </w:rPr>
        <w:t>,</w:t>
      </w:r>
      <w:r w:rsidRPr="000840A8">
        <w:rPr>
          <w:szCs w:val="18"/>
          <w:lang w:val="fr-FR"/>
        </w:rPr>
        <w:t xml:space="preserve"> </w:t>
      </w:r>
      <w:r>
        <w:rPr>
          <w:szCs w:val="18"/>
          <w:lang w:val="fr-FR"/>
        </w:rPr>
        <w:t>indiquée</w:t>
      </w:r>
      <w:r w:rsidRPr="000840A8">
        <w:rPr>
          <w:szCs w:val="18"/>
          <w:lang w:val="fr-FR"/>
        </w:rPr>
        <w:t xml:space="preserve"> par l</w:t>
      </w:r>
      <w:r>
        <w:rPr>
          <w:szCs w:val="18"/>
          <w:lang w:val="fr-FR"/>
        </w:rPr>
        <w:t>’</w:t>
      </w:r>
      <w:r w:rsidRPr="000840A8">
        <w:rPr>
          <w:szCs w:val="18"/>
          <w:lang w:val="fr-FR"/>
        </w:rPr>
        <w:t>Organisation de coopération et de développement économique</w:t>
      </w:r>
      <w:r>
        <w:rPr>
          <w:szCs w:val="18"/>
          <w:lang w:val="fr-FR"/>
        </w:rPr>
        <w:t>s (OCDE),</w:t>
      </w:r>
      <w:r w:rsidRPr="000840A8">
        <w:rPr>
          <w:szCs w:val="18"/>
          <w:lang w:val="fr-FR"/>
        </w:rPr>
        <w:t xml:space="preserve"> soit: 0-14 heures hebdomadaires = </w:t>
      </w:r>
      <w:r>
        <w:rPr>
          <w:szCs w:val="18"/>
          <w:lang w:val="fr-FR"/>
        </w:rPr>
        <w:t>emplois d appoint,</w:t>
      </w:r>
      <w:r w:rsidRPr="000840A8">
        <w:rPr>
          <w:szCs w:val="18"/>
          <w:lang w:val="fr-FR"/>
        </w:rPr>
        <w:t xml:space="preserve"> 15-29 heures hebdomadaires</w:t>
      </w:r>
      <w:r>
        <w:rPr>
          <w:szCs w:val="18"/>
          <w:lang w:val="fr-FR"/>
        </w:rPr>
        <w:t xml:space="preserve"> </w:t>
      </w:r>
      <w:r w:rsidRPr="000840A8">
        <w:rPr>
          <w:szCs w:val="18"/>
          <w:lang w:val="fr-FR"/>
        </w:rPr>
        <w:t xml:space="preserve">= </w:t>
      </w:r>
      <w:r>
        <w:rPr>
          <w:szCs w:val="18"/>
          <w:lang w:val="fr-FR"/>
        </w:rPr>
        <w:t>emplois</w:t>
      </w:r>
      <w:r w:rsidRPr="000840A8">
        <w:rPr>
          <w:szCs w:val="18"/>
          <w:lang w:val="fr-FR"/>
        </w:rPr>
        <w:t xml:space="preserve"> à temps partiel</w:t>
      </w:r>
      <w:r>
        <w:rPr>
          <w:szCs w:val="18"/>
          <w:lang w:val="fr-FR"/>
        </w:rPr>
        <w:t>,</w:t>
      </w:r>
      <w:r w:rsidRPr="000840A8">
        <w:rPr>
          <w:szCs w:val="18"/>
          <w:lang w:val="fr-FR"/>
        </w:rPr>
        <w:t xml:space="preserve"> 30-48 heures hebdomadaires</w:t>
      </w:r>
      <w:r>
        <w:rPr>
          <w:szCs w:val="18"/>
          <w:lang w:val="fr-FR"/>
        </w:rPr>
        <w:t xml:space="preserve"> </w:t>
      </w:r>
      <w:r w:rsidRPr="000840A8">
        <w:rPr>
          <w:szCs w:val="18"/>
          <w:lang w:val="fr-FR"/>
        </w:rPr>
        <w:t xml:space="preserve">= </w:t>
      </w:r>
      <w:r>
        <w:rPr>
          <w:szCs w:val="18"/>
          <w:lang w:val="fr-FR"/>
        </w:rPr>
        <w:t>emplois</w:t>
      </w:r>
      <w:r w:rsidRPr="000840A8">
        <w:rPr>
          <w:szCs w:val="18"/>
          <w:lang w:val="fr-FR"/>
        </w:rPr>
        <w:t xml:space="preserve"> à temps plein</w:t>
      </w:r>
      <w:r>
        <w:rPr>
          <w:szCs w:val="18"/>
          <w:lang w:val="fr-FR"/>
        </w:rPr>
        <w:t>,</w:t>
      </w:r>
      <w:r w:rsidRPr="000840A8">
        <w:rPr>
          <w:szCs w:val="18"/>
          <w:lang w:val="fr-FR"/>
        </w:rPr>
        <w:t xml:space="preserve"> au-delà de</w:t>
      </w:r>
      <w:r>
        <w:rPr>
          <w:szCs w:val="18"/>
          <w:lang w:val="fr-FR"/>
        </w:rPr>
        <w:t xml:space="preserve"> 48</w:t>
      </w:r>
      <w:r w:rsidRPr="000840A8">
        <w:rPr>
          <w:szCs w:val="18"/>
          <w:lang w:val="fr-FR"/>
        </w:rPr>
        <w:t xml:space="preserve"> heures hebdomadaires = heures supplémentaires</w:t>
      </w:r>
      <w:r>
        <w:rPr>
          <w:szCs w:val="18"/>
          <w:lang w:val="fr-FR"/>
        </w:rPr>
        <w:t>.</w:t>
      </w:r>
      <w:r w:rsidRPr="000840A8">
        <w:rPr>
          <w:szCs w:val="18"/>
          <w:lang w:val="fr-FR"/>
        </w:rPr>
        <w:t xml:space="preserve"> </w:t>
      </w:r>
    </w:p>
  </w:footnote>
  <w:footnote w:id="28">
    <w:p w:rsidR="0025154B" w:rsidRPr="00F6595F"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sur l’emploi et l’assurance chômage</w:t>
      </w:r>
      <w:r>
        <w:rPr>
          <w:szCs w:val="18"/>
        </w:rPr>
        <w:t xml:space="preserve"> (</w:t>
      </w:r>
      <w:r w:rsidRPr="00385CCD">
        <w:rPr>
          <w:i/>
          <w:szCs w:val="18"/>
          <w:lang w:val="fr-FR"/>
        </w:rPr>
        <w:t>Journal officiel de la République de Slovénie</w:t>
      </w:r>
      <w:r>
        <w:rPr>
          <w:szCs w:val="18"/>
          <w:lang w:val="fr-FR"/>
        </w:rPr>
        <w:t>,</w:t>
      </w:r>
      <w:r>
        <w:rPr>
          <w:szCs w:val="18"/>
        </w:rPr>
        <w:t xml:space="preserve"> n</w:t>
      </w:r>
      <w:r w:rsidRPr="001B12ED">
        <w:rPr>
          <w:szCs w:val="18"/>
          <w:vertAlign w:val="superscript"/>
          <w:lang w:val="fr-FR"/>
        </w:rPr>
        <w:t>o</w:t>
      </w:r>
      <w:r>
        <w:rPr>
          <w:szCs w:val="18"/>
          <w:lang w:val="fr-CH"/>
        </w:rPr>
        <w:t> </w:t>
      </w:r>
      <w:r>
        <w:rPr>
          <w:szCs w:val="18"/>
        </w:rPr>
        <w:t xml:space="preserve">5/1991 </w:t>
      </w:r>
      <w:r>
        <w:rPr>
          <w:szCs w:val="18"/>
          <w:lang w:val="fr-FR"/>
        </w:rPr>
        <w:t>et</w:t>
      </w:r>
      <w:r w:rsidRPr="00F6595F">
        <w:rPr>
          <w:szCs w:val="18"/>
        </w:rPr>
        <w:t xml:space="preserve"> amend</w:t>
      </w:r>
      <w:r>
        <w:rPr>
          <w:szCs w:val="18"/>
          <w:lang w:val="fr-FR"/>
        </w:rPr>
        <w:t>e</w:t>
      </w:r>
      <w:r w:rsidRPr="00F6595F">
        <w:rPr>
          <w:szCs w:val="18"/>
        </w:rPr>
        <w:t>ments).</w:t>
      </w:r>
    </w:p>
  </w:footnote>
  <w:footnote w:id="29">
    <w:p w:rsidR="0025154B" w:rsidRPr="009A1FC8" w:rsidRDefault="0025154B" w:rsidP="00317603">
      <w:pPr>
        <w:pStyle w:val="FootnoteText"/>
        <w:jc w:val="both"/>
        <w:rPr>
          <w:sz w:val="16"/>
          <w:szCs w:val="16"/>
        </w:rPr>
      </w:pPr>
      <w:r>
        <w:rPr>
          <w:szCs w:val="18"/>
        </w:rPr>
        <w:tab/>
      </w:r>
      <w:r w:rsidRPr="009B5B9B">
        <w:rPr>
          <w:rStyle w:val="FootnoteReference"/>
        </w:rPr>
        <w:footnoteRef/>
      </w:r>
      <w:r>
        <w:rPr>
          <w:szCs w:val="18"/>
        </w:rPr>
        <w:tab/>
      </w:r>
      <w:r w:rsidRPr="00390572">
        <w:rPr>
          <w:i/>
          <w:szCs w:val="18"/>
        </w:rPr>
        <w:t>Source</w:t>
      </w:r>
      <w:r>
        <w:rPr>
          <w:szCs w:val="18"/>
        </w:rPr>
        <w:t xml:space="preserve">: </w:t>
      </w:r>
      <w:r>
        <w:rPr>
          <w:szCs w:val="18"/>
          <w:lang w:val="fr-FR"/>
        </w:rPr>
        <w:t>Bureau de la statistique de la République de Slovénie et Enquête sur l’emploi, troisième trimestre</w:t>
      </w:r>
      <w:r w:rsidRPr="00F6595F">
        <w:rPr>
          <w:szCs w:val="18"/>
        </w:rPr>
        <w:t>.</w:t>
      </w:r>
    </w:p>
  </w:footnote>
  <w:footnote w:id="30">
    <w:p w:rsidR="0025154B" w:rsidRPr="009A1FC8" w:rsidRDefault="0025154B" w:rsidP="00317603">
      <w:pPr>
        <w:pStyle w:val="FootnoteText"/>
        <w:jc w:val="both"/>
        <w:rPr>
          <w:sz w:val="16"/>
          <w:szCs w:val="16"/>
        </w:rPr>
      </w:pPr>
      <w:r>
        <w:rPr>
          <w:szCs w:val="18"/>
        </w:rPr>
        <w:tab/>
      </w:r>
      <w:r w:rsidRPr="009B5B9B">
        <w:rPr>
          <w:rStyle w:val="FootnoteReference"/>
        </w:rPr>
        <w:footnoteRef/>
      </w:r>
      <w:r>
        <w:rPr>
          <w:szCs w:val="18"/>
        </w:rPr>
        <w:tab/>
      </w:r>
      <w:r>
        <w:rPr>
          <w:szCs w:val="18"/>
          <w:lang w:val="fr-FR"/>
        </w:rPr>
        <w:t xml:space="preserve">Rapport initial de la </w:t>
      </w:r>
      <w:r>
        <w:rPr>
          <w:szCs w:val="18"/>
        </w:rPr>
        <w:t>Slov</w:t>
      </w:r>
      <w:r>
        <w:rPr>
          <w:szCs w:val="18"/>
          <w:lang w:val="fr-FR"/>
        </w:rPr>
        <w:t>é</w:t>
      </w:r>
      <w:r>
        <w:rPr>
          <w:szCs w:val="18"/>
        </w:rPr>
        <w:t>ni</w:t>
      </w:r>
      <w:r>
        <w:rPr>
          <w:szCs w:val="18"/>
          <w:lang w:val="fr-FR"/>
        </w:rPr>
        <w:t>e</w:t>
      </w:r>
      <w:r>
        <w:rPr>
          <w:szCs w:val="18"/>
        </w:rPr>
        <w:t xml:space="preserve"> (</w:t>
      </w:r>
      <w:r w:rsidRPr="00A4202A">
        <w:rPr>
          <w:szCs w:val="18"/>
        </w:rPr>
        <w:t>E/1990/5/Add.62</w:t>
      </w:r>
      <w:r>
        <w:rPr>
          <w:szCs w:val="18"/>
        </w:rPr>
        <w:t>)</w:t>
      </w:r>
      <w:r w:rsidRPr="00A4202A">
        <w:rPr>
          <w:szCs w:val="18"/>
        </w:rPr>
        <w:t>.</w:t>
      </w:r>
    </w:p>
  </w:footnote>
  <w:footnote w:id="31">
    <w:p w:rsidR="0025154B" w:rsidRPr="006D3785" w:rsidRDefault="0025154B" w:rsidP="00317603">
      <w:pPr>
        <w:pStyle w:val="FootnoteText"/>
        <w:jc w:val="both"/>
        <w:rPr>
          <w:szCs w:val="18"/>
          <w:lang w:val="fr-FR"/>
        </w:rPr>
      </w:pPr>
      <w:r>
        <w:rPr>
          <w:szCs w:val="18"/>
        </w:rPr>
        <w:tab/>
      </w:r>
      <w:r w:rsidRPr="009B5B9B">
        <w:rPr>
          <w:rStyle w:val="FootnoteReference"/>
        </w:rPr>
        <w:footnoteRef/>
      </w:r>
      <w:r>
        <w:rPr>
          <w:szCs w:val="18"/>
        </w:rPr>
        <w:tab/>
      </w:r>
      <w:r>
        <w:rPr>
          <w:szCs w:val="18"/>
          <w:lang w:val="fr-FR"/>
        </w:rPr>
        <w:t>L’une des conditions consiste à conserver un emploi indépendant pendant deux ans, pour que la situation fasse l’objet d’un suivi statistique</w:t>
      </w:r>
      <w:r w:rsidRPr="00A4202A">
        <w:rPr>
          <w:szCs w:val="18"/>
        </w:rPr>
        <w:t xml:space="preserve"> </w:t>
      </w:r>
      <w:r>
        <w:rPr>
          <w:szCs w:val="18"/>
          <w:lang w:val="fr-FR"/>
        </w:rPr>
        <w:t xml:space="preserve">deux ans après encaissement de la subvention. </w:t>
      </w:r>
    </w:p>
  </w:footnote>
  <w:footnote w:id="32">
    <w:p w:rsidR="0025154B" w:rsidRPr="009A1FC8" w:rsidRDefault="0025154B" w:rsidP="00317603">
      <w:pPr>
        <w:pStyle w:val="FootnoteText"/>
        <w:jc w:val="both"/>
        <w:rPr>
          <w:sz w:val="16"/>
          <w:szCs w:val="16"/>
        </w:rPr>
      </w:pPr>
      <w:r>
        <w:rPr>
          <w:szCs w:val="18"/>
        </w:rPr>
        <w:tab/>
      </w:r>
      <w:r w:rsidRPr="009B5B9B">
        <w:rPr>
          <w:rStyle w:val="FootnoteReference"/>
        </w:rPr>
        <w:footnoteRef/>
      </w:r>
      <w:r>
        <w:rPr>
          <w:szCs w:val="18"/>
        </w:rPr>
        <w:tab/>
      </w:r>
      <w:r>
        <w:rPr>
          <w:szCs w:val="18"/>
          <w:lang w:val="fr-FR"/>
        </w:rPr>
        <w:t xml:space="preserve">Loi sur l’emploi et le travail des étrangers </w:t>
      </w:r>
      <w:r>
        <w:rPr>
          <w:szCs w:val="18"/>
        </w:rPr>
        <w:t>(</w:t>
      </w:r>
      <w:r w:rsidRPr="007B17A8">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A4202A">
        <w:rPr>
          <w:szCs w:val="18"/>
        </w:rPr>
        <w:t>26/11).</w:t>
      </w:r>
    </w:p>
  </w:footnote>
  <w:footnote w:id="33">
    <w:p w:rsidR="0025154B" w:rsidRPr="00835F80" w:rsidRDefault="0025154B" w:rsidP="00317603">
      <w:pPr>
        <w:pStyle w:val="FootnoteText"/>
        <w:jc w:val="both"/>
        <w:rPr>
          <w:szCs w:val="18"/>
          <w:lang w:val="fr-FR"/>
        </w:rPr>
      </w:pPr>
      <w:r>
        <w:rPr>
          <w:szCs w:val="18"/>
        </w:rPr>
        <w:tab/>
      </w:r>
      <w:r w:rsidRPr="009B5B9B">
        <w:rPr>
          <w:rStyle w:val="FootnoteReference"/>
        </w:rPr>
        <w:footnoteRef/>
      </w:r>
      <w:r>
        <w:rPr>
          <w:szCs w:val="18"/>
        </w:rPr>
        <w:tab/>
      </w:r>
      <w:r w:rsidRPr="00835F80">
        <w:rPr>
          <w:szCs w:val="18"/>
          <w:lang w:val="fr-FR"/>
        </w:rPr>
        <w:t>Les modifications à la loi concernent essentiellement la transposition des directives de l</w:t>
      </w:r>
      <w:r>
        <w:rPr>
          <w:szCs w:val="18"/>
          <w:lang w:val="fr-FR"/>
        </w:rPr>
        <w:t xml:space="preserve">’Union européenne, à savoir, la Directive </w:t>
      </w:r>
      <w:r>
        <w:rPr>
          <w:szCs w:val="18"/>
        </w:rPr>
        <w:t>2009/50/</w:t>
      </w:r>
      <w:r w:rsidRPr="00835F80">
        <w:rPr>
          <w:szCs w:val="18"/>
          <w:lang w:val="fr-FR"/>
        </w:rPr>
        <w:t>CE</w:t>
      </w:r>
      <w:r w:rsidRPr="00A4202A">
        <w:rPr>
          <w:szCs w:val="18"/>
        </w:rPr>
        <w:t xml:space="preserve"> </w:t>
      </w:r>
      <w:r>
        <w:rPr>
          <w:szCs w:val="18"/>
          <w:lang w:val="fr-FR"/>
        </w:rPr>
        <w:t>du Conseil du 25 mai 2009 établissant les conditions d’entrée et de séjour des ressortissants de pays tiers aux fins d’un emploi hautement qualifié (</w:t>
      </w:r>
      <w:r w:rsidRPr="007B17A8">
        <w:rPr>
          <w:i/>
          <w:szCs w:val="18"/>
          <w:lang w:val="fr-FR"/>
        </w:rPr>
        <w:t xml:space="preserve">Journal officiel de la </w:t>
      </w:r>
      <w:r>
        <w:rPr>
          <w:i/>
          <w:szCs w:val="18"/>
          <w:lang w:val="fr-FR"/>
        </w:rPr>
        <w:t xml:space="preserve">République de </w:t>
      </w:r>
      <w:r w:rsidRPr="007B17A8">
        <w:rPr>
          <w:i/>
          <w:szCs w:val="18"/>
          <w:lang w:val="fr-FR"/>
        </w:rPr>
        <w:t>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155, 18 juin 2009, p. 17) et la Directive</w:t>
      </w:r>
      <w:r>
        <w:rPr>
          <w:szCs w:val="18"/>
        </w:rPr>
        <w:t xml:space="preserve"> 2009/52/</w:t>
      </w:r>
      <w:r>
        <w:rPr>
          <w:szCs w:val="18"/>
          <w:lang w:val="fr-FR"/>
        </w:rPr>
        <w:t>CE</w:t>
      </w:r>
      <w:r>
        <w:rPr>
          <w:szCs w:val="18"/>
        </w:rPr>
        <w:t xml:space="preserve"> </w:t>
      </w:r>
      <w:r>
        <w:rPr>
          <w:szCs w:val="18"/>
          <w:lang w:val="fr-FR"/>
        </w:rPr>
        <w:t>du Parlement européen et du Conseil du 18 juin 2009 prévoyant des normes minimales concernant les sanctions et les mesures prises à l’encontre des employeurs de ressortissants de pays tiers en séjour irrégulier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 xml:space="preserve">168, 30 juin 2009, p. 24). </w:t>
      </w:r>
    </w:p>
  </w:footnote>
  <w:footnote w:id="34">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sidRPr="000C4DE1">
        <w:rPr>
          <w:szCs w:val="18"/>
        </w:rPr>
        <w:tab/>
      </w:r>
      <w:r w:rsidRPr="00FD0865">
        <w:rPr>
          <w:szCs w:val="18"/>
          <w:lang w:val="fr-FR"/>
        </w:rPr>
        <w:t>Les modifications apportées à la loi corrigent les différences existantes</w:t>
      </w:r>
      <w:r>
        <w:rPr>
          <w:szCs w:val="18"/>
          <w:lang w:val="fr-FR"/>
        </w:rPr>
        <w:t>,</w:t>
      </w:r>
      <w:r w:rsidRPr="00FD0865">
        <w:rPr>
          <w:szCs w:val="18"/>
          <w:lang w:val="fr-FR"/>
        </w:rPr>
        <w:t xml:space="preserve"> ell</w:t>
      </w:r>
      <w:r>
        <w:rPr>
          <w:szCs w:val="18"/>
          <w:lang w:val="fr-FR"/>
        </w:rPr>
        <w:t>e</w:t>
      </w:r>
      <w:r w:rsidRPr="00FD0865">
        <w:rPr>
          <w:szCs w:val="18"/>
          <w:lang w:val="fr-FR"/>
        </w:rPr>
        <w:t>s harmonisent la termino</w:t>
      </w:r>
      <w:r>
        <w:rPr>
          <w:szCs w:val="18"/>
          <w:lang w:val="fr-FR"/>
        </w:rPr>
        <w:t xml:space="preserve">logie avec </w:t>
      </w:r>
      <w:r w:rsidRPr="00FD0865">
        <w:rPr>
          <w:szCs w:val="18"/>
          <w:lang w:val="fr-FR"/>
        </w:rPr>
        <w:t>la loi sur les relations professionnelles et la loi sur les étrangers</w:t>
      </w:r>
      <w:r>
        <w:rPr>
          <w:szCs w:val="18"/>
          <w:lang w:val="fr-FR"/>
        </w:rPr>
        <w:t>,</w:t>
      </w:r>
      <w:r w:rsidRPr="00FD0865">
        <w:rPr>
          <w:szCs w:val="18"/>
          <w:lang w:val="fr-FR"/>
        </w:rPr>
        <w:t xml:space="preserve"> et donnent des définitions plus claires et plus synthétiques </w:t>
      </w:r>
      <w:r>
        <w:rPr>
          <w:szCs w:val="18"/>
          <w:lang w:val="fr-FR"/>
        </w:rPr>
        <w:t xml:space="preserve">dont le sens est préservé. </w:t>
      </w:r>
    </w:p>
  </w:footnote>
  <w:footnote w:id="35">
    <w:p w:rsidR="0025154B" w:rsidRPr="00D61BED" w:rsidRDefault="0025154B" w:rsidP="00317603">
      <w:pPr>
        <w:pStyle w:val="FootnoteText"/>
        <w:jc w:val="both"/>
        <w:rPr>
          <w:szCs w:val="18"/>
          <w:lang w:val="fr-FR"/>
        </w:rPr>
      </w:pPr>
      <w:r>
        <w:rPr>
          <w:szCs w:val="18"/>
          <w:vertAlign w:val="superscript"/>
        </w:rPr>
        <w:tab/>
      </w:r>
      <w:r w:rsidRPr="009B5B9B">
        <w:rPr>
          <w:rStyle w:val="FootnoteReference"/>
        </w:rPr>
        <w:footnoteRef/>
      </w:r>
      <w:r w:rsidRPr="000C4DE1">
        <w:rPr>
          <w:szCs w:val="18"/>
        </w:rPr>
        <w:tab/>
      </w:r>
      <w:r>
        <w:rPr>
          <w:szCs w:val="18"/>
          <w:lang w:val="fr-FR"/>
        </w:rPr>
        <w:t>Vu le fort ralentissement</w:t>
      </w:r>
      <w:r w:rsidRPr="00621ED5">
        <w:rPr>
          <w:szCs w:val="18"/>
          <w:lang w:val="fr-FR"/>
        </w:rPr>
        <w:t xml:space="preserve"> des échanges de marchandises</w:t>
      </w:r>
      <w:r>
        <w:rPr>
          <w:szCs w:val="18"/>
          <w:lang w:val="fr-FR"/>
        </w:rPr>
        <w:t>,</w:t>
      </w:r>
      <w:r w:rsidRPr="00621ED5">
        <w:rPr>
          <w:szCs w:val="18"/>
          <w:lang w:val="fr-FR"/>
        </w:rPr>
        <w:t xml:space="preserve"> ess</w:t>
      </w:r>
      <w:r>
        <w:rPr>
          <w:szCs w:val="18"/>
          <w:lang w:val="fr-FR"/>
        </w:rPr>
        <w:t>e</w:t>
      </w:r>
      <w:r w:rsidRPr="00621ED5">
        <w:rPr>
          <w:szCs w:val="18"/>
          <w:lang w:val="fr-FR"/>
        </w:rPr>
        <w:t>ntiell</w:t>
      </w:r>
      <w:r>
        <w:rPr>
          <w:szCs w:val="18"/>
          <w:lang w:val="fr-FR"/>
        </w:rPr>
        <w:t>ement des exportations, et la</w:t>
      </w:r>
      <w:r w:rsidRPr="00621ED5">
        <w:rPr>
          <w:szCs w:val="18"/>
          <w:lang w:val="fr-FR"/>
        </w:rPr>
        <w:t xml:space="preserve"> </w:t>
      </w:r>
      <w:r>
        <w:rPr>
          <w:szCs w:val="18"/>
          <w:lang w:val="fr-FR"/>
        </w:rPr>
        <w:t>ré</w:t>
      </w:r>
      <w:r w:rsidRPr="00621ED5">
        <w:rPr>
          <w:szCs w:val="18"/>
          <w:lang w:val="fr-FR"/>
        </w:rPr>
        <w:t xml:space="preserve">duction </w:t>
      </w:r>
      <w:r>
        <w:rPr>
          <w:szCs w:val="18"/>
          <w:lang w:val="fr-FR"/>
        </w:rPr>
        <w:t xml:space="preserve">de la production des industries de transformation, comme de la construction, la baisse du volume des activités à fort recrutement de main-d’œuvre étrangère devrait se poursuivre en 2010. Compte tenu du mouvement limité des activités individuelles et des prévisions à la hausse du chômage, le quota des permis de travail pour 2010 a été fixé à 12 000, soit 50% de moins qu’en 2009. </w:t>
      </w:r>
    </w:p>
  </w:footnote>
  <w:footnote w:id="36">
    <w:p w:rsidR="0025154B" w:rsidRPr="00CC7EBA" w:rsidRDefault="0025154B" w:rsidP="00317603">
      <w:pPr>
        <w:pStyle w:val="FootnoteText"/>
        <w:jc w:val="both"/>
        <w:rPr>
          <w:sz w:val="16"/>
          <w:szCs w:val="16"/>
          <w:lang w:val="fr-FR"/>
        </w:rPr>
      </w:pPr>
      <w:r>
        <w:rPr>
          <w:szCs w:val="18"/>
          <w:vertAlign w:val="superscript"/>
        </w:rPr>
        <w:tab/>
      </w:r>
      <w:r w:rsidRPr="009B5B9B">
        <w:rPr>
          <w:rStyle w:val="FootnoteReference"/>
        </w:rPr>
        <w:footnoteRef/>
      </w:r>
      <w:r w:rsidRPr="00D968E9">
        <w:rPr>
          <w:szCs w:val="18"/>
        </w:rPr>
        <w:tab/>
      </w:r>
      <w:r>
        <w:rPr>
          <w:szCs w:val="18"/>
          <w:lang w:val="fr-FR"/>
        </w:rPr>
        <w:t>On ne dispose pas encore de la totalité des données relatives à</w:t>
      </w:r>
      <w:r>
        <w:rPr>
          <w:szCs w:val="18"/>
        </w:rPr>
        <w:t xml:space="preserve"> 2009</w:t>
      </w:r>
      <w:r>
        <w:rPr>
          <w:szCs w:val="18"/>
          <w:lang w:val="fr-FR"/>
        </w:rPr>
        <w:t>.</w:t>
      </w:r>
    </w:p>
  </w:footnote>
  <w:footnote w:id="37">
    <w:p w:rsidR="0025154B" w:rsidRPr="00CC7EBA" w:rsidRDefault="0025154B" w:rsidP="00317603">
      <w:pPr>
        <w:pStyle w:val="FootnoteText"/>
        <w:jc w:val="both"/>
        <w:rPr>
          <w:szCs w:val="18"/>
          <w:lang w:val="fr-FR"/>
        </w:rPr>
      </w:pPr>
      <w:r>
        <w:rPr>
          <w:szCs w:val="18"/>
        </w:rPr>
        <w:tab/>
      </w:r>
      <w:r w:rsidRPr="009B5B9B">
        <w:rPr>
          <w:rStyle w:val="FootnoteReference"/>
        </w:rPr>
        <w:footnoteRef/>
      </w:r>
      <w:r>
        <w:rPr>
          <w:szCs w:val="18"/>
        </w:rPr>
        <w:tab/>
      </w:r>
      <w:r>
        <w:rPr>
          <w:szCs w:val="18"/>
          <w:lang w:val="fr-FR"/>
        </w:rPr>
        <w:t>Loi sur la réadaptation professionnelle et l’emploi des personnes handicapées (</w:t>
      </w:r>
      <w:r w:rsidRPr="00AF7925">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63/04 </w:t>
      </w:r>
      <w:r>
        <w:rPr>
          <w:szCs w:val="18"/>
          <w:lang w:val="fr-FR"/>
        </w:rPr>
        <w:t>et amendements</w:t>
      </w:r>
      <w:r w:rsidRPr="00A4202A">
        <w:rPr>
          <w:szCs w:val="18"/>
        </w:rPr>
        <w:t>)</w:t>
      </w:r>
      <w:r>
        <w:rPr>
          <w:szCs w:val="18"/>
          <w:lang w:val="fr-FR"/>
        </w:rPr>
        <w:t>.</w:t>
      </w:r>
    </w:p>
  </w:footnote>
  <w:footnote w:id="38">
    <w:p w:rsidR="0025154B" w:rsidRPr="00897861" w:rsidRDefault="0025154B" w:rsidP="00317603">
      <w:pPr>
        <w:pStyle w:val="FootnoteText"/>
        <w:jc w:val="both"/>
        <w:rPr>
          <w:sz w:val="16"/>
          <w:szCs w:val="16"/>
          <w:lang w:val="fr-FR"/>
        </w:rPr>
      </w:pPr>
      <w:r>
        <w:rPr>
          <w:szCs w:val="18"/>
          <w:vertAlign w:val="superscript"/>
        </w:rPr>
        <w:tab/>
      </w:r>
      <w:r w:rsidRPr="009B5B9B">
        <w:rPr>
          <w:rStyle w:val="FootnoteReference"/>
        </w:rPr>
        <w:footnoteRef/>
      </w:r>
      <w:r w:rsidRPr="00D968E9">
        <w:rPr>
          <w:szCs w:val="18"/>
        </w:rPr>
        <w:tab/>
      </w:r>
      <w:r>
        <w:rPr>
          <w:szCs w:val="18"/>
          <w:lang w:val="fr-FR"/>
        </w:rPr>
        <w:t>Loi sur l’égalité des chances pour les personnes handicapées (</w:t>
      </w:r>
      <w:r w:rsidRPr="00AF7925">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94/2010</w:t>
      </w:r>
      <w:r>
        <w:rPr>
          <w:szCs w:val="18"/>
        </w:rPr>
        <w:t xml:space="preserve">) – </w:t>
      </w:r>
      <w:r>
        <w:rPr>
          <w:szCs w:val="18"/>
          <w:lang w:val="fr-FR"/>
        </w:rPr>
        <w:t>la loi a été adoptée par le Parlement slovène à la fin 2010.</w:t>
      </w:r>
    </w:p>
  </w:footnote>
  <w:footnote w:id="39">
    <w:p w:rsidR="0025154B" w:rsidRPr="00FB11E8" w:rsidRDefault="0025154B" w:rsidP="00317603">
      <w:pPr>
        <w:pStyle w:val="FootnoteText"/>
        <w:jc w:val="both"/>
        <w:rPr>
          <w:szCs w:val="18"/>
          <w:lang w:val="fr-CH"/>
        </w:rPr>
      </w:pPr>
      <w:r>
        <w:rPr>
          <w:szCs w:val="18"/>
        </w:rPr>
        <w:tab/>
      </w:r>
      <w:r w:rsidRPr="009B5B9B">
        <w:rPr>
          <w:rStyle w:val="FootnoteReference"/>
        </w:rPr>
        <w:footnoteRef/>
      </w:r>
      <w:r>
        <w:rPr>
          <w:szCs w:val="18"/>
        </w:rPr>
        <w:tab/>
        <w:t>R</w:t>
      </w:r>
      <w:r w:rsidRPr="000514A9">
        <w:rPr>
          <w:szCs w:val="18"/>
          <w:lang w:val="fr-FR"/>
        </w:rPr>
        <w:t>é</w:t>
      </w:r>
      <w:r>
        <w:rPr>
          <w:szCs w:val="18"/>
        </w:rPr>
        <w:t xml:space="preserve">solution </w:t>
      </w:r>
      <w:r>
        <w:rPr>
          <w:szCs w:val="18"/>
          <w:lang w:val="fr-FR"/>
        </w:rPr>
        <w:t xml:space="preserve">sur le programme national de protection sociale pour la période </w:t>
      </w:r>
      <w:r w:rsidRPr="00A4202A">
        <w:rPr>
          <w:szCs w:val="18"/>
        </w:rPr>
        <w:t>2006-2010</w:t>
      </w:r>
      <w:r>
        <w:rPr>
          <w:szCs w:val="18"/>
        </w:rPr>
        <w:t xml:space="preserve"> (ReNPSV06</w:t>
      </w:r>
      <w:r>
        <w:rPr>
          <w:szCs w:val="18"/>
          <w:lang w:val="fr-CH"/>
        </w:rPr>
        <w:noBreakHyphen/>
      </w:r>
      <w:r>
        <w:rPr>
          <w:szCs w:val="18"/>
        </w:rPr>
        <w:t>10) (</w:t>
      </w:r>
      <w:r w:rsidRPr="00AF7925">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A4202A">
        <w:rPr>
          <w:szCs w:val="18"/>
        </w:rPr>
        <w:t>39/06)</w:t>
      </w:r>
      <w:r>
        <w:rPr>
          <w:szCs w:val="18"/>
          <w:lang w:val="fr-CH"/>
        </w:rPr>
        <w:t>.</w:t>
      </w:r>
    </w:p>
  </w:footnote>
  <w:footnote w:id="40">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lang w:val="fr-FR"/>
        </w:rPr>
        <w:t>Loi sur les relations professionnelles</w:t>
      </w:r>
      <w:r>
        <w:rPr>
          <w:szCs w:val="18"/>
        </w:rPr>
        <w:t xml:space="preserve"> (</w:t>
      </w:r>
      <w:r w:rsidRPr="00AF7925">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42/02</w:t>
      </w:r>
      <w:r>
        <w:rPr>
          <w:szCs w:val="18"/>
        </w:rPr>
        <w:t xml:space="preserve">, </w:t>
      </w:r>
      <w:r w:rsidRPr="00A4202A">
        <w:rPr>
          <w:szCs w:val="18"/>
        </w:rPr>
        <w:t xml:space="preserve">79/06 </w:t>
      </w:r>
      <w:r>
        <w:rPr>
          <w:szCs w:val="18"/>
          <w:lang w:val="fr-CH"/>
        </w:rPr>
        <w:t>–</w:t>
      </w:r>
      <w:r w:rsidRPr="00A4202A">
        <w:rPr>
          <w:szCs w:val="18"/>
        </w:rPr>
        <w:t xml:space="preserve"> ZZZPB-F</w:t>
      </w:r>
      <w:r>
        <w:rPr>
          <w:szCs w:val="18"/>
        </w:rPr>
        <w:t>,</w:t>
      </w:r>
      <w:r w:rsidRPr="00A4202A">
        <w:rPr>
          <w:szCs w:val="18"/>
        </w:rPr>
        <w:t xml:space="preserve"> 46/2007</w:t>
      </w:r>
      <w:r>
        <w:rPr>
          <w:szCs w:val="18"/>
          <w:lang w:val="fr-CH"/>
        </w:rPr>
        <w:t xml:space="preserve"> </w:t>
      </w:r>
      <w:r w:rsidRPr="00A4202A">
        <w:rPr>
          <w:szCs w:val="18"/>
        </w:rPr>
        <w:t>– Dec.CC: U-I-45/07</w:t>
      </w:r>
      <w:r>
        <w:rPr>
          <w:szCs w:val="18"/>
        </w:rPr>
        <w:t>,</w:t>
      </w:r>
      <w:r w:rsidRPr="00A4202A">
        <w:rPr>
          <w:szCs w:val="18"/>
        </w:rPr>
        <w:t xml:space="preserve"> Up-249/06-22</w:t>
      </w:r>
      <w:r>
        <w:rPr>
          <w:szCs w:val="18"/>
        </w:rPr>
        <w:t>,</w:t>
      </w:r>
      <w:r w:rsidRPr="00A4202A">
        <w:rPr>
          <w:szCs w:val="18"/>
        </w:rPr>
        <w:t xml:space="preserve"> 103/07</w:t>
      </w:r>
      <w:r>
        <w:rPr>
          <w:szCs w:val="18"/>
        </w:rPr>
        <w:t>,</w:t>
      </w:r>
      <w:r w:rsidRPr="00A4202A">
        <w:rPr>
          <w:szCs w:val="18"/>
        </w:rPr>
        <w:t xml:space="preserve"> 45/08-ZArbit</w:t>
      </w:r>
      <w:r>
        <w:rPr>
          <w:szCs w:val="18"/>
        </w:rPr>
        <w:t>,</w:t>
      </w:r>
      <w:r w:rsidRPr="00A4202A">
        <w:rPr>
          <w:szCs w:val="18"/>
        </w:rPr>
        <w:t xml:space="preserve"> 83/09 –</w:t>
      </w:r>
      <w:r>
        <w:rPr>
          <w:szCs w:val="18"/>
          <w:lang w:val="fr-CH"/>
        </w:rPr>
        <w:t xml:space="preserve"> </w:t>
      </w:r>
      <w:r w:rsidRPr="00A4202A">
        <w:rPr>
          <w:szCs w:val="18"/>
        </w:rPr>
        <w:t>Dec.CC: U-I-284/06-26).</w:t>
      </w:r>
    </w:p>
  </w:footnote>
  <w:footnote w:id="41">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sidRPr="00A4202A">
        <w:rPr>
          <w:szCs w:val="18"/>
        </w:rPr>
        <w:t>Code</w:t>
      </w:r>
      <w:r>
        <w:rPr>
          <w:szCs w:val="18"/>
          <w:lang w:val="fr-FR"/>
        </w:rPr>
        <w:t xml:space="preserve"> pénal</w:t>
      </w:r>
      <w:r>
        <w:rPr>
          <w:szCs w:val="18"/>
        </w:rPr>
        <w:t xml:space="preserve"> (</w:t>
      </w:r>
      <w:r w:rsidRPr="007B17A8">
        <w:rPr>
          <w:i/>
          <w:szCs w:val="18"/>
          <w:lang w:val="fr-FR"/>
        </w:rPr>
        <w:t>Journal officiel de la République de Slovénie</w:t>
      </w:r>
      <w:r>
        <w:rPr>
          <w:szCs w:val="18"/>
          <w:lang w:val="fr-FR"/>
        </w:rPr>
        <w:t>,</w:t>
      </w:r>
      <w:r w:rsidRPr="00A4202A">
        <w:rPr>
          <w:szCs w:val="18"/>
        </w:rPr>
        <w:t xml:space="preserve"> </w:t>
      </w:r>
      <w:r>
        <w:rPr>
          <w:szCs w:val="18"/>
        </w:rPr>
        <w:t>n</w:t>
      </w:r>
      <w:r w:rsidRPr="001B12ED">
        <w:rPr>
          <w:szCs w:val="18"/>
          <w:vertAlign w:val="superscript"/>
          <w:lang w:val="fr-FR"/>
        </w:rPr>
        <w:t>o</w:t>
      </w:r>
      <w:r>
        <w:rPr>
          <w:szCs w:val="18"/>
          <w:lang w:val="fr-CH"/>
        </w:rPr>
        <w:t> </w:t>
      </w:r>
      <w:r w:rsidRPr="00A4202A">
        <w:rPr>
          <w:szCs w:val="18"/>
        </w:rPr>
        <w:t>55/08 (66/08 corr.)</w:t>
      </w:r>
      <w:r>
        <w:rPr>
          <w:szCs w:val="18"/>
        </w:rPr>
        <w:t>,</w:t>
      </w:r>
      <w:r w:rsidRPr="00A4202A">
        <w:rPr>
          <w:szCs w:val="18"/>
        </w:rPr>
        <w:t xml:space="preserve"> 89/08 Dec.CC: U-I-25/07-43</w:t>
      </w:r>
      <w:r>
        <w:rPr>
          <w:szCs w:val="18"/>
        </w:rPr>
        <w:t>,</w:t>
      </w:r>
      <w:r w:rsidRPr="00A4202A">
        <w:rPr>
          <w:szCs w:val="18"/>
        </w:rPr>
        <w:t xml:space="preserve"> 5/09 Dec.CC: U-I-88/07-17).</w:t>
      </w:r>
    </w:p>
  </w:footnote>
  <w:footnote w:id="42">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lang w:val="fr-FR"/>
        </w:rPr>
        <w:t xml:space="preserve">Loi sur le salaire minimum </w:t>
      </w:r>
      <w:r>
        <w:rPr>
          <w:szCs w:val="18"/>
        </w:rPr>
        <w:t>(</w:t>
      </w:r>
      <w:r w:rsidRPr="00AF7925">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13/10).</w:t>
      </w:r>
    </w:p>
  </w:footnote>
  <w:footnote w:id="43">
    <w:p w:rsidR="0025154B" w:rsidRPr="00FB11E8" w:rsidRDefault="0025154B" w:rsidP="00317603">
      <w:pPr>
        <w:pStyle w:val="FootnoteText"/>
        <w:jc w:val="both"/>
        <w:rPr>
          <w:sz w:val="16"/>
          <w:szCs w:val="16"/>
          <w:lang w:val="fr-CH"/>
        </w:rPr>
      </w:pPr>
      <w:r>
        <w:rPr>
          <w:szCs w:val="18"/>
        </w:rPr>
        <w:tab/>
      </w:r>
      <w:r w:rsidRPr="009B5B9B">
        <w:rPr>
          <w:rStyle w:val="FootnoteReference"/>
        </w:rPr>
        <w:footnoteRef/>
      </w:r>
      <w:r>
        <w:rPr>
          <w:szCs w:val="18"/>
        </w:rPr>
        <w:tab/>
      </w:r>
      <w:r>
        <w:rPr>
          <w:szCs w:val="18"/>
          <w:lang w:val="fr-FR"/>
        </w:rPr>
        <w:t xml:space="preserve">Loi sur la ratification de la Convention </w:t>
      </w:r>
      <w:r>
        <w:rPr>
          <w:szCs w:val="18"/>
        </w:rPr>
        <w:t>n</w:t>
      </w:r>
      <w:r w:rsidRPr="001B12ED">
        <w:rPr>
          <w:szCs w:val="18"/>
          <w:vertAlign w:val="superscript"/>
          <w:lang w:val="fr-FR"/>
        </w:rPr>
        <w:t>o</w:t>
      </w:r>
      <w:r>
        <w:rPr>
          <w:szCs w:val="18"/>
          <w:lang w:val="fr-CH"/>
        </w:rPr>
        <w:t> </w:t>
      </w:r>
      <w:r>
        <w:rPr>
          <w:szCs w:val="18"/>
          <w:lang w:val="fr-FR"/>
        </w:rPr>
        <w:t xml:space="preserve">131 de l’Organisation internationale du travail sur la fixation des salaires minima, eu égard en particulier aux pays en développement </w:t>
      </w:r>
      <w:r>
        <w:rPr>
          <w:szCs w:val="18"/>
        </w:rPr>
        <w:t>(</w:t>
      </w:r>
      <w:r w:rsidRPr="007B17A8">
        <w:rPr>
          <w:i/>
          <w:szCs w:val="18"/>
          <w:lang w:val="fr-FR"/>
        </w:rPr>
        <w:t>Journal officiel</w:t>
      </w:r>
      <w:r>
        <w:rPr>
          <w:szCs w:val="18"/>
          <w:lang w:val="fr-FR"/>
        </w:rPr>
        <w:t xml:space="preserve"> </w:t>
      </w:r>
      <w:r w:rsidRPr="00AF7925">
        <w:rPr>
          <w:i/>
          <w:szCs w:val="18"/>
          <w:lang w:val="fr-FR"/>
        </w:rPr>
        <w:t>de la République de Slovénie</w:t>
      </w:r>
      <w:r>
        <w:rPr>
          <w:szCs w:val="18"/>
        </w:rPr>
        <w:t xml:space="preserve"> SFRY-MP, n</w:t>
      </w:r>
      <w:r w:rsidRPr="001B12ED">
        <w:rPr>
          <w:szCs w:val="18"/>
          <w:vertAlign w:val="superscript"/>
          <w:lang w:val="fr-FR"/>
        </w:rPr>
        <w:t>o</w:t>
      </w:r>
      <w:r>
        <w:rPr>
          <w:szCs w:val="18"/>
          <w:lang w:val="fr-CH"/>
        </w:rPr>
        <w:t> </w:t>
      </w:r>
      <w:r w:rsidRPr="00A4202A">
        <w:rPr>
          <w:szCs w:val="18"/>
        </w:rPr>
        <w:t>14/82)</w:t>
      </w:r>
      <w:r>
        <w:rPr>
          <w:szCs w:val="18"/>
          <w:lang w:val="fr-CH"/>
        </w:rPr>
        <w:t>.</w:t>
      </w:r>
    </w:p>
  </w:footnote>
  <w:footnote w:id="44">
    <w:p w:rsidR="0025154B" w:rsidRPr="009A1FC8" w:rsidRDefault="0025154B" w:rsidP="00317603">
      <w:pPr>
        <w:pStyle w:val="FootnoteText"/>
        <w:jc w:val="both"/>
        <w:rPr>
          <w:b/>
          <w:sz w:val="16"/>
          <w:szCs w:val="16"/>
        </w:rPr>
      </w:pPr>
      <w:r>
        <w:rPr>
          <w:szCs w:val="18"/>
          <w:vertAlign w:val="superscript"/>
        </w:rPr>
        <w:tab/>
      </w:r>
      <w:r w:rsidRPr="009B5B9B">
        <w:rPr>
          <w:rStyle w:val="FootnoteReference"/>
        </w:rPr>
        <w:footnoteRef/>
      </w:r>
      <w:r>
        <w:rPr>
          <w:szCs w:val="18"/>
          <w:vertAlign w:val="superscript"/>
        </w:rPr>
        <w:tab/>
      </w:r>
      <w:r>
        <w:rPr>
          <w:szCs w:val="18"/>
          <w:lang w:val="fr-FR"/>
        </w:rPr>
        <w:t xml:space="preserve">Loi sur les relations professionnelles </w:t>
      </w:r>
      <w:r>
        <w:rPr>
          <w:szCs w:val="18"/>
        </w:rPr>
        <w:t>(</w:t>
      </w:r>
      <w:r w:rsidRPr="007B17A8">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A4202A">
        <w:rPr>
          <w:szCs w:val="18"/>
        </w:rPr>
        <w:t>42/2002</w:t>
      </w:r>
      <w:r>
        <w:rPr>
          <w:szCs w:val="18"/>
        </w:rPr>
        <w:t>, amend</w:t>
      </w:r>
      <w:r>
        <w:rPr>
          <w:szCs w:val="18"/>
          <w:lang w:val="fr-FR"/>
        </w:rPr>
        <w:t xml:space="preserve">ements, </w:t>
      </w:r>
      <w:r w:rsidRPr="007B17A8">
        <w:rPr>
          <w:i/>
          <w:szCs w:val="18"/>
          <w:lang w:val="fr-FR"/>
        </w:rPr>
        <w:t>Journal officiel de la République de Slovénie</w:t>
      </w:r>
      <w:r>
        <w:rPr>
          <w:szCs w:val="18"/>
          <w:lang w:val="fr-FR"/>
        </w:rPr>
        <w:t>,</w:t>
      </w:r>
      <w:r>
        <w:rPr>
          <w:szCs w:val="18"/>
        </w:rPr>
        <w:t xml:space="preserve"> n</w:t>
      </w:r>
      <w:r w:rsidRPr="001B12ED">
        <w:rPr>
          <w:szCs w:val="18"/>
          <w:vertAlign w:val="superscript"/>
          <w:lang w:val="fr-FR"/>
        </w:rPr>
        <w:t>o</w:t>
      </w:r>
      <w:r>
        <w:rPr>
          <w:szCs w:val="18"/>
          <w:lang w:val="fr-CH"/>
        </w:rPr>
        <w:t> </w:t>
      </w:r>
      <w:r w:rsidRPr="00A4202A">
        <w:rPr>
          <w:szCs w:val="18"/>
        </w:rPr>
        <w:t>79/06-ZZZPB-F</w:t>
      </w:r>
      <w:r>
        <w:rPr>
          <w:szCs w:val="18"/>
        </w:rPr>
        <w:t>,</w:t>
      </w:r>
      <w:r w:rsidRPr="00A4202A">
        <w:rPr>
          <w:szCs w:val="18"/>
        </w:rPr>
        <w:t xml:space="preserve"> 46/07 Dec.CC: U-I-45/07</w:t>
      </w:r>
      <w:r>
        <w:rPr>
          <w:szCs w:val="18"/>
        </w:rPr>
        <w:t>,</w:t>
      </w:r>
      <w:r w:rsidRPr="00A4202A">
        <w:rPr>
          <w:szCs w:val="18"/>
        </w:rPr>
        <w:t xml:space="preserve"> Up-249/06-22</w:t>
      </w:r>
      <w:r>
        <w:rPr>
          <w:szCs w:val="18"/>
        </w:rPr>
        <w:t>,</w:t>
      </w:r>
      <w:r w:rsidRPr="00A4202A">
        <w:rPr>
          <w:szCs w:val="18"/>
        </w:rPr>
        <w:t xml:space="preserve"> 103/07</w:t>
      </w:r>
      <w:r>
        <w:rPr>
          <w:szCs w:val="18"/>
        </w:rPr>
        <w:t>,</w:t>
      </w:r>
      <w:r w:rsidRPr="00A4202A">
        <w:rPr>
          <w:szCs w:val="18"/>
        </w:rPr>
        <w:t xml:space="preserve"> 45/08-ZArbit</w:t>
      </w:r>
      <w:r>
        <w:rPr>
          <w:szCs w:val="18"/>
        </w:rPr>
        <w:t>,</w:t>
      </w:r>
      <w:r w:rsidRPr="00A4202A">
        <w:rPr>
          <w:szCs w:val="18"/>
        </w:rPr>
        <w:t xml:space="preserve"> 83/09 Dec.CC: U-I-284/06-26).</w:t>
      </w:r>
    </w:p>
  </w:footnote>
  <w:footnote w:id="45">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sidRPr="00B8444E">
        <w:rPr>
          <w:szCs w:val="18"/>
        </w:rPr>
        <w:tab/>
      </w:r>
      <w:r>
        <w:rPr>
          <w:szCs w:val="18"/>
          <w:lang w:val="fr-FR"/>
        </w:rPr>
        <w:t>Loi sur les relations professionnelles</w:t>
      </w:r>
      <w:r>
        <w:rPr>
          <w:szCs w:val="18"/>
        </w:rPr>
        <w:t xml:space="preserve"> (</w:t>
      </w:r>
      <w:r w:rsidRPr="00AF7925">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42/02</w:t>
      </w:r>
      <w:r>
        <w:rPr>
          <w:szCs w:val="18"/>
        </w:rPr>
        <w:t>,</w:t>
      </w:r>
      <w:r w:rsidRPr="00A4202A">
        <w:rPr>
          <w:szCs w:val="18"/>
        </w:rPr>
        <w:t xml:space="preserve"> 79/06</w:t>
      </w:r>
      <w:r>
        <w:rPr>
          <w:szCs w:val="18"/>
          <w:lang w:val="fr-CH"/>
        </w:rPr>
        <w:t xml:space="preserve"> </w:t>
      </w:r>
      <w:r w:rsidRPr="00A4202A">
        <w:rPr>
          <w:szCs w:val="18"/>
        </w:rPr>
        <w:t>–</w:t>
      </w:r>
      <w:r>
        <w:rPr>
          <w:szCs w:val="18"/>
          <w:lang w:val="fr-CH"/>
        </w:rPr>
        <w:t xml:space="preserve"> </w:t>
      </w:r>
      <w:r w:rsidRPr="00A4202A">
        <w:rPr>
          <w:szCs w:val="18"/>
        </w:rPr>
        <w:t>ZZZPB-F</w:t>
      </w:r>
      <w:r>
        <w:rPr>
          <w:szCs w:val="18"/>
        </w:rPr>
        <w:t>,</w:t>
      </w:r>
      <w:r w:rsidRPr="00A4202A">
        <w:rPr>
          <w:szCs w:val="18"/>
        </w:rPr>
        <w:t xml:space="preserve"> 46/07 – Dec.CC: U-I-45/07</w:t>
      </w:r>
      <w:r>
        <w:rPr>
          <w:szCs w:val="18"/>
        </w:rPr>
        <w:t>,</w:t>
      </w:r>
      <w:r w:rsidRPr="00A4202A">
        <w:rPr>
          <w:szCs w:val="18"/>
        </w:rPr>
        <w:t xml:space="preserve"> Up-249/06-22</w:t>
      </w:r>
      <w:r>
        <w:rPr>
          <w:szCs w:val="18"/>
        </w:rPr>
        <w:t>,</w:t>
      </w:r>
      <w:r w:rsidRPr="00A4202A">
        <w:rPr>
          <w:szCs w:val="18"/>
        </w:rPr>
        <w:t xml:space="preserve"> 103/07</w:t>
      </w:r>
      <w:r>
        <w:rPr>
          <w:szCs w:val="18"/>
        </w:rPr>
        <w:t>,</w:t>
      </w:r>
      <w:r w:rsidRPr="00A4202A">
        <w:rPr>
          <w:szCs w:val="18"/>
        </w:rPr>
        <w:t xml:space="preserve"> 45/08–ZArbit</w:t>
      </w:r>
      <w:r>
        <w:rPr>
          <w:szCs w:val="18"/>
        </w:rPr>
        <w:t>,</w:t>
      </w:r>
      <w:r w:rsidRPr="00A4202A">
        <w:rPr>
          <w:szCs w:val="18"/>
        </w:rPr>
        <w:t xml:space="preserve"> 83/09 – Dec.CC: U-I-284/06-26)</w:t>
      </w:r>
      <w:r>
        <w:rPr>
          <w:szCs w:val="18"/>
        </w:rPr>
        <w:t>.</w:t>
      </w:r>
    </w:p>
  </w:footnote>
  <w:footnote w:id="46">
    <w:p w:rsidR="0025154B" w:rsidRPr="009A1FC8" w:rsidRDefault="0025154B" w:rsidP="00317603">
      <w:pPr>
        <w:pStyle w:val="FootnoteText"/>
        <w:jc w:val="both"/>
        <w:rPr>
          <w:color w:val="000000"/>
          <w:sz w:val="16"/>
          <w:szCs w:val="16"/>
        </w:rPr>
      </w:pPr>
      <w:r>
        <w:rPr>
          <w:szCs w:val="18"/>
        </w:rPr>
        <w:tab/>
      </w:r>
      <w:r w:rsidRPr="009B5B9B">
        <w:rPr>
          <w:rStyle w:val="FootnoteReference"/>
        </w:rPr>
        <w:footnoteRef/>
      </w:r>
      <w:r>
        <w:rPr>
          <w:szCs w:val="18"/>
        </w:rPr>
        <w:tab/>
        <w:t>C</w:t>
      </w:r>
      <w:r>
        <w:rPr>
          <w:szCs w:val="18"/>
          <w:lang w:val="fr-FR"/>
        </w:rPr>
        <w:t>ode pénal</w:t>
      </w:r>
      <w:r>
        <w:rPr>
          <w:szCs w:val="18"/>
        </w:rPr>
        <w:t xml:space="preserve"> (</w:t>
      </w:r>
      <w:r w:rsidRPr="00AF7925">
        <w:rPr>
          <w:i/>
          <w:szCs w:val="18"/>
          <w:lang w:val="fr-FR"/>
        </w:rPr>
        <w:t>Journal officiel de la République de Slovénie</w:t>
      </w:r>
      <w:r>
        <w:rPr>
          <w:szCs w:val="18"/>
          <w:lang w:val="fr-FR"/>
        </w:rPr>
        <w:t>,</w:t>
      </w:r>
      <w:r>
        <w:rPr>
          <w:szCs w:val="18"/>
        </w:rPr>
        <w:t xml:space="preserve"> n</w:t>
      </w:r>
      <w:r w:rsidRPr="001B12ED">
        <w:rPr>
          <w:szCs w:val="18"/>
          <w:vertAlign w:val="superscript"/>
          <w:lang w:val="fr-FR"/>
        </w:rPr>
        <w:t>o</w:t>
      </w:r>
      <w:r>
        <w:rPr>
          <w:szCs w:val="18"/>
          <w:lang w:val="fr-CH"/>
        </w:rPr>
        <w:t> </w:t>
      </w:r>
      <w:r w:rsidRPr="00A4202A">
        <w:rPr>
          <w:szCs w:val="18"/>
        </w:rPr>
        <w:t>55/08</w:t>
      </w:r>
      <w:r>
        <w:rPr>
          <w:szCs w:val="18"/>
        </w:rPr>
        <w:t>,</w:t>
      </w:r>
      <w:r w:rsidRPr="00A4202A">
        <w:rPr>
          <w:szCs w:val="18"/>
        </w:rPr>
        <w:t xml:space="preserve"> 66/08 –</w:t>
      </w:r>
      <w:r>
        <w:rPr>
          <w:szCs w:val="18"/>
          <w:lang w:val="fr-CH"/>
        </w:rPr>
        <w:t xml:space="preserve"> </w:t>
      </w:r>
      <w:r w:rsidRPr="00A4202A">
        <w:rPr>
          <w:szCs w:val="18"/>
        </w:rPr>
        <w:t>corr.</w:t>
      </w:r>
      <w:r>
        <w:rPr>
          <w:szCs w:val="18"/>
        </w:rPr>
        <w:t xml:space="preserve">, </w:t>
      </w:r>
      <w:r w:rsidRPr="00A4202A">
        <w:rPr>
          <w:szCs w:val="18"/>
        </w:rPr>
        <w:t>39/09</w:t>
      </w:r>
      <w:r>
        <w:rPr>
          <w:szCs w:val="18"/>
        </w:rPr>
        <w:t xml:space="preserve"> </w:t>
      </w:r>
      <w:r>
        <w:rPr>
          <w:szCs w:val="18"/>
          <w:lang w:val="fr-FR"/>
        </w:rPr>
        <w:t>et</w:t>
      </w:r>
      <w:r w:rsidRPr="00A4202A">
        <w:rPr>
          <w:szCs w:val="18"/>
        </w:rPr>
        <w:t xml:space="preserve"> 55/09 – Dec.CC: U-I-73/09-19).</w:t>
      </w:r>
    </w:p>
  </w:footnote>
  <w:footnote w:id="47">
    <w:p w:rsidR="0025154B" w:rsidRPr="00AD7AC7" w:rsidRDefault="0025154B" w:rsidP="00317603">
      <w:pPr>
        <w:pStyle w:val="FootnoteText"/>
        <w:jc w:val="both"/>
        <w:rPr>
          <w:szCs w:val="18"/>
          <w:lang w:val="fr-FR"/>
        </w:rPr>
      </w:pPr>
      <w:r>
        <w:rPr>
          <w:szCs w:val="18"/>
        </w:rPr>
        <w:tab/>
      </w:r>
      <w:r w:rsidRPr="009B5B9B">
        <w:rPr>
          <w:rStyle w:val="FootnoteReference"/>
        </w:rPr>
        <w:footnoteRef/>
      </w:r>
      <w:r>
        <w:rPr>
          <w:szCs w:val="18"/>
        </w:rPr>
        <w:tab/>
      </w:r>
      <w:r>
        <w:rPr>
          <w:szCs w:val="18"/>
          <w:lang w:val="fr-FR"/>
        </w:rPr>
        <w:t xml:space="preserve">Loi portant ratification de la Convention concernant la prévention des accidents industriels majeurs (Convention de l’OIT </w:t>
      </w:r>
      <w:r>
        <w:rPr>
          <w:szCs w:val="18"/>
        </w:rPr>
        <w:t>n</w:t>
      </w:r>
      <w:r w:rsidRPr="001B12ED">
        <w:rPr>
          <w:szCs w:val="18"/>
          <w:vertAlign w:val="superscript"/>
          <w:lang w:val="fr-FR"/>
        </w:rPr>
        <w:t>o</w:t>
      </w:r>
      <w:r>
        <w:rPr>
          <w:szCs w:val="18"/>
          <w:lang w:val="fr-CH"/>
        </w:rPr>
        <w:t> </w:t>
      </w:r>
      <w:r>
        <w:rPr>
          <w:szCs w:val="18"/>
          <w:lang w:val="fr-FR"/>
        </w:rPr>
        <w:t>174) (</w:t>
      </w:r>
      <w:r w:rsidRPr="002E0E70">
        <w:rPr>
          <w:i/>
          <w:szCs w:val="18"/>
          <w:lang w:val="fr-FR"/>
        </w:rPr>
        <w:t>Journal officiel de la République de Slovénie</w:t>
      </w:r>
      <w:r>
        <w:rPr>
          <w:szCs w:val="18"/>
          <w:lang w:val="fr-FR"/>
        </w:rPr>
        <w:t xml:space="preserve">, </w:t>
      </w:r>
      <w:r w:rsidRPr="00D107ED">
        <w:rPr>
          <w:szCs w:val="18"/>
          <w:lang w:val="fr-FR"/>
        </w:rPr>
        <w:t>MP</w:t>
      </w:r>
      <w:r>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 xml:space="preserve">18/2009). </w:t>
      </w:r>
    </w:p>
  </w:footnote>
  <w:footnote w:id="48">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sur les relations professionnelles</w:t>
      </w:r>
      <w:r>
        <w:rPr>
          <w:szCs w:val="18"/>
        </w:rPr>
        <w:t xml:space="preserve"> (</w:t>
      </w:r>
      <w:r w:rsidRPr="002E0E70">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42/02</w:t>
      </w:r>
      <w:r>
        <w:rPr>
          <w:szCs w:val="18"/>
        </w:rPr>
        <w:t>,</w:t>
      </w:r>
      <w:r w:rsidRPr="00A4202A">
        <w:rPr>
          <w:szCs w:val="18"/>
        </w:rPr>
        <w:t xml:space="preserve"> 79/06-ZZZPB–F</w:t>
      </w:r>
      <w:r>
        <w:rPr>
          <w:szCs w:val="18"/>
        </w:rPr>
        <w:t>,</w:t>
      </w:r>
      <w:r w:rsidRPr="00A4202A">
        <w:rPr>
          <w:szCs w:val="18"/>
        </w:rPr>
        <w:t xml:space="preserve"> 46/2007 – Dec.CC: U-I-45/07</w:t>
      </w:r>
      <w:r>
        <w:rPr>
          <w:szCs w:val="18"/>
        </w:rPr>
        <w:t>,</w:t>
      </w:r>
      <w:r w:rsidRPr="00A4202A">
        <w:rPr>
          <w:szCs w:val="18"/>
        </w:rPr>
        <w:t xml:space="preserve"> Up-249/06-22</w:t>
      </w:r>
      <w:r>
        <w:rPr>
          <w:szCs w:val="18"/>
        </w:rPr>
        <w:t>,</w:t>
      </w:r>
      <w:r w:rsidRPr="00A4202A">
        <w:rPr>
          <w:szCs w:val="18"/>
        </w:rPr>
        <w:t xml:space="preserve"> 103/07</w:t>
      </w:r>
      <w:r>
        <w:rPr>
          <w:szCs w:val="18"/>
        </w:rPr>
        <w:t>,</w:t>
      </w:r>
      <w:r w:rsidRPr="00A4202A">
        <w:rPr>
          <w:szCs w:val="18"/>
        </w:rPr>
        <w:t xml:space="preserve"> 45/08 – ZArbit</w:t>
      </w:r>
      <w:r>
        <w:rPr>
          <w:szCs w:val="18"/>
        </w:rPr>
        <w:t>,</w:t>
      </w:r>
      <w:r w:rsidRPr="00A4202A">
        <w:rPr>
          <w:szCs w:val="18"/>
        </w:rPr>
        <w:t xml:space="preserve"> 83/09 – Dec.CC: U-I-284/06-26).</w:t>
      </w:r>
    </w:p>
  </w:footnote>
  <w:footnote w:id="49">
    <w:p w:rsidR="0025154B" w:rsidRPr="009A1FC8" w:rsidRDefault="0025154B" w:rsidP="00317603">
      <w:pPr>
        <w:pStyle w:val="FootnoteText"/>
        <w:jc w:val="both"/>
        <w:rPr>
          <w:sz w:val="16"/>
          <w:szCs w:val="16"/>
        </w:rPr>
      </w:pPr>
      <w:r>
        <w:rPr>
          <w:szCs w:val="18"/>
          <w:vertAlign w:val="superscript"/>
        </w:rPr>
        <w:tab/>
      </w:r>
      <w:r w:rsidRPr="009B5B9B">
        <w:rPr>
          <w:rStyle w:val="FootnoteReference"/>
        </w:rPr>
        <w:footnoteRef/>
      </w:r>
      <w:r w:rsidRPr="00B8444E">
        <w:rPr>
          <w:szCs w:val="18"/>
        </w:rPr>
        <w:tab/>
      </w:r>
      <w:r>
        <w:rPr>
          <w:szCs w:val="18"/>
          <w:lang w:val="fr-FR"/>
        </w:rPr>
        <w:t>Loi sur les conventions collectives</w:t>
      </w:r>
      <w:r>
        <w:rPr>
          <w:szCs w:val="18"/>
        </w:rPr>
        <w:t xml:space="preserve"> (</w:t>
      </w:r>
      <w:r w:rsidRPr="000C5CC5">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42/06).</w:t>
      </w:r>
    </w:p>
  </w:footnote>
  <w:footnote w:id="50">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sidRPr="00EB103F">
        <w:rPr>
          <w:szCs w:val="18"/>
          <w:lang w:val="fr-FR"/>
        </w:rPr>
        <w:t>Loi sur les soins de santé et l</w:t>
      </w:r>
      <w:r>
        <w:rPr>
          <w:szCs w:val="18"/>
          <w:lang w:val="fr-FR"/>
        </w:rPr>
        <w:t>’</w:t>
      </w:r>
      <w:r w:rsidRPr="00EB103F">
        <w:rPr>
          <w:szCs w:val="18"/>
          <w:lang w:val="fr-FR"/>
        </w:rPr>
        <w:t>assurance maladie</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76/08</w:t>
      </w:r>
      <w:r w:rsidRPr="00A4202A">
        <w:rPr>
          <w:szCs w:val="18"/>
        </w:rPr>
        <w:t>).</w:t>
      </w:r>
    </w:p>
  </w:footnote>
  <w:footnote w:id="51">
    <w:p w:rsidR="0025154B" w:rsidRPr="00E92475" w:rsidRDefault="0025154B" w:rsidP="00317603">
      <w:pPr>
        <w:pStyle w:val="FootnoteText"/>
        <w:jc w:val="both"/>
        <w:rPr>
          <w:sz w:val="16"/>
          <w:szCs w:val="16"/>
        </w:rPr>
      </w:pPr>
      <w:r>
        <w:rPr>
          <w:szCs w:val="18"/>
        </w:rPr>
        <w:tab/>
      </w:r>
      <w:r w:rsidRPr="009B5B9B">
        <w:rPr>
          <w:rStyle w:val="FootnoteReference"/>
        </w:rPr>
        <w:footnoteRef/>
      </w:r>
      <w:r>
        <w:rPr>
          <w:szCs w:val="18"/>
        </w:rPr>
        <w:tab/>
        <w:t>R</w:t>
      </w:r>
      <w:r w:rsidRPr="00FC77CC">
        <w:rPr>
          <w:szCs w:val="18"/>
          <w:lang w:val="fr-FR"/>
        </w:rPr>
        <w:t>ègles relatives aux critères de fixation</w:t>
      </w:r>
      <w:r w:rsidRPr="00A4202A">
        <w:rPr>
          <w:szCs w:val="18"/>
        </w:rPr>
        <w:t xml:space="preserve"> </w:t>
      </w:r>
      <w:r w:rsidRPr="00FC77CC">
        <w:rPr>
          <w:szCs w:val="18"/>
          <w:lang w:val="fr-FR"/>
        </w:rPr>
        <w:t xml:space="preserve">des conditions de </w:t>
      </w:r>
      <w:r>
        <w:rPr>
          <w:szCs w:val="18"/>
          <w:lang w:val="fr-FR"/>
        </w:rPr>
        <w:t>revenu,</w:t>
      </w:r>
      <w:r w:rsidRPr="00FC77CC">
        <w:rPr>
          <w:szCs w:val="18"/>
          <w:lang w:val="fr-FR"/>
        </w:rPr>
        <w:t xml:space="preserve"> d</w:t>
      </w:r>
      <w:r>
        <w:rPr>
          <w:szCs w:val="18"/>
          <w:lang w:val="fr-FR"/>
        </w:rPr>
        <w:t>’</w:t>
      </w:r>
      <w:r w:rsidRPr="00FC77CC">
        <w:rPr>
          <w:szCs w:val="18"/>
          <w:lang w:val="fr-FR"/>
        </w:rPr>
        <w:t>épargne et de res</w:t>
      </w:r>
      <w:r>
        <w:rPr>
          <w:szCs w:val="18"/>
          <w:lang w:val="fr-FR"/>
        </w:rPr>
        <w:t>s</w:t>
      </w:r>
      <w:r w:rsidRPr="00FC77CC">
        <w:rPr>
          <w:szCs w:val="18"/>
          <w:lang w:val="fr-FR"/>
        </w:rPr>
        <w:t>ources des</w:t>
      </w:r>
      <w:r>
        <w:rPr>
          <w:szCs w:val="18"/>
          <w:lang w:val="fr-FR"/>
        </w:rPr>
        <w:t xml:space="preserve"> citoyens aux</w:t>
      </w:r>
      <w:r w:rsidRPr="00FC77CC">
        <w:rPr>
          <w:szCs w:val="18"/>
          <w:lang w:val="fr-FR"/>
        </w:rPr>
        <w:t xml:space="preserve"> fins d</w:t>
      </w:r>
      <w:r>
        <w:rPr>
          <w:szCs w:val="18"/>
          <w:lang w:val="fr-FR"/>
        </w:rPr>
        <w:t>’inscription</w:t>
      </w:r>
      <w:r w:rsidRPr="00FC77CC">
        <w:rPr>
          <w:szCs w:val="18"/>
          <w:lang w:val="fr-FR"/>
        </w:rPr>
        <w:t xml:space="preserve"> à </w:t>
      </w:r>
      <w:r>
        <w:rPr>
          <w:szCs w:val="18"/>
          <w:lang w:val="fr-FR"/>
        </w:rPr>
        <w:t>l’assurance maladie obligatoire</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126/08).</w:t>
      </w:r>
    </w:p>
  </w:footnote>
  <w:footnote w:id="52">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Pr>
          <w:szCs w:val="18"/>
          <w:lang w:val="fr-FR"/>
        </w:rPr>
        <w:t>églementation de la loi sur le marché du travail</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80/10)</w:t>
      </w:r>
      <w:r>
        <w:rPr>
          <w:szCs w:val="18"/>
        </w:rPr>
        <w:t>.</w:t>
      </w:r>
    </w:p>
  </w:footnote>
  <w:footnote w:id="53">
    <w:p w:rsidR="0025154B" w:rsidRPr="00E92475" w:rsidRDefault="0025154B" w:rsidP="00317603">
      <w:pPr>
        <w:pStyle w:val="FootnoteText"/>
        <w:jc w:val="both"/>
        <w:rPr>
          <w:sz w:val="16"/>
          <w:szCs w:val="16"/>
        </w:rPr>
      </w:pPr>
      <w:r>
        <w:rPr>
          <w:szCs w:val="18"/>
        </w:rPr>
        <w:tab/>
      </w:r>
      <w:r w:rsidRPr="009B5B9B">
        <w:rPr>
          <w:rStyle w:val="FootnoteReference"/>
        </w:rPr>
        <w:footnoteRef/>
      </w:r>
      <w:r>
        <w:rPr>
          <w:szCs w:val="18"/>
        </w:rPr>
        <w:tab/>
      </w:r>
      <w:r>
        <w:rPr>
          <w:szCs w:val="18"/>
          <w:lang w:val="fr-FR"/>
        </w:rPr>
        <w:t>Loi sur l’emploi et l’assurance chômage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5/1991 </w:t>
      </w:r>
      <w:r>
        <w:rPr>
          <w:szCs w:val="18"/>
          <w:lang w:val="fr-FR"/>
        </w:rPr>
        <w:t xml:space="preserve">et </w:t>
      </w:r>
      <w:r w:rsidRPr="00A4202A">
        <w:rPr>
          <w:szCs w:val="18"/>
        </w:rPr>
        <w:t>amend</w:t>
      </w:r>
      <w:r>
        <w:rPr>
          <w:szCs w:val="18"/>
          <w:lang w:val="fr-FR"/>
        </w:rPr>
        <w:t>e</w:t>
      </w:r>
      <w:r w:rsidRPr="00A4202A">
        <w:rPr>
          <w:szCs w:val="18"/>
        </w:rPr>
        <w:t>ments)</w:t>
      </w:r>
    </w:p>
  </w:footnote>
  <w:footnote w:id="54">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sur la protection parentale et les prestations familiales</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110/06 – </w:t>
      </w:r>
      <w:r w:rsidRPr="00CA2517">
        <w:rPr>
          <w:szCs w:val="18"/>
        </w:rPr>
        <w:t>UPB</w:t>
      </w:r>
      <w:r>
        <w:rPr>
          <w:szCs w:val="18"/>
        </w:rPr>
        <w:t xml:space="preserve"> </w:t>
      </w:r>
      <w:r>
        <w:rPr>
          <w:szCs w:val="18"/>
          <w:lang w:val="fr-FR"/>
        </w:rPr>
        <w:t>et</w:t>
      </w:r>
      <w:r w:rsidRPr="00A4202A">
        <w:rPr>
          <w:szCs w:val="18"/>
        </w:rPr>
        <w:t xml:space="preserve"> 10/08).</w:t>
      </w:r>
    </w:p>
  </w:footnote>
  <w:footnote w:id="55">
    <w:p w:rsidR="0025154B" w:rsidRPr="00855C8A" w:rsidRDefault="0025154B" w:rsidP="00317603">
      <w:pPr>
        <w:pStyle w:val="FootnoteText"/>
        <w:jc w:val="both"/>
        <w:rPr>
          <w:color w:val="000000"/>
          <w:szCs w:val="18"/>
        </w:rPr>
      </w:pPr>
      <w:r>
        <w:rPr>
          <w:szCs w:val="18"/>
        </w:rPr>
        <w:tab/>
      </w:r>
      <w:r w:rsidRPr="009B5B9B">
        <w:rPr>
          <w:rStyle w:val="FootnoteReference"/>
        </w:rPr>
        <w:footnoteRef/>
      </w:r>
      <w:r>
        <w:rPr>
          <w:szCs w:val="18"/>
        </w:rPr>
        <w:tab/>
      </w:r>
      <w:r w:rsidRPr="007213CA">
        <w:rPr>
          <w:szCs w:val="18"/>
          <w:lang w:val="fr-FR"/>
        </w:rPr>
        <w:t>Loi sur l</w:t>
      </w:r>
      <w:r>
        <w:rPr>
          <w:szCs w:val="18"/>
          <w:lang w:val="fr-FR"/>
        </w:rPr>
        <w:t>’</w:t>
      </w:r>
      <w:r w:rsidRPr="007213CA">
        <w:rPr>
          <w:szCs w:val="18"/>
          <w:lang w:val="fr-FR"/>
        </w:rPr>
        <w:t>assistance sociale et les se</w:t>
      </w:r>
      <w:r>
        <w:rPr>
          <w:szCs w:val="18"/>
          <w:lang w:val="fr-FR"/>
        </w:rPr>
        <w:t>rvices sociaux</w:t>
      </w:r>
      <w:r w:rsidRPr="00A4202A">
        <w:rPr>
          <w:szCs w:val="18"/>
        </w:rPr>
        <w:t xml:space="preserve"> </w:t>
      </w:r>
      <w:r>
        <w:rPr>
          <w:szCs w:val="18"/>
        </w:rPr>
        <w:t>(</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3/07</w:t>
      </w:r>
      <w:r>
        <w:rPr>
          <w:szCs w:val="18"/>
        </w:rPr>
        <w:t>,</w:t>
      </w:r>
      <w:r w:rsidRPr="00A4202A">
        <w:rPr>
          <w:szCs w:val="18"/>
        </w:rPr>
        <w:t xml:space="preserve"> 23/07</w:t>
      </w:r>
      <w:r>
        <w:rPr>
          <w:szCs w:val="18"/>
          <w:lang w:val="fr-CH"/>
        </w:rPr>
        <w:t xml:space="preserve"> </w:t>
      </w:r>
      <w:r w:rsidRPr="00A4202A">
        <w:rPr>
          <w:szCs w:val="18"/>
        </w:rPr>
        <w:t>– corr.</w:t>
      </w:r>
      <w:r>
        <w:rPr>
          <w:szCs w:val="18"/>
        </w:rPr>
        <w:t xml:space="preserve">, </w:t>
      </w:r>
      <w:r>
        <w:rPr>
          <w:szCs w:val="18"/>
          <w:lang w:val="fr-FR"/>
        </w:rPr>
        <w:t>et</w:t>
      </w:r>
      <w:r w:rsidRPr="00A4202A">
        <w:rPr>
          <w:szCs w:val="18"/>
        </w:rPr>
        <w:t xml:space="preserve"> 41/07 – ZSV-UPB2).</w:t>
      </w:r>
    </w:p>
  </w:footnote>
  <w:footnote w:id="56">
    <w:p w:rsidR="0025154B" w:rsidRPr="002B75ED" w:rsidRDefault="0025154B" w:rsidP="00317603">
      <w:pPr>
        <w:pStyle w:val="FootnoteText"/>
        <w:jc w:val="both"/>
        <w:rPr>
          <w:sz w:val="16"/>
          <w:szCs w:val="16"/>
          <w:lang w:val="fr-FR"/>
        </w:rPr>
      </w:pPr>
      <w:r>
        <w:rPr>
          <w:szCs w:val="18"/>
        </w:rPr>
        <w:tab/>
      </w:r>
      <w:r w:rsidRPr="009B5B9B">
        <w:rPr>
          <w:rStyle w:val="FootnoteReference"/>
        </w:rPr>
        <w:footnoteRef/>
      </w:r>
      <w:r>
        <w:rPr>
          <w:szCs w:val="18"/>
        </w:rPr>
        <w:tab/>
      </w:r>
      <w:r w:rsidRPr="002B75ED">
        <w:rPr>
          <w:szCs w:val="18"/>
          <w:lang w:val="fr-FR"/>
        </w:rPr>
        <w:t>Le projet de Code de la famille est actuellement étudié par l</w:t>
      </w:r>
      <w:r>
        <w:rPr>
          <w:szCs w:val="18"/>
          <w:lang w:val="fr-FR"/>
        </w:rPr>
        <w:t>’</w:t>
      </w:r>
      <w:r w:rsidRPr="002B75ED">
        <w:rPr>
          <w:szCs w:val="18"/>
          <w:lang w:val="fr-FR"/>
        </w:rPr>
        <w:t>Assemblée nationale de la Répub</w:t>
      </w:r>
      <w:r>
        <w:rPr>
          <w:szCs w:val="18"/>
          <w:lang w:val="fr-FR"/>
        </w:rPr>
        <w:t>lique de Slovénie.</w:t>
      </w:r>
    </w:p>
  </w:footnote>
  <w:footnote w:id="57">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w:t>
      </w:r>
      <w:r w:rsidRPr="00E54CDC">
        <w:rPr>
          <w:szCs w:val="18"/>
          <w:lang w:val="fr-FR"/>
        </w:rPr>
        <w:t>oi relative au placement en famille d</w:t>
      </w:r>
      <w:r>
        <w:rPr>
          <w:szCs w:val="18"/>
          <w:lang w:val="fr-FR"/>
        </w:rPr>
        <w:t>’accueil</w:t>
      </w:r>
      <w:r w:rsidRPr="00A4202A">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110/02</w:t>
      </w:r>
      <w:r>
        <w:rPr>
          <w:szCs w:val="18"/>
        </w:rPr>
        <w:t>,</w:t>
      </w:r>
      <w:r w:rsidRPr="00A4202A">
        <w:rPr>
          <w:szCs w:val="18"/>
        </w:rPr>
        <w:t xml:space="preserve"> 56/06 – Dec. CC 114/06 – ZUTPG</w:t>
      </w:r>
      <w:r>
        <w:rPr>
          <w:szCs w:val="18"/>
        </w:rPr>
        <w:t>,</w:t>
      </w:r>
      <w:r w:rsidRPr="00A4202A">
        <w:rPr>
          <w:szCs w:val="18"/>
        </w:rPr>
        <w:t xml:space="preserve"> 71/08 – ZUTPG</w:t>
      </w:r>
      <w:r>
        <w:rPr>
          <w:szCs w:val="18"/>
        </w:rPr>
        <w:t>-A</w:t>
      </w:r>
      <w:r w:rsidRPr="00A4202A">
        <w:rPr>
          <w:szCs w:val="18"/>
        </w:rPr>
        <w:t>).</w:t>
      </w:r>
    </w:p>
  </w:footnote>
  <w:footnote w:id="58">
    <w:p w:rsidR="0025154B" w:rsidRPr="00E92475" w:rsidRDefault="0025154B" w:rsidP="00317603">
      <w:pPr>
        <w:pStyle w:val="FootnoteText"/>
        <w:jc w:val="both"/>
        <w:rPr>
          <w:color w:val="000000"/>
          <w:sz w:val="16"/>
          <w:szCs w:val="16"/>
        </w:rPr>
      </w:pPr>
      <w:r>
        <w:rPr>
          <w:szCs w:val="18"/>
        </w:rPr>
        <w:tab/>
      </w:r>
      <w:r w:rsidRPr="009B5B9B">
        <w:rPr>
          <w:rStyle w:val="FootnoteReference"/>
        </w:rPr>
        <w:footnoteRef/>
      </w:r>
      <w:r>
        <w:rPr>
          <w:szCs w:val="18"/>
        </w:rPr>
        <w:tab/>
        <w:t>Strat</w:t>
      </w:r>
      <w:r>
        <w:rPr>
          <w:szCs w:val="18"/>
          <w:lang w:val="fr-FR"/>
        </w:rPr>
        <w:t>égie en matière de soins aux personnes</w:t>
      </w:r>
      <w:r w:rsidRPr="00ED41E7">
        <w:rPr>
          <w:szCs w:val="18"/>
          <w:lang w:val="fr-FR"/>
        </w:rPr>
        <w:t xml:space="preserve"> âgées mise en </w:t>
      </w:r>
      <w:r>
        <w:rPr>
          <w:szCs w:val="18"/>
          <w:lang w:val="fr-FR"/>
        </w:rPr>
        <w:t>œuvre</w:t>
      </w:r>
      <w:r w:rsidRPr="00ED41E7">
        <w:rPr>
          <w:szCs w:val="18"/>
          <w:lang w:val="fr-FR"/>
        </w:rPr>
        <w:t xml:space="preserve"> jusqu</w:t>
      </w:r>
      <w:r>
        <w:rPr>
          <w:szCs w:val="18"/>
          <w:lang w:val="fr-FR"/>
        </w:rPr>
        <w:t>’</w:t>
      </w:r>
      <w:r w:rsidRPr="00ED41E7">
        <w:rPr>
          <w:szCs w:val="18"/>
          <w:lang w:val="fr-FR"/>
        </w:rPr>
        <w:t>en 2010</w:t>
      </w:r>
      <w:r>
        <w:rPr>
          <w:szCs w:val="18"/>
        </w:rPr>
        <w:t xml:space="preserve"> (adopt</w:t>
      </w:r>
      <w:r>
        <w:rPr>
          <w:szCs w:val="18"/>
          <w:lang w:val="fr-FR"/>
        </w:rPr>
        <w:t>ée par le Gouvernement</w:t>
      </w:r>
      <w:r>
        <w:rPr>
          <w:szCs w:val="18"/>
        </w:rPr>
        <w:t xml:space="preserve"> </w:t>
      </w:r>
      <w:r>
        <w:rPr>
          <w:szCs w:val="18"/>
          <w:lang w:val="fr-FR"/>
        </w:rPr>
        <w:t>de la République de Slovénie</w:t>
      </w:r>
      <w:r>
        <w:rPr>
          <w:szCs w:val="18"/>
        </w:rPr>
        <w:t xml:space="preserve"> </w:t>
      </w:r>
      <w:r>
        <w:rPr>
          <w:szCs w:val="18"/>
          <w:lang w:val="fr-FR"/>
        </w:rPr>
        <w:t xml:space="preserve">le </w:t>
      </w:r>
      <w:r w:rsidRPr="00A4202A">
        <w:rPr>
          <w:szCs w:val="18"/>
        </w:rPr>
        <w:t>21</w:t>
      </w:r>
      <w:r>
        <w:rPr>
          <w:szCs w:val="18"/>
          <w:lang w:val="fr-CH"/>
        </w:rPr>
        <w:t xml:space="preserve"> septembre </w:t>
      </w:r>
      <w:r w:rsidRPr="00A4202A">
        <w:rPr>
          <w:szCs w:val="18"/>
        </w:rPr>
        <w:t>2006).</w:t>
      </w:r>
    </w:p>
  </w:footnote>
  <w:footnote w:id="59">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Pr>
          <w:szCs w:val="18"/>
          <w:lang w:val="fr-FR"/>
        </w:rPr>
        <w:t>é</w:t>
      </w:r>
      <w:r w:rsidRPr="00A4202A">
        <w:rPr>
          <w:szCs w:val="18"/>
        </w:rPr>
        <w:t xml:space="preserve">solution </w:t>
      </w:r>
      <w:r>
        <w:rPr>
          <w:szCs w:val="18"/>
          <w:lang w:val="fr-FR"/>
        </w:rPr>
        <w:t>sur le programme national de protection sociale</w:t>
      </w:r>
      <w:r>
        <w:rPr>
          <w:szCs w:val="18"/>
        </w:rPr>
        <w:t xml:space="preserve"> 2006-2010 (</w:t>
      </w:r>
      <w:r w:rsidRPr="007B17A8">
        <w:rPr>
          <w:i/>
          <w:szCs w:val="18"/>
          <w:lang w:val="fr-FR"/>
        </w:rPr>
        <w:t>Journal officiel de la République de Slovénie</w:t>
      </w:r>
      <w:r>
        <w:rPr>
          <w:szCs w:val="18"/>
          <w:lang w:val="fr-FR"/>
        </w:rPr>
        <w:t>,</w:t>
      </w:r>
      <w:r>
        <w:rPr>
          <w:szCs w:val="18"/>
        </w:rPr>
        <w:t xml:space="preserve"> n</w:t>
      </w:r>
      <w:r w:rsidRPr="001858AF">
        <w:rPr>
          <w:szCs w:val="18"/>
          <w:vertAlign w:val="superscript"/>
          <w:lang w:val="fr-CH"/>
        </w:rPr>
        <w:t>o</w:t>
      </w:r>
      <w:r>
        <w:rPr>
          <w:szCs w:val="18"/>
          <w:lang w:val="fr-CH"/>
        </w:rPr>
        <w:t> </w:t>
      </w:r>
      <w:r w:rsidRPr="00A4202A">
        <w:rPr>
          <w:szCs w:val="18"/>
        </w:rPr>
        <w:t>39/06).</w:t>
      </w:r>
    </w:p>
  </w:footnote>
  <w:footnote w:id="60">
    <w:p w:rsidR="0025154B" w:rsidRPr="00E92475" w:rsidRDefault="0025154B" w:rsidP="00317603">
      <w:pPr>
        <w:pStyle w:val="FootnoteText"/>
        <w:jc w:val="both"/>
        <w:rPr>
          <w:sz w:val="16"/>
          <w:szCs w:val="16"/>
        </w:rPr>
      </w:pPr>
      <w:r>
        <w:rPr>
          <w:szCs w:val="18"/>
        </w:rPr>
        <w:tab/>
      </w:r>
      <w:r w:rsidRPr="009B5B9B">
        <w:rPr>
          <w:rStyle w:val="FootnoteReference"/>
        </w:rPr>
        <w:footnoteRef/>
      </w:r>
      <w:r>
        <w:rPr>
          <w:szCs w:val="18"/>
          <w:lang w:val="fr-CH"/>
        </w:rPr>
        <w:tab/>
      </w:r>
      <w:r>
        <w:rPr>
          <w:szCs w:val="18"/>
          <w:lang w:val="fr-FR"/>
        </w:rPr>
        <w:t>Stratégie en matière de soins aux personnes âgées appliquée jusqu’en 2010 – Solidarité, coexistence et qualité de vie de la population âgée (adoptée par le Gouvernement de la République de Slovénie le 21 septembre 2006)</w:t>
      </w:r>
      <w:r w:rsidRPr="00A4202A">
        <w:rPr>
          <w:szCs w:val="18"/>
        </w:rPr>
        <w:t>.</w:t>
      </w:r>
    </w:p>
  </w:footnote>
  <w:footnote w:id="61">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sur la protection parentale et les prestations familiales</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110/06 – UPB, </w:t>
      </w:r>
      <w:r>
        <w:rPr>
          <w:szCs w:val="18"/>
          <w:lang w:val="fr-FR"/>
        </w:rPr>
        <w:t>et</w:t>
      </w:r>
      <w:r>
        <w:rPr>
          <w:szCs w:val="18"/>
        </w:rPr>
        <w:t xml:space="preserve"> 10/08</w:t>
      </w:r>
      <w:r w:rsidRPr="00A4202A">
        <w:rPr>
          <w:szCs w:val="18"/>
        </w:rPr>
        <w:t>).</w:t>
      </w:r>
    </w:p>
  </w:footnote>
  <w:footnote w:id="62">
    <w:p w:rsidR="0025154B" w:rsidRPr="00E92475" w:rsidRDefault="0025154B" w:rsidP="00317603">
      <w:pPr>
        <w:pStyle w:val="FootnoteText"/>
        <w:jc w:val="both"/>
        <w:rPr>
          <w:sz w:val="16"/>
          <w:szCs w:val="16"/>
        </w:rPr>
      </w:pPr>
      <w:r>
        <w:rPr>
          <w:szCs w:val="18"/>
        </w:rPr>
        <w:tab/>
      </w:r>
      <w:r w:rsidRPr="009B5B9B">
        <w:rPr>
          <w:rStyle w:val="FootnoteReference"/>
        </w:rPr>
        <w:footnoteRef/>
      </w:r>
      <w:r>
        <w:rPr>
          <w:szCs w:val="18"/>
        </w:rPr>
        <w:tab/>
      </w:r>
      <w:r>
        <w:rPr>
          <w:szCs w:val="18"/>
          <w:lang w:val="fr-FR"/>
        </w:rPr>
        <w:t xml:space="preserve">Loi sur le mariage et les relations familiales </w:t>
      </w:r>
      <w:r>
        <w:rPr>
          <w:szCs w:val="18"/>
        </w:rPr>
        <w:t>(</w:t>
      </w:r>
      <w:r w:rsidRPr="007B17A8">
        <w:rPr>
          <w:i/>
          <w:szCs w:val="18"/>
          <w:lang w:val="fr-FR"/>
        </w:rPr>
        <w:t>Journal officiel de la République de Slovénie</w:t>
      </w:r>
      <w:r>
        <w:rPr>
          <w:szCs w:val="18"/>
          <w:lang w:val="fr-FR"/>
        </w:rPr>
        <w:t>,</w:t>
      </w:r>
      <w:r>
        <w:rPr>
          <w:szCs w:val="18"/>
        </w:rPr>
        <w:t xml:space="preserve"> n</w:t>
      </w:r>
      <w:r w:rsidRPr="001B12ED">
        <w:rPr>
          <w:szCs w:val="18"/>
          <w:vertAlign w:val="superscript"/>
          <w:lang w:val="fr-FR"/>
        </w:rPr>
        <w:t>o</w:t>
      </w:r>
      <w:r>
        <w:rPr>
          <w:szCs w:val="18"/>
          <w:lang w:val="fr-CH"/>
        </w:rPr>
        <w:t> </w:t>
      </w:r>
      <w:r>
        <w:rPr>
          <w:szCs w:val="18"/>
        </w:rPr>
        <w:t>69/04</w:t>
      </w:r>
      <w:r>
        <w:rPr>
          <w:szCs w:val="18"/>
          <w:lang w:val="fr-CH"/>
        </w:rPr>
        <w:t>-</w:t>
      </w:r>
      <w:r w:rsidRPr="00A4202A">
        <w:rPr>
          <w:szCs w:val="18"/>
        </w:rPr>
        <w:t>UPB1).</w:t>
      </w:r>
    </w:p>
  </w:footnote>
  <w:footnote w:id="63">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sidRPr="00A4202A">
        <w:rPr>
          <w:szCs w:val="18"/>
        </w:rPr>
        <w:t xml:space="preserve">Code </w:t>
      </w:r>
      <w:r>
        <w:rPr>
          <w:szCs w:val="18"/>
          <w:lang w:val="fr-FR"/>
        </w:rPr>
        <w:t xml:space="preserve">pénal </w:t>
      </w:r>
      <w:r>
        <w:rPr>
          <w:szCs w:val="18"/>
        </w:rPr>
        <w:t>(</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55/08, </w:t>
      </w:r>
      <w:r>
        <w:rPr>
          <w:szCs w:val="18"/>
          <w:lang w:val="fr-FR"/>
        </w:rPr>
        <w:t>et modifications</w:t>
      </w:r>
      <w:r w:rsidRPr="00A4202A">
        <w:rPr>
          <w:szCs w:val="18"/>
        </w:rPr>
        <w:t>).</w:t>
      </w:r>
    </w:p>
  </w:footnote>
  <w:footnote w:id="64">
    <w:p w:rsidR="0025154B" w:rsidRPr="00E92475" w:rsidRDefault="0025154B" w:rsidP="00317603">
      <w:pPr>
        <w:pStyle w:val="FootnoteText"/>
        <w:jc w:val="both"/>
        <w:rPr>
          <w:color w:val="000000"/>
          <w:sz w:val="16"/>
          <w:szCs w:val="16"/>
        </w:rPr>
      </w:pPr>
      <w:r>
        <w:rPr>
          <w:szCs w:val="18"/>
          <w:vertAlign w:val="superscript"/>
        </w:rPr>
        <w:tab/>
      </w:r>
      <w:r w:rsidRPr="009B5B9B">
        <w:rPr>
          <w:rStyle w:val="FootnoteReference"/>
        </w:rPr>
        <w:footnoteRef/>
      </w:r>
      <w:r>
        <w:rPr>
          <w:szCs w:val="18"/>
          <w:vertAlign w:val="superscript"/>
        </w:rPr>
        <w:tab/>
      </w:r>
      <w:r>
        <w:rPr>
          <w:szCs w:val="18"/>
          <w:lang w:val="fr-FR"/>
        </w:rPr>
        <w:t>Loi sur la protection internationale</w:t>
      </w:r>
      <w:r>
        <w:rPr>
          <w:szCs w:val="18"/>
        </w:rPr>
        <w:t xml:space="preserve"> (</w:t>
      </w:r>
      <w:r w:rsidRPr="007B17A8">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A4202A">
        <w:rPr>
          <w:szCs w:val="18"/>
        </w:rPr>
        <w:t>111/07</w:t>
      </w:r>
      <w:r>
        <w:rPr>
          <w:szCs w:val="18"/>
        </w:rPr>
        <w:t>,</w:t>
      </w:r>
      <w:r w:rsidRPr="00A4202A">
        <w:rPr>
          <w:szCs w:val="18"/>
        </w:rPr>
        <w:t xml:space="preserve"> 111/2008</w:t>
      </w:r>
      <w:r>
        <w:rPr>
          <w:szCs w:val="18"/>
          <w:lang w:val="fr-CH"/>
        </w:rPr>
        <w:t xml:space="preserve"> </w:t>
      </w:r>
      <w:r w:rsidRPr="00A4202A">
        <w:rPr>
          <w:szCs w:val="18"/>
        </w:rPr>
        <w:t>– Dec.CC:U-I-95/08-14</w:t>
      </w:r>
      <w:r>
        <w:rPr>
          <w:szCs w:val="18"/>
        </w:rPr>
        <w:t>,</w:t>
      </w:r>
      <w:r w:rsidRPr="00A4202A">
        <w:rPr>
          <w:szCs w:val="18"/>
        </w:rPr>
        <w:t>Up-1462/06-39</w:t>
      </w:r>
      <w:r>
        <w:rPr>
          <w:szCs w:val="18"/>
        </w:rPr>
        <w:t>,</w:t>
      </w:r>
      <w:r w:rsidRPr="00A4202A">
        <w:rPr>
          <w:szCs w:val="18"/>
        </w:rPr>
        <w:t xml:space="preserve"> 30/2009</w:t>
      </w:r>
      <w:r>
        <w:rPr>
          <w:szCs w:val="18"/>
          <w:lang w:val="fr-CH"/>
        </w:rPr>
        <w:t xml:space="preserve"> </w:t>
      </w:r>
      <w:r w:rsidRPr="00A4202A">
        <w:rPr>
          <w:szCs w:val="18"/>
        </w:rPr>
        <w:t>–</w:t>
      </w:r>
      <w:r>
        <w:rPr>
          <w:szCs w:val="18"/>
          <w:lang w:val="fr-CH"/>
        </w:rPr>
        <w:t xml:space="preserve"> </w:t>
      </w:r>
      <w:r w:rsidRPr="00A4202A">
        <w:rPr>
          <w:szCs w:val="18"/>
        </w:rPr>
        <w:t>Dec.CC:U-I-50/08-16–Up-2177/08-16</w:t>
      </w:r>
      <w:r>
        <w:rPr>
          <w:szCs w:val="18"/>
        </w:rPr>
        <w:t>,</w:t>
      </w:r>
      <w:r w:rsidRPr="00A4202A">
        <w:rPr>
          <w:szCs w:val="18"/>
        </w:rPr>
        <w:t>58/2009</w:t>
      </w:r>
      <w:r>
        <w:rPr>
          <w:szCs w:val="18"/>
        </w:rPr>
        <w:t>,</w:t>
      </w:r>
      <w:r w:rsidRPr="00A4202A">
        <w:rPr>
          <w:szCs w:val="18"/>
        </w:rPr>
        <w:t>37/2010</w:t>
      </w:r>
      <w:r>
        <w:rPr>
          <w:szCs w:val="18"/>
          <w:lang w:val="fr-CH"/>
        </w:rPr>
        <w:t xml:space="preserve"> </w:t>
      </w:r>
      <w:r w:rsidRPr="00A4202A">
        <w:rPr>
          <w:szCs w:val="18"/>
        </w:rPr>
        <w:t>–</w:t>
      </w:r>
      <w:r>
        <w:rPr>
          <w:szCs w:val="18"/>
          <w:lang w:val="fr-CH"/>
        </w:rPr>
        <w:t xml:space="preserve"> </w:t>
      </w:r>
      <w:r w:rsidRPr="00A4202A">
        <w:rPr>
          <w:szCs w:val="18"/>
        </w:rPr>
        <w:t>Dec.CC:</w:t>
      </w:r>
      <w:r>
        <w:rPr>
          <w:szCs w:val="18"/>
          <w:lang w:val="fr-CH"/>
        </w:rPr>
        <w:t xml:space="preserve"> </w:t>
      </w:r>
      <w:r w:rsidRPr="00A4202A">
        <w:rPr>
          <w:szCs w:val="18"/>
        </w:rPr>
        <w:t>–</w:t>
      </w:r>
      <w:r>
        <w:rPr>
          <w:szCs w:val="18"/>
          <w:lang w:val="fr-CH"/>
        </w:rPr>
        <w:t xml:space="preserve"> </w:t>
      </w:r>
      <w:r w:rsidRPr="00A4202A">
        <w:rPr>
          <w:szCs w:val="18"/>
        </w:rPr>
        <w:t>Up-958/09-18</w:t>
      </w:r>
      <w:r>
        <w:rPr>
          <w:szCs w:val="18"/>
        </w:rPr>
        <w:t>,</w:t>
      </w:r>
      <w:r>
        <w:rPr>
          <w:szCs w:val="18"/>
          <w:lang w:val="fr-CH"/>
        </w:rPr>
        <w:t xml:space="preserve"> </w:t>
      </w:r>
      <w:r w:rsidRPr="00A4202A">
        <w:rPr>
          <w:szCs w:val="18"/>
        </w:rPr>
        <w:t>–</w:t>
      </w:r>
      <w:r>
        <w:rPr>
          <w:szCs w:val="18"/>
          <w:lang w:val="fr-CH"/>
        </w:rPr>
        <w:t xml:space="preserve"> </w:t>
      </w:r>
      <w:r w:rsidRPr="00A4202A">
        <w:rPr>
          <w:szCs w:val="18"/>
        </w:rPr>
        <w:t>U-I199/096</w:t>
      </w:r>
      <w:r>
        <w:rPr>
          <w:szCs w:val="18"/>
        </w:rPr>
        <w:t>,</w:t>
      </w:r>
      <w:r w:rsidRPr="00A4202A">
        <w:rPr>
          <w:szCs w:val="18"/>
        </w:rPr>
        <w:t xml:space="preserve"> 99/2010</w:t>
      </w:r>
      <w:r>
        <w:rPr>
          <w:szCs w:val="18"/>
        </w:rPr>
        <w:t>,</w:t>
      </w:r>
      <w:r w:rsidRPr="00A4202A">
        <w:rPr>
          <w:szCs w:val="18"/>
        </w:rPr>
        <w:t xml:space="preserve"> 11/2011-UPB2).</w:t>
      </w:r>
    </w:p>
  </w:footnote>
  <w:footnote w:id="65">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sur la prévention de la violence familiale</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16/08).</w:t>
      </w:r>
    </w:p>
  </w:footnote>
  <w:footnote w:id="66">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sidRPr="001F2D7A">
        <w:rPr>
          <w:szCs w:val="18"/>
          <w:lang w:val="fr-FR"/>
        </w:rPr>
        <w:t>ègles régissant la coopération des pouvoirs publics et l</w:t>
      </w:r>
      <w:r>
        <w:rPr>
          <w:szCs w:val="18"/>
          <w:lang w:val="fr-FR"/>
        </w:rPr>
        <w:t xml:space="preserve">es </w:t>
      </w:r>
      <w:r w:rsidRPr="001F2D7A">
        <w:rPr>
          <w:szCs w:val="18"/>
          <w:lang w:val="fr-FR"/>
        </w:rPr>
        <w:t>activité</w:t>
      </w:r>
      <w:r>
        <w:rPr>
          <w:szCs w:val="18"/>
          <w:lang w:val="fr-FR"/>
        </w:rPr>
        <w:t>s</w:t>
      </w:r>
      <w:r w:rsidRPr="001F2D7A">
        <w:rPr>
          <w:szCs w:val="18"/>
          <w:lang w:val="fr-FR"/>
        </w:rPr>
        <w:t xml:space="preserve"> des centres d</w:t>
      </w:r>
      <w:r>
        <w:rPr>
          <w:szCs w:val="18"/>
          <w:lang w:val="fr-FR"/>
        </w:rPr>
        <w:t>’action sociale, des équip</w:t>
      </w:r>
      <w:r w:rsidRPr="001F2D7A">
        <w:rPr>
          <w:szCs w:val="18"/>
          <w:lang w:val="fr-FR"/>
        </w:rPr>
        <w:t xml:space="preserve">es pluridisciplinaires et des services régionaux en vue de traiter </w:t>
      </w:r>
      <w:r>
        <w:rPr>
          <w:szCs w:val="18"/>
          <w:lang w:val="fr-FR"/>
        </w:rPr>
        <w:t xml:space="preserve">la question de </w:t>
      </w:r>
      <w:r w:rsidRPr="001F2D7A">
        <w:rPr>
          <w:szCs w:val="18"/>
          <w:lang w:val="fr-FR"/>
        </w:rPr>
        <w:t>la violence familial</w:t>
      </w:r>
      <w:r>
        <w:rPr>
          <w:szCs w:val="18"/>
          <w:lang w:val="fr-FR"/>
        </w:rPr>
        <w:t>e</w:t>
      </w:r>
      <w:r w:rsidRPr="001F2D7A">
        <w:rPr>
          <w:szCs w:val="18"/>
          <w:lang w:val="fr-FR"/>
        </w:rPr>
        <w:t xml:space="preserve"> (</w:t>
      </w:r>
      <w:r w:rsidRPr="007B17A8">
        <w:rPr>
          <w:i/>
          <w:szCs w:val="18"/>
          <w:lang w:val="fr-FR"/>
        </w:rPr>
        <w:t>Journal official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31/09).</w:t>
      </w:r>
    </w:p>
  </w:footnote>
  <w:footnote w:id="67">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Pr>
          <w:szCs w:val="18"/>
          <w:lang w:val="fr-FR"/>
        </w:rPr>
        <w:t>ègles régissant la coopération de la police et des autres autorités en vue de repérer et de prévenir la violence familiale</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26/10).</w:t>
      </w:r>
    </w:p>
  </w:footnote>
  <w:footnote w:id="68">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Pr>
          <w:szCs w:val="18"/>
          <w:lang w:val="fr-FR"/>
        </w:rPr>
        <w:t xml:space="preserve">ègles régissant la manière de traiter dans les établissements d’enseignement la question de la violence familiale </w:t>
      </w:r>
      <w:r>
        <w:rPr>
          <w:szCs w:val="18"/>
        </w:rPr>
        <w:t>(</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104/09).</w:t>
      </w:r>
    </w:p>
  </w:footnote>
  <w:footnote w:id="69">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sidRPr="00A4202A">
        <w:rPr>
          <w:szCs w:val="18"/>
        </w:rPr>
        <w:t xml:space="preserve">Code </w:t>
      </w:r>
      <w:r>
        <w:rPr>
          <w:szCs w:val="18"/>
          <w:lang w:val="fr-FR"/>
        </w:rPr>
        <w:t>pénal</w:t>
      </w:r>
      <w:r w:rsidRPr="00A4202A">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55/08 </w:t>
      </w:r>
      <w:r>
        <w:rPr>
          <w:szCs w:val="18"/>
          <w:lang w:val="fr-FR"/>
        </w:rPr>
        <w:t>et</w:t>
      </w:r>
      <w:r w:rsidRPr="00A4202A">
        <w:rPr>
          <w:szCs w:val="18"/>
        </w:rPr>
        <w:t xml:space="preserve"> 66/08).</w:t>
      </w:r>
    </w:p>
  </w:footnote>
  <w:footnote w:id="70">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sidRPr="00D259F6">
        <w:rPr>
          <w:szCs w:val="18"/>
          <w:lang w:val="fr-FR"/>
        </w:rPr>
        <w:t>Voir</w:t>
      </w:r>
      <w:r w:rsidRPr="00A4202A">
        <w:rPr>
          <w:szCs w:val="18"/>
        </w:rPr>
        <w:t xml:space="preserve"> </w:t>
      </w:r>
      <w:r>
        <w:rPr>
          <w:szCs w:val="18"/>
          <w:lang w:val="fr-CH"/>
        </w:rPr>
        <w:t>a</w:t>
      </w:r>
      <w:r w:rsidRPr="005C7FE3">
        <w:rPr>
          <w:szCs w:val="18"/>
        </w:rPr>
        <w:t>p</w:t>
      </w:r>
      <w:r>
        <w:rPr>
          <w:szCs w:val="18"/>
        </w:rPr>
        <w:t>p</w:t>
      </w:r>
      <w:r>
        <w:rPr>
          <w:szCs w:val="18"/>
          <w:lang w:val="fr-CH"/>
        </w:rPr>
        <w:t>endice</w:t>
      </w:r>
      <w:r>
        <w:rPr>
          <w:szCs w:val="18"/>
        </w:rPr>
        <w:t xml:space="preserve"> 1, </w:t>
      </w:r>
      <w:r>
        <w:rPr>
          <w:szCs w:val="18"/>
          <w:lang w:val="fr-CH"/>
        </w:rPr>
        <w:t>a</w:t>
      </w:r>
      <w:r>
        <w:rPr>
          <w:szCs w:val="18"/>
        </w:rPr>
        <w:t>rt.</w:t>
      </w:r>
      <w:r>
        <w:rPr>
          <w:szCs w:val="18"/>
          <w:lang w:val="fr-CH"/>
        </w:rPr>
        <w:t> </w:t>
      </w:r>
      <w:r>
        <w:rPr>
          <w:szCs w:val="18"/>
        </w:rPr>
        <w:t xml:space="preserve">191 </w:t>
      </w:r>
      <w:r>
        <w:rPr>
          <w:szCs w:val="18"/>
          <w:lang w:val="fr-FR"/>
        </w:rPr>
        <w:t>(Code pénal)</w:t>
      </w:r>
      <w:r w:rsidRPr="00A4202A">
        <w:rPr>
          <w:szCs w:val="18"/>
        </w:rPr>
        <w:t>.</w:t>
      </w:r>
    </w:p>
  </w:footnote>
  <w:footnote w:id="71">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sidRPr="00A4202A">
        <w:rPr>
          <w:szCs w:val="18"/>
        </w:rPr>
        <w:t xml:space="preserve">Code </w:t>
      </w:r>
      <w:r w:rsidRPr="00B67DB9">
        <w:rPr>
          <w:szCs w:val="18"/>
          <w:lang w:val="fr-FR"/>
        </w:rPr>
        <w:t>pénal</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95/04</w:t>
      </w:r>
      <w:r>
        <w:rPr>
          <w:szCs w:val="18"/>
          <w:lang w:val="fr-CH"/>
        </w:rPr>
        <w:t xml:space="preserve"> </w:t>
      </w:r>
      <w:r w:rsidRPr="00A4202A">
        <w:rPr>
          <w:szCs w:val="18"/>
        </w:rPr>
        <w:t>–</w:t>
      </w:r>
      <w:r>
        <w:rPr>
          <w:szCs w:val="18"/>
          <w:lang w:val="fr-CH"/>
        </w:rPr>
        <w:t xml:space="preserve"> </w:t>
      </w:r>
      <w:r>
        <w:rPr>
          <w:szCs w:val="18"/>
          <w:lang w:val="fr-FR"/>
        </w:rPr>
        <w:t>texte officiel unifié</w:t>
      </w:r>
      <w:r w:rsidRPr="00A4202A">
        <w:rPr>
          <w:szCs w:val="18"/>
        </w:rPr>
        <w:t>).</w:t>
      </w:r>
    </w:p>
  </w:footnote>
  <w:footnote w:id="72">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 xml:space="preserve">Voir </w:t>
      </w:r>
      <w:r>
        <w:rPr>
          <w:szCs w:val="18"/>
          <w:lang w:val="fr-CH"/>
        </w:rPr>
        <w:t>a</w:t>
      </w:r>
      <w:r>
        <w:rPr>
          <w:szCs w:val="18"/>
        </w:rPr>
        <w:t>ppend</w:t>
      </w:r>
      <w:r>
        <w:rPr>
          <w:szCs w:val="18"/>
          <w:lang w:val="fr-CH"/>
        </w:rPr>
        <w:t>ice</w:t>
      </w:r>
      <w:r>
        <w:rPr>
          <w:szCs w:val="18"/>
        </w:rPr>
        <w:t xml:space="preserve"> 1, </w:t>
      </w:r>
      <w:r>
        <w:rPr>
          <w:szCs w:val="18"/>
          <w:lang w:val="fr-FR"/>
        </w:rPr>
        <w:t>art. </w:t>
      </w:r>
      <w:r>
        <w:rPr>
          <w:szCs w:val="18"/>
        </w:rPr>
        <w:t>170</w:t>
      </w:r>
      <w:r>
        <w:rPr>
          <w:szCs w:val="18"/>
          <w:lang w:val="fr-CH"/>
        </w:rPr>
        <w:t>, par. 4</w:t>
      </w:r>
      <w:r>
        <w:rPr>
          <w:szCs w:val="18"/>
        </w:rPr>
        <w:t xml:space="preserve">, </w:t>
      </w:r>
      <w:r>
        <w:rPr>
          <w:szCs w:val="18"/>
          <w:lang w:val="fr-CH"/>
        </w:rPr>
        <w:t xml:space="preserve">du </w:t>
      </w:r>
      <w:r>
        <w:rPr>
          <w:szCs w:val="18"/>
          <w:lang w:val="fr-FR"/>
        </w:rPr>
        <w:t>Code pénal</w:t>
      </w:r>
      <w:r w:rsidRPr="00A4202A">
        <w:rPr>
          <w:szCs w:val="18"/>
        </w:rPr>
        <w:t>.</w:t>
      </w:r>
    </w:p>
  </w:footnote>
  <w:footnote w:id="73">
    <w:p w:rsidR="0025154B" w:rsidRPr="00E92475" w:rsidRDefault="0025154B" w:rsidP="00317603">
      <w:pPr>
        <w:pStyle w:val="FootnoteText"/>
        <w:jc w:val="both"/>
        <w:rPr>
          <w:sz w:val="16"/>
          <w:szCs w:val="16"/>
        </w:rPr>
      </w:pPr>
      <w:r>
        <w:rPr>
          <w:szCs w:val="18"/>
        </w:rPr>
        <w:tab/>
      </w:r>
      <w:r w:rsidRPr="009B5B9B">
        <w:rPr>
          <w:rStyle w:val="FootnoteReference"/>
        </w:rPr>
        <w:footnoteRef/>
      </w:r>
      <w:r>
        <w:rPr>
          <w:szCs w:val="18"/>
        </w:rPr>
        <w:tab/>
        <w:t>2009</w:t>
      </w:r>
      <w:r>
        <w:rPr>
          <w:szCs w:val="18"/>
          <w:lang w:val="fr-CH"/>
        </w:rPr>
        <w:t>-</w:t>
      </w:r>
      <w:r>
        <w:rPr>
          <w:szCs w:val="18"/>
        </w:rPr>
        <w:t>2014 R</w:t>
      </w:r>
      <w:r w:rsidRPr="00E62167">
        <w:rPr>
          <w:szCs w:val="18"/>
          <w:lang w:val="fr-FR"/>
        </w:rPr>
        <w:t>é</w:t>
      </w:r>
      <w:r w:rsidRPr="00A4202A">
        <w:rPr>
          <w:szCs w:val="18"/>
        </w:rPr>
        <w:t xml:space="preserve">solution </w:t>
      </w:r>
      <w:r>
        <w:rPr>
          <w:szCs w:val="18"/>
          <w:lang w:val="fr-FR"/>
        </w:rPr>
        <w:t>sur le programme national de prévention de la violence familiale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41/09).</w:t>
      </w:r>
    </w:p>
  </w:footnote>
  <w:footnote w:id="74">
    <w:p w:rsidR="0025154B" w:rsidRPr="00E92475" w:rsidRDefault="0025154B" w:rsidP="00317603">
      <w:pPr>
        <w:pStyle w:val="FootnoteText"/>
        <w:jc w:val="both"/>
        <w:rPr>
          <w:sz w:val="16"/>
          <w:szCs w:val="16"/>
        </w:rPr>
      </w:pPr>
      <w:r>
        <w:rPr>
          <w:szCs w:val="18"/>
        </w:rPr>
        <w:tab/>
      </w:r>
      <w:r w:rsidRPr="009B5B9B">
        <w:rPr>
          <w:rStyle w:val="FootnoteReference"/>
        </w:rPr>
        <w:footnoteRef/>
      </w:r>
      <w:r>
        <w:rPr>
          <w:szCs w:val="18"/>
        </w:rPr>
        <w:tab/>
      </w:r>
      <w:r>
        <w:rPr>
          <w:szCs w:val="18"/>
          <w:lang w:val="fr-FR"/>
        </w:rPr>
        <w:t>Voir</w:t>
      </w:r>
      <w:r w:rsidRPr="00A4202A">
        <w:rPr>
          <w:szCs w:val="18"/>
        </w:rPr>
        <w:t xml:space="preserve"> A</w:t>
      </w:r>
      <w:r w:rsidRPr="006F14BE">
        <w:rPr>
          <w:szCs w:val="18"/>
        </w:rPr>
        <w:t>pp</w:t>
      </w:r>
      <w:r>
        <w:rPr>
          <w:szCs w:val="18"/>
        </w:rPr>
        <w:t xml:space="preserve">, </w:t>
      </w:r>
      <w:r>
        <w:rPr>
          <w:szCs w:val="18"/>
          <w:lang w:val="fr-CH"/>
        </w:rPr>
        <w:t>art. </w:t>
      </w:r>
      <w:r>
        <w:rPr>
          <w:szCs w:val="18"/>
        </w:rPr>
        <w:t>113</w:t>
      </w:r>
      <w:r>
        <w:rPr>
          <w:szCs w:val="18"/>
          <w:lang w:val="fr-FR"/>
        </w:rPr>
        <w:t xml:space="preserve"> (nouveau Code pénal)</w:t>
      </w:r>
      <w:r w:rsidRPr="00A4202A">
        <w:rPr>
          <w:szCs w:val="18"/>
        </w:rPr>
        <w:t>.</w:t>
      </w:r>
    </w:p>
  </w:footnote>
  <w:footnote w:id="75">
    <w:p w:rsidR="0025154B" w:rsidRPr="0006314B" w:rsidRDefault="0025154B" w:rsidP="00317603">
      <w:pPr>
        <w:pStyle w:val="FootnoteText"/>
        <w:jc w:val="both"/>
        <w:rPr>
          <w:szCs w:val="18"/>
          <w:lang w:val="fr-FR"/>
        </w:rPr>
      </w:pPr>
      <w:r>
        <w:rPr>
          <w:szCs w:val="18"/>
        </w:rPr>
        <w:tab/>
      </w:r>
      <w:r w:rsidRPr="009B5B9B">
        <w:rPr>
          <w:rStyle w:val="FootnoteReference"/>
        </w:rPr>
        <w:footnoteRef/>
      </w:r>
      <w:r>
        <w:rPr>
          <w:szCs w:val="18"/>
        </w:rPr>
        <w:tab/>
      </w:r>
      <w:r>
        <w:rPr>
          <w:szCs w:val="18"/>
          <w:lang w:val="fr-FR"/>
        </w:rPr>
        <w:t>Loi portant ratification de la Convention du Conseil de l’Europe sur la lutte contre la traite des êtres humains (</w:t>
      </w:r>
      <w:r w:rsidRPr="007B17A8">
        <w:rPr>
          <w:i/>
          <w:szCs w:val="18"/>
          <w:lang w:val="fr-FR"/>
        </w:rPr>
        <w:t>Journal officiel de la République de Slovénie</w:t>
      </w:r>
      <w:r>
        <w:rPr>
          <w:szCs w:val="18"/>
          <w:lang w:val="fr-FR"/>
        </w:rPr>
        <w:t xml:space="preserve">, </w:t>
      </w:r>
      <w:r w:rsidRPr="008E292A">
        <w:rPr>
          <w:szCs w:val="18"/>
          <w:lang w:val="fr-FR"/>
        </w:rPr>
        <w:t>MP</w:t>
      </w:r>
      <w:r>
        <w:rPr>
          <w:szCs w:val="18"/>
          <w:lang w:val="fr-FR"/>
        </w:rPr>
        <w:t xml:space="preserve"> </w:t>
      </w:r>
      <w:r>
        <w:rPr>
          <w:szCs w:val="18"/>
        </w:rPr>
        <w:t>n</w:t>
      </w:r>
      <w:r w:rsidRPr="001B12ED">
        <w:rPr>
          <w:szCs w:val="18"/>
          <w:vertAlign w:val="superscript"/>
          <w:lang w:val="fr-FR"/>
        </w:rPr>
        <w:t>o</w:t>
      </w:r>
      <w:r>
        <w:rPr>
          <w:szCs w:val="18"/>
          <w:lang w:val="fr-CH"/>
        </w:rPr>
        <w:t> </w:t>
      </w:r>
      <w:r>
        <w:rPr>
          <w:szCs w:val="18"/>
          <w:lang w:val="fr-FR"/>
        </w:rPr>
        <w:t>14/2009).</w:t>
      </w:r>
    </w:p>
  </w:footnote>
  <w:footnote w:id="76">
    <w:p w:rsidR="0025154B" w:rsidRPr="005D6877" w:rsidRDefault="0025154B" w:rsidP="00317603">
      <w:pPr>
        <w:pStyle w:val="FootnoteText"/>
        <w:jc w:val="both"/>
        <w:rPr>
          <w:szCs w:val="18"/>
          <w:lang w:val="fr-FR"/>
        </w:rPr>
      </w:pPr>
      <w:r>
        <w:rPr>
          <w:szCs w:val="18"/>
          <w:vertAlign w:val="superscript"/>
        </w:rPr>
        <w:tab/>
      </w:r>
      <w:r w:rsidRPr="009B5B9B">
        <w:rPr>
          <w:rStyle w:val="FootnoteReference"/>
        </w:rPr>
        <w:footnoteRef/>
      </w:r>
      <w:r>
        <w:rPr>
          <w:szCs w:val="18"/>
          <w:vertAlign w:val="superscript"/>
        </w:rPr>
        <w:tab/>
      </w:r>
      <w:r w:rsidRPr="00C810DD">
        <w:rPr>
          <w:szCs w:val="18"/>
          <w:lang w:val="fr-FR"/>
        </w:rPr>
        <w:t xml:space="preserve">La base de </w:t>
      </w:r>
      <w:r>
        <w:rPr>
          <w:szCs w:val="18"/>
          <w:lang w:val="fr-FR"/>
        </w:rPr>
        <w:t xml:space="preserve">calcul du revenu minimum </w:t>
      </w:r>
      <w:r w:rsidRPr="00C810DD">
        <w:rPr>
          <w:szCs w:val="18"/>
          <w:lang w:val="fr-FR"/>
        </w:rPr>
        <w:t>analysée en 1997 et 1998 par l</w:t>
      </w:r>
      <w:r>
        <w:rPr>
          <w:szCs w:val="18"/>
          <w:lang w:val="fr-FR"/>
        </w:rPr>
        <w:t>’</w:t>
      </w:r>
      <w:r w:rsidRPr="00C810DD">
        <w:rPr>
          <w:szCs w:val="18"/>
          <w:lang w:val="fr-FR"/>
        </w:rPr>
        <w:t>Institut de recherche économique s</w:t>
      </w:r>
      <w:r>
        <w:rPr>
          <w:szCs w:val="18"/>
          <w:lang w:val="fr-FR"/>
        </w:rPr>
        <w:t>ur les niveaux de vie minima,</w:t>
      </w:r>
      <w:r w:rsidRPr="00C810DD">
        <w:rPr>
          <w:szCs w:val="18"/>
          <w:lang w:val="fr-FR"/>
        </w:rPr>
        <w:t xml:space="preserve"> permet de </w:t>
      </w:r>
      <w:r>
        <w:rPr>
          <w:szCs w:val="18"/>
          <w:lang w:val="fr-FR"/>
        </w:rPr>
        <w:t>défini</w:t>
      </w:r>
      <w:r w:rsidRPr="00C810DD">
        <w:rPr>
          <w:szCs w:val="18"/>
          <w:lang w:val="fr-FR"/>
        </w:rPr>
        <w:t xml:space="preserve">r le </w:t>
      </w:r>
      <w:r>
        <w:rPr>
          <w:szCs w:val="18"/>
          <w:lang w:val="fr-FR"/>
        </w:rPr>
        <w:t>revenu</w:t>
      </w:r>
      <w:r w:rsidRPr="00C810DD">
        <w:rPr>
          <w:szCs w:val="18"/>
          <w:lang w:val="fr-FR"/>
        </w:rPr>
        <w:t xml:space="preserve"> minimum pour différents types </w:t>
      </w:r>
      <w:r>
        <w:rPr>
          <w:szCs w:val="18"/>
          <w:lang w:val="fr-FR"/>
        </w:rPr>
        <w:t>de personnes</w:t>
      </w:r>
      <w:r w:rsidRPr="00C810DD">
        <w:rPr>
          <w:szCs w:val="18"/>
          <w:lang w:val="fr-FR"/>
        </w:rPr>
        <w:t xml:space="preserve"> </w:t>
      </w:r>
      <w:r>
        <w:rPr>
          <w:szCs w:val="18"/>
          <w:lang w:val="fr-FR"/>
        </w:rPr>
        <w:t xml:space="preserve">et de ménages en Slovénie </w:t>
      </w:r>
      <w:r w:rsidRPr="00C810DD">
        <w:rPr>
          <w:szCs w:val="18"/>
          <w:lang w:val="fr-FR"/>
        </w:rPr>
        <w:t>(au moyen d</w:t>
      </w:r>
      <w:r>
        <w:rPr>
          <w:szCs w:val="18"/>
          <w:lang w:val="fr-FR"/>
        </w:rPr>
        <w:t>’</w:t>
      </w:r>
      <w:r w:rsidRPr="00C810DD">
        <w:rPr>
          <w:szCs w:val="18"/>
          <w:lang w:val="fr-FR"/>
        </w:rPr>
        <w:t>une échelle d</w:t>
      </w:r>
      <w:r>
        <w:rPr>
          <w:szCs w:val="18"/>
          <w:lang w:val="fr-FR"/>
        </w:rPr>
        <w:t>’</w:t>
      </w:r>
      <w:r w:rsidRPr="00C810DD">
        <w:rPr>
          <w:szCs w:val="18"/>
          <w:lang w:val="fr-FR"/>
        </w:rPr>
        <w:t xml:space="preserve">équivalence adaptée). </w:t>
      </w:r>
      <w:r w:rsidRPr="005D6877">
        <w:rPr>
          <w:szCs w:val="18"/>
          <w:lang w:val="fr-FR"/>
        </w:rPr>
        <w:t xml:space="preserve">Le </w:t>
      </w:r>
      <w:r>
        <w:rPr>
          <w:szCs w:val="18"/>
          <w:lang w:val="fr-FR"/>
        </w:rPr>
        <w:t>revenu minimum répond</w:t>
      </w:r>
      <w:r w:rsidRPr="005D6877">
        <w:rPr>
          <w:szCs w:val="18"/>
          <w:lang w:val="fr-FR"/>
        </w:rPr>
        <w:t xml:space="preserve"> à deux exigences </w:t>
      </w:r>
      <w:r>
        <w:rPr>
          <w:szCs w:val="18"/>
          <w:lang w:val="fr-FR"/>
        </w:rPr>
        <w:t>importantes, à savoir permettre</w:t>
      </w:r>
      <w:r w:rsidRPr="005D6877">
        <w:rPr>
          <w:szCs w:val="18"/>
          <w:lang w:val="fr-FR"/>
        </w:rPr>
        <w:t xml:space="preserve"> de satisfaire aux besoins</w:t>
      </w:r>
      <w:r>
        <w:rPr>
          <w:szCs w:val="18"/>
          <w:lang w:val="fr-FR"/>
        </w:rPr>
        <w:t xml:space="preserve"> essentiels et ne pas entraîner de perte de motivation</w:t>
      </w:r>
      <w:r w:rsidRPr="005D6877">
        <w:rPr>
          <w:szCs w:val="18"/>
          <w:lang w:val="fr-FR"/>
        </w:rPr>
        <w:t xml:space="preserve"> pour le travail. Il est réévalué deux fois par an en fonction des fluctuations de l</w:t>
      </w:r>
      <w:r>
        <w:rPr>
          <w:szCs w:val="18"/>
          <w:lang w:val="fr-FR"/>
        </w:rPr>
        <w:t>’inflation en S</w:t>
      </w:r>
      <w:r w:rsidRPr="005D6877">
        <w:rPr>
          <w:szCs w:val="18"/>
          <w:lang w:val="fr-FR"/>
        </w:rPr>
        <w:t xml:space="preserve">lovénie (voir tableaux en annexe). </w:t>
      </w:r>
    </w:p>
  </w:footnote>
  <w:footnote w:id="77">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lang w:val="fr-FR"/>
        </w:rPr>
        <w:t xml:space="preserve">Loi sur l’ajustement des transferts sociaux aux personnes et aux ménages </w:t>
      </w:r>
      <w:r>
        <w:rPr>
          <w:szCs w:val="18"/>
        </w:rPr>
        <w:t>(</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114/06</w:t>
      </w:r>
      <w:r>
        <w:rPr>
          <w:szCs w:val="18"/>
        </w:rPr>
        <w:t>,</w:t>
      </w:r>
      <w:r w:rsidRPr="00A4202A">
        <w:rPr>
          <w:szCs w:val="18"/>
        </w:rPr>
        <w:t xml:space="preserve"> 59/07</w:t>
      </w:r>
      <w:r>
        <w:rPr>
          <w:szCs w:val="18"/>
          <w:lang w:val="fr-CH"/>
        </w:rPr>
        <w:t>-</w:t>
      </w:r>
      <w:r w:rsidRPr="00A4202A">
        <w:rPr>
          <w:szCs w:val="18"/>
        </w:rPr>
        <w:t>ZŠtip 63/07 corr.</w:t>
      </w:r>
      <w:r>
        <w:rPr>
          <w:szCs w:val="18"/>
        </w:rPr>
        <w:t>, 10/08</w:t>
      </w:r>
      <w:r>
        <w:rPr>
          <w:szCs w:val="18"/>
          <w:lang w:val="fr-CH"/>
        </w:rPr>
        <w:t>-</w:t>
      </w:r>
      <w:r>
        <w:rPr>
          <w:szCs w:val="18"/>
        </w:rPr>
        <w:t xml:space="preserve">ZVarDod, 71/08, 73/08 </w:t>
      </w:r>
      <w:r>
        <w:rPr>
          <w:szCs w:val="18"/>
          <w:lang w:val="fr-FR"/>
        </w:rPr>
        <w:t>et</w:t>
      </w:r>
      <w:r w:rsidRPr="00A4202A">
        <w:rPr>
          <w:szCs w:val="18"/>
        </w:rPr>
        <w:t xml:space="preserve"> 98/09-ZIUZGK).</w:t>
      </w:r>
    </w:p>
  </w:footnote>
  <w:footnote w:id="78">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lang w:val="fr-FR"/>
        </w:rPr>
        <w:t>Loi sur l’allocation spéciale pour les personnes en situation de risque social</w:t>
      </w:r>
      <w:r>
        <w:rPr>
          <w:szCs w:val="18"/>
        </w:rPr>
        <w:t xml:space="preserve"> (</w:t>
      </w:r>
      <w:r w:rsidRPr="007B17A8">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57/09).</w:t>
      </w:r>
    </w:p>
  </w:footnote>
  <w:footnote w:id="79">
    <w:p w:rsidR="0025154B" w:rsidRPr="005D2932" w:rsidRDefault="0025154B" w:rsidP="00317603">
      <w:pPr>
        <w:pStyle w:val="FootnoteText"/>
        <w:jc w:val="both"/>
        <w:rPr>
          <w:szCs w:val="18"/>
          <w:lang w:val="fr-CH"/>
        </w:rPr>
      </w:pPr>
      <w:r>
        <w:rPr>
          <w:szCs w:val="18"/>
        </w:rPr>
        <w:tab/>
      </w:r>
      <w:r w:rsidRPr="009B5B9B">
        <w:rPr>
          <w:rStyle w:val="FootnoteReference"/>
        </w:rPr>
        <w:footnoteRef/>
      </w:r>
      <w:r>
        <w:rPr>
          <w:szCs w:val="18"/>
        </w:rPr>
        <w:tab/>
      </w:r>
      <w:r>
        <w:rPr>
          <w:szCs w:val="18"/>
          <w:lang w:val="fr-FR"/>
        </w:rPr>
        <w:t>Loi sur l’aide sociale financière</w:t>
      </w:r>
      <w:r>
        <w:rPr>
          <w:szCs w:val="18"/>
        </w:rPr>
        <w:t xml:space="preserve"> (</w:t>
      </w:r>
      <w:r w:rsidRPr="005D2932">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61/10)</w:t>
      </w:r>
      <w:r>
        <w:rPr>
          <w:szCs w:val="18"/>
          <w:lang w:val="fr-CH"/>
        </w:rPr>
        <w:t>.</w:t>
      </w:r>
    </w:p>
  </w:footnote>
  <w:footnote w:id="80">
    <w:p w:rsidR="0025154B" w:rsidRPr="005D2932" w:rsidRDefault="0025154B" w:rsidP="00317603">
      <w:pPr>
        <w:pStyle w:val="FootnoteText"/>
        <w:jc w:val="both"/>
        <w:rPr>
          <w:sz w:val="16"/>
          <w:szCs w:val="16"/>
          <w:lang w:val="fr-CH"/>
        </w:rPr>
      </w:pPr>
      <w:r>
        <w:rPr>
          <w:szCs w:val="18"/>
        </w:rPr>
        <w:tab/>
      </w:r>
      <w:r w:rsidRPr="009B5B9B">
        <w:rPr>
          <w:rStyle w:val="FootnoteReference"/>
        </w:rPr>
        <w:footnoteRef/>
      </w:r>
      <w:r>
        <w:rPr>
          <w:szCs w:val="18"/>
        </w:rPr>
        <w:tab/>
        <w:t>M</w:t>
      </w:r>
      <w:r>
        <w:rPr>
          <w:szCs w:val="18"/>
          <w:lang w:val="fr-FR"/>
        </w:rPr>
        <w:t>émorandum d’accord entre la Communauté européenne et la République de Slovénie sur la coopération de la Slovénie au programme d’action communautaire de lutte contre l’exclusion sociale</w:t>
      </w:r>
      <w:r>
        <w:rPr>
          <w:szCs w:val="18"/>
        </w:rPr>
        <w:t xml:space="preserve"> (</w:t>
      </w:r>
      <w:r w:rsidRPr="007B17A8">
        <w:rPr>
          <w:i/>
          <w:szCs w:val="18"/>
          <w:lang w:val="fr-FR"/>
        </w:rPr>
        <w:t>Journal officiel de la République de Slovénie</w:t>
      </w:r>
      <w:r>
        <w:rPr>
          <w:szCs w:val="18"/>
        </w:rPr>
        <w:t>,</w:t>
      </w:r>
      <w:r w:rsidRPr="00A4202A">
        <w:rPr>
          <w:szCs w:val="18"/>
        </w:rPr>
        <w:t xml:space="preserve"> </w:t>
      </w:r>
      <w:r>
        <w:rPr>
          <w:szCs w:val="18"/>
        </w:rPr>
        <w:t>n</w:t>
      </w:r>
      <w:r w:rsidRPr="001B12ED">
        <w:rPr>
          <w:szCs w:val="18"/>
          <w:vertAlign w:val="superscript"/>
          <w:lang w:val="fr-FR"/>
        </w:rPr>
        <w:t>o</w:t>
      </w:r>
      <w:r>
        <w:rPr>
          <w:szCs w:val="18"/>
          <w:lang w:val="fr-CH"/>
        </w:rPr>
        <w:t> </w:t>
      </w:r>
      <w:r w:rsidRPr="00A4202A">
        <w:rPr>
          <w:szCs w:val="18"/>
        </w:rPr>
        <w:t>9/04)</w:t>
      </w:r>
      <w:r>
        <w:rPr>
          <w:szCs w:val="18"/>
          <w:lang w:val="fr-CH"/>
        </w:rPr>
        <w:t>.</w:t>
      </w:r>
    </w:p>
  </w:footnote>
  <w:footnote w:id="81">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lang w:val="fr-FR"/>
        </w:rPr>
        <w:t>Loi sur l’aide au développement de la région de</w:t>
      </w:r>
      <w:r>
        <w:rPr>
          <w:szCs w:val="18"/>
        </w:rPr>
        <w:t xml:space="preserve"> Pomurje </w:t>
      </w:r>
      <w:r w:rsidRPr="00A4202A">
        <w:rPr>
          <w:szCs w:val="18"/>
        </w:rPr>
        <w:t>20</w:t>
      </w:r>
      <w:r>
        <w:rPr>
          <w:szCs w:val="18"/>
        </w:rPr>
        <w:t xml:space="preserve">10-2015 </w:t>
      </w:r>
      <w:r w:rsidRPr="00A4202A">
        <w:rPr>
          <w:szCs w:val="18"/>
        </w:rPr>
        <w:t>(</w:t>
      </w:r>
      <w:r w:rsidRPr="004B322C">
        <w:rPr>
          <w:i/>
          <w:szCs w:val="18"/>
          <w:lang w:val="fr-FR"/>
        </w:rPr>
        <w:t>Journal officiel de la République de Slovéni</w:t>
      </w:r>
      <w:r w:rsidRPr="004B322C">
        <w:rPr>
          <w:i/>
          <w:szCs w:val="18"/>
        </w:rPr>
        <w:t>e</w:t>
      </w:r>
      <w:r>
        <w:rPr>
          <w:szCs w:val="18"/>
        </w:rPr>
        <w:t>, n</w:t>
      </w:r>
      <w:r w:rsidRPr="001B12ED">
        <w:rPr>
          <w:szCs w:val="18"/>
          <w:vertAlign w:val="superscript"/>
          <w:lang w:val="fr-FR"/>
        </w:rPr>
        <w:t>o</w:t>
      </w:r>
      <w:r>
        <w:rPr>
          <w:szCs w:val="18"/>
          <w:lang w:val="fr-CH"/>
        </w:rPr>
        <w:t> </w:t>
      </w:r>
      <w:r w:rsidRPr="00A4202A">
        <w:rPr>
          <w:szCs w:val="18"/>
        </w:rPr>
        <w:t>87/09).</w:t>
      </w:r>
    </w:p>
  </w:footnote>
  <w:footnote w:id="82">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sidRPr="004643AF">
        <w:rPr>
          <w:szCs w:val="18"/>
          <w:lang w:val="fr-FR"/>
        </w:rPr>
        <w:t>é</w:t>
      </w:r>
      <w:r w:rsidRPr="00A4202A">
        <w:rPr>
          <w:szCs w:val="18"/>
        </w:rPr>
        <w:t xml:space="preserve">solution </w:t>
      </w:r>
      <w:r>
        <w:rPr>
          <w:szCs w:val="18"/>
          <w:lang w:val="fr-FR"/>
        </w:rPr>
        <w:t>sur le programme national relatif à la politique en matière de nutrition</w:t>
      </w:r>
      <w:r>
        <w:rPr>
          <w:szCs w:val="18"/>
        </w:rPr>
        <w:t xml:space="preserve"> 2005-2010 (</w:t>
      </w:r>
      <w:r w:rsidRPr="004B322C">
        <w:rPr>
          <w:i/>
          <w:szCs w:val="18"/>
          <w:lang w:val="fr-FR"/>
        </w:rPr>
        <w:t>Journal officiel de la République de Slovénie</w:t>
      </w:r>
      <w:r>
        <w:rPr>
          <w:szCs w:val="18"/>
          <w:lang w:val="fr-FR"/>
        </w:rPr>
        <w:t>,</w:t>
      </w:r>
      <w:r>
        <w:rPr>
          <w:szCs w:val="18"/>
        </w:rPr>
        <w:t xml:space="preserve"> n</w:t>
      </w:r>
      <w:r w:rsidRPr="001B12ED">
        <w:rPr>
          <w:szCs w:val="18"/>
          <w:vertAlign w:val="superscript"/>
          <w:lang w:val="fr-FR"/>
        </w:rPr>
        <w:t>o</w:t>
      </w:r>
      <w:r>
        <w:rPr>
          <w:szCs w:val="18"/>
          <w:lang w:val="fr-CH"/>
        </w:rPr>
        <w:t> </w:t>
      </w:r>
      <w:r w:rsidRPr="00A4202A">
        <w:rPr>
          <w:szCs w:val="18"/>
        </w:rPr>
        <w:t>39/05).</w:t>
      </w:r>
    </w:p>
  </w:footnote>
  <w:footnote w:id="83">
    <w:p w:rsidR="0025154B" w:rsidRPr="00273521" w:rsidRDefault="0025154B" w:rsidP="00317603">
      <w:pPr>
        <w:pStyle w:val="FootnoteText"/>
        <w:jc w:val="both"/>
        <w:rPr>
          <w:sz w:val="16"/>
          <w:szCs w:val="16"/>
        </w:rPr>
      </w:pPr>
      <w:r>
        <w:rPr>
          <w:szCs w:val="18"/>
        </w:rPr>
        <w:tab/>
      </w:r>
      <w:r w:rsidRPr="009B5B9B">
        <w:rPr>
          <w:rStyle w:val="FootnoteReference"/>
        </w:rPr>
        <w:footnoteRef/>
      </w:r>
      <w:r>
        <w:rPr>
          <w:szCs w:val="18"/>
        </w:rPr>
        <w:tab/>
        <w:t>R</w:t>
      </w:r>
      <w:r>
        <w:rPr>
          <w:szCs w:val="18"/>
          <w:lang w:val="fr-FR"/>
        </w:rPr>
        <w:t>èglement sur l’eau potable</w:t>
      </w:r>
      <w:r>
        <w:rPr>
          <w:szCs w:val="18"/>
        </w:rPr>
        <w:t xml:space="preserve"> (</w:t>
      </w:r>
      <w:r w:rsidRPr="004B322C">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Pr>
          <w:szCs w:val="18"/>
        </w:rPr>
        <w:t xml:space="preserve">19/04, 35/04, 26/06, 92/06 </w:t>
      </w:r>
      <w:r>
        <w:rPr>
          <w:szCs w:val="18"/>
          <w:lang w:val="fr-FR"/>
        </w:rPr>
        <w:t>et</w:t>
      </w:r>
      <w:r w:rsidRPr="00A4202A">
        <w:rPr>
          <w:szCs w:val="18"/>
        </w:rPr>
        <w:t xml:space="preserve"> 25/09).</w:t>
      </w:r>
    </w:p>
  </w:footnote>
  <w:footnote w:id="84">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Satisfaire les usagers et les agents des services de santé</w:t>
      </w:r>
      <w:r>
        <w:rPr>
          <w:szCs w:val="18"/>
        </w:rPr>
        <w:t xml:space="preserve"> (</w:t>
      </w:r>
      <w:r w:rsidRPr="004B322C">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Pr>
          <w:szCs w:val="18"/>
        </w:rPr>
        <w:t>72/08, 17/08</w:t>
      </w:r>
      <w:r>
        <w:rPr>
          <w:szCs w:val="18"/>
          <w:lang w:val="fr-CH"/>
        </w:rPr>
        <w:t xml:space="preserve"> </w:t>
      </w:r>
      <w:r>
        <w:rPr>
          <w:szCs w:val="18"/>
        </w:rPr>
        <w:t>–</w:t>
      </w:r>
      <w:r>
        <w:rPr>
          <w:szCs w:val="18"/>
          <w:lang w:val="fr-CH"/>
        </w:rPr>
        <w:t xml:space="preserve"> </w:t>
      </w:r>
      <w:r>
        <w:rPr>
          <w:szCs w:val="18"/>
        </w:rPr>
        <w:t>corr.)</w:t>
      </w:r>
      <w:r w:rsidRPr="00A4202A">
        <w:rPr>
          <w:szCs w:val="18"/>
        </w:rPr>
        <w:t>.</w:t>
      </w:r>
    </w:p>
  </w:footnote>
  <w:footnote w:id="85">
    <w:p w:rsidR="0025154B" w:rsidRPr="0029478D" w:rsidRDefault="0025154B" w:rsidP="00317603">
      <w:pPr>
        <w:pStyle w:val="FootnoteText"/>
        <w:jc w:val="both"/>
        <w:rPr>
          <w:szCs w:val="18"/>
          <w:lang w:val="fr-FR"/>
        </w:rPr>
      </w:pPr>
      <w:r>
        <w:rPr>
          <w:szCs w:val="18"/>
        </w:rPr>
        <w:tab/>
      </w:r>
      <w:r w:rsidRPr="009B5B9B">
        <w:rPr>
          <w:rStyle w:val="FootnoteReference"/>
        </w:rPr>
        <w:footnoteRef/>
      </w:r>
      <w:r>
        <w:rPr>
          <w:szCs w:val="18"/>
        </w:rPr>
        <w:tab/>
        <w:t>Strat</w:t>
      </w:r>
      <w:r>
        <w:rPr>
          <w:szCs w:val="18"/>
          <w:lang w:val="fr-FR"/>
        </w:rPr>
        <w:t xml:space="preserve">égie de prévention et de lutte contre le sida </w:t>
      </w:r>
      <w:r>
        <w:rPr>
          <w:szCs w:val="18"/>
        </w:rPr>
        <w:t>2010</w:t>
      </w:r>
      <w:r>
        <w:rPr>
          <w:szCs w:val="18"/>
          <w:lang w:val="fr-CH"/>
        </w:rPr>
        <w:t>-</w:t>
      </w:r>
      <w:r w:rsidRPr="00A4202A">
        <w:rPr>
          <w:szCs w:val="18"/>
        </w:rPr>
        <w:t>2015</w:t>
      </w:r>
      <w:r>
        <w:rPr>
          <w:szCs w:val="18"/>
        </w:rPr>
        <w:t>,</w:t>
      </w:r>
      <w:r w:rsidRPr="00A4202A">
        <w:rPr>
          <w:szCs w:val="18"/>
        </w:rPr>
        <w:t xml:space="preserve"> </w:t>
      </w:r>
      <w:r>
        <w:rPr>
          <w:szCs w:val="18"/>
          <w:lang w:val="fr-FR"/>
        </w:rPr>
        <w:t>adoptée par le Gouvernement de la République de Slovénie lors de sa 56</w:t>
      </w:r>
      <w:r>
        <w:rPr>
          <w:szCs w:val="18"/>
          <w:vertAlign w:val="superscript"/>
          <w:lang w:val="fr-FR"/>
        </w:rPr>
        <w:t>e</w:t>
      </w:r>
      <w:r>
        <w:rPr>
          <w:szCs w:val="18"/>
          <w:lang w:val="fr-FR"/>
        </w:rPr>
        <w:t xml:space="preserve"> séance, le 26 novembre 2009. </w:t>
      </w:r>
    </w:p>
  </w:footnote>
  <w:footnote w:id="86">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 xml:space="preserve">Loi sur la limitation de la consommation des produits à base de tabac </w:t>
      </w:r>
      <w:r>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93/07).</w:t>
      </w:r>
    </w:p>
  </w:footnote>
  <w:footnote w:id="87">
    <w:p w:rsidR="0025154B" w:rsidRPr="00C66B58" w:rsidRDefault="0025154B" w:rsidP="00317603">
      <w:pPr>
        <w:pStyle w:val="FootnoteText"/>
        <w:jc w:val="both"/>
        <w:rPr>
          <w:szCs w:val="18"/>
        </w:rPr>
      </w:pPr>
      <w:r>
        <w:rPr>
          <w:szCs w:val="18"/>
          <w:vertAlign w:val="superscript"/>
        </w:rPr>
        <w:tab/>
      </w:r>
      <w:r w:rsidRPr="009B5B9B">
        <w:rPr>
          <w:rStyle w:val="FootnoteReference"/>
        </w:rPr>
        <w:footnoteRef/>
      </w:r>
      <w:r>
        <w:rPr>
          <w:szCs w:val="18"/>
        </w:rPr>
        <w:tab/>
      </w:r>
      <w:r w:rsidRPr="004E6E2E">
        <w:rPr>
          <w:szCs w:val="18"/>
          <w:lang w:val="fr-FR"/>
        </w:rPr>
        <w:t xml:space="preserve">Loi sur la limitation de la </w:t>
      </w:r>
      <w:r>
        <w:rPr>
          <w:szCs w:val="18"/>
          <w:lang w:val="fr-FR"/>
        </w:rPr>
        <w:t>conso</w:t>
      </w:r>
      <w:r w:rsidRPr="004E6E2E">
        <w:rPr>
          <w:szCs w:val="18"/>
          <w:lang w:val="fr-FR"/>
        </w:rPr>
        <w:t>mmation d</w:t>
      </w:r>
      <w:r>
        <w:rPr>
          <w:szCs w:val="18"/>
          <w:lang w:val="fr-FR"/>
        </w:rPr>
        <w:t>’</w:t>
      </w:r>
      <w:r w:rsidRPr="004E6E2E">
        <w:rPr>
          <w:szCs w:val="18"/>
          <w:lang w:val="fr-FR"/>
        </w:rPr>
        <w:t>alcool</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C66B58">
        <w:rPr>
          <w:szCs w:val="18"/>
        </w:rPr>
        <w:t>15/03).</w:t>
      </w:r>
    </w:p>
  </w:footnote>
  <w:footnote w:id="88">
    <w:p w:rsidR="0025154B" w:rsidRPr="00334599" w:rsidRDefault="0025154B" w:rsidP="00317603">
      <w:pPr>
        <w:pStyle w:val="FootnoteText"/>
        <w:jc w:val="both"/>
        <w:rPr>
          <w:szCs w:val="18"/>
        </w:rPr>
      </w:pPr>
      <w:r>
        <w:rPr>
          <w:szCs w:val="18"/>
        </w:rPr>
        <w:tab/>
      </w:r>
      <w:r w:rsidRPr="009B5B9B">
        <w:rPr>
          <w:rStyle w:val="FootnoteReference"/>
        </w:rPr>
        <w:footnoteRef/>
      </w:r>
      <w:r>
        <w:rPr>
          <w:szCs w:val="18"/>
        </w:rPr>
        <w:tab/>
      </w:r>
      <w:r w:rsidRPr="00B03B3C">
        <w:rPr>
          <w:szCs w:val="18"/>
          <w:lang w:val="fr-FR"/>
        </w:rPr>
        <w:t>Loi</w:t>
      </w:r>
      <w:r w:rsidRPr="00A4202A">
        <w:rPr>
          <w:szCs w:val="18"/>
        </w:rPr>
        <w:t xml:space="preserve"> </w:t>
      </w:r>
      <w:r w:rsidRPr="00B03B3C">
        <w:rPr>
          <w:szCs w:val="18"/>
          <w:lang w:val="fr-FR"/>
        </w:rPr>
        <w:t xml:space="preserve">portant modification de la loi fixant les </w:t>
      </w:r>
      <w:r>
        <w:rPr>
          <w:szCs w:val="18"/>
          <w:lang w:val="fr-FR"/>
        </w:rPr>
        <w:t>exigenc</w:t>
      </w:r>
      <w:r w:rsidRPr="00B03B3C">
        <w:rPr>
          <w:szCs w:val="18"/>
          <w:lang w:val="fr-FR"/>
        </w:rPr>
        <w:t>es sanitaires des produ</w:t>
      </w:r>
      <w:r>
        <w:rPr>
          <w:szCs w:val="18"/>
          <w:lang w:val="fr-FR"/>
        </w:rPr>
        <w:t>its alimentaires et des produ</w:t>
      </w:r>
      <w:r w:rsidRPr="00B03B3C">
        <w:rPr>
          <w:szCs w:val="18"/>
          <w:lang w:val="fr-FR"/>
        </w:rPr>
        <w:t xml:space="preserve">its et matériels entrant en contact avec les produits alimentaires </w:t>
      </w:r>
      <w:r>
        <w:rPr>
          <w:szCs w:val="18"/>
        </w:rPr>
        <w:t>(</w:t>
      </w:r>
      <w:r w:rsidRPr="00150B2F">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42/02).</w:t>
      </w:r>
    </w:p>
  </w:footnote>
  <w:footnote w:id="89">
    <w:p w:rsidR="0025154B" w:rsidRPr="00334599" w:rsidRDefault="0025154B" w:rsidP="00317603">
      <w:pPr>
        <w:pStyle w:val="FootnoteText"/>
        <w:jc w:val="both"/>
        <w:rPr>
          <w:szCs w:val="18"/>
        </w:rPr>
      </w:pPr>
      <w:r>
        <w:rPr>
          <w:szCs w:val="18"/>
        </w:rPr>
        <w:tab/>
      </w:r>
      <w:r w:rsidRPr="009B5B9B">
        <w:rPr>
          <w:rStyle w:val="FootnoteReference"/>
        </w:rPr>
        <w:footnoteRef/>
      </w:r>
      <w:r>
        <w:rPr>
          <w:szCs w:val="18"/>
        </w:rPr>
        <w:tab/>
      </w:r>
      <w:r>
        <w:rPr>
          <w:szCs w:val="18"/>
          <w:lang w:val="fr-FR"/>
        </w:rPr>
        <w:t>Loi sur la santé mentale</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77/08).</w:t>
      </w:r>
    </w:p>
  </w:footnote>
  <w:footnote w:id="90">
    <w:p w:rsidR="0025154B" w:rsidRPr="00334599" w:rsidRDefault="0025154B" w:rsidP="00317603">
      <w:pPr>
        <w:pStyle w:val="FootnoteText"/>
        <w:jc w:val="both"/>
        <w:rPr>
          <w:szCs w:val="18"/>
        </w:rPr>
      </w:pPr>
      <w:r>
        <w:rPr>
          <w:szCs w:val="18"/>
          <w:vertAlign w:val="superscript"/>
        </w:rPr>
        <w:tab/>
      </w:r>
      <w:r w:rsidRPr="009B5B9B">
        <w:rPr>
          <w:rStyle w:val="FootnoteReference"/>
        </w:rPr>
        <w:footnoteRef/>
      </w:r>
      <w:r w:rsidRPr="00E161AA">
        <w:rPr>
          <w:szCs w:val="18"/>
        </w:rPr>
        <w:tab/>
      </w:r>
      <w:r>
        <w:rPr>
          <w:szCs w:val="18"/>
          <w:lang w:val="fr-FR"/>
        </w:rPr>
        <w:t xml:space="preserve">Loi sur l’organisation et le financement de l’éducation </w:t>
      </w:r>
      <w:r>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16/07</w:t>
      </w:r>
      <w:r>
        <w:rPr>
          <w:szCs w:val="18"/>
        </w:rPr>
        <w:t>, 36/08, 58/09, 64/09</w:t>
      </w:r>
      <w:r>
        <w:rPr>
          <w:szCs w:val="18"/>
          <w:lang w:val="fr-CH"/>
        </w:rPr>
        <w:t xml:space="preserve"> </w:t>
      </w:r>
      <w:r>
        <w:rPr>
          <w:szCs w:val="18"/>
        </w:rPr>
        <w:t>–</w:t>
      </w:r>
      <w:r>
        <w:rPr>
          <w:szCs w:val="18"/>
          <w:lang w:val="fr-CH"/>
        </w:rPr>
        <w:t xml:space="preserve"> </w:t>
      </w:r>
      <w:r>
        <w:rPr>
          <w:szCs w:val="18"/>
        </w:rPr>
        <w:t xml:space="preserve">corr., </w:t>
      </w:r>
      <w:r>
        <w:rPr>
          <w:szCs w:val="18"/>
          <w:lang w:val="fr-FR"/>
        </w:rPr>
        <w:t>et</w:t>
      </w:r>
      <w:r w:rsidRPr="00A4202A">
        <w:rPr>
          <w:szCs w:val="18"/>
        </w:rPr>
        <w:t xml:space="preserve"> 65/09</w:t>
      </w:r>
      <w:r>
        <w:rPr>
          <w:szCs w:val="18"/>
          <w:lang w:val="fr-CH"/>
        </w:rPr>
        <w:t xml:space="preserve"> </w:t>
      </w:r>
      <w:r w:rsidRPr="00A4202A">
        <w:rPr>
          <w:szCs w:val="18"/>
        </w:rPr>
        <w:t>–</w:t>
      </w:r>
      <w:r>
        <w:rPr>
          <w:szCs w:val="18"/>
          <w:lang w:val="fr-CH"/>
        </w:rPr>
        <w:t xml:space="preserve"> </w:t>
      </w:r>
      <w:r w:rsidRPr="00A4202A">
        <w:rPr>
          <w:szCs w:val="18"/>
        </w:rPr>
        <w:t>corr.).</w:t>
      </w:r>
    </w:p>
  </w:footnote>
  <w:footnote w:id="91">
    <w:p w:rsidR="0025154B" w:rsidRPr="000700B3" w:rsidRDefault="0025154B" w:rsidP="00317603">
      <w:pPr>
        <w:pStyle w:val="FootnoteText"/>
        <w:jc w:val="both"/>
        <w:rPr>
          <w:szCs w:val="18"/>
          <w:lang w:val="fr-CH"/>
        </w:rPr>
      </w:pPr>
      <w:r>
        <w:rPr>
          <w:szCs w:val="18"/>
        </w:rPr>
        <w:tab/>
      </w:r>
      <w:r w:rsidRPr="009B5B9B">
        <w:rPr>
          <w:rStyle w:val="FootnoteReference"/>
        </w:rPr>
        <w:footnoteRef/>
      </w:r>
      <w:r>
        <w:rPr>
          <w:szCs w:val="18"/>
        </w:rPr>
        <w:tab/>
      </w:r>
      <w:r>
        <w:rPr>
          <w:szCs w:val="18"/>
          <w:lang w:val="fr-FR"/>
        </w:rPr>
        <w:t>Loi sur l’enseignement primaire</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Pr>
          <w:szCs w:val="18"/>
        </w:rPr>
        <w:t xml:space="preserve">81/06 </w:t>
      </w:r>
      <w:r>
        <w:rPr>
          <w:szCs w:val="18"/>
          <w:lang w:val="fr-FR"/>
        </w:rPr>
        <w:t>et</w:t>
      </w:r>
      <w:r w:rsidRPr="00A4202A">
        <w:rPr>
          <w:szCs w:val="18"/>
        </w:rPr>
        <w:t xml:space="preserve"> 102/07)</w:t>
      </w:r>
      <w:r>
        <w:rPr>
          <w:szCs w:val="18"/>
          <w:lang w:val="fr-CH"/>
        </w:rPr>
        <w:t>.</w:t>
      </w:r>
    </w:p>
  </w:footnote>
  <w:footnote w:id="92">
    <w:p w:rsidR="0025154B" w:rsidRPr="00531AB8"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rPr>
        <w:t>R</w:t>
      </w:r>
      <w:r w:rsidRPr="009F6CD2">
        <w:rPr>
          <w:szCs w:val="18"/>
          <w:lang w:val="fr-FR"/>
        </w:rPr>
        <w:t>é</w:t>
      </w:r>
      <w:r w:rsidRPr="00A4202A">
        <w:rPr>
          <w:szCs w:val="18"/>
        </w:rPr>
        <w:t xml:space="preserve">solution </w:t>
      </w:r>
      <w:r>
        <w:rPr>
          <w:szCs w:val="18"/>
          <w:lang w:val="fr-FR"/>
        </w:rPr>
        <w:t>sur le programme national pour l’égalité des chances entre les hommes et les femmes</w:t>
      </w:r>
      <w:r>
        <w:rPr>
          <w:szCs w:val="18"/>
        </w:rPr>
        <w:t xml:space="preserve"> 2005-2013</w:t>
      </w:r>
      <w:r>
        <w:rPr>
          <w:szCs w:val="18"/>
          <w:lang w:val="fr-FR"/>
        </w:rPr>
        <w:t xml:space="preserve"> </w:t>
      </w:r>
      <w:r w:rsidRPr="00A4202A">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100/05).</w:t>
      </w:r>
    </w:p>
  </w:footnote>
  <w:footnote w:id="93">
    <w:p w:rsidR="0025154B" w:rsidRPr="000700B3" w:rsidRDefault="0025154B" w:rsidP="00317603">
      <w:pPr>
        <w:pStyle w:val="FootnoteText"/>
        <w:jc w:val="both"/>
        <w:rPr>
          <w:szCs w:val="18"/>
        </w:rPr>
      </w:pPr>
      <w:r>
        <w:rPr>
          <w:szCs w:val="18"/>
          <w:vertAlign w:val="superscript"/>
        </w:rPr>
        <w:tab/>
      </w:r>
      <w:r w:rsidRPr="009B5B9B">
        <w:rPr>
          <w:rStyle w:val="FootnoteReference"/>
        </w:rPr>
        <w:footnoteRef/>
      </w:r>
      <w:r w:rsidRPr="00E161AA">
        <w:rPr>
          <w:szCs w:val="18"/>
        </w:rPr>
        <w:tab/>
      </w:r>
      <w:r>
        <w:rPr>
          <w:szCs w:val="18"/>
        </w:rPr>
        <w:t>R</w:t>
      </w:r>
      <w:r w:rsidRPr="002E0B4A">
        <w:rPr>
          <w:szCs w:val="18"/>
          <w:lang w:val="fr-FR"/>
        </w:rPr>
        <w:t>é</w:t>
      </w:r>
      <w:r>
        <w:rPr>
          <w:szCs w:val="18"/>
        </w:rPr>
        <w:t xml:space="preserve">solution </w:t>
      </w:r>
      <w:r>
        <w:rPr>
          <w:szCs w:val="18"/>
          <w:lang w:val="fr-FR"/>
        </w:rPr>
        <w:t>sur le programme national pour la culture</w:t>
      </w:r>
      <w:r>
        <w:rPr>
          <w:szCs w:val="18"/>
        </w:rPr>
        <w:t xml:space="preserve"> 2004-2007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2D51D3">
        <w:rPr>
          <w:szCs w:val="18"/>
        </w:rPr>
        <w:t>28/04).</w:t>
      </w:r>
    </w:p>
  </w:footnote>
  <w:footnote w:id="94">
    <w:p w:rsidR="0025154B" w:rsidRPr="002D51D3" w:rsidRDefault="0025154B" w:rsidP="00317603">
      <w:pPr>
        <w:pStyle w:val="FootnoteText"/>
        <w:jc w:val="both"/>
        <w:rPr>
          <w:szCs w:val="18"/>
        </w:rPr>
      </w:pPr>
      <w:r w:rsidRPr="002D51D3">
        <w:rPr>
          <w:szCs w:val="18"/>
        </w:rPr>
        <w:tab/>
      </w:r>
      <w:r w:rsidRPr="009B5B9B">
        <w:rPr>
          <w:rStyle w:val="FootnoteReference"/>
        </w:rPr>
        <w:footnoteRef/>
      </w:r>
      <w:r>
        <w:rPr>
          <w:szCs w:val="18"/>
        </w:rPr>
        <w:tab/>
        <w:t>R</w:t>
      </w:r>
      <w:r w:rsidRPr="002E0B4A">
        <w:rPr>
          <w:szCs w:val="18"/>
          <w:lang w:val="fr-FR"/>
        </w:rPr>
        <w:t>é</w:t>
      </w:r>
      <w:r w:rsidRPr="002D51D3">
        <w:rPr>
          <w:szCs w:val="18"/>
        </w:rPr>
        <w:t xml:space="preserve">solution </w:t>
      </w:r>
      <w:r>
        <w:rPr>
          <w:szCs w:val="18"/>
          <w:lang w:val="fr-FR"/>
        </w:rPr>
        <w:t>sur le programme national pour la culture</w:t>
      </w:r>
      <w:r>
        <w:rPr>
          <w:szCs w:val="18"/>
        </w:rPr>
        <w:t xml:space="preserve"> 2008-2011 (</w:t>
      </w:r>
      <w:r w:rsidRPr="004B322C">
        <w:rPr>
          <w:i/>
          <w:szCs w:val="18"/>
          <w:lang w:val="fr-FR"/>
        </w:rPr>
        <w:t>Journal officiel de la République de Slovénie</w:t>
      </w:r>
      <w:r>
        <w:rPr>
          <w:szCs w:val="18"/>
        </w:rPr>
        <w:t>, n</w:t>
      </w:r>
      <w:r w:rsidRPr="001B12ED">
        <w:rPr>
          <w:szCs w:val="18"/>
          <w:vertAlign w:val="superscript"/>
          <w:lang w:val="fr-FR"/>
        </w:rPr>
        <w:t>o</w:t>
      </w:r>
      <w:r>
        <w:rPr>
          <w:szCs w:val="18"/>
          <w:lang w:val="fr-CH"/>
        </w:rPr>
        <w:t> </w:t>
      </w:r>
      <w:r w:rsidRPr="002D51D3">
        <w:rPr>
          <w:szCs w:val="18"/>
        </w:rPr>
        <w:t>35/08).</w:t>
      </w:r>
    </w:p>
  </w:footnote>
  <w:footnote w:id="95">
    <w:p w:rsidR="0025154B" w:rsidRPr="002D51D3" w:rsidRDefault="0025154B" w:rsidP="00317603">
      <w:pPr>
        <w:pStyle w:val="FootnoteText"/>
        <w:jc w:val="both"/>
        <w:rPr>
          <w:szCs w:val="18"/>
        </w:rPr>
      </w:pPr>
      <w:r w:rsidRPr="002D51D3">
        <w:rPr>
          <w:szCs w:val="18"/>
          <w:vertAlign w:val="superscript"/>
        </w:rPr>
        <w:tab/>
      </w:r>
      <w:r w:rsidRPr="009B5B9B">
        <w:rPr>
          <w:rStyle w:val="FootnoteReference"/>
        </w:rPr>
        <w:footnoteRef/>
      </w:r>
      <w:r w:rsidRPr="002D51D3">
        <w:rPr>
          <w:szCs w:val="18"/>
          <w:vertAlign w:val="superscript"/>
        </w:rPr>
        <w:tab/>
      </w:r>
      <w:r>
        <w:rPr>
          <w:szCs w:val="18"/>
          <w:lang w:val="fr-FR"/>
        </w:rPr>
        <w:t>Loi sur l’exercice de l’intérêt public dans la culture</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2D51D3">
        <w:rPr>
          <w:szCs w:val="18"/>
        </w:rPr>
        <w:t>96/02</w:t>
      </w:r>
      <w:r>
        <w:rPr>
          <w:szCs w:val="18"/>
        </w:rPr>
        <w:t>,</w:t>
      </w:r>
      <w:r w:rsidRPr="002D51D3">
        <w:rPr>
          <w:szCs w:val="18"/>
        </w:rPr>
        <w:t xml:space="preserve"> 123/06 – ZFO-1</w:t>
      </w:r>
      <w:r>
        <w:rPr>
          <w:szCs w:val="18"/>
        </w:rPr>
        <w:t>,</w:t>
      </w:r>
      <w:r w:rsidRPr="002D51D3">
        <w:rPr>
          <w:szCs w:val="18"/>
        </w:rPr>
        <w:t xml:space="preserve"> 7/07 – Dec</w:t>
      </w:r>
      <w:r>
        <w:rPr>
          <w:szCs w:val="18"/>
        </w:rPr>
        <w:t>. CC, 53/08, 65/08</w:t>
      </w:r>
      <w:r>
        <w:rPr>
          <w:szCs w:val="18"/>
          <w:lang w:val="fr-CH"/>
        </w:rPr>
        <w:t xml:space="preserve"> </w:t>
      </w:r>
      <w:r>
        <w:rPr>
          <w:szCs w:val="18"/>
        </w:rPr>
        <w:t xml:space="preserve">– Dec. CC </w:t>
      </w:r>
      <w:r w:rsidRPr="00317603">
        <w:rPr>
          <w:szCs w:val="18"/>
        </w:rPr>
        <w:t xml:space="preserve">et </w:t>
      </w:r>
      <w:r w:rsidRPr="002D51D3">
        <w:rPr>
          <w:szCs w:val="18"/>
        </w:rPr>
        <w:t>57/08).</w:t>
      </w:r>
    </w:p>
  </w:footnote>
  <w:footnote w:id="96">
    <w:p w:rsidR="0025154B" w:rsidRPr="000700B3" w:rsidRDefault="0025154B" w:rsidP="00317603">
      <w:pPr>
        <w:pStyle w:val="FootnoteText"/>
        <w:jc w:val="both"/>
        <w:rPr>
          <w:szCs w:val="18"/>
          <w:lang w:val="fr-CH"/>
        </w:rPr>
      </w:pPr>
      <w:r>
        <w:rPr>
          <w:szCs w:val="18"/>
        </w:rPr>
        <w:tab/>
      </w:r>
      <w:r w:rsidRPr="009B5B9B">
        <w:rPr>
          <w:rStyle w:val="FootnoteReference"/>
        </w:rPr>
        <w:footnoteRef/>
      </w:r>
      <w:r>
        <w:rPr>
          <w:szCs w:val="18"/>
        </w:rPr>
        <w:tab/>
      </w:r>
      <w:r w:rsidRPr="0037483F">
        <w:rPr>
          <w:szCs w:val="18"/>
          <w:lang w:val="fr-FR"/>
        </w:rPr>
        <w:t>Loi sur la protection du patrimoine culture</w:t>
      </w:r>
      <w:r>
        <w:rPr>
          <w:szCs w:val="18"/>
          <w:lang w:val="fr-FR"/>
        </w:rPr>
        <w:t>l</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7/99</w:t>
      </w:r>
      <w:r>
        <w:rPr>
          <w:szCs w:val="18"/>
        </w:rPr>
        <w:t>,</w:t>
      </w:r>
      <w:r w:rsidRPr="00A4202A">
        <w:rPr>
          <w:szCs w:val="18"/>
        </w:rPr>
        <w:t xml:space="preserve"> 110/02</w:t>
      </w:r>
      <w:r>
        <w:rPr>
          <w:szCs w:val="18"/>
          <w:lang w:val="fr-CH"/>
        </w:rPr>
        <w:t>-</w:t>
      </w:r>
      <w:r w:rsidRPr="00A4202A">
        <w:rPr>
          <w:szCs w:val="18"/>
        </w:rPr>
        <w:t>ZGO-1</w:t>
      </w:r>
      <w:r>
        <w:rPr>
          <w:szCs w:val="18"/>
        </w:rPr>
        <w:t>,</w:t>
      </w:r>
      <w:r w:rsidRPr="00A4202A">
        <w:rPr>
          <w:szCs w:val="18"/>
        </w:rPr>
        <w:t xml:space="preserve"> 126/03</w:t>
      </w:r>
      <w:r>
        <w:rPr>
          <w:szCs w:val="18"/>
          <w:lang w:val="fr-CH"/>
        </w:rPr>
        <w:t>-</w:t>
      </w:r>
      <w:r w:rsidRPr="00A4202A">
        <w:rPr>
          <w:szCs w:val="18"/>
        </w:rPr>
        <w:t>ZVPOPKD</w:t>
      </w:r>
      <w:r>
        <w:rPr>
          <w:szCs w:val="18"/>
        </w:rPr>
        <w:t>,</w:t>
      </w:r>
      <w:r w:rsidRPr="00A4202A">
        <w:rPr>
          <w:szCs w:val="18"/>
        </w:rPr>
        <w:t xml:space="preserve"> 63/07</w:t>
      </w:r>
      <w:r>
        <w:rPr>
          <w:szCs w:val="18"/>
          <w:lang w:val="fr-CH"/>
        </w:rPr>
        <w:t xml:space="preserve"> </w:t>
      </w:r>
      <w:r w:rsidRPr="00A4202A">
        <w:rPr>
          <w:szCs w:val="18"/>
        </w:rPr>
        <w:t>– Dec.CC</w:t>
      </w:r>
      <w:r>
        <w:rPr>
          <w:szCs w:val="18"/>
        </w:rPr>
        <w:t xml:space="preserve">: Up-395/06-24, U-I-64/07-13 </w:t>
      </w:r>
      <w:r>
        <w:rPr>
          <w:szCs w:val="18"/>
          <w:lang w:val="fr-FR"/>
        </w:rPr>
        <w:t>et</w:t>
      </w:r>
      <w:r w:rsidRPr="00A4202A">
        <w:rPr>
          <w:szCs w:val="18"/>
        </w:rPr>
        <w:t xml:space="preserve"> 16/08-ZVKD</w:t>
      </w:r>
      <w:r>
        <w:rPr>
          <w:szCs w:val="18"/>
          <w:lang w:val="fr-CH"/>
        </w:rPr>
        <w:noBreakHyphen/>
      </w:r>
      <w:r w:rsidRPr="00A4202A">
        <w:rPr>
          <w:szCs w:val="18"/>
        </w:rPr>
        <w:t>1)</w:t>
      </w:r>
      <w:r>
        <w:rPr>
          <w:szCs w:val="18"/>
          <w:lang w:val="fr-CH"/>
        </w:rPr>
        <w:t>.</w:t>
      </w:r>
    </w:p>
  </w:footnote>
  <w:footnote w:id="97">
    <w:p w:rsidR="0025154B" w:rsidRPr="000700B3" w:rsidRDefault="0025154B" w:rsidP="00317603">
      <w:pPr>
        <w:pStyle w:val="FootnoteText"/>
        <w:jc w:val="both"/>
        <w:rPr>
          <w:szCs w:val="18"/>
          <w:lang w:val="fr-CH"/>
        </w:rPr>
      </w:pPr>
      <w:r>
        <w:rPr>
          <w:szCs w:val="18"/>
        </w:rPr>
        <w:tab/>
      </w:r>
      <w:r w:rsidRPr="009B5B9B">
        <w:rPr>
          <w:rStyle w:val="FootnoteReference"/>
        </w:rPr>
        <w:footnoteRef/>
      </w:r>
      <w:r>
        <w:rPr>
          <w:szCs w:val="18"/>
        </w:rPr>
        <w:tab/>
      </w:r>
      <w:r w:rsidRPr="001C10B1">
        <w:rPr>
          <w:szCs w:val="18"/>
          <w:lang w:val="fr-FR"/>
        </w:rPr>
        <w:t>Loi sur les archives</w:t>
      </w:r>
      <w:r>
        <w:rPr>
          <w:szCs w:val="18"/>
          <w:lang w:val="fr-FR"/>
        </w:rPr>
        <w:t xml:space="preserve"> et la protection du patrimoine documentaire </w:t>
      </w:r>
      <w:r>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30/06)</w:t>
      </w:r>
      <w:r>
        <w:rPr>
          <w:szCs w:val="18"/>
          <w:lang w:val="fr-CH"/>
        </w:rPr>
        <w:t>.</w:t>
      </w:r>
    </w:p>
  </w:footnote>
  <w:footnote w:id="98">
    <w:p w:rsidR="0025154B" w:rsidRPr="000700B3" w:rsidRDefault="0025154B" w:rsidP="00317603">
      <w:pPr>
        <w:pStyle w:val="FootnoteText"/>
        <w:jc w:val="both"/>
        <w:rPr>
          <w:i/>
          <w:szCs w:val="18"/>
          <w:lang w:val="fr-CH"/>
        </w:rPr>
      </w:pPr>
      <w:r>
        <w:rPr>
          <w:szCs w:val="18"/>
        </w:rPr>
        <w:tab/>
      </w:r>
      <w:r w:rsidRPr="009B5B9B">
        <w:rPr>
          <w:rStyle w:val="FootnoteReference"/>
        </w:rPr>
        <w:footnoteRef/>
      </w:r>
      <w:r>
        <w:rPr>
          <w:szCs w:val="18"/>
        </w:rPr>
        <w:tab/>
      </w:r>
      <w:r>
        <w:rPr>
          <w:szCs w:val="18"/>
          <w:lang w:val="fr-FR"/>
        </w:rPr>
        <w:t>Loi sur la privatisation des monuments culturels publics</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89/99</w:t>
      </w:r>
      <w:r>
        <w:rPr>
          <w:szCs w:val="18"/>
        </w:rPr>
        <w:t xml:space="preserve"> </w:t>
      </w:r>
      <w:r>
        <w:rPr>
          <w:szCs w:val="18"/>
          <w:lang w:val="fr-FR"/>
        </w:rPr>
        <w:t>et</w:t>
      </w:r>
      <w:r w:rsidRPr="00A4202A">
        <w:rPr>
          <w:szCs w:val="18"/>
        </w:rPr>
        <w:t xml:space="preserve"> 107/99)</w:t>
      </w:r>
      <w:r>
        <w:rPr>
          <w:szCs w:val="18"/>
          <w:lang w:val="fr-CH"/>
        </w:rPr>
        <w:t>.</w:t>
      </w:r>
    </w:p>
  </w:footnote>
  <w:footnote w:id="99">
    <w:p w:rsidR="0025154B" w:rsidRPr="00A4202A" w:rsidRDefault="0025154B" w:rsidP="00317603">
      <w:pPr>
        <w:pStyle w:val="FootnoteText"/>
        <w:jc w:val="both"/>
        <w:rPr>
          <w:szCs w:val="18"/>
        </w:rPr>
      </w:pPr>
      <w:r>
        <w:rPr>
          <w:szCs w:val="18"/>
        </w:rPr>
        <w:tab/>
      </w:r>
      <w:r w:rsidRPr="009B5B9B">
        <w:rPr>
          <w:rStyle w:val="FootnoteReference"/>
        </w:rPr>
        <w:footnoteRef/>
      </w:r>
      <w:r>
        <w:rPr>
          <w:szCs w:val="18"/>
        </w:rPr>
        <w:tab/>
        <w:t>R</w:t>
      </w:r>
      <w:r w:rsidRPr="00C33E8F">
        <w:rPr>
          <w:szCs w:val="18"/>
          <w:lang w:val="fr-FR"/>
        </w:rPr>
        <w:t>é</w:t>
      </w:r>
      <w:r>
        <w:rPr>
          <w:szCs w:val="18"/>
        </w:rPr>
        <w:t xml:space="preserve">solution </w:t>
      </w:r>
      <w:r>
        <w:rPr>
          <w:szCs w:val="18"/>
          <w:lang w:val="fr-FR"/>
        </w:rPr>
        <w:t>sur le</w:t>
      </w:r>
      <w:r>
        <w:rPr>
          <w:szCs w:val="18"/>
        </w:rPr>
        <w:t xml:space="preserve"> </w:t>
      </w:r>
      <w:r>
        <w:rPr>
          <w:szCs w:val="18"/>
          <w:lang w:val="fr-FR"/>
        </w:rPr>
        <w:t>p</w:t>
      </w:r>
      <w:r>
        <w:rPr>
          <w:szCs w:val="18"/>
        </w:rPr>
        <w:t xml:space="preserve">rogramme </w:t>
      </w:r>
      <w:r>
        <w:rPr>
          <w:szCs w:val="18"/>
          <w:lang w:val="fr-FR"/>
        </w:rPr>
        <w:t xml:space="preserve">national pour la culture </w:t>
      </w:r>
      <w:r>
        <w:rPr>
          <w:szCs w:val="18"/>
        </w:rPr>
        <w:t>2008-2011 /(ReNPK0811)/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35/08).</w:t>
      </w:r>
    </w:p>
  </w:footnote>
  <w:footnote w:id="100">
    <w:p w:rsidR="0025154B" w:rsidRDefault="0025154B" w:rsidP="00317603">
      <w:pPr>
        <w:pStyle w:val="FootnoteText"/>
        <w:jc w:val="both"/>
      </w:pPr>
      <w:r>
        <w:rPr>
          <w:szCs w:val="18"/>
          <w:vertAlign w:val="superscript"/>
        </w:rPr>
        <w:tab/>
      </w:r>
      <w:r w:rsidRPr="009B5B9B">
        <w:rPr>
          <w:rStyle w:val="FootnoteReference"/>
        </w:rPr>
        <w:footnoteRef/>
      </w:r>
      <w:r>
        <w:rPr>
          <w:szCs w:val="18"/>
          <w:vertAlign w:val="superscript"/>
        </w:rPr>
        <w:tab/>
      </w:r>
      <w:r w:rsidRPr="0099454F">
        <w:rPr>
          <w:szCs w:val="18"/>
          <w:lang w:val="fr-FR"/>
        </w:rPr>
        <w:t>Loi sur l</w:t>
      </w:r>
      <w:r>
        <w:rPr>
          <w:szCs w:val="18"/>
          <w:lang w:val="fr-FR"/>
        </w:rPr>
        <w:t>’</w:t>
      </w:r>
      <w:r w:rsidRPr="0099454F">
        <w:rPr>
          <w:szCs w:val="18"/>
          <w:lang w:val="fr-FR"/>
        </w:rPr>
        <w:t xml:space="preserve">égalité des chances </w:t>
      </w:r>
      <w:r>
        <w:rPr>
          <w:szCs w:val="18"/>
          <w:lang w:val="fr-FR"/>
        </w:rPr>
        <w:t>des personnes</w:t>
      </w:r>
      <w:r w:rsidRPr="0099454F">
        <w:rPr>
          <w:szCs w:val="18"/>
          <w:lang w:val="fr-FR"/>
        </w:rPr>
        <w:t xml:space="preserve"> handicapées </w:t>
      </w:r>
      <w:r>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94/2010).</w:t>
      </w:r>
    </w:p>
  </w:footnote>
  <w:footnote w:id="101">
    <w:p w:rsidR="0025154B" w:rsidRPr="00A4202A" w:rsidRDefault="0025154B" w:rsidP="00317603">
      <w:pPr>
        <w:pStyle w:val="FootnoteText"/>
        <w:jc w:val="both"/>
        <w:rPr>
          <w:szCs w:val="18"/>
        </w:rPr>
      </w:pPr>
      <w:r>
        <w:rPr>
          <w:szCs w:val="18"/>
          <w:vertAlign w:val="superscript"/>
        </w:rPr>
        <w:tab/>
      </w:r>
      <w:r w:rsidRPr="009B5B9B">
        <w:rPr>
          <w:rStyle w:val="FootnoteReference"/>
        </w:rPr>
        <w:footnoteRef/>
      </w:r>
      <w:r>
        <w:rPr>
          <w:szCs w:val="18"/>
          <w:vertAlign w:val="superscript"/>
        </w:rPr>
        <w:tab/>
      </w:r>
      <w:r>
        <w:rPr>
          <w:szCs w:val="18"/>
          <w:lang w:val="fr-FR"/>
        </w:rPr>
        <w:t>Loi sur la langue des signes slovène</w:t>
      </w:r>
      <w:r>
        <w:rPr>
          <w:szCs w:val="18"/>
        </w:rPr>
        <w:t xml:space="preserve">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96/02).</w:t>
      </w:r>
    </w:p>
  </w:footnote>
  <w:footnote w:id="102">
    <w:p w:rsidR="0025154B" w:rsidRPr="004A3A48" w:rsidRDefault="0025154B" w:rsidP="00317603">
      <w:pPr>
        <w:pStyle w:val="FootnoteText"/>
        <w:jc w:val="both"/>
        <w:rPr>
          <w:szCs w:val="18"/>
        </w:rPr>
      </w:pPr>
      <w:r>
        <w:rPr>
          <w:szCs w:val="18"/>
          <w:vertAlign w:val="superscript"/>
        </w:rPr>
        <w:tab/>
      </w:r>
      <w:r w:rsidRPr="009B5B9B">
        <w:rPr>
          <w:rStyle w:val="FootnoteReference"/>
        </w:rPr>
        <w:footnoteRef/>
      </w:r>
      <w:r w:rsidRPr="00481E96">
        <w:rPr>
          <w:szCs w:val="18"/>
        </w:rPr>
        <w:tab/>
      </w:r>
      <w:r>
        <w:rPr>
          <w:szCs w:val="18"/>
          <w:lang w:val="fr-FR"/>
        </w:rPr>
        <w:t>Loi sur le droit d’auteur et les droits connexes</w:t>
      </w:r>
      <w:r w:rsidRPr="004A3A48">
        <w:rPr>
          <w:szCs w:val="18"/>
        </w:rPr>
        <w:t xml:space="preserve"> </w:t>
      </w:r>
      <w:r>
        <w:rPr>
          <w:szCs w:val="18"/>
        </w:rPr>
        <w:t>–</w:t>
      </w:r>
      <w:r w:rsidRPr="004A3A48">
        <w:rPr>
          <w:szCs w:val="18"/>
        </w:rPr>
        <w:t xml:space="preserve"> </w:t>
      </w:r>
      <w:r>
        <w:rPr>
          <w:szCs w:val="18"/>
        </w:rPr>
        <w:t>(</w:t>
      </w:r>
      <w:r>
        <w:rPr>
          <w:szCs w:val="18"/>
          <w:lang w:val="fr-FR"/>
        </w:rPr>
        <w:t>texte officiel unifié)</w:t>
      </w:r>
      <w:r>
        <w:rPr>
          <w:szCs w:val="18"/>
        </w:rPr>
        <w:t xml:space="preserve"> (</w:t>
      </w:r>
      <w:r w:rsidRPr="004B322C">
        <w:rPr>
          <w:i/>
          <w:szCs w:val="18"/>
          <w:lang w:val="fr-FR"/>
        </w:rPr>
        <w:t>Journal officiel de la République de Slovénie</w:t>
      </w:r>
      <w:r>
        <w:rPr>
          <w:szCs w:val="18"/>
          <w:lang w:val="fr-FR"/>
        </w:rPr>
        <w:t>,</w:t>
      </w:r>
      <w:r>
        <w:rPr>
          <w:szCs w:val="18"/>
        </w:rPr>
        <w:t xml:space="preserve"> n</w:t>
      </w:r>
      <w:r w:rsidRPr="001B12ED">
        <w:rPr>
          <w:szCs w:val="18"/>
          <w:vertAlign w:val="superscript"/>
          <w:lang w:val="fr-FR"/>
        </w:rPr>
        <w:t>o</w:t>
      </w:r>
      <w:r>
        <w:rPr>
          <w:szCs w:val="18"/>
          <w:lang w:val="fr-CH"/>
        </w:rPr>
        <w:t> </w:t>
      </w:r>
      <w:r w:rsidRPr="004A3A48">
        <w:rPr>
          <w:szCs w:val="18"/>
        </w:rPr>
        <w:t>16/07</w:t>
      </w:r>
      <w:r>
        <w:rPr>
          <w:szCs w:val="18"/>
        </w:rPr>
        <w:t>,</w:t>
      </w:r>
      <w:r w:rsidRPr="004A3A48">
        <w:rPr>
          <w:szCs w:val="18"/>
        </w:rPr>
        <w:t xml:space="preserve"> 85/10</w:t>
      </w:r>
      <w:r>
        <w:rPr>
          <w:szCs w:val="18"/>
        </w:rPr>
        <w:t>,</w:t>
      </w:r>
      <w:r w:rsidRPr="004A3A48">
        <w:rPr>
          <w:szCs w:val="18"/>
        </w:rPr>
        <w:t xml:space="preserve"> CC. </w:t>
      </w:r>
      <w:r>
        <w:rPr>
          <w:szCs w:val="18"/>
        </w:rPr>
        <w:t>Dec. U-I191/09-7, Up-916/09-16).</w:t>
      </w:r>
    </w:p>
  </w:footnote>
  <w:footnote w:id="103">
    <w:p w:rsidR="0025154B" w:rsidRPr="004A3A48" w:rsidRDefault="0025154B" w:rsidP="00317603">
      <w:pPr>
        <w:pStyle w:val="FootnoteText"/>
        <w:jc w:val="both"/>
        <w:rPr>
          <w:color w:val="000000"/>
          <w:szCs w:val="18"/>
        </w:rPr>
      </w:pPr>
      <w:r w:rsidRPr="00481E96">
        <w:rPr>
          <w:szCs w:val="18"/>
        </w:rPr>
        <w:tab/>
      </w:r>
      <w:r w:rsidRPr="009B5B9B">
        <w:rPr>
          <w:rStyle w:val="FootnoteReference"/>
        </w:rPr>
        <w:footnoteRef/>
      </w:r>
      <w:r w:rsidRPr="00481E96">
        <w:rPr>
          <w:szCs w:val="18"/>
        </w:rPr>
        <w:tab/>
      </w:r>
      <w:r w:rsidRPr="00CD0FBC">
        <w:rPr>
          <w:szCs w:val="18"/>
          <w:lang w:val="fr-FR"/>
        </w:rPr>
        <w:t>Loi sur l</w:t>
      </w:r>
      <w:r>
        <w:rPr>
          <w:szCs w:val="18"/>
          <w:lang w:val="fr-FR"/>
        </w:rPr>
        <w:t>’</w:t>
      </w:r>
      <w:r w:rsidRPr="00CD0FBC">
        <w:rPr>
          <w:szCs w:val="18"/>
          <w:lang w:val="fr-FR"/>
        </w:rPr>
        <w:t>exercice de l</w:t>
      </w:r>
      <w:r>
        <w:rPr>
          <w:szCs w:val="18"/>
          <w:lang w:val="fr-FR"/>
        </w:rPr>
        <w:t>’</w:t>
      </w:r>
      <w:r w:rsidRPr="00CD0FBC">
        <w:rPr>
          <w:szCs w:val="18"/>
          <w:lang w:val="fr-FR"/>
        </w:rPr>
        <w:t>intérêt publi</w:t>
      </w:r>
      <w:r>
        <w:rPr>
          <w:szCs w:val="18"/>
          <w:lang w:val="fr-FR"/>
        </w:rPr>
        <w:t>c dans la culture (texte officie</w:t>
      </w:r>
      <w:r w:rsidRPr="00CD0FBC">
        <w:rPr>
          <w:szCs w:val="18"/>
          <w:lang w:val="fr-FR"/>
        </w:rPr>
        <w:t>l unifi</w:t>
      </w:r>
      <w:r>
        <w:rPr>
          <w:szCs w:val="18"/>
          <w:lang w:val="fr-FR"/>
        </w:rPr>
        <w:t>é)</w:t>
      </w:r>
      <w:r>
        <w:rPr>
          <w:szCs w:val="18"/>
        </w:rPr>
        <w:t>,</w:t>
      </w:r>
      <w:r>
        <w:rPr>
          <w:szCs w:val="18"/>
          <w:lang w:val="fr-FR"/>
        </w:rPr>
        <w:t xml:space="preserve"> </w:t>
      </w:r>
      <w:r>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t>77/07</w:t>
      </w:r>
      <w:r>
        <w:rPr>
          <w:szCs w:val="18"/>
        </w:rPr>
        <w:t>,</w:t>
      </w:r>
      <w:r w:rsidRPr="00A4202A">
        <w:rPr>
          <w:szCs w:val="18"/>
        </w:rPr>
        <w:t xml:space="preserve"> </w:t>
      </w:r>
      <w:r w:rsidRPr="00A4202A">
        <w:t>94/09</w:t>
      </w:r>
      <w:r w:rsidRPr="00A4202A">
        <w:rPr>
          <w:szCs w:val="18"/>
        </w:rPr>
        <w:t xml:space="preserve"> </w:t>
      </w:r>
      <w:r w:rsidRPr="004A3A48">
        <w:rPr>
          <w:szCs w:val="18"/>
        </w:rPr>
        <w:t>CC:</w:t>
      </w:r>
      <w:r>
        <w:rPr>
          <w:szCs w:val="18"/>
        </w:rPr>
        <w:t xml:space="preserve"> Dec.</w:t>
      </w:r>
      <w:r w:rsidRPr="004A3A48">
        <w:rPr>
          <w:szCs w:val="18"/>
        </w:rPr>
        <w:t xml:space="preserve"> U-I-278/07-17)</w:t>
      </w:r>
      <w:r w:rsidRPr="00A4202A">
        <w:rPr>
          <w:szCs w:val="18"/>
        </w:rPr>
        <w:t>.</w:t>
      </w:r>
    </w:p>
  </w:footnote>
  <w:footnote w:id="104">
    <w:p w:rsidR="0025154B" w:rsidRPr="003D51E1" w:rsidRDefault="0025154B" w:rsidP="00317603">
      <w:pPr>
        <w:pStyle w:val="FootnoteText"/>
        <w:jc w:val="both"/>
        <w:rPr>
          <w:szCs w:val="18"/>
          <w:lang w:val="fr-CH"/>
        </w:rPr>
      </w:pPr>
      <w:r>
        <w:rPr>
          <w:szCs w:val="18"/>
        </w:rPr>
        <w:tab/>
      </w:r>
      <w:r w:rsidRPr="009B5B9B">
        <w:rPr>
          <w:rStyle w:val="FootnoteReference"/>
        </w:rPr>
        <w:footnoteRef/>
      </w:r>
      <w:r>
        <w:rPr>
          <w:szCs w:val="18"/>
        </w:rPr>
        <w:tab/>
      </w:r>
      <w:r>
        <w:rPr>
          <w:szCs w:val="18"/>
          <w:lang w:val="fr-FR"/>
        </w:rPr>
        <w:t xml:space="preserve">Loi sur les activités de recherche-développement </w:t>
      </w:r>
      <w:r w:rsidRPr="00B752DD">
        <w:rPr>
          <w:szCs w:val="18"/>
        </w:rPr>
        <w:t>(</w:t>
      </w:r>
      <w:r>
        <w:rPr>
          <w:szCs w:val="18"/>
          <w:lang w:val="fr-FR"/>
        </w:rPr>
        <w:t>texte officiel unifié</w:t>
      </w:r>
      <w:r>
        <w:rPr>
          <w:szCs w:val="18"/>
        </w:rPr>
        <w:t>) (</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t>22/06</w:t>
      </w:r>
      <w:r>
        <w:rPr>
          <w:szCs w:val="18"/>
        </w:rPr>
        <w:t xml:space="preserve">, </w:t>
      </w:r>
      <w:r w:rsidRPr="00A4202A">
        <w:t>112/07</w:t>
      </w:r>
      <w:r>
        <w:rPr>
          <w:szCs w:val="18"/>
        </w:rPr>
        <w:t>,</w:t>
      </w:r>
      <w:r w:rsidRPr="00A4202A">
        <w:rPr>
          <w:szCs w:val="18"/>
        </w:rPr>
        <w:t xml:space="preserve"> </w:t>
      </w:r>
      <w:r w:rsidRPr="00A4202A">
        <w:t>9/11</w:t>
      </w:r>
      <w:r>
        <w:rPr>
          <w:szCs w:val="18"/>
        </w:rPr>
        <w:t>)</w:t>
      </w:r>
      <w:r>
        <w:rPr>
          <w:szCs w:val="18"/>
          <w:lang w:val="fr-CH"/>
        </w:rPr>
        <w:t>.</w:t>
      </w:r>
    </w:p>
  </w:footnote>
  <w:footnote w:id="105">
    <w:p w:rsidR="0025154B" w:rsidRPr="003D51E1" w:rsidRDefault="0025154B" w:rsidP="00317603">
      <w:pPr>
        <w:pStyle w:val="FootnoteText"/>
        <w:jc w:val="both"/>
        <w:rPr>
          <w:color w:val="000000"/>
          <w:szCs w:val="18"/>
          <w:lang w:val="fr-CH"/>
        </w:rPr>
      </w:pPr>
      <w:r>
        <w:rPr>
          <w:szCs w:val="18"/>
          <w:vertAlign w:val="superscript"/>
        </w:rPr>
        <w:tab/>
      </w:r>
      <w:r w:rsidRPr="009B5B9B">
        <w:rPr>
          <w:rStyle w:val="FootnoteReference"/>
        </w:rPr>
        <w:footnoteRef/>
      </w:r>
      <w:r w:rsidRPr="00481E96">
        <w:rPr>
          <w:szCs w:val="18"/>
        </w:rPr>
        <w:tab/>
      </w:r>
      <w:r>
        <w:rPr>
          <w:szCs w:val="18"/>
        </w:rPr>
        <w:t>R</w:t>
      </w:r>
      <w:r>
        <w:rPr>
          <w:szCs w:val="18"/>
          <w:lang w:val="fr-FR"/>
        </w:rPr>
        <w:t xml:space="preserve">ésolution sur le programme national pour la recherche et le développement </w:t>
      </w:r>
      <w:r w:rsidRPr="00A4202A">
        <w:rPr>
          <w:szCs w:val="18"/>
        </w:rPr>
        <w:t>200</w:t>
      </w:r>
      <w:r>
        <w:rPr>
          <w:szCs w:val="18"/>
        </w:rPr>
        <w:t>6</w:t>
      </w:r>
      <w:r>
        <w:rPr>
          <w:szCs w:val="18"/>
          <w:lang w:val="fr-CH"/>
        </w:rPr>
        <w:t>-</w:t>
      </w:r>
      <w:r>
        <w:rPr>
          <w:szCs w:val="18"/>
        </w:rPr>
        <w:t>2010</w:t>
      </w:r>
      <w:r>
        <w:rPr>
          <w:szCs w:val="18"/>
          <w:lang w:val="fr-FR"/>
        </w:rPr>
        <w:t xml:space="preserve"> </w:t>
      </w:r>
      <w:r>
        <w:rPr>
          <w:szCs w:val="18"/>
        </w:rPr>
        <w:t>(</w:t>
      </w:r>
      <w:r w:rsidRPr="004B322C">
        <w:rPr>
          <w:i/>
          <w:szCs w:val="18"/>
          <w:lang w:val="fr-FR"/>
        </w:rPr>
        <w:t>Journal officiel de la République de Slovénie</w:t>
      </w:r>
      <w:r>
        <w:rPr>
          <w:szCs w:val="18"/>
          <w:lang w:val="fr-FR"/>
        </w:rPr>
        <w:t xml:space="preserve">, </w:t>
      </w:r>
      <w:r>
        <w:rPr>
          <w:szCs w:val="18"/>
        </w:rPr>
        <w:t>n</w:t>
      </w:r>
      <w:r w:rsidRPr="001B12ED">
        <w:rPr>
          <w:szCs w:val="18"/>
          <w:vertAlign w:val="superscript"/>
          <w:lang w:val="fr-FR"/>
        </w:rPr>
        <w:t>o</w:t>
      </w:r>
      <w:r>
        <w:rPr>
          <w:szCs w:val="18"/>
          <w:lang w:val="fr-CH"/>
        </w:rPr>
        <w:t> </w:t>
      </w:r>
      <w:r w:rsidRPr="00A4202A">
        <w:rPr>
          <w:szCs w:val="18"/>
        </w:rPr>
        <w:t>3/06</w:t>
      </w:r>
      <w:r w:rsidRPr="00B752DD">
        <w:rPr>
          <w:szCs w:val="18"/>
        </w:rPr>
        <w:t>)</w:t>
      </w:r>
      <w:r>
        <w:rPr>
          <w:szCs w:val="18"/>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B" w:rsidRPr="008C38D2" w:rsidRDefault="0025154B" w:rsidP="008C38D2">
    <w:pPr>
      <w:pBdr>
        <w:bottom w:val="single" w:sz="4" w:space="4" w:color="auto"/>
      </w:pBdr>
      <w:spacing w:line="240" w:lineRule="auto"/>
      <w:rPr>
        <w:b/>
        <w:sz w:val="18"/>
        <w:lang w:val="en-GB"/>
      </w:rPr>
    </w:pPr>
    <w:r w:rsidRPr="008C38D2">
      <w:rPr>
        <w:b/>
        <w:sz w:val="18"/>
        <w:lang w:val="en-GB"/>
      </w:rPr>
      <w:t>E/C.12/SVN/2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B" w:rsidRPr="008C38D2" w:rsidRDefault="0025154B" w:rsidP="008C38D2">
    <w:pPr>
      <w:pBdr>
        <w:bottom w:val="single" w:sz="4" w:space="4" w:color="auto"/>
      </w:pBdr>
      <w:spacing w:line="240" w:lineRule="auto"/>
      <w:jc w:val="right"/>
      <w:rPr>
        <w:b/>
        <w:sz w:val="18"/>
        <w:lang w:val="en-GB"/>
      </w:rPr>
    </w:pPr>
    <w:r w:rsidRPr="008C38D2">
      <w:rPr>
        <w:b/>
        <w:sz w:val="18"/>
        <w:lang w:val="en-GB"/>
      </w:rPr>
      <w:t>E/C.12/SVN/2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765"/>
    <w:multiLevelType w:val="hybridMultilevel"/>
    <w:tmpl w:val="D660A084"/>
    <w:lvl w:ilvl="0" w:tplc="3AEA7CD0">
      <w:start w:val="1"/>
      <w:numFmt w:val="decimal"/>
      <w:lvlText w:val="(%1)"/>
      <w:lvlJc w:val="left"/>
      <w:pPr>
        <w:ind w:left="2259" w:hanging="57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1">
    <w:nsid w:val="0D5F1840"/>
    <w:multiLevelType w:val="hybridMultilevel"/>
    <w:tmpl w:val="146A9266"/>
    <w:lvl w:ilvl="0" w:tplc="FFFFFFFF">
      <w:start w:val="1"/>
      <w:numFmt w:val="bullet"/>
      <w:lvlText w:val=""/>
      <w:lvlJc w:val="left"/>
      <w:pPr>
        <w:ind w:left="2345" w:hanging="360"/>
      </w:pPr>
      <w:rPr>
        <w:rFonts w:ascii="Symbol" w:hAnsi="Symbol" w:hint="default"/>
        <w:b w:val="0"/>
        <w:i w:val="0"/>
        <w:sz w:val="16"/>
      </w:rPr>
    </w:lvl>
    <w:lvl w:ilvl="1" w:tplc="FFFFFFFF">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nsid w:val="0D970B76"/>
    <w:multiLevelType w:val="hybridMultilevel"/>
    <w:tmpl w:val="9DCE5CF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89334F"/>
    <w:multiLevelType w:val="hybridMultilevel"/>
    <w:tmpl w:val="FDE838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B30AD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144FC5"/>
    <w:multiLevelType w:val="hybridMultilevel"/>
    <w:tmpl w:val="DD7A2616"/>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D46360"/>
    <w:multiLevelType w:val="hybridMultilevel"/>
    <w:tmpl w:val="39D87D02"/>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890525"/>
    <w:multiLevelType w:val="hybridMultilevel"/>
    <w:tmpl w:val="F0F0D93E"/>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F35B3F"/>
    <w:multiLevelType w:val="hybridMultilevel"/>
    <w:tmpl w:val="510EE152"/>
    <w:lvl w:ilvl="0" w:tplc="A3104892">
      <w:start w:val="1"/>
      <w:numFmt w:val="decimal"/>
      <w:lvlText w:val="%1."/>
      <w:lvlJc w:val="left"/>
      <w:pPr>
        <w:ind w:left="1854" w:hanging="360"/>
      </w:pPr>
      <w:rPr>
        <w:b w:val="0"/>
        <w:i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8F03AFF"/>
    <w:multiLevelType w:val="hybridMultilevel"/>
    <w:tmpl w:val="0BB6A1D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3F49C6"/>
    <w:multiLevelType w:val="singleLevel"/>
    <w:tmpl w:val="04F0EC92"/>
    <w:lvl w:ilvl="0">
      <w:start w:val="1"/>
      <w:numFmt w:val="lowerRoman"/>
      <w:lvlText w:val="(%1)"/>
      <w:lvlJc w:val="right"/>
      <w:pPr>
        <w:tabs>
          <w:tab w:val="num" w:pos="-32767"/>
        </w:tabs>
        <w:ind w:left="1701" w:hanging="283"/>
      </w:pPr>
      <w:rPr>
        <w:rFonts w:hint="default"/>
      </w:rPr>
    </w:lvl>
  </w:abstractNum>
  <w:abstractNum w:abstractNumId="11">
    <w:nsid w:val="2BF2292F"/>
    <w:multiLevelType w:val="hybridMultilevel"/>
    <w:tmpl w:val="FAA2B012"/>
    <w:lvl w:ilvl="0" w:tplc="FFFFFFFF">
      <w:start w:val="1"/>
      <w:numFmt w:val="decimal"/>
      <w:lvlText w:val="%1."/>
      <w:lvlJc w:val="left"/>
      <w:pPr>
        <w:tabs>
          <w:tab w:val="num" w:pos="284"/>
        </w:tabs>
        <w:ind w:left="284" w:hanging="284"/>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1CB6731"/>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964D2D"/>
    <w:multiLevelType w:val="hybridMultilevel"/>
    <w:tmpl w:val="F7E24A1A"/>
    <w:lvl w:ilvl="0" w:tplc="100C000F">
      <w:start w:val="1"/>
      <w:numFmt w:val="decimal"/>
      <w:lvlText w:val="%1."/>
      <w:lvlJc w:val="left"/>
      <w:pPr>
        <w:ind w:left="2409" w:hanging="360"/>
      </w:pPr>
    </w:lvl>
    <w:lvl w:ilvl="1" w:tplc="100C0019" w:tentative="1">
      <w:start w:val="1"/>
      <w:numFmt w:val="lowerLetter"/>
      <w:lvlText w:val="%2."/>
      <w:lvlJc w:val="left"/>
      <w:pPr>
        <w:ind w:left="3129" w:hanging="360"/>
      </w:pPr>
    </w:lvl>
    <w:lvl w:ilvl="2" w:tplc="100C001B" w:tentative="1">
      <w:start w:val="1"/>
      <w:numFmt w:val="lowerRoman"/>
      <w:lvlText w:val="%3."/>
      <w:lvlJc w:val="right"/>
      <w:pPr>
        <w:ind w:left="3849" w:hanging="180"/>
      </w:pPr>
    </w:lvl>
    <w:lvl w:ilvl="3" w:tplc="100C000F" w:tentative="1">
      <w:start w:val="1"/>
      <w:numFmt w:val="decimal"/>
      <w:lvlText w:val="%4."/>
      <w:lvlJc w:val="left"/>
      <w:pPr>
        <w:ind w:left="4569" w:hanging="360"/>
      </w:pPr>
    </w:lvl>
    <w:lvl w:ilvl="4" w:tplc="100C0019" w:tentative="1">
      <w:start w:val="1"/>
      <w:numFmt w:val="lowerLetter"/>
      <w:lvlText w:val="%5."/>
      <w:lvlJc w:val="left"/>
      <w:pPr>
        <w:ind w:left="5289" w:hanging="360"/>
      </w:pPr>
    </w:lvl>
    <w:lvl w:ilvl="5" w:tplc="100C001B" w:tentative="1">
      <w:start w:val="1"/>
      <w:numFmt w:val="lowerRoman"/>
      <w:lvlText w:val="%6."/>
      <w:lvlJc w:val="right"/>
      <w:pPr>
        <w:ind w:left="6009" w:hanging="180"/>
      </w:pPr>
    </w:lvl>
    <w:lvl w:ilvl="6" w:tplc="100C000F" w:tentative="1">
      <w:start w:val="1"/>
      <w:numFmt w:val="decimal"/>
      <w:lvlText w:val="%7."/>
      <w:lvlJc w:val="left"/>
      <w:pPr>
        <w:ind w:left="6729" w:hanging="360"/>
      </w:pPr>
    </w:lvl>
    <w:lvl w:ilvl="7" w:tplc="100C0019" w:tentative="1">
      <w:start w:val="1"/>
      <w:numFmt w:val="lowerLetter"/>
      <w:lvlText w:val="%8."/>
      <w:lvlJc w:val="left"/>
      <w:pPr>
        <w:ind w:left="7449" w:hanging="360"/>
      </w:pPr>
    </w:lvl>
    <w:lvl w:ilvl="8" w:tplc="100C001B" w:tentative="1">
      <w:start w:val="1"/>
      <w:numFmt w:val="lowerRoman"/>
      <w:lvlText w:val="%9."/>
      <w:lvlJc w:val="right"/>
      <w:pPr>
        <w:ind w:left="8169" w:hanging="180"/>
      </w:pPr>
    </w:lvl>
  </w:abstractNum>
  <w:abstractNum w:abstractNumId="14">
    <w:nsid w:val="37F029BE"/>
    <w:multiLevelType w:val="hybridMultilevel"/>
    <w:tmpl w:val="5178EBD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41484B"/>
    <w:multiLevelType w:val="hybridMultilevel"/>
    <w:tmpl w:val="53D6CA7A"/>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153406B"/>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B46AB6"/>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BF7D2B"/>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28565A"/>
    <w:multiLevelType w:val="multilevel"/>
    <w:tmpl w:val="0424001D"/>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E77839"/>
    <w:multiLevelType w:val="multilevel"/>
    <w:tmpl w:val="0424001D"/>
    <w:lvl w:ilvl="0">
      <w:start w:val="13"/>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69687B"/>
    <w:multiLevelType w:val="hybridMultilevel"/>
    <w:tmpl w:val="FF088B8C"/>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AD07B2"/>
    <w:multiLevelType w:val="hybridMultilevel"/>
    <w:tmpl w:val="D7D47906"/>
    <w:lvl w:ilvl="0" w:tplc="8C4849A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6DC31763"/>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F76C74"/>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DC34CE"/>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E9A1EBF"/>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1"/>
  </w:num>
  <w:num w:numId="4">
    <w:abstractNumId w:val="1"/>
  </w:num>
  <w:num w:numId="5">
    <w:abstractNumId w:val="10"/>
  </w:num>
  <w:num w:numId="6">
    <w:abstractNumId w:val="20"/>
  </w:num>
  <w:num w:numId="7">
    <w:abstractNumId w:val="26"/>
  </w:num>
  <w:num w:numId="8">
    <w:abstractNumId w:val="4"/>
  </w:num>
  <w:num w:numId="9">
    <w:abstractNumId w:val="21"/>
  </w:num>
  <w:num w:numId="10">
    <w:abstractNumId w:val="24"/>
  </w:num>
  <w:num w:numId="11">
    <w:abstractNumId w:val="9"/>
  </w:num>
  <w:num w:numId="12">
    <w:abstractNumId w:val="7"/>
  </w:num>
  <w:num w:numId="13">
    <w:abstractNumId w:val="3"/>
  </w:num>
  <w:num w:numId="14">
    <w:abstractNumId w:val="8"/>
  </w:num>
  <w:num w:numId="15">
    <w:abstractNumId w:val="19"/>
  </w:num>
  <w:num w:numId="16">
    <w:abstractNumId w:val="15"/>
  </w:num>
  <w:num w:numId="17">
    <w:abstractNumId w:val="12"/>
  </w:num>
  <w:num w:numId="18">
    <w:abstractNumId w:val="5"/>
  </w:num>
  <w:num w:numId="19">
    <w:abstractNumId w:val="17"/>
  </w:num>
  <w:num w:numId="20">
    <w:abstractNumId w:val="2"/>
  </w:num>
  <w:num w:numId="21">
    <w:abstractNumId w:val="18"/>
  </w:num>
  <w:num w:numId="22">
    <w:abstractNumId w:val="6"/>
  </w:num>
  <w:num w:numId="23">
    <w:abstractNumId w:val="25"/>
  </w:num>
  <w:num w:numId="24">
    <w:abstractNumId w:val="22"/>
  </w:num>
  <w:num w:numId="25">
    <w:abstractNumId w:val="27"/>
  </w:num>
  <w:num w:numId="26">
    <w:abstractNumId w:val="14"/>
  </w:num>
  <w:num w:numId="27">
    <w:abstractNumId w:val="0"/>
  </w:num>
  <w:num w:numId="2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8D2"/>
    <w:rsid w:val="0000696F"/>
    <w:rsid w:val="00016AC5"/>
    <w:rsid w:val="00030ADE"/>
    <w:rsid w:val="00061CB2"/>
    <w:rsid w:val="000700B3"/>
    <w:rsid w:val="000C4DE1"/>
    <w:rsid w:val="000C5CC5"/>
    <w:rsid w:val="000F41F2"/>
    <w:rsid w:val="000F71EA"/>
    <w:rsid w:val="00135C0D"/>
    <w:rsid w:val="0014499F"/>
    <w:rsid w:val="00150B2F"/>
    <w:rsid w:val="00160540"/>
    <w:rsid w:val="00162F24"/>
    <w:rsid w:val="00177007"/>
    <w:rsid w:val="001858AF"/>
    <w:rsid w:val="00185DB0"/>
    <w:rsid w:val="00186EE9"/>
    <w:rsid w:val="00192EEB"/>
    <w:rsid w:val="001A20FB"/>
    <w:rsid w:val="001A4B24"/>
    <w:rsid w:val="001B12ED"/>
    <w:rsid w:val="001B6F40"/>
    <w:rsid w:val="001D103A"/>
    <w:rsid w:val="001D7F8A"/>
    <w:rsid w:val="001E14AC"/>
    <w:rsid w:val="001E3FEB"/>
    <w:rsid w:val="001E4A02"/>
    <w:rsid w:val="00206984"/>
    <w:rsid w:val="00210F9A"/>
    <w:rsid w:val="002233A0"/>
    <w:rsid w:val="00223B89"/>
    <w:rsid w:val="00225A8C"/>
    <w:rsid w:val="002328BD"/>
    <w:rsid w:val="00247427"/>
    <w:rsid w:val="0025154B"/>
    <w:rsid w:val="002656A1"/>
    <w:rsid w:val="002659F1"/>
    <w:rsid w:val="00274387"/>
    <w:rsid w:val="00287E79"/>
    <w:rsid w:val="002928F9"/>
    <w:rsid w:val="002A009E"/>
    <w:rsid w:val="002A5D07"/>
    <w:rsid w:val="002B054C"/>
    <w:rsid w:val="002B3E3D"/>
    <w:rsid w:val="002D0D16"/>
    <w:rsid w:val="002D2E66"/>
    <w:rsid w:val="002D3E12"/>
    <w:rsid w:val="002D7706"/>
    <w:rsid w:val="002E0E70"/>
    <w:rsid w:val="003016B7"/>
    <w:rsid w:val="0031340A"/>
    <w:rsid w:val="00317603"/>
    <w:rsid w:val="00340C35"/>
    <w:rsid w:val="003515AA"/>
    <w:rsid w:val="003574B0"/>
    <w:rsid w:val="00370E0F"/>
    <w:rsid w:val="00374106"/>
    <w:rsid w:val="003759D0"/>
    <w:rsid w:val="0038572C"/>
    <w:rsid w:val="00390572"/>
    <w:rsid w:val="003976D5"/>
    <w:rsid w:val="003A3B0D"/>
    <w:rsid w:val="003C4F70"/>
    <w:rsid w:val="003D1A4F"/>
    <w:rsid w:val="003D1DF3"/>
    <w:rsid w:val="003D46A7"/>
    <w:rsid w:val="003D51E1"/>
    <w:rsid w:val="003D6C68"/>
    <w:rsid w:val="003E0481"/>
    <w:rsid w:val="003F365C"/>
    <w:rsid w:val="003F6BB1"/>
    <w:rsid w:val="004159D0"/>
    <w:rsid w:val="004249E7"/>
    <w:rsid w:val="00481E96"/>
    <w:rsid w:val="004925D0"/>
    <w:rsid w:val="004950F1"/>
    <w:rsid w:val="00495482"/>
    <w:rsid w:val="004A1BA9"/>
    <w:rsid w:val="004A7FCC"/>
    <w:rsid w:val="004B322C"/>
    <w:rsid w:val="004F3E8B"/>
    <w:rsid w:val="005046DB"/>
    <w:rsid w:val="00527E16"/>
    <w:rsid w:val="0053755B"/>
    <w:rsid w:val="00543D5E"/>
    <w:rsid w:val="00557791"/>
    <w:rsid w:val="00571F41"/>
    <w:rsid w:val="005B09DD"/>
    <w:rsid w:val="005B1F9A"/>
    <w:rsid w:val="005D0F0F"/>
    <w:rsid w:val="005D2932"/>
    <w:rsid w:val="005E5D1F"/>
    <w:rsid w:val="00603391"/>
    <w:rsid w:val="00611D43"/>
    <w:rsid w:val="00612D48"/>
    <w:rsid w:val="00616B45"/>
    <w:rsid w:val="00630D9B"/>
    <w:rsid w:val="00631953"/>
    <w:rsid w:val="00635C62"/>
    <w:rsid w:val="006439EC"/>
    <w:rsid w:val="00652353"/>
    <w:rsid w:val="00657B60"/>
    <w:rsid w:val="00695746"/>
    <w:rsid w:val="006A4A4D"/>
    <w:rsid w:val="006B4590"/>
    <w:rsid w:val="006B50E4"/>
    <w:rsid w:val="006B515A"/>
    <w:rsid w:val="006C340C"/>
    <w:rsid w:val="0070347C"/>
    <w:rsid w:val="00703FAE"/>
    <w:rsid w:val="007176C1"/>
    <w:rsid w:val="007179E6"/>
    <w:rsid w:val="007B17A8"/>
    <w:rsid w:val="007C0E8B"/>
    <w:rsid w:val="007C0F06"/>
    <w:rsid w:val="007F55CB"/>
    <w:rsid w:val="007F72E4"/>
    <w:rsid w:val="00811779"/>
    <w:rsid w:val="00813156"/>
    <w:rsid w:val="008317F6"/>
    <w:rsid w:val="00844750"/>
    <w:rsid w:val="00855472"/>
    <w:rsid w:val="00870BDE"/>
    <w:rsid w:val="008825EC"/>
    <w:rsid w:val="00890E0F"/>
    <w:rsid w:val="008B44C4"/>
    <w:rsid w:val="008B7879"/>
    <w:rsid w:val="008C321B"/>
    <w:rsid w:val="008C38D2"/>
    <w:rsid w:val="008E7FAE"/>
    <w:rsid w:val="008F7FB7"/>
    <w:rsid w:val="00911BF7"/>
    <w:rsid w:val="009422C4"/>
    <w:rsid w:val="00977EC8"/>
    <w:rsid w:val="009976CE"/>
    <w:rsid w:val="009B5B9B"/>
    <w:rsid w:val="009B6C14"/>
    <w:rsid w:val="009D3A8C"/>
    <w:rsid w:val="009D589F"/>
    <w:rsid w:val="009E7956"/>
    <w:rsid w:val="009F5257"/>
    <w:rsid w:val="009F759C"/>
    <w:rsid w:val="00A02E14"/>
    <w:rsid w:val="00A122EB"/>
    <w:rsid w:val="00A2492E"/>
    <w:rsid w:val="00A32D09"/>
    <w:rsid w:val="00A4406C"/>
    <w:rsid w:val="00A503DF"/>
    <w:rsid w:val="00A70163"/>
    <w:rsid w:val="00AB6843"/>
    <w:rsid w:val="00AC67A1"/>
    <w:rsid w:val="00AC7977"/>
    <w:rsid w:val="00AE352C"/>
    <w:rsid w:val="00AE618E"/>
    <w:rsid w:val="00AE7AA8"/>
    <w:rsid w:val="00AF7925"/>
    <w:rsid w:val="00B161A1"/>
    <w:rsid w:val="00B32E2D"/>
    <w:rsid w:val="00B35B43"/>
    <w:rsid w:val="00B4466B"/>
    <w:rsid w:val="00B61990"/>
    <w:rsid w:val="00B661F3"/>
    <w:rsid w:val="00B82754"/>
    <w:rsid w:val="00B8444E"/>
    <w:rsid w:val="00B85D99"/>
    <w:rsid w:val="00BD380A"/>
    <w:rsid w:val="00BF0556"/>
    <w:rsid w:val="00C261F8"/>
    <w:rsid w:val="00C33100"/>
    <w:rsid w:val="00C51B9E"/>
    <w:rsid w:val="00C64EBF"/>
    <w:rsid w:val="00C65A8A"/>
    <w:rsid w:val="00C75A07"/>
    <w:rsid w:val="00C940E9"/>
    <w:rsid w:val="00CB25DD"/>
    <w:rsid w:val="00CD1A71"/>
    <w:rsid w:val="00CD1FBB"/>
    <w:rsid w:val="00CF5C7F"/>
    <w:rsid w:val="00D016B5"/>
    <w:rsid w:val="00D034F1"/>
    <w:rsid w:val="00D11B17"/>
    <w:rsid w:val="00D21C64"/>
    <w:rsid w:val="00D27D5E"/>
    <w:rsid w:val="00D34729"/>
    <w:rsid w:val="00D72357"/>
    <w:rsid w:val="00D968E9"/>
    <w:rsid w:val="00DA57D4"/>
    <w:rsid w:val="00DA7940"/>
    <w:rsid w:val="00DB4793"/>
    <w:rsid w:val="00DB714E"/>
    <w:rsid w:val="00DE01E3"/>
    <w:rsid w:val="00DE6D90"/>
    <w:rsid w:val="00DF002F"/>
    <w:rsid w:val="00E0244D"/>
    <w:rsid w:val="00E161AA"/>
    <w:rsid w:val="00E55D71"/>
    <w:rsid w:val="00E81E94"/>
    <w:rsid w:val="00E82607"/>
    <w:rsid w:val="00EA31C2"/>
    <w:rsid w:val="00EB1CF6"/>
    <w:rsid w:val="00EB3C6C"/>
    <w:rsid w:val="00EC201E"/>
    <w:rsid w:val="00EC4698"/>
    <w:rsid w:val="00EE2EA3"/>
    <w:rsid w:val="00EF2F2D"/>
    <w:rsid w:val="00F01516"/>
    <w:rsid w:val="00F17F43"/>
    <w:rsid w:val="00F457C5"/>
    <w:rsid w:val="00F627CF"/>
    <w:rsid w:val="00F75D5A"/>
    <w:rsid w:val="00FA5A79"/>
    <w:rsid w:val="00FB0BFE"/>
    <w:rsid w:val="00FB11E8"/>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link w:val="Heading1Char"/>
    <w:qFormat/>
    <w:rsid w:val="0000696F"/>
    <w:pPr>
      <w:keepNext/>
      <w:keepLines/>
      <w:spacing w:after="0" w:line="240" w:lineRule="auto"/>
      <w:ind w:right="0"/>
      <w:jc w:val="left"/>
      <w:outlineLvl w:val="0"/>
    </w:pPr>
    <w:rPr>
      <w:lang/>
    </w:rPr>
  </w:style>
  <w:style w:type="paragraph" w:styleId="Heading2">
    <w:name w:val="heading 2"/>
    <w:basedOn w:val="Normal"/>
    <w:next w:val="Normal"/>
    <w:link w:val="Heading2Char"/>
    <w:qFormat/>
    <w:rsid w:val="0000696F"/>
    <w:pPr>
      <w:outlineLvl w:val="1"/>
    </w:pPr>
    <w:rPr>
      <w:lang/>
    </w:rPr>
  </w:style>
  <w:style w:type="paragraph" w:styleId="Heading3">
    <w:name w:val="heading 3"/>
    <w:basedOn w:val="Normal"/>
    <w:next w:val="Normal"/>
    <w:link w:val="Heading3Char"/>
    <w:qFormat/>
    <w:rsid w:val="0000696F"/>
    <w:pPr>
      <w:outlineLvl w:val="2"/>
    </w:pPr>
    <w:rPr>
      <w:lang/>
    </w:rPr>
  </w:style>
  <w:style w:type="paragraph" w:styleId="Heading4">
    <w:name w:val="heading 4"/>
    <w:basedOn w:val="Normal"/>
    <w:next w:val="Normal"/>
    <w:link w:val="Heading4Char"/>
    <w:qFormat/>
    <w:rsid w:val="0000696F"/>
    <w:pPr>
      <w:outlineLvl w:val="3"/>
    </w:pPr>
    <w:rPr>
      <w:lang/>
    </w:rPr>
  </w:style>
  <w:style w:type="paragraph" w:styleId="Heading5">
    <w:name w:val="heading 5"/>
    <w:basedOn w:val="Normal"/>
    <w:next w:val="Normal"/>
    <w:link w:val="Heading5Char"/>
    <w:qFormat/>
    <w:rsid w:val="0000696F"/>
    <w:pPr>
      <w:outlineLvl w:val="4"/>
    </w:pPr>
    <w:rPr>
      <w:lang/>
    </w:rPr>
  </w:style>
  <w:style w:type="paragraph" w:styleId="Heading6">
    <w:name w:val="heading 6"/>
    <w:basedOn w:val="Normal"/>
    <w:next w:val="Normal"/>
    <w:link w:val="Heading6Char"/>
    <w:qFormat/>
    <w:rsid w:val="0000696F"/>
    <w:pPr>
      <w:outlineLvl w:val="5"/>
    </w:pPr>
    <w:rPr>
      <w:lang/>
    </w:rPr>
  </w:style>
  <w:style w:type="paragraph" w:styleId="Heading7">
    <w:name w:val="heading 7"/>
    <w:basedOn w:val="Normal"/>
    <w:next w:val="Normal"/>
    <w:link w:val="Heading7Char"/>
    <w:qFormat/>
    <w:rsid w:val="0000696F"/>
    <w:pPr>
      <w:outlineLvl w:val="6"/>
    </w:pPr>
    <w:rPr>
      <w:lang/>
    </w:rPr>
  </w:style>
  <w:style w:type="paragraph" w:styleId="Heading8">
    <w:name w:val="heading 8"/>
    <w:basedOn w:val="Normal"/>
    <w:next w:val="Normal"/>
    <w:link w:val="Heading8Char"/>
    <w:qFormat/>
    <w:rsid w:val="0000696F"/>
    <w:pPr>
      <w:outlineLvl w:val="7"/>
    </w:pPr>
    <w:rPr>
      <w:lang/>
    </w:rPr>
  </w:style>
  <w:style w:type="paragraph" w:styleId="Heading9">
    <w:name w:val="heading 9"/>
    <w:basedOn w:val="Normal"/>
    <w:next w:val="Normal"/>
    <w:link w:val="Heading9Char"/>
    <w:qFormat/>
    <w:rsid w:val="00D11B17"/>
    <w:pPr>
      <w:outlineLvl w:val="8"/>
    </w:pPr>
    <w:rPr>
      <w:lang/>
    </w:r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ar"/>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Footnote symbol,Footnote Refernece,callout,Footnotes refss,RSC_WP (footnote reference),Fus note,Fussnota"/>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link w:val="HeaderChar"/>
    <w:rsid w:val="0000696F"/>
    <w:pPr>
      <w:pBdr>
        <w:bottom w:val="single" w:sz="4" w:space="4" w:color="auto"/>
      </w:pBdr>
      <w:spacing w:line="240" w:lineRule="auto"/>
    </w:pPr>
    <w:rPr>
      <w:b/>
      <w:sz w:val="18"/>
      <w:lang/>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Char Char"/>
    <w:basedOn w:val="Normal"/>
    <w:link w:val="FootnoteTextChar"/>
    <w:rsid w:val="0000696F"/>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link w:val="FooterChar"/>
    <w:uiPriority w:val="99"/>
    <w:rsid w:val="0000696F"/>
    <w:pPr>
      <w:spacing w:line="240" w:lineRule="auto"/>
    </w:pPr>
    <w:rPr>
      <w:sz w:val="16"/>
      <w:lang/>
    </w:rPr>
  </w:style>
  <w:style w:type="character" w:styleId="Hyperlink">
    <w:name w:val="Hyperlink"/>
    <w:basedOn w:val="DefaultParagraphFont"/>
    <w:uiPriority w:val="99"/>
    <w:rsid w:val="0000696F"/>
    <w:rPr>
      <w:color w:val="auto"/>
      <w:u w:val="none"/>
    </w:rPr>
  </w:style>
  <w:style w:type="character" w:styleId="FollowedHyperlink">
    <w:name w:val="FollowedHyperlink"/>
    <w:basedOn w:val="DefaultParagraphFont"/>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1Char">
    <w:name w:val="Heading 1 Char"/>
    <w:aliases w:val="Table_G Char"/>
    <w:link w:val="Heading1"/>
    <w:rsid w:val="00317603"/>
    <w:rPr>
      <w:lang w:eastAsia="en-US"/>
    </w:rPr>
  </w:style>
  <w:style w:type="character" w:customStyle="1" w:styleId="Heading2Char">
    <w:name w:val="Heading 2 Char"/>
    <w:link w:val="Heading2"/>
    <w:rsid w:val="00317603"/>
    <w:rPr>
      <w:lang w:eastAsia="en-US"/>
    </w:rPr>
  </w:style>
  <w:style w:type="character" w:customStyle="1" w:styleId="Heading3Char">
    <w:name w:val="Heading 3 Char"/>
    <w:link w:val="Heading3"/>
    <w:rsid w:val="00317603"/>
    <w:rPr>
      <w:lang w:eastAsia="en-US"/>
    </w:rPr>
  </w:style>
  <w:style w:type="character" w:customStyle="1" w:styleId="Heading4Char">
    <w:name w:val="Heading 4 Char"/>
    <w:link w:val="Heading4"/>
    <w:rsid w:val="00317603"/>
    <w:rPr>
      <w:lang w:eastAsia="en-US"/>
    </w:rPr>
  </w:style>
  <w:style w:type="character" w:customStyle="1" w:styleId="Heading5Char">
    <w:name w:val="Heading 5 Char"/>
    <w:link w:val="Heading5"/>
    <w:rsid w:val="00317603"/>
    <w:rPr>
      <w:lang w:eastAsia="en-US"/>
    </w:rPr>
  </w:style>
  <w:style w:type="character" w:customStyle="1" w:styleId="Heading6Char">
    <w:name w:val="Heading 6 Char"/>
    <w:link w:val="Heading6"/>
    <w:rsid w:val="00317603"/>
    <w:rPr>
      <w:lang w:eastAsia="en-US"/>
    </w:rPr>
  </w:style>
  <w:style w:type="character" w:customStyle="1" w:styleId="Heading7Char">
    <w:name w:val="Heading 7 Char"/>
    <w:link w:val="Heading7"/>
    <w:rsid w:val="00317603"/>
    <w:rPr>
      <w:lang w:eastAsia="en-US"/>
    </w:rPr>
  </w:style>
  <w:style w:type="character" w:customStyle="1" w:styleId="Heading8Char">
    <w:name w:val="Heading 8 Char"/>
    <w:link w:val="Heading8"/>
    <w:rsid w:val="00317603"/>
    <w:rPr>
      <w:lang w:eastAsia="en-US"/>
    </w:rPr>
  </w:style>
  <w:style w:type="character" w:customStyle="1" w:styleId="Heading9Char">
    <w:name w:val="Heading 9 Char"/>
    <w:link w:val="Heading9"/>
    <w:rsid w:val="00317603"/>
    <w:rPr>
      <w:lang w:eastAsia="en-US"/>
    </w:rPr>
  </w:style>
  <w:style w:type="character" w:customStyle="1" w:styleId="FootnoteTextChar">
    <w:name w:val="Footnote Text Char"/>
    <w:aliases w:val="5_G Char,Footnote Char,Podrozdział Char,Podrozdzia3 Char,single space Char,footnote text Char, Märk Char,Footnote Text Char Char Char Char Char1,Footnote Text Char Char Char,Footnote Text Char Char Char Char Char Char,Char Char Char"/>
    <w:link w:val="FootnoteText"/>
    <w:locked/>
    <w:rsid w:val="00317603"/>
    <w:rPr>
      <w:sz w:val="18"/>
      <w:lang w:eastAsia="en-US"/>
    </w:rPr>
  </w:style>
  <w:style w:type="character" w:customStyle="1" w:styleId="EndnoteTextChar">
    <w:name w:val="Endnote Text Char"/>
    <w:aliases w:val="2_G Char"/>
    <w:link w:val="EndnoteText"/>
    <w:rsid w:val="00317603"/>
    <w:rPr>
      <w:sz w:val="18"/>
      <w:lang w:eastAsia="en-US"/>
    </w:rPr>
  </w:style>
  <w:style w:type="character" w:customStyle="1" w:styleId="FooterChar">
    <w:name w:val="Footer Char"/>
    <w:aliases w:val="3_G Char"/>
    <w:link w:val="Footer"/>
    <w:uiPriority w:val="99"/>
    <w:rsid w:val="00317603"/>
    <w:rPr>
      <w:sz w:val="16"/>
      <w:lang w:eastAsia="en-US"/>
    </w:rPr>
  </w:style>
  <w:style w:type="character" w:customStyle="1" w:styleId="HeaderChar">
    <w:name w:val="Header Char"/>
    <w:aliases w:val="6_G Char"/>
    <w:link w:val="Header"/>
    <w:rsid w:val="00317603"/>
    <w:rPr>
      <w:b/>
      <w:sz w:val="18"/>
      <w:lang w:eastAsia="en-US"/>
    </w:rPr>
  </w:style>
  <w:style w:type="paragraph" w:customStyle="1" w:styleId="Source">
    <w:name w:val="Source"/>
    <w:basedOn w:val="SingleTxtG"/>
    <w:qFormat/>
    <w:rsid w:val="00317603"/>
    <w:pPr>
      <w:spacing w:before="120" w:after="240" w:line="220" w:lineRule="exact"/>
      <w:ind w:firstLine="170"/>
      <w:jc w:val="left"/>
    </w:pPr>
    <w:rPr>
      <w:sz w:val="18"/>
      <w:szCs w:val="18"/>
      <w:lang w:val="en-GB" w:eastAsia="fr-FR"/>
    </w:rPr>
  </w:style>
  <w:style w:type="paragraph" w:styleId="BodyText">
    <w:name w:val="Body Text"/>
    <w:basedOn w:val="Normal"/>
    <w:link w:val="BodyTextChar"/>
    <w:rsid w:val="00317603"/>
    <w:pPr>
      <w:suppressAutoHyphens w:val="0"/>
      <w:autoSpaceDE w:val="0"/>
      <w:autoSpaceDN w:val="0"/>
      <w:adjustRightInd w:val="0"/>
      <w:jc w:val="both"/>
    </w:pPr>
    <w:rPr>
      <w:rFonts w:ascii="Arial" w:hAnsi="Arial"/>
      <w:iCs/>
      <w:color w:val="000000"/>
      <w:sz w:val="22"/>
      <w:szCs w:val="24"/>
      <w:lang w:val="sl-SI" w:eastAsia="sl-SI"/>
    </w:rPr>
  </w:style>
  <w:style w:type="character" w:customStyle="1" w:styleId="BodyTextChar">
    <w:name w:val="Body Text Char"/>
    <w:basedOn w:val="DefaultParagraphFont"/>
    <w:link w:val="BodyText"/>
    <w:rsid w:val="00317603"/>
    <w:rPr>
      <w:rFonts w:ascii="Arial" w:hAnsi="Arial"/>
      <w:iCs/>
      <w:color w:val="000000"/>
      <w:sz w:val="22"/>
      <w:szCs w:val="24"/>
      <w:lang w:val="sl-SI" w:eastAsia="sl-SI"/>
    </w:rPr>
  </w:style>
  <w:style w:type="paragraph" w:styleId="NormalWeb">
    <w:name w:val="Normal (Web)"/>
    <w:basedOn w:val="Normal"/>
    <w:rsid w:val="00317603"/>
    <w:pPr>
      <w:suppressAutoHyphens w:val="0"/>
      <w:spacing w:after="210" w:line="240" w:lineRule="auto"/>
    </w:pPr>
    <w:rPr>
      <w:color w:val="333333"/>
      <w:sz w:val="18"/>
      <w:szCs w:val="18"/>
      <w:lang w:val="en-US"/>
    </w:rPr>
  </w:style>
  <w:style w:type="paragraph" w:styleId="DocumentMap">
    <w:name w:val="Document Map"/>
    <w:basedOn w:val="Normal"/>
    <w:link w:val="DocumentMapChar"/>
    <w:rsid w:val="00317603"/>
    <w:pPr>
      <w:shd w:val="clear" w:color="auto" w:fill="000080"/>
      <w:suppressAutoHyphens w:val="0"/>
      <w:spacing w:line="240" w:lineRule="auto"/>
    </w:pPr>
    <w:rPr>
      <w:rFonts w:ascii="Tahoma" w:hAnsi="Tahoma"/>
      <w:lang w:val="sl-SI" w:eastAsia="sl-SI"/>
    </w:rPr>
  </w:style>
  <w:style w:type="character" w:customStyle="1" w:styleId="DocumentMapChar">
    <w:name w:val="Document Map Char"/>
    <w:basedOn w:val="DefaultParagraphFont"/>
    <w:link w:val="DocumentMap"/>
    <w:rsid w:val="00317603"/>
    <w:rPr>
      <w:rFonts w:ascii="Tahoma" w:hAnsi="Tahoma"/>
      <w:shd w:val="clear" w:color="auto" w:fill="000080"/>
      <w:lang w:val="sl-SI" w:eastAsia="sl-SI"/>
    </w:rPr>
  </w:style>
  <w:style w:type="paragraph" w:styleId="BodyText2">
    <w:name w:val="Body Text 2"/>
    <w:basedOn w:val="Normal"/>
    <w:link w:val="BodyText2Char"/>
    <w:rsid w:val="00317603"/>
    <w:pPr>
      <w:suppressAutoHyphens w:val="0"/>
      <w:spacing w:after="120" w:line="480" w:lineRule="auto"/>
    </w:pPr>
    <w:rPr>
      <w:sz w:val="24"/>
      <w:szCs w:val="24"/>
      <w:lang w:val="sl-SI" w:eastAsia="sl-SI"/>
    </w:rPr>
  </w:style>
  <w:style w:type="character" w:customStyle="1" w:styleId="BodyText2Char">
    <w:name w:val="Body Text 2 Char"/>
    <w:basedOn w:val="DefaultParagraphFont"/>
    <w:link w:val="BodyText2"/>
    <w:rsid w:val="00317603"/>
    <w:rPr>
      <w:sz w:val="24"/>
      <w:szCs w:val="24"/>
      <w:lang w:val="sl-SI" w:eastAsia="sl-SI"/>
    </w:rPr>
  </w:style>
  <w:style w:type="character" w:styleId="Emphasis">
    <w:name w:val="Emphasis"/>
    <w:qFormat/>
    <w:rsid w:val="00317603"/>
    <w:rPr>
      <w:i/>
      <w:iCs/>
    </w:rPr>
  </w:style>
  <w:style w:type="paragraph" w:customStyle="1" w:styleId="Revizija">
    <w:name w:val="Revizija"/>
    <w:hidden/>
    <w:semiHidden/>
    <w:rsid w:val="00317603"/>
    <w:rPr>
      <w:rFonts w:ascii="Calibri" w:hAnsi="Calibri"/>
      <w:sz w:val="22"/>
      <w:szCs w:val="24"/>
      <w:lang w:val="sl-SI" w:eastAsia="ar-SA"/>
    </w:rPr>
  </w:style>
  <w:style w:type="paragraph" w:customStyle="1" w:styleId="Default">
    <w:name w:val="Default"/>
    <w:rsid w:val="00317603"/>
    <w:pPr>
      <w:autoSpaceDE w:val="0"/>
      <w:autoSpaceDN w:val="0"/>
      <w:adjustRightInd w:val="0"/>
    </w:pPr>
    <w:rPr>
      <w:rFonts w:ascii="Arial" w:hAnsi="Arial" w:cs="Arial"/>
      <w:color w:val="000000"/>
      <w:sz w:val="24"/>
      <w:szCs w:val="24"/>
      <w:lang w:val="sl-SI" w:eastAsia="sl-SI"/>
    </w:rPr>
  </w:style>
  <w:style w:type="paragraph" w:styleId="BodyText3">
    <w:name w:val="Body Text 3"/>
    <w:basedOn w:val="Normal"/>
    <w:link w:val="BodyText3Char"/>
    <w:rsid w:val="00317603"/>
    <w:pPr>
      <w:suppressAutoHyphens w:val="0"/>
      <w:spacing w:after="120" w:line="240" w:lineRule="auto"/>
    </w:pPr>
    <w:rPr>
      <w:sz w:val="16"/>
      <w:szCs w:val="16"/>
      <w:lang w:val="sl-SI" w:eastAsia="sl-SI"/>
    </w:rPr>
  </w:style>
  <w:style w:type="character" w:customStyle="1" w:styleId="BodyText3Char">
    <w:name w:val="Body Text 3 Char"/>
    <w:basedOn w:val="DefaultParagraphFont"/>
    <w:link w:val="BodyText3"/>
    <w:rsid w:val="00317603"/>
    <w:rPr>
      <w:sz w:val="16"/>
      <w:szCs w:val="16"/>
      <w:lang w:val="sl-SI" w:eastAsia="sl-SI"/>
    </w:rPr>
  </w:style>
  <w:style w:type="paragraph" w:customStyle="1" w:styleId="PlainText2">
    <w:name w:val="Plain Text2"/>
    <w:basedOn w:val="Normal"/>
    <w:link w:val="PlainTextZnak"/>
    <w:rsid w:val="00317603"/>
    <w:pPr>
      <w:widowControl w:val="0"/>
      <w:suppressAutoHyphens w:val="0"/>
      <w:spacing w:line="240" w:lineRule="auto"/>
    </w:pPr>
    <w:rPr>
      <w:rFonts w:ascii="Courier New" w:hAnsi="Courier New"/>
      <w:lang w:val="sl-SI" w:eastAsia="sl-SI"/>
    </w:rPr>
  </w:style>
  <w:style w:type="character" w:customStyle="1" w:styleId="PlainTextZnak">
    <w:name w:val="Plain Text Znak"/>
    <w:link w:val="PlainText2"/>
    <w:rsid w:val="00317603"/>
    <w:rPr>
      <w:rFonts w:ascii="Courier New" w:hAnsi="Courier New"/>
      <w:lang w:val="sl-SI" w:eastAsia="sl-SI"/>
    </w:rPr>
  </w:style>
  <w:style w:type="paragraph" w:styleId="CommentText">
    <w:name w:val="annotation text"/>
    <w:basedOn w:val="Normal"/>
    <w:link w:val="CommentTextChar"/>
    <w:rsid w:val="00317603"/>
  </w:style>
  <w:style w:type="character" w:customStyle="1" w:styleId="CommentTextChar">
    <w:name w:val="Comment Text Char"/>
    <w:basedOn w:val="DefaultParagraphFont"/>
    <w:link w:val="CommentText"/>
    <w:rsid w:val="00317603"/>
    <w:rPr>
      <w:lang w:eastAsia="en-US"/>
    </w:rPr>
  </w:style>
  <w:style w:type="paragraph" w:styleId="CommentSubject">
    <w:name w:val="annotation subject"/>
    <w:basedOn w:val="Normal"/>
    <w:link w:val="CommentSubjectChar"/>
    <w:rsid w:val="00317603"/>
    <w:pPr>
      <w:suppressAutoHyphens w:val="0"/>
      <w:spacing w:line="240" w:lineRule="auto"/>
    </w:pPr>
    <w:rPr>
      <w:b/>
      <w:bCs/>
      <w:lang w:val="sl-SI" w:eastAsia="sl-SI"/>
    </w:rPr>
  </w:style>
  <w:style w:type="character" w:customStyle="1" w:styleId="CommentSubjectChar">
    <w:name w:val="Comment Subject Char"/>
    <w:basedOn w:val="CommentTextChar"/>
    <w:link w:val="CommentSubject"/>
    <w:rsid w:val="00317603"/>
    <w:rPr>
      <w:b/>
      <w:bCs/>
      <w:lang w:val="sl-SI" w:eastAsia="sl-SI"/>
    </w:rPr>
  </w:style>
  <w:style w:type="table" w:customStyle="1" w:styleId="Grille11">
    <w:name w:val="Grille 11"/>
    <w:basedOn w:val="TableNormal"/>
    <w:next w:val="TableGrid1"/>
    <w:rsid w:val="00317603"/>
    <w:rPr>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317603"/>
    <w:pPr>
      <w:suppressAutoHyphens w:val="0"/>
      <w:spacing w:before="240" w:after="60" w:line="240" w:lineRule="auto"/>
      <w:jc w:val="center"/>
      <w:outlineLvl w:val="0"/>
    </w:pPr>
    <w:rPr>
      <w:rFonts w:ascii="Cambria" w:hAnsi="Cambria"/>
      <w:b/>
      <w:bCs/>
      <w:kern w:val="28"/>
      <w:sz w:val="32"/>
      <w:szCs w:val="32"/>
      <w:lang w:val="sl-SI" w:eastAsia="sl-SI"/>
    </w:rPr>
  </w:style>
  <w:style w:type="character" w:customStyle="1" w:styleId="TitleChar">
    <w:name w:val="Title Char"/>
    <w:basedOn w:val="DefaultParagraphFont"/>
    <w:link w:val="Title"/>
    <w:rsid w:val="00317603"/>
    <w:rPr>
      <w:rFonts w:ascii="Cambria" w:hAnsi="Cambria"/>
      <w:b/>
      <w:bCs/>
      <w:kern w:val="28"/>
      <w:sz w:val="32"/>
      <w:szCs w:val="32"/>
      <w:lang w:val="sl-SI" w:eastAsia="sl-SI"/>
    </w:rPr>
  </w:style>
  <w:style w:type="paragraph" w:styleId="z-TopofForm">
    <w:name w:val="HTML Top of Form"/>
    <w:basedOn w:val="Normal"/>
    <w:next w:val="Normal"/>
    <w:link w:val="z-TopofFormChar"/>
    <w:hidden/>
    <w:unhideWhenUsed/>
    <w:rsid w:val="00317603"/>
    <w:pPr>
      <w:pBdr>
        <w:bottom w:val="single" w:sz="6" w:space="1" w:color="auto"/>
      </w:pBdr>
      <w:suppressAutoHyphens w:val="0"/>
      <w:spacing w:line="240" w:lineRule="auto"/>
      <w:jc w:val="center"/>
    </w:pPr>
    <w:rPr>
      <w:rFonts w:ascii="Arial" w:hAnsi="Arial"/>
      <w:vanish/>
      <w:sz w:val="16"/>
      <w:szCs w:val="16"/>
      <w:lang w:val="sl-SI" w:eastAsia="sl-SI"/>
    </w:rPr>
  </w:style>
  <w:style w:type="character" w:customStyle="1" w:styleId="z-TopofFormChar">
    <w:name w:val="z-Top of Form Char"/>
    <w:basedOn w:val="DefaultParagraphFont"/>
    <w:link w:val="z-TopofForm"/>
    <w:rsid w:val="00317603"/>
    <w:rPr>
      <w:rFonts w:ascii="Arial" w:hAnsi="Arial"/>
      <w:vanish/>
      <w:sz w:val="16"/>
      <w:szCs w:val="16"/>
      <w:lang w:val="sl-SI" w:eastAsia="sl-SI"/>
    </w:rPr>
  </w:style>
  <w:style w:type="paragraph" w:styleId="z-BottomofForm">
    <w:name w:val="HTML Bottom of Form"/>
    <w:basedOn w:val="Normal"/>
    <w:next w:val="Normal"/>
    <w:link w:val="z-BottomofFormChar"/>
    <w:hidden/>
    <w:unhideWhenUsed/>
    <w:rsid w:val="00317603"/>
    <w:pPr>
      <w:pBdr>
        <w:top w:val="single" w:sz="6" w:space="1" w:color="auto"/>
      </w:pBdr>
      <w:suppressAutoHyphens w:val="0"/>
      <w:spacing w:line="240" w:lineRule="auto"/>
      <w:jc w:val="center"/>
    </w:pPr>
    <w:rPr>
      <w:rFonts w:ascii="Arial" w:hAnsi="Arial"/>
      <w:vanish/>
      <w:sz w:val="16"/>
      <w:szCs w:val="16"/>
      <w:lang w:val="sl-SI" w:eastAsia="sl-SI"/>
    </w:rPr>
  </w:style>
  <w:style w:type="character" w:customStyle="1" w:styleId="z-BottomofFormChar">
    <w:name w:val="z-Bottom of Form Char"/>
    <w:basedOn w:val="DefaultParagraphFont"/>
    <w:link w:val="z-BottomofForm"/>
    <w:rsid w:val="00317603"/>
    <w:rPr>
      <w:rFonts w:ascii="Arial" w:hAnsi="Arial"/>
      <w:vanish/>
      <w:sz w:val="16"/>
      <w:szCs w:val="16"/>
      <w:lang w:val="sl-SI" w:eastAsia="sl-SI"/>
    </w:rPr>
  </w:style>
  <w:style w:type="paragraph" w:styleId="Index1">
    <w:name w:val="index 1"/>
    <w:basedOn w:val="Normal"/>
    <w:next w:val="Normal"/>
    <w:autoRedefine/>
    <w:rsid w:val="00317603"/>
    <w:pPr>
      <w:ind w:left="200" w:hanging="200"/>
    </w:pPr>
  </w:style>
  <w:style w:type="paragraph" w:styleId="IndexHeading">
    <w:name w:val="index heading"/>
    <w:basedOn w:val="Normal"/>
    <w:next w:val="Normal"/>
    <w:rsid w:val="00317603"/>
    <w:pPr>
      <w:suppressAutoHyphens w:val="0"/>
      <w:spacing w:before="240" w:after="120" w:line="240" w:lineRule="auto"/>
      <w:jc w:val="center"/>
    </w:pPr>
    <w:rPr>
      <w:rFonts w:ascii="Calibri" w:hAnsi="Calibri"/>
      <w:b/>
      <w:bCs/>
      <w:sz w:val="26"/>
      <w:szCs w:val="26"/>
      <w:lang w:val="sl-SI" w:eastAsia="sl-SI"/>
    </w:rPr>
  </w:style>
  <w:style w:type="character" w:customStyle="1" w:styleId="H56GCar">
    <w:name w:val="_ H_5/6_G Car"/>
    <w:basedOn w:val="DefaultParagraphFont"/>
    <w:link w:val="H56G"/>
    <w:rsid w:val="001E14A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z.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ddsz.gov.si/en/areas_of_work/social_affairs/social_"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Template>
  <TotalTime>2</TotalTime>
  <Pages>1</Pages>
  <Words>23471</Words>
  <Characters>133789</Characters>
  <Application>Microsoft Office Outlook</Application>
  <DocSecurity>4</DocSecurity>
  <Lines>1114</Lines>
  <Paragraphs>313</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156947</CharactersWithSpaces>
  <SharedDoc>false</SharedDoc>
  <HLinks>
    <vt:vector size="12" baseType="variant">
      <vt:variant>
        <vt:i4>2490381</vt:i4>
      </vt:variant>
      <vt:variant>
        <vt:i4>3</vt:i4>
      </vt:variant>
      <vt:variant>
        <vt:i4>0</vt:i4>
      </vt:variant>
      <vt:variant>
        <vt:i4>5</vt:i4>
      </vt:variant>
      <vt:variant>
        <vt:lpwstr>http://www.mddsz.gov.si/en/areas_of_work/social_affairs/social_</vt:lpwstr>
      </vt:variant>
      <vt:variant>
        <vt:lpwstr/>
      </vt:variant>
      <vt:variant>
        <vt:i4>7405612</vt:i4>
      </vt:variant>
      <vt:variant>
        <vt:i4>0</vt:i4>
      </vt:variant>
      <vt:variant>
        <vt:i4>0</vt:i4>
      </vt:variant>
      <vt:variant>
        <vt:i4>5</vt:i4>
      </vt:variant>
      <vt:variant>
        <vt:lpwstr>http://www.mzz.gov.si/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Christine FANELLI</dc:creator>
  <cp:keywords/>
  <cp:lastModifiedBy>CSD</cp:lastModifiedBy>
  <cp:revision>4</cp:revision>
  <cp:lastPrinted>2013-10-22T09:09:00Z</cp:lastPrinted>
  <dcterms:created xsi:type="dcterms:W3CDTF">2013-10-22T09:09:00Z</dcterms:created>
  <dcterms:modified xsi:type="dcterms:W3CDTF">2013-10-22T09:10:00Z</dcterms:modified>
</cp:coreProperties>
</file>