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CB45D3" w:rsidP="00CB45D3">
            <w:pPr>
              <w:bidi w:val="0"/>
              <w:spacing w:after="20"/>
              <w:jc w:val="left"/>
              <w:rPr>
                <w:szCs w:val="20"/>
              </w:rPr>
            </w:pPr>
            <w:r w:rsidRPr="00CB45D3">
              <w:rPr>
                <w:sz w:val="40"/>
                <w:szCs w:val="20"/>
              </w:rPr>
              <w:t>E</w:t>
            </w:r>
            <w:r>
              <w:rPr>
                <w:szCs w:val="20"/>
              </w:rPr>
              <w:t>/C.12/TGO/CO/1</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CB45D3" w:rsidRDefault="00CB45D3" w:rsidP="00CB45D3">
            <w:pPr>
              <w:bidi w:val="0"/>
              <w:spacing w:before="240"/>
              <w:jc w:val="left"/>
            </w:pPr>
            <w:r>
              <w:t>Distr.: General</w:t>
            </w:r>
          </w:p>
          <w:p w:rsidR="00CB45D3" w:rsidRDefault="00CB45D3" w:rsidP="00CB45D3">
            <w:pPr>
              <w:bidi w:val="0"/>
              <w:jc w:val="left"/>
            </w:pPr>
            <w:r>
              <w:t>3 June 2013</w:t>
            </w:r>
          </w:p>
          <w:p w:rsidR="00CB45D3" w:rsidRDefault="00CB45D3" w:rsidP="00CB45D3">
            <w:pPr>
              <w:bidi w:val="0"/>
              <w:jc w:val="left"/>
            </w:pPr>
            <w:r>
              <w:t>Arabic</w:t>
            </w:r>
          </w:p>
          <w:p w:rsidR="00257225" w:rsidRPr="008B4BC6" w:rsidRDefault="00CB45D3" w:rsidP="00CB45D3">
            <w:pPr>
              <w:bidi w:val="0"/>
              <w:jc w:val="left"/>
            </w:pPr>
            <w:r>
              <w:t>Original: French</w:t>
            </w:r>
          </w:p>
        </w:tc>
      </w:tr>
    </w:tbl>
    <w:p w:rsidR="0069689D" w:rsidRPr="0069689D" w:rsidRDefault="0069689D" w:rsidP="0069689D">
      <w:pPr>
        <w:tabs>
          <w:tab w:val="left" w:pos="720"/>
        </w:tabs>
        <w:spacing w:before="120" w:line="380" w:lineRule="exact"/>
        <w:jc w:val="both"/>
        <w:rPr>
          <w:bCs/>
          <w:sz w:val="36"/>
          <w:szCs w:val="36"/>
          <w:rtl/>
        </w:rPr>
      </w:pPr>
      <w:r w:rsidRPr="0069689D">
        <w:rPr>
          <w:rFonts w:hint="cs"/>
          <w:bCs/>
          <w:sz w:val="36"/>
          <w:szCs w:val="36"/>
          <w:rtl/>
        </w:rPr>
        <w:t>اللجنة المعنية بالحقوق الاقتصادية والاجتماعية والثقافية</w:t>
      </w:r>
    </w:p>
    <w:p w:rsidR="0069689D" w:rsidRDefault="0069689D" w:rsidP="0057775E">
      <w:pPr>
        <w:pStyle w:val="HChGA"/>
        <w:rPr>
          <w:rFonts w:hint="cs"/>
          <w:rtl/>
        </w:rPr>
      </w:pPr>
      <w:r>
        <w:rPr>
          <w:rFonts w:hint="cs"/>
          <w:rtl/>
        </w:rPr>
        <w:tab/>
      </w:r>
      <w:r>
        <w:rPr>
          <w:rFonts w:hint="cs"/>
          <w:rtl/>
        </w:rPr>
        <w:tab/>
        <w:t xml:space="preserve">الملاحظات الختامية التي اعتمدتها اللجنة المعنية بالحقوق الاقتصادية والاجتماعية والثقافية بشأن التقرير الدوري الأول لتوغو في دورتها الخمسين </w:t>
      </w:r>
      <w:r>
        <w:rPr>
          <w:rFonts w:hint="cs"/>
        </w:rPr>
        <w:sym w:font="Symbol" w:char="F029"/>
      </w:r>
      <w:r>
        <w:rPr>
          <w:rFonts w:hint="cs"/>
          <w:rtl/>
        </w:rPr>
        <w:t xml:space="preserve">29 نيسان/أبريل </w:t>
      </w:r>
      <w:r w:rsidR="0057775E">
        <w:rPr>
          <w:rFonts w:hint="cs"/>
          <w:rtl/>
        </w:rPr>
        <w:t xml:space="preserve">- </w:t>
      </w:r>
      <w:r>
        <w:rPr>
          <w:rFonts w:hint="cs"/>
          <w:rtl/>
        </w:rPr>
        <w:t>17 أيار/مايو 2013</w:t>
      </w:r>
      <w:r>
        <w:rPr>
          <w:rFonts w:hint="cs"/>
        </w:rPr>
        <w:sym w:font="Symbol" w:char="F028"/>
      </w:r>
    </w:p>
    <w:p w:rsidR="0069689D" w:rsidRDefault="0069689D" w:rsidP="0069689D">
      <w:pPr>
        <w:pStyle w:val="SingleTxtGA"/>
        <w:rPr>
          <w:rFonts w:hint="cs"/>
          <w:rtl/>
        </w:rPr>
      </w:pPr>
      <w:r>
        <w:rPr>
          <w:rFonts w:hint="cs"/>
          <w:rtl/>
        </w:rPr>
        <w:t>1-</w:t>
      </w:r>
      <w:r>
        <w:rPr>
          <w:rtl/>
        </w:rPr>
        <w:tab/>
      </w:r>
      <w:r>
        <w:rPr>
          <w:rFonts w:hint="cs"/>
          <w:rtl/>
        </w:rPr>
        <w:t>نظرت اللجنة المعنية بالحقوق الاقتصادية والاجتماعية والثقافية في التقرير الدوري الأول المقدم من توغو بشأن تنفيذ العهد الدولي الخاص بالحقوق الاقتصادية والاجتماعية والثقافية (</w:t>
      </w:r>
      <w:r>
        <w:t>E/C.12/</w:t>
      </w:r>
      <w:r>
        <w:rPr>
          <w:lang w:val="fr-FR"/>
        </w:rPr>
        <w:t>TGO</w:t>
      </w:r>
      <w:r>
        <w:t>/1</w:t>
      </w:r>
      <w:r>
        <w:rPr>
          <w:rFonts w:hint="cs"/>
          <w:rtl/>
        </w:rPr>
        <w:t>) في جلستيها 12 و14 المعقودتين يومي 6 و7 أيار/مايو 2013 (</w:t>
      </w:r>
      <w:r>
        <w:t>E/C.12/2008/SR.12-14</w:t>
      </w:r>
      <w:r>
        <w:rPr>
          <w:rFonts w:hint="cs"/>
          <w:rtl/>
        </w:rPr>
        <w:t>) واعتمدت في جلستها 28 المعقودة في 17 أيار/مايو 2013 الملاحظات الختامية التالية.</w:t>
      </w:r>
    </w:p>
    <w:p w:rsidR="0069689D" w:rsidRDefault="0069689D" w:rsidP="0069689D">
      <w:pPr>
        <w:pStyle w:val="H1GA"/>
        <w:rPr>
          <w:rFonts w:hint="cs"/>
          <w:rtl/>
        </w:rPr>
      </w:pPr>
      <w:r>
        <w:rPr>
          <w:rFonts w:hint="cs"/>
          <w:rtl/>
        </w:rPr>
        <w:tab/>
        <w:t>ألف-</w:t>
      </w:r>
      <w:r>
        <w:rPr>
          <w:rFonts w:hint="cs"/>
          <w:rtl/>
        </w:rPr>
        <w:tab/>
        <w:t>مقدمة</w:t>
      </w:r>
    </w:p>
    <w:p w:rsidR="0069689D" w:rsidRDefault="0069689D" w:rsidP="0069689D">
      <w:pPr>
        <w:pStyle w:val="SingleTxtGA"/>
        <w:rPr>
          <w:rFonts w:hint="cs"/>
          <w:rtl/>
        </w:rPr>
      </w:pPr>
      <w:r>
        <w:rPr>
          <w:rFonts w:hint="cs"/>
          <w:rtl/>
        </w:rPr>
        <w:t>2-</w:t>
      </w:r>
      <w:r>
        <w:rPr>
          <w:rFonts w:hint="cs"/>
          <w:rtl/>
        </w:rPr>
        <w:tab/>
        <w:t xml:space="preserve">ترحب اللجنة بالتقرير الدوري الأول لتوغو، </w:t>
      </w:r>
      <w:r>
        <w:rPr>
          <w:rFonts w:hint="cs"/>
          <w:rtl/>
          <w:lang/>
        </w:rPr>
        <w:t>وإن قُدِّم مع بعض التأخير</w:t>
      </w:r>
      <w:r>
        <w:rPr>
          <w:rFonts w:hint="cs"/>
          <w:rtl/>
        </w:rPr>
        <w:t xml:space="preserve">، الذي يمتثل </w:t>
      </w:r>
      <w:r>
        <w:rPr>
          <w:rFonts w:hint="cs"/>
          <w:rtl/>
          <w:lang/>
        </w:rPr>
        <w:t>للمبادئ التوجيهية للجنة بشأن إعداد التقارير،</w:t>
      </w:r>
      <w:r>
        <w:rPr>
          <w:rFonts w:hint="cs"/>
          <w:rtl/>
        </w:rPr>
        <w:t xml:space="preserve"> وبالردود الخطية للدولة الطرف على قائمة المسائل التي ستنظر فيها اللجنة (</w:t>
      </w:r>
      <w:r>
        <w:rPr>
          <w:lang w:val="fr-CH"/>
        </w:rPr>
        <w:t>E/C.12/TGO/Q/1/</w:t>
      </w:r>
      <w:proofErr w:type="spellStart"/>
      <w:r>
        <w:rPr>
          <w:lang w:val="fr-CH"/>
        </w:rPr>
        <w:t>Add</w:t>
      </w:r>
      <w:proofErr w:type="spellEnd"/>
      <w:r>
        <w:rPr>
          <w:lang w:val="fr-CH"/>
        </w:rPr>
        <w:t>.1</w:t>
      </w:r>
      <w:r>
        <w:rPr>
          <w:rFonts w:hint="cs"/>
          <w:rtl/>
        </w:rPr>
        <w:t xml:space="preserve">). </w:t>
      </w:r>
    </w:p>
    <w:p w:rsidR="0069689D" w:rsidRDefault="0069689D" w:rsidP="0069689D">
      <w:pPr>
        <w:pStyle w:val="SingleTxtGA"/>
        <w:rPr>
          <w:rFonts w:hint="cs"/>
          <w:rtl/>
        </w:rPr>
      </w:pPr>
      <w:r>
        <w:rPr>
          <w:rFonts w:hint="cs"/>
          <w:rtl/>
        </w:rPr>
        <w:t>3-</w:t>
      </w:r>
      <w:r>
        <w:rPr>
          <w:rFonts w:hint="cs"/>
          <w:rtl/>
        </w:rPr>
        <w:tab/>
      </w:r>
      <w:r>
        <w:rPr>
          <w:rFonts w:hint="cs"/>
          <w:rtl/>
          <w:lang/>
        </w:rPr>
        <w:t>وترحّب اللجنة بالحوار البناء الذي أجرته مع الدولة الطرف،</w:t>
      </w:r>
      <w:r>
        <w:rPr>
          <w:rFonts w:hint="cs"/>
          <w:rtl/>
        </w:rPr>
        <w:t xml:space="preserve"> التي استعرض مدى تنفيذها للعهد في عام 2001 في غياب تقديمها لتقرير. وتلاحظ اللجنة مع التقدير حضور وفد رفيع المستوى يضم وزراء و</w:t>
      </w:r>
      <w:r>
        <w:rPr>
          <w:rFonts w:hint="cs"/>
          <w:rtl/>
          <w:lang/>
        </w:rPr>
        <w:t>أعضاء اللجنة المشتركة بين الوزارات المعنية بصياغة التقارير الأولية والدورية المقدمة إلى هيئات المعاهدات. وترحب اللجنة أيضاً بالردود التي قدمها الوفد على الأسئلة المطروحة أثناء الحوار.</w:t>
      </w:r>
    </w:p>
    <w:p w:rsidR="0069689D" w:rsidRDefault="0069689D" w:rsidP="0069689D">
      <w:pPr>
        <w:pStyle w:val="H1GA"/>
        <w:rPr>
          <w:rFonts w:hint="cs"/>
          <w:rtl/>
        </w:rPr>
      </w:pPr>
      <w:r>
        <w:rPr>
          <w:rFonts w:hint="cs"/>
          <w:rtl/>
        </w:rPr>
        <w:tab/>
        <w:t>باء-</w:t>
      </w:r>
      <w:r>
        <w:rPr>
          <w:rFonts w:hint="cs"/>
          <w:rtl/>
        </w:rPr>
        <w:tab/>
        <w:t>الجوانب الإيجابية</w:t>
      </w:r>
    </w:p>
    <w:p w:rsidR="0069689D" w:rsidRDefault="0069689D" w:rsidP="0069689D">
      <w:pPr>
        <w:pStyle w:val="SingleTxtGA"/>
        <w:rPr>
          <w:rFonts w:hint="cs"/>
          <w:rtl/>
        </w:rPr>
      </w:pPr>
      <w:r>
        <w:rPr>
          <w:rFonts w:hint="cs"/>
          <w:rtl/>
        </w:rPr>
        <w:t>4-</w:t>
      </w:r>
      <w:r>
        <w:rPr>
          <w:rFonts w:hint="cs"/>
          <w:rtl/>
        </w:rPr>
        <w:tab/>
      </w:r>
      <w:r>
        <w:rPr>
          <w:rFonts w:hint="cs"/>
          <w:rtl/>
          <w:lang/>
        </w:rPr>
        <w:t>تحيط اللجنة علماً مع الارتياح بتصديق الدولة الطرف على الصكوك الدولية المتعلقة بحقوق الإنسان</w:t>
      </w:r>
      <w:r w:rsidRPr="00350690">
        <w:rPr>
          <w:rFonts w:hint="cs"/>
          <w:rtl/>
          <w:lang/>
        </w:rPr>
        <w:t xml:space="preserve"> </w:t>
      </w:r>
      <w:r>
        <w:rPr>
          <w:rFonts w:hint="cs"/>
          <w:rtl/>
          <w:lang/>
        </w:rPr>
        <w:t>التالية</w:t>
      </w:r>
      <w:r>
        <w:rPr>
          <w:rFonts w:hint="cs"/>
          <w:rtl/>
        </w:rPr>
        <w:t>:</w:t>
      </w:r>
    </w:p>
    <w:p w:rsidR="0069689D" w:rsidRDefault="0069689D" w:rsidP="0023124D">
      <w:pPr>
        <w:pStyle w:val="SingleTxtGA"/>
        <w:rPr>
          <w:rFonts w:hint="cs"/>
          <w:rtl/>
        </w:rPr>
      </w:pPr>
      <w:r>
        <w:rPr>
          <w:rFonts w:hint="cs"/>
          <w:rtl/>
        </w:rPr>
        <w:tab/>
        <w:t>(أ)</w:t>
      </w:r>
      <w:r>
        <w:rPr>
          <w:rFonts w:hint="cs"/>
          <w:rtl/>
        </w:rPr>
        <w:tab/>
        <w:t xml:space="preserve">البروتوكول </w:t>
      </w:r>
      <w:r>
        <w:rPr>
          <w:rFonts w:hint="cs"/>
          <w:rtl/>
          <w:lang/>
        </w:rPr>
        <w:t>الاختياري لاتفاقية حقوق الطفل المتعلق ببيع الأطفال واستغلالهم في البغاء وفي المواد الإباحية والبروتوكول الاختياري لاتفاقية حقوق الطفل المتعلق باشتراك الأطفال في النزاعات المسلحة، في 2 تموز/يوليه 2004 و28 تشرين الثاني/</w:t>
      </w:r>
      <w:r w:rsidR="0023124D">
        <w:rPr>
          <w:rFonts w:hint="cs"/>
          <w:rtl/>
          <w:lang/>
        </w:rPr>
        <w:t xml:space="preserve"> </w:t>
      </w:r>
      <w:r>
        <w:rPr>
          <w:rFonts w:hint="cs"/>
          <w:rtl/>
          <w:lang/>
        </w:rPr>
        <w:t>نوفمبر</w:t>
      </w:r>
      <w:r w:rsidR="0023124D">
        <w:rPr>
          <w:rFonts w:hint="eastAsia"/>
          <w:rtl/>
          <w:lang/>
        </w:rPr>
        <w:t> </w:t>
      </w:r>
      <w:r>
        <w:rPr>
          <w:rFonts w:hint="cs"/>
          <w:rtl/>
          <w:lang/>
        </w:rPr>
        <w:t>2005 على التوالي؛</w:t>
      </w:r>
    </w:p>
    <w:p w:rsidR="0069689D" w:rsidRDefault="0069689D" w:rsidP="002F0377">
      <w:pPr>
        <w:pStyle w:val="SingleTxtGA"/>
        <w:rPr>
          <w:rFonts w:hint="cs"/>
          <w:rtl/>
        </w:rPr>
      </w:pPr>
      <w:r>
        <w:rPr>
          <w:rFonts w:hint="cs"/>
          <w:rtl/>
        </w:rPr>
        <w:tab/>
        <w:t>(ب)</w:t>
      </w:r>
      <w:r>
        <w:rPr>
          <w:rFonts w:hint="cs"/>
          <w:rtl/>
        </w:rPr>
        <w:tab/>
      </w:r>
      <w:r>
        <w:rPr>
          <w:rFonts w:hint="cs"/>
          <w:rtl/>
          <w:lang/>
        </w:rPr>
        <w:t>البروتوكول الاختياري لاتفاقية مناهضة التعذيب وغيره من ضروب المعاملة والعقوبة القاسية أو اللاإنسانية أو المهينة في 20 تموز/يوليه 2010</w:t>
      </w:r>
      <w:r>
        <w:rPr>
          <w:rFonts w:hint="cs"/>
          <w:rtl/>
        </w:rPr>
        <w:t>؛</w:t>
      </w:r>
    </w:p>
    <w:p w:rsidR="0069689D" w:rsidRDefault="0069689D" w:rsidP="002F0377">
      <w:pPr>
        <w:pStyle w:val="SingleTxtGA"/>
        <w:rPr>
          <w:rFonts w:hint="cs"/>
          <w:rtl/>
        </w:rPr>
      </w:pPr>
      <w:r>
        <w:rPr>
          <w:rFonts w:hint="cs"/>
          <w:rtl/>
        </w:rPr>
        <w:tab/>
        <w:t>(ج)</w:t>
      </w:r>
      <w:r>
        <w:rPr>
          <w:rFonts w:hint="cs"/>
          <w:rtl/>
        </w:rPr>
        <w:tab/>
      </w:r>
      <w:r>
        <w:rPr>
          <w:rFonts w:hint="cs"/>
          <w:rtl/>
          <w:lang/>
        </w:rPr>
        <w:t>اتفاقية حقوق الأشخاص ذوي الإعاقة والبروتوكول الاختياري الملحق بها في 1 آذار/مارس 2011</w:t>
      </w:r>
      <w:r>
        <w:rPr>
          <w:rFonts w:hint="cs"/>
          <w:rtl/>
        </w:rPr>
        <w:t>.</w:t>
      </w:r>
    </w:p>
    <w:p w:rsidR="0069689D" w:rsidRDefault="0069689D" w:rsidP="002F0377">
      <w:pPr>
        <w:pStyle w:val="SingleTxtGA"/>
        <w:rPr>
          <w:rFonts w:hint="cs"/>
          <w:rtl/>
        </w:rPr>
      </w:pPr>
      <w:r>
        <w:rPr>
          <w:rFonts w:hint="cs"/>
          <w:rtl/>
        </w:rPr>
        <w:t>5-</w:t>
      </w:r>
      <w:r>
        <w:rPr>
          <w:rFonts w:hint="cs"/>
          <w:rtl/>
        </w:rPr>
        <w:tab/>
        <w:t xml:space="preserve">وتحيط اللجنة علماً باعتماد القوانين التي تعزز حماية </w:t>
      </w:r>
      <w:r>
        <w:rPr>
          <w:rFonts w:hint="cs"/>
          <w:rtl/>
          <w:lang/>
        </w:rPr>
        <w:t>الحقوق الاقتصادية والاجتماعية والثقافية، وخاصة القوانين التالية</w:t>
      </w:r>
      <w:r>
        <w:rPr>
          <w:rFonts w:hint="cs"/>
          <w:rtl/>
        </w:rPr>
        <w:t>:</w:t>
      </w:r>
    </w:p>
    <w:p w:rsidR="0069689D" w:rsidRDefault="0069689D" w:rsidP="002F0377">
      <w:pPr>
        <w:pStyle w:val="SingleTxtGA"/>
        <w:rPr>
          <w:rFonts w:hint="cs"/>
          <w:rtl/>
        </w:rPr>
      </w:pPr>
      <w:r>
        <w:rPr>
          <w:rFonts w:hint="cs"/>
          <w:rtl/>
        </w:rPr>
        <w:tab/>
        <w:t>(أ)</w:t>
      </w:r>
      <w:r>
        <w:rPr>
          <w:rFonts w:hint="cs"/>
          <w:rtl/>
        </w:rPr>
        <w:tab/>
        <w:t xml:space="preserve">القانون رقم </w:t>
      </w:r>
      <w:r w:rsidRPr="00542CC4">
        <w:rPr>
          <w:lang w:val="fr-FR"/>
        </w:rPr>
        <w:t>98-016</w:t>
      </w:r>
      <w:r>
        <w:rPr>
          <w:rFonts w:hint="cs"/>
          <w:rtl/>
          <w:lang w:val="fr-FR"/>
        </w:rPr>
        <w:t xml:space="preserve"> بشأن </w:t>
      </w:r>
      <w:r>
        <w:rPr>
          <w:rFonts w:hint="cs"/>
          <w:rtl/>
          <w:lang/>
        </w:rPr>
        <w:t>حظر تشويه الأعضاء التناسلية الأنثوية في توغو المؤرخ 17 تشرين الثاني/نوفمبر 1998؛</w:t>
      </w:r>
    </w:p>
    <w:p w:rsidR="0069689D" w:rsidRPr="00A85D11" w:rsidRDefault="0069689D" w:rsidP="002F0377">
      <w:pPr>
        <w:pStyle w:val="SingleTxtGA"/>
        <w:rPr>
          <w:rFonts w:hint="cs"/>
          <w:rtl/>
          <w:lang w:val="fr-FR"/>
        </w:rPr>
      </w:pPr>
      <w:r>
        <w:rPr>
          <w:rFonts w:hint="cs"/>
          <w:rtl/>
        </w:rPr>
        <w:tab/>
        <w:t>(ب)</w:t>
      </w:r>
      <w:r>
        <w:rPr>
          <w:rFonts w:hint="cs"/>
          <w:rtl/>
        </w:rPr>
        <w:tab/>
        <w:t>قانون العمل رقم</w:t>
      </w:r>
      <w:r>
        <w:rPr>
          <w:rFonts w:cs="Times New Roman" w:hint="cs"/>
          <w:szCs w:val="20"/>
          <w:rtl/>
          <w:lang w:val="fr-FR" w:eastAsia="fr-FR"/>
        </w:rPr>
        <w:t xml:space="preserve"> </w:t>
      </w:r>
      <w:r>
        <w:rPr>
          <w:lang w:val="fr-FR"/>
        </w:rPr>
        <w:t>2006-010</w:t>
      </w:r>
      <w:r>
        <w:rPr>
          <w:rFonts w:hint="cs"/>
          <w:rtl/>
          <w:lang w:val="fr-FR"/>
        </w:rPr>
        <w:t xml:space="preserve"> المؤرخ 13 كانون الأول/ديسمبر 2006؛</w:t>
      </w:r>
    </w:p>
    <w:p w:rsidR="0069689D" w:rsidRDefault="0069689D" w:rsidP="002F0377">
      <w:pPr>
        <w:pStyle w:val="SingleTxtGA"/>
        <w:rPr>
          <w:rFonts w:hint="cs"/>
          <w:rtl/>
        </w:rPr>
      </w:pPr>
      <w:r>
        <w:rPr>
          <w:rFonts w:hint="cs"/>
          <w:rtl/>
        </w:rPr>
        <w:tab/>
        <w:t>(ج)</w:t>
      </w:r>
      <w:r>
        <w:rPr>
          <w:rFonts w:hint="cs"/>
          <w:rtl/>
        </w:rPr>
        <w:tab/>
      </w:r>
      <w:r>
        <w:rPr>
          <w:rFonts w:hint="cs"/>
          <w:rtl/>
          <w:lang/>
        </w:rPr>
        <w:t xml:space="preserve">قانون الطفل رقم </w:t>
      </w:r>
      <w:r w:rsidRPr="00542CC4">
        <w:rPr>
          <w:lang w:val="fr-FR"/>
        </w:rPr>
        <w:t>2007-017</w:t>
      </w:r>
      <w:r>
        <w:rPr>
          <w:rFonts w:hint="cs"/>
          <w:rtl/>
          <w:lang w:val="fr-FR"/>
        </w:rPr>
        <w:t xml:space="preserve"> المؤرخ 6 تموز/يوليه 2007</w:t>
      </w:r>
      <w:r>
        <w:rPr>
          <w:rFonts w:hint="cs"/>
          <w:rtl/>
          <w:lang/>
        </w:rPr>
        <w:t>؛</w:t>
      </w:r>
    </w:p>
    <w:p w:rsidR="0069689D" w:rsidRDefault="0069689D" w:rsidP="002F0377">
      <w:pPr>
        <w:pStyle w:val="SingleTxtGA"/>
        <w:rPr>
          <w:rFonts w:hint="cs"/>
          <w:rtl/>
        </w:rPr>
      </w:pPr>
      <w:r>
        <w:rPr>
          <w:rFonts w:hint="cs"/>
          <w:rtl/>
        </w:rPr>
        <w:tab/>
        <w:t>(د)</w:t>
      </w:r>
      <w:r>
        <w:rPr>
          <w:rFonts w:hint="cs"/>
          <w:rtl/>
        </w:rPr>
        <w:tab/>
        <w:t xml:space="preserve">قانون المياه رقم </w:t>
      </w:r>
      <w:r w:rsidRPr="00542CC4">
        <w:rPr>
          <w:lang w:val="fr-FR"/>
        </w:rPr>
        <w:t>2010-004</w:t>
      </w:r>
      <w:r>
        <w:rPr>
          <w:rFonts w:hint="cs"/>
          <w:rtl/>
        </w:rPr>
        <w:t xml:space="preserve"> المؤرخ في 14 </w:t>
      </w:r>
      <w:r>
        <w:rPr>
          <w:rFonts w:hint="cs"/>
          <w:rtl/>
          <w:lang w:val="fr-FR"/>
        </w:rPr>
        <w:t>حزيران/يونيه 2010</w:t>
      </w:r>
      <w:r>
        <w:rPr>
          <w:rFonts w:hint="cs"/>
          <w:rtl/>
          <w:lang/>
        </w:rPr>
        <w:t>؛</w:t>
      </w:r>
    </w:p>
    <w:p w:rsidR="0069689D" w:rsidRDefault="0069689D" w:rsidP="002F0377">
      <w:pPr>
        <w:pStyle w:val="SingleTxtGA"/>
        <w:rPr>
          <w:rFonts w:hint="cs"/>
          <w:rtl/>
        </w:rPr>
      </w:pPr>
      <w:r>
        <w:rPr>
          <w:rFonts w:hint="cs"/>
          <w:rtl/>
        </w:rPr>
        <w:tab/>
        <w:t>(</w:t>
      </w:r>
      <w:r w:rsidRPr="0013373A">
        <w:rPr>
          <w:rFonts w:ascii="Traditional Arabic" w:hAnsi="Traditional Arabic"/>
          <w:sz w:val="30"/>
          <w:rtl/>
        </w:rPr>
        <w:t>ﻫ</w:t>
      </w:r>
      <w:r>
        <w:rPr>
          <w:rFonts w:hint="cs"/>
          <w:rtl/>
        </w:rPr>
        <w:t>)</w:t>
      </w:r>
      <w:r>
        <w:rPr>
          <w:rFonts w:hint="cs"/>
          <w:rtl/>
        </w:rPr>
        <w:tab/>
        <w:t xml:space="preserve">اعتماد القانون رقم </w:t>
      </w:r>
      <w:r w:rsidRPr="00542CC4">
        <w:rPr>
          <w:lang w:val="fr-FR"/>
        </w:rPr>
        <w:t>2010-018</w:t>
      </w:r>
      <w:r>
        <w:rPr>
          <w:rFonts w:hint="cs"/>
          <w:rtl/>
          <w:lang w:val="fr-FR"/>
        </w:rPr>
        <w:t xml:space="preserve">، المؤرخ 31 كانون الأول/ديسمبر 2010، الذي يقضي بتعديل القانون رقم </w:t>
      </w:r>
      <w:r w:rsidRPr="00542CC4">
        <w:rPr>
          <w:lang w:val="fr-FR"/>
        </w:rPr>
        <w:t>2005-012</w:t>
      </w:r>
      <w:r>
        <w:rPr>
          <w:rFonts w:hint="cs"/>
          <w:rtl/>
          <w:lang w:val="fr-FR"/>
        </w:rPr>
        <w:t xml:space="preserve">، المؤرخ 14 كانون الأول/ديسمبر 2005، </w:t>
      </w:r>
      <w:r>
        <w:rPr>
          <w:rFonts w:hint="cs"/>
          <w:rtl/>
          <w:lang/>
        </w:rPr>
        <w:t>المتعلق بحماية الأفراد فيما يتصل بالإيدز والعدوى بفيروسه؛</w:t>
      </w:r>
    </w:p>
    <w:p w:rsidR="0069689D" w:rsidRDefault="0069689D" w:rsidP="002F0377">
      <w:pPr>
        <w:pStyle w:val="SingleTxtGA"/>
        <w:rPr>
          <w:rFonts w:hint="cs"/>
          <w:rtl/>
        </w:rPr>
      </w:pPr>
      <w:r>
        <w:rPr>
          <w:rFonts w:hint="cs"/>
          <w:rtl/>
        </w:rPr>
        <w:tab/>
        <w:t>(و)</w:t>
      </w:r>
      <w:r>
        <w:rPr>
          <w:rFonts w:hint="cs"/>
          <w:rtl/>
        </w:rPr>
        <w:tab/>
        <w:t>ال</w:t>
      </w:r>
      <w:r>
        <w:rPr>
          <w:rFonts w:hint="cs"/>
          <w:rtl/>
          <w:lang/>
        </w:rPr>
        <w:t xml:space="preserve">قانون رقم </w:t>
      </w:r>
      <w:r w:rsidRPr="00542CC4">
        <w:rPr>
          <w:bCs/>
          <w:lang w:val="fr-FR"/>
        </w:rPr>
        <w:t>2011-003</w:t>
      </w:r>
      <w:r>
        <w:rPr>
          <w:rFonts w:hint="cs"/>
          <w:bCs/>
          <w:rtl/>
          <w:lang w:val="fr-FR"/>
        </w:rPr>
        <w:t xml:space="preserve"> </w:t>
      </w:r>
      <w:r w:rsidRPr="00FD40C2">
        <w:rPr>
          <w:rFonts w:hint="cs"/>
          <w:b/>
          <w:rtl/>
          <w:lang w:val="fr-FR"/>
        </w:rPr>
        <w:t xml:space="preserve">المؤرخ </w:t>
      </w:r>
      <w:r>
        <w:rPr>
          <w:rFonts w:hint="cs"/>
          <w:rtl/>
          <w:lang/>
        </w:rPr>
        <w:t>18 شباط/فبراير 2011 الذي يقضي بإلزامية التأمين الصحي للموظفين العموميين وغيرهم من الفئات المشابهة؛</w:t>
      </w:r>
    </w:p>
    <w:p w:rsidR="0069689D" w:rsidRDefault="0069689D" w:rsidP="0023124D">
      <w:pPr>
        <w:pStyle w:val="SingleTxtGA"/>
        <w:rPr>
          <w:rFonts w:hint="cs"/>
          <w:rtl/>
        </w:rPr>
      </w:pPr>
      <w:r>
        <w:rPr>
          <w:rFonts w:hint="cs"/>
          <w:rtl/>
        </w:rPr>
        <w:tab/>
        <w:t>(ز)</w:t>
      </w:r>
      <w:r>
        <w:rPr>
          <w:rFonts w:hint="cs"/>
          <w:rtl/>
        </w:rPr>
        <w:tab/>
        <w:t xml:space="preserve">قانون توغو للضمان الاجتماعي رقم </w:t>
      </w:r>
      <w:r w:rsidRPr="00542CC4">
        <w:rPr>
          <w:bCs/>
          <w:lang w:val="fr-FR"/>
        </w:rPr>
        <w:t>2011-006</w:t>
      </w:r>
      <w:r>
        <w:rPr>
          <w:rFonts w:hint="cs"/>
          <w:rtl/>
        </w:rPr>
        <w:t xml:space="preserve"> المؤرخ 21 شباط/</w:t>
      </w:r>
      <w:r w:rsidR="0023124D">
        <w:rPr>
          <w:rFonts w:hint="cs"/>
          <w:rtl/>
        </w:rPr>
        <w:t xml:space="preserve"> </w:t>
      </w:r>
      <w:r>
        <w:rPr>
          <w:rFonts w:hint="cs"/>
          <w:rtl/>
        </w:rPr>
        <w:t>فبراير</w:t>
      </w:r>
      <w:r w:rsidR="0023124D">
        <w:rPr>
          <w:rFonts w:hint="eastAsia"/>
          <w:rtl/>
        </w:rPr>
        <w:t> </w:t>
      </w:r>
      <w:r>
        <w:rPr>
          <w:rFonts w:hint="cs"/>
          <w:rtl/>
        </w:rPr>
        <w:t>2011</w:t>
      </w:r>
      <w:r>
        <w:rPr>
          <w:rFonts w:hint="cs"/>
          <w:rtl/>
          <w:lang/>
        </w:rPr>
        <w:t>؛</w:t>
      </w:r>
    </w:p>
    <w:p w:rsidR="0069689D" w:rsidRDefault="0069689D" w:rsidP="002F0377">
      <w:pPr>
        <w:pStyle w:val="SingleTxtGA"/>
        <w:rPr>
          <w:rFonts w:hint="cs"/>
          <w:rtl/>
        </w:rPr>
      </w:pPr>
      <w:r>
        <w:rPr>
          <w:rFonts w:hint="cs"/>
          <w:rtl/>
        </w:rPr>
        <w:tab/>
        <w:t>(ح)</w:t>
      </w:r>
      <w:r>
        <w:rPr>
          <w:rFonts w:hint="cs"/>
          <w:rtl/>
        </w:rPr>
        <w:tab/>
        <w:t xml:space="preserve">القانون رقم </w:t>
      </w:r>
      <w:r w:rsidRPr="00251CA3">
        <w:t>20</w:t>
      </w:r>
      <w:r w:rsidRPr="00251CA3">
        <w:rPr>
          <w:lang w:val="fr-FR"/>
        </w:rPr>
        <w:t>1</w:t>
      </w:r>
      <w:r w:rsidRPr="00251CA3">
        <w:t>1-018</w:t>
      </w:r>
      <w:r>
        <w:rPr>
          <w:rFonts w:hint="cs"/>
          <w:rtl/>
        </w:rPr>
        <w:t xml:space="preserve"> المؤرخ 24 حزيران/يونيه 2011 المتعلق بإرساء النظام الداخلي لل</w:t>
      </w:r>
      <w:r>
        <w:rPr>
          <w:rFonts w:hint="cs"/>
          <w:rtl/>
          <w:lang/>
        </w:rPr>
        <w:t>منطقة الصناعية الحرة؛</w:t>
      </w:r>
    </w:p>
    <w:p w:rsidR="0069689D" w:rsidRDefault="0069689D" w:rsidP="002F0377">
      <w:pPr>
        <w:pStyle w:val="SingleTxtGA"/>
        <w:rPr>
          <w:rFonts w:hint="cs"/>
          <w:rtl/>
        </w:rPr>
      </w:pPr>
      <w:r>
        <w:rPr>
          <w:rFonts w:hint="cs"/>
          <w:rtl/>
        </w:rPr>
        <w:tab/>
        <w:t>(ط)</w:t>
      </w:r>
      <w:r>
        <w:rPr>
          <w:rFonts w:hint="cs"/>
          <w:rtl/>
        </w:rPr>
        <w:tab/>
        <w:t xml:space="preserve">القانون رقم </w:t>
      </w:r>
      <w:r w:rsidRPr="004766CF">
        <w:rPr>
          <w:bCs/>
        </w:rPr>
        <w:t>2011-</w:t>
      </w:r>
      <w:r w:rsidRPr="004766CF">
        <w:rPr>
          <w:bCs/>
          <w:lang w:val="fr-FR"/>
        </w:rPr>
        <w:t>014</w:t>
      </w:r>
      <w:r w:rsidRPr="00A70FD8">
        <w:rPr>
          <w:rFonts w:hint="cs"/>
          <w:b/>
          <w:rtl/>
          <w:lang w:val="fr-FR"/>
        </w:rPr>
        <w:t xml:space="preserve"> المؤرخ </w:t>
      </w:r>
      <w:r>
        <w:rPr>
          <w:rFonts w:hint="cs"/>
          <w:b/>
          <w:rtl/>
          <w:lang w:val="fr-FR"/>
        </w:rPr>
        <w:t xml:space="preserve">في 3 حزيران/يونيه 2011 المتعلق بتنظيم </w:t>
      </w:r>
      <w:r>
        <w:rPr>
          <w:rFonts w:hint="cs"/>
          <w:rtl/>
          <w:lang/>
        </w:rPr>
        <w:t>الأنشطة الإحصائية في توغو.</w:t>
      </w:r>
    </w:p>
    <w:p w:rsidR="0069689D" w:rsidRDefault="0069689D" w:rsidP="002F0377">
      <w:pPr>
        <w:pStyle w:val="SingleTxtGA"/>
        <w:rPr>
          <w:rFonts w:hint="cs"/>
          <w:rtl/>
        </w:rPr>
      </w:pPr>
      <w:r>
        <w:rPr>
          <w:rFonts w:hint="cs"/>
          <w:rtl/>
        </w:rPr>
        <w:t>6-</w:t>
      </w:r>
      <w:r>
        <w:rPr>
          <w:rFonts w:hint="cs"/>
          <w:rtl/>
        </w:rPr>
        <w:tab/>
        <w:t>وتحيط اللجنة علماً بالتدابير التي اتخذتها الدولة الطرف من أجل دعم إعمال الحقوق الاقتصادية والاجتماعية والثقافية، لاسيما التدابير التالية:</w:t>
      </w:r>
    </w:p>
    <w:p w:rsidR="0069689D" w:rsidRDefault="0069689D" w:rsidP="0023124D">
      <w:pPr>
        <w:pStyle w:val="SingleTxtGA"/>
        <w:rPr>
          <w:rFonts w:hint="cs"/>
          <w:rtl/>
          <w:lang/>
        </w:rPr>
      </w:pPr>
      <w:r>
        <w:rPr>
          <w:rFonts w:hint="cs"/>
          <w:rtl/>
        </w:rPr>
        <w:tab/>
        <w:t>(أ)</w:t>
      </w:r>
      <w:r>
        <w:rPr>
          <w:rFonts w:hint="cs"/>
          <w:rtl/>
        </w:rPr>
        <w:tab/>
      </w:r>
      <w:r>
        <w:rPr>
          <w:rFonts w:hint="cs"/>
          <w:rtl/>
          <w:lang/>
        </w:rPr>
        <w:t xml:space="preserve">اعتماد السياسة الوطنية لتحقيق العدالة والمساواة بين الجنسين في </w:t>
      </w:r>
      <w:r w:rsidR="009A4BF7">
        <w:rPr>
          <w:rFonts w:hint="cs"/>
          <w:rtl/>
          <w:lang/>
        </w:rPr>
        <w:t>عام</w:t>
      </w:r>
      <w:r w:rsidR="0023124D">
        <w:rPr>
          <w:rFonts w:hint="eastAsia"/>
          <w:rtl/>
          <w:lang/>
        </w:rPr>
        <w:t> </w:t>
      </w:r>
      <w:r>
        <w:rPr>
          <w:rFonts w:hint="cs"/>
          <w:rtl/>
          <w:lang/>
        </w:rPr>
        <w:t>2011؛</w:t>
      </w:r>
    </w:p>
    <w:p w:rsidR="0069689D" w:rsidRDefault="0069689D" w:rsidP="002F0377">
      <w:pPr>
        <w:pStyle w:val="SingleTxtGA"/>
        <w:rPr>
          <w:rFonts w:hint="cs"/>
          <w:rtl/>
          <w:lang w:val="fr-FR"/>
        </w:rPr>
      </w:pPr>
      <w:r>
        <w:rPr>
          <w:rFonts w:hint="cs"/>
          <w:rtl/>
        </w:rPr>
        <w:tab/>
        <w:t>(ب)</w:t>
      </w:r>
      <w:r>
        <w:rPr>
          <w:rFonts w:hint="cs"/>
          <w:rtl/>
        </w:rPr>
        <w:tab/>
      </w:r>
      <w:r>
        <w:rPr>
          <w:rFonts w:hint="cs"/>
          <w:rtl/>
          <w:lang/>
        </w:rPr>
        <w:t>إنشاء جهات تنسيق تُعنى بحقوق الإنسان في كل وزارة</w:t>
      </w:r>
      <w:r>
        <w:rPr>
          <w:rFonts w:hint="cs"/>
          <w:rtl/>
          <w:lang w:val="fr-FR"/>
        </w:rPr>
        <w:t>؛</w:t>
      </w:r>
    </w:p>
    <w:p w:rsidR="0069689D" w:rsidRDefault="0069689D" w:rsidP="002F0377">
      <w:pPr>
        <w:pStyle w:val="SingleTxtGA"/>
        <w:rPr>
          <w:rFonts w:hint="cs"/>
          <w:rtl/>
        </w:rPr>
      </w:pPr>
      <w:r>
        <w:rPr>
          <w:rFonts w:hint="cs"/>
          <w:rtl/>
        </w:rPr>
        <w:tab/>
        <w:t>(ج)</w:t>
      </w:r>
      <w:r>
        <w:rPr>
          <w:rFonts w:hint="cs"/>
          <w:rtl/>
        </w:rPr>
        <w:tab/>
        <w:t>تحمل التكاليف المتعلقة ب</w:t>
      </w:r>
      <w:r>
        <w:rPr>
          <w:rFonts w:hint="cs"/>
          <w:rtl/>
          <w:lang/>
        </w:rPr>
        <w:t xml:space="preserve">تشخيص مرض </w:t>
      </w:r>
      <w:proofErr w:type="spellStart"/>
      <w:r>
        <w:rPr>
          <w:rFonts w:hint="cs"/>
          <w:rtl/>
          <w:lang/>
        </w:rPr>
        <w:t>الملاريا</w:t>
      </w:r>
      <w:proofErr w:type="spellEnd"/>
      <w:r>
        <w:rPr>
          <w:rFonts w:hint="cs"/>
          <w:rtl/>
          <w:lang/>
        </w:rPr>
        <w:t xml:space="preserve"> البسيطة وعلاجه عند </w:t>
      </w:r>
      <w:r>
        <w:rPr>
          <w:rFonts w:hint="cs"/>
          <w:rtl/>
        </w:rPr>
        <w:t xml:space="preserve">الأطفال دون سن العاشرة وتكاليف </w:t>
      </w:r>
      <w:r>
        <w:rPr>
          <w:rFonts w:hint="cs"/>
          <w:rtl/>
          <w:lang/>
        </w:rPr>
        <w:t xml:space="preserve">العلاج </w:t>
      </w:r>
      <w:r w:rsidR="009A4BF7">
        <w:rPr>
          <w:rFonts w:hint="cs"/>
          <w:rtl/>
          <w:lang/>
        </w:rPr>
        <w:t xml:space="preserve">بالأدوية المضادة للفيروسات </w:t>
      </w:r>
      <w:proofErr w:type="spellStart"/>
      <w:r w:rsidR="009A4BF7">
        <w:rPr>
          <w:rFonts w:hint="cs"/>
          <w:rtl/>
          <w:lang/>
        </w:rPr>
        <w:t>القهقرية</w:t>
      </w:r>
      <w:proofErr w:type="spellEnd"/>
      <w:r w:rsidR="009A4BF7">
        <w:rPr>
          <w:rFonts w:hint="cs"/>
          <w:rtl/>
          <w:lang/>
        </w:rPr>
        <w:t xml:space="preserve"> </w:t>
      </w:r>
      <w:r>
        <w:rPr>
          <w:rFonts w:hint="cs"/>
          <w:rtl/>
          <w:lang/>
        </w:rPr>
        <w:t xml:space="preserve">المقدم </w:t>
      </w:r>
      <w:r w:rsidR="00E729A9">
        <w:rPr>
          <w:rFonts w:hint="cs"/>
          <w:rtl/>
          <w:lang/>
        </w:rPr>
        <w:t>ل</w:t>
      </w:r>
      <w:r>
        <w:rPr>
          <w:rFonts w:hint="cs"/>
          <w:rtl/>
          <w:lang/>
        </w:rPr>
        <w:t>لم</w:t>
      </w:r>
      <w:r w:rsidR="00E729A9">
        <w:rPr>
          <w:rFonts w:hint="cs"/>
          <w:rtl/>
          <w:lang/>
        </w:rPr>
        <w:t>صابين بفيروس نقص المناعة البشري</w:t>
      </w:r>
      <w:r w:rsidR="0057775E">
        <w:rPr>
          <w:rFonts w:hint="cs"/>
          <w:rtl/>
          <w:lang/>
        </w:rPr>
        <w:t>ة</w:t>
      </w:r>
      <w:r>
        <w:rPr>
          <w:rFonts w:hint="cs"/>
          <w:rtl/>
          <w:lang/>
        </w:rPr>
        <w:t>؛</w:t>
      </w:r>
    </w:p>
    <w:p w:rsidR="0069689D" w:rsidRDefault="0069689D" w:rsidP="002F0377">
      <w:pPr>
        <w:pStyle w:val="SingleTxtGA"/>
        <w:rPr>
          <w:rFonts w:hint="cs"/>
          <w:rtl/>
        </w:rPr>
      </w:pPr>
      <w:r>
        <w:rPr>
          <w:rFonts w:hint="cs"/>
          <w:rtl/>
        </w:rPr>
        <w:tab/>
        <w:t>(د)</w:t>
      </w:r>
      <w:r>
        <w:rPr>
          <w:rFonts w:hint="cs"/>
          <w:rtl/>
        </w:rPr>
        <w:tab/>
        <w:t xml:space="preserve">تسديد </w:t>
      </w:r>
      <w:r>
        <w:rPr>
          <w:rFonts w:hint="cs"/>
          <w:rtl/>
          <w:lang/>
        </w:rPr>
        <w:t>جزء من التكاليف المتعلقة بالولادات القيصرية؛</w:t>
      </w:r>
    </w:p>
    <w:p w:rsidR="0069689D" w:rsidRDefault="0069689D" w:rsidP="002F0377">
      <w:pPr>
        <w:pStyle w:val="SingleTxtGA"/>
        <w:rPr>
          <w:rFonts w:hint="cs"/>
          <w:rtl/>
          <w:lang/>
        </w:rPr>
      </w:pPr>
      <w:r>
        <w:rPr>
          <w:rFonts w:hint="cs"/>
          <w:rtl/>
        </w:rPr>
        <w:tab/>
        <w:t>(</w:t>
      </w:r>
      <w:r w:rsidRPr="0013373A">
        <w:rPr>
          <w:rFonts w:ascii="Traditional Arabic" w:hAnsi="Traditional Arabic"/>
          <w:sz w:val="30"/>
          <w:rtl/>
        </w:rPr>
        <w:t>ﻫ</w:t>
      </w:r>
      <w:r>
        <w:rPr>
          <w:rFonts w:hint="cs"/>
          <w:rtl/>
        </w:rPr>
        <w:t>)</w:t>
      </w:r>
      <w:r>
        <w:rPr>
          <w:rFonts w:hint="cs"/>
          <w:rtl/>
        </w:rPr>
        <w:tab/>
        <w:t xml:space="preserve">اتخاذ التدابير اللازمة </w:t>
      </w:r>
      <w:r w:rsidR="00E729A9">
        <w:rPr>
          <w:rFonts w:hint="cs"/>
          <w:rtl/>
          <w:lang/>
        </w:rPr>
        <w:t xml:space="preserve">لاستئصال </w:t>
      </w:r>
      <w:r>
        <w:rPr>
          <w:rFonts w:hint="cs"/>
          <w:rtl/>
          <w:lang/>
        </w:rPr>
        <w:t>داء دودة غينيا؛</w:t>
      </w:r>
    </w:p>
    <w:p w:rsidR="0069689D" w:rsidRDefault="0069689D" w:rsidP="002F0377">
      <w:pPr>
        <w:pStyle w:val="SingleTxtGA"/>
        <w:rPr>
          <w:rFonts w:hint="cs"/>
          <w:rtl/>
        </w:rPr>
      </w:pPr>
      <w:r>
        <w:rPr>
          <w:rFonts w:hint="cs"/>
          <w:rtl/>
        </w:rPr>
        <w:tab/>
        <w:t>(و)</w:t>
      </w:r>
      <w:r>
        <w:rPr>
          <w:rFonts w:hint="cs"/>
          <w:rtl/>
        </w:rPr>
        <w:tab/>
        <w:t>اتخاذ التدابير الكفيلة بالحد من شيوع</w:t>
      </w:r>
      <w:r w:rsidRPr="00061989">
        <w:rPr>
          <w:rFonts w:hint="cs"/>
          <w:rtl/>
          <w:lang/>
        </w:rPr>
        <w:t xml:space="preserve"> </w:t>
      </w:r>
      <w:r>
        <w:rPr>
          <w:rFonts w:hint="cs"/>
          <w:rtl/>
          <w:lang/>
        </w:rPr>
        <w:t xml:space="preserve">عادة تشويه الأعضاء التناسلية </w:t>
      </w:r>
      <w:r w:rsidR="00E729A9">
        <w:rPr>
          <w:rFonts w:hint="cs"/>
          <w:rtl/>
          <w:lang/>
        </w:rPr>
        <w:t>الأنثوية</w:t>
      </w:r>
      <w:r>
        <w:rPr>
          <w:rFonts w:hint="cs"/>
          <w:rtl/>
          <w:lang/>
        </w:rPr>
        <w:t>.</w:t>
      </w:r>
    </w:p>
    <w:p w:rsidR="0069689D" w:rsidRDefault="002F0377" w:rsidP="002F0377">
      <w:pPr>
        <w:pStyle w:val="H1GA"/>
        <w:rPr>
          <w:rFonts w:hint="cs"/>
          <w:rtl/>
        </w:rPr>
      </w:pPr>
      <w:r>
        <w:rPr>
          <w:rFonts w:hint="cs"/>
          <w:rtl/>
        </w:rPr>
        <w:tab/>
        <w:t>جيم-</w:t>
      </w:r>
      <w:r>
        <w:rPr>
          <w:rFonts w:hint="cs"/>
          <w:rtl/>
        </w:rPr>
        <w:tab/>
      </w:r>
      <w:r w:rsidR="0069689D" w:rsidRPr="00AC7BD1">
        <w:rPr>
          <w:rFonts w:hint="cs"/>
          <w:rtl/>
          <w:lang/>
        </w:rPr>
        <w:t>دواعي القلق الرئيسية والتوصيات</w:t>
      </w:r>
    </w:p>
    <w:p w:rsidR="0069689D" w:rsidRDefault="0069689D" w:rsidP="002F0377">
      <w:pPr>
        <w:pStyle w:val="SingleTxtGA"/>
        <w:rPr>
          <w:rFonts w:hint="cs"/>
          <w:rtl/>
          <w:lang/>
        </w:rPr>
      </w:pPr>
      <w:r>
        <w:rPr>
          <w:rFonts w:hint="cs"/>
          <w:rtl/>
        </w:rPr>
        <w:t>7-</w:t>
      </w:r>
      <w:r>
        <w:rPr>
          <w:rtl/>
        </w:rPr>
        <w:tab/>
      </w:r>
      <w:r>
        <w:rPr>
          <w:rFonts w:hint="cs"/>
          <w:rtl/>
        </w:rPr>
        <w:t xml:space="preserve">تأسف اللجنة لأنه </w:t>
      </w:r>
      <w:r>
        <w:rPr>
          <w:rFonts w:hint="cs"/>
          <w:rtl/>
          <w:lang/>
        </w:rPr>
        <w:t xml:space="preserve">لم يسبق لمحاكم الدولة الطرف أن احتجت بالعهد أو بأحكامه، </w:t>
      </w:r>
      <w:r>
        <w:rPr>
          <w:rFonts w:hint="cs"/>
          <w:rtl/>
        </w:rPr>
        <w:t xml:space="preserve">رغم </w:t>
      </w:r>
      <w:r w:rsidR="00E729A9">
        <w:rPr>
          <w:rFonts w:hint="cs"/>
          <w:rtl/>
        </w:rPr>
        <w:t>أنها ذات منزلة دستورية</w:t>
      </w:r>
      <w:r>
        <w:rPr>
          <w:rFonts w:hint="cs"/>
          <w:rtl/>
        </w:rPr>
        <w:t xml:space="preserve">. كما تلاحظ اللجنة بأسف أن القوانين الوطنية لا تضع الحقوق </w:t>
      </w:r>
      <w:r>
        <w:rPr>
          <w:rFonts w:hint="cs"/>
          <w:rtl/>
          <w:lang/>
        </w:rPr>
        <w:t xml:space="preserve">الاقتصادية والاجتماعية والثقافية موضع التنفيذ. </w:t>
      </w:r>
      <w:r>
        <w:rPr>
          <w:rFonts w:hint="cs"/>
          <w:lang/>
        </w:rPr>
        <w:sym w:font="Symbol" w:char="F029"/>
      </w:r>
      <w:r>
        <w:rPr>
          <w:rFonts w:hint="cs"/>
          <w:rtl/>
          <w:lang/>
        </w:rPr>
        <w:t>الفقرة 1 من المادة 2</w:t>
      </w:r>
      <w:r>
        <w:rPr>
          <w:rFonts w:hint="cs"/>
          <w:lang/>
        </w:rPr>
        <w:sym w:font="Symbol" w:char="F028"/>
      </w:r>
      <w:r>
        <w:rPr>
          <w:rFonts w:hint="cs"/>
          <w:rtl/>
          <w:lang/>
        </w:rPr>
        <w:t>.</w:t>
      </w:r>
    </w:p>
    <w:p w:rsidR="0069689D" w:rsidRPr="002F0377" w:rsidRDefault="00E729A9" w:rsidP="002F0377">
      <w:pPr>
        <w:pStyle w:val="SingleTxtGA"/>
        <w:rPr>
          <w:rFonts w:hint="cs"/>
          <w:b/>
          <w:bCs/>
          <w:rtl/>
          <w:lang/>
        </w:rPr>
      </w:pPr>
      <w:r w:rsidRPr="002F0377">
        <w:rPr>
          <w:rFonts w:hint="cs"/>
          <w:b/>
          <w:bCs/>
          <w:rtl/>
          <w:lang/>
        </w:rPr>
        <w:tab/>
      </w:r>
      <w:r w:rsidR="0069689D" w:rsidRPr="002F0377">
        <w:rPr>
          <w:rFonts w:hint="cs"/>
          <w:b/>
          <w:bCs/>
          <w:rtl/>
          <w:lang/>
        </w:rPr>
        <w:t>توصي اللجنة بأن تتخذ الدولة الطرف التدابير المناسبة لتنفيذ العهد في النظام القانوني الوطني وأن تجعل قانونها الوطني متوافقاً توافقاً تاماً مع العهد عند الاقتضاء. وتطلب اللجنة أن تُضمن الدولة الطرف تقريرها الدوري القادم معلومات عن قرارات المحاكم والمحاكم المحلية وكذلك السلطات الإدارية التي تقضي بإعمال الحقوق المنصوص عليها في العهد. وتلفت اللجنة انتباه الدولة الطرف إلى تعليقها العام رقم 9(1998) بشأن تطبيق العهد على المستوى المحلي.</w:t>
      </w:r>
    </w:p>
    <w:p w:rsidR="0069689D" w:rsidRDefault="0069689D" w:rsidP="002F0377">
      <w:pPr>
        <w:pStyle w:val="SingleTxtGA"/>
        <w:rPr>
          <w:rFonts w:hint="cs"/>
          <w:rtl/>
          <w:lang/>
        </w:rPr>
      </w:pPr>
      <w:r>
        <w:rPr>
          <w:rFonts w:hint="cs"/>
          <w:rtl/>
          <w:lang/>
        </w:rPr>
        <w:t>8-</w:t>
      </w:r>
      <w:r>
        <w:rPr>
          <w:rFonts w:hint="cs"/>
          <w:rtl/>
          <w:lang/>
        </w:rPr>
        <w:tab/>
        <w:t>وتلاحظ اللجنة مع القلق أن</w:t>
      </w:r>
      <w:r w:rsidRPr="00750B24">
        <w:rPr>
          <w:rFonts w:hint="cs"/>
          <w:rtl/>
          <w:lang/>
        </w:rPr>
        <w:t xml:space="preserve"> </w:t>
      </w:r>
      <w:r>
        <w:rPr>
          <w:rFonts w:hint="cs"/>
          <w:rtl/>
          <w:lang/>
        </w:rPr>
        <w:t>إمكانيات ضمان</w:t>
      </w:r>
      <w:r w:rsidRPr="00F0255C">
        <w:rPr>
          <w:rFonts w:hint="cs"/>
          <w:rtl/>
          <w:lang/>
        </w:rPr>
        <w:t xml:space="preserve"> </w:t>
      </w:r>
      <w:r>
        <w:rPr>
          <w:rFonts w:hint="cs"/>
          <w:rtl/>
          <w:lang/>
        </w:rPr>
        <w:t xml:space="preserve">سبل انتصاف فعالة في حالة انتهاك </w:t>
      </w:r>
      <w:r>
        <w:rPr>
          <w:rFonts w:hint="cs"/>
          <w:rtl/>
        </w:rPr>
        <w:t xml:space="preserve">الحقوق </w:t>
      </w:r>
      <w:r>
        <w:rPr>
          <w:rFonts w:hint="cs"/>
          <w:rtl/>
          <w:lang/>
        </w:rPr>
        <w:t xml:space="preserve">الاقتصادية والاجتماعية والثقافية محدودة في الدولة الطرف بسبب التكاليف الباهظة للإجراءات القضائية، </w:t>
      </w:r>
      <w:r w:rsidR="00E729A9">
        <w:rPr>
          <w:rFonts w:hint="cs"/>
          <w:rtl/>
          <w:lang/>
        </w:rPr>
        <w:t xml:space="preserve">وعدم توافر </w:t>
      </w:r>
      <w:r>
        <w:rPr>
          <w:rFonts w:hint="cs"/>
          <w:rtl/>
          <w:lang/>
        </w:rPr>
        <w:t xml:space="preserve">المساعدة القانونية </w:t>
      </w:r>
      <w:r w:rsidR="00E729A9">
        <w:rPr>
          <w:rFonts w:hint="cs"/>
          <w:rtl/>
          <w:lang/>
        </w:rPr>
        <w:t xml:space="preserve">وقلة المعرفة </w:t>
      </w:r>
      <w:r>
        <w:rPr>
          <w:rFonts w:hint="cs"/>
          <w:rtl/>
          <w:lang/>
        </w:rPr>
        <w:t>بالعهد وبسبل الانتصاف المتاحة.</w:t>
      </w:r>
    </w:p>
    <w:p w:rsidR="0069689D" w:rsidRPr="002F0377" w:rsidRDefault="00E729A9" w:rsidP="002F0377">
      <w:pPr>
        <w:pStyle w:val="SingleTxtGA"/>
        <w:rPr>
          <w:rFonts w:hint="cs"/>
          <w:b/>
          <w:bCs/>
          <w:rtl/>
          <w:lang/>
        </w:rPr>
      </w:pPr>
      <w:r w:rsidRPr="002F0377">
        <w:rPr>
          <w:rFonts w:hint="cs"/>
          <w:b/>
          <w:bCs/>
          <w:rtl/>
          <w:lang/>
        </w:rPr>
        <w:tab/>
      </w:r>
      <w:r w:rsidR="0069689D" w:rsidRPr="002F0377">
        <w:rPr>
          <w:rFonts w:hint="cs"/>
          <w:b/>
          <w:bCs/>
          <w:rtl/>
          <w:lang/>
        </w:rPr>
        <w:t xml:space="preserve">توصي اللجنة بأن تتخذ الدولة الطرف التدابير اللازمة لضمان الحق في اللجوء إلى سبل الانتصاف الفعالة في حالة انتهاك </w:t>
      </w:r>
      <w:r w:rsidRPr="002F0377">
        <w:rPr>
          <w:rFonts w:hint="cs"/>
          <w:b/>
          <w:bCs/>
          <w:rtl/>
          <w:lang/>
        </w:rPr>
        <w:t xml:space="preserve">أحد </w:t>
      </w:r>
      <w:r w:rsidR="0069689D" w:rsidRPr="002F0377">
        <w:rPr>
          <w:rFonts w:hint="cs"/>
          <w:b/>
          <w:bCs/>
          <w:rtl/>
          <w:lang/>
        </w:rPr>
        <w:t>الحقوق المكرسة في العهد. وللقيام بذلك، تحث اللجنة الدولة الطرف بشدة على إرساء نظام لتقديم المساعدة القانونية. كما توصي</w:t>
      </w:r>
      <w:r w:rsidR="0057775E">
        <w:rPr>
          <w:rFonts w:hint="cs"/>
          <w:b/>
          <w:bCs/>
          <w:rtl/>
          <w:lang/>
        </w:rPr>
        <w:t>ها</w:t>
      </w:r>
      <w:r w:rsidR="0069689D" w:rsidRPr="002F0377">
        <w:rPr>
          <w:rFonts w:hint="cs"/>
          <w:b/>
          <w:bCs/>
          <w:rtl/>
          <w:lang/>
        </w:rPr>
        <w:t xml:space="preserve"> </w:t>
      </w:r>
      <w:r w:rsidRPr="002F0377">
        <w:rPr>
          <w:rFonts w:hint="cs"/>
          <w:b/>
          <w:bCs/>
          <w:rtl/>
          <w:lang/>
        </w:rPr>
        <w:t xml:space="preserve">بتزويد </w:t>
      </w:r>
      <w:r w:rsidR="0069689D" w:rsidRPr="002F0377">
        <w:rPr>
          <w:rFonts w:hint="cs"/>
          <w:b/>
          <w:bCs/>
          <w:rtl/>
          <w:lang/>
        </w:rPr>
        <w:t xml:space="preserve">السكان </w:t>
      </w:r>
      <w:r w:rsidRPr="002F0377">
        <w:rPr>
          <w:rFonts w:hint="cs"/>
          <w:b/>
          <w:bCs/>
          <w:rtl/>
          <w:lang/>
        </w:rPr>
        <w:t xml:space="preserve">والعاملين في </w:t>
      </w:r>
      <w:r w:rsidR="0069689D" w:rsidRPr="002F0377">
        <w:rPr>
          <w:rFonts w:hint="cs"/>
          <w:b/>
          <w:bCs/>
          <w:rtl/>
          <w:lang/>
        </w:rPr>
        <w:t xml:space="preserve">الجهاز القضائي بمعلومات عن </w:t>
      </w:r>
      <w:r w:rsidR="0069689D" w:rsidRPr="002F0377">
        <w:rPr>
          <w:rFonts w:hint="cs"/>
          <w:b/>
          <w:bCs/>
          <w:rtl/>
        </w:rPr>
        <w:t xml:space="preserve">الحقوق </w:t>
      </w:r>
      <w:r w:rsidR="0069689D" w:rsidRPr="002F0377">
        <w:rPr>
          <w:rFonts w:hint="cs"/>
          <w:b/>
          <w:bCs/>
          <w:rtl/>
          <w:lang/>
        </w:rPr>
        <w:t>الاقتصادية والاجتماعية والثقافية وعن إمكانية التقاضي بشأنها.</w:t>
      </w:r>
    </w:p>
    <w:p w:rsidR="0069689D" w:rsidRDefault="0069689D" w:rsidP="002F0377">
      <w:pPr>
        <w:pStyle w:val="SingleTxtGA"/>
        <w:rPr>
          <w:rFonts w:hint="cs"/>
          <w:rtl/>
          <w:lang/>
        </w:rPr>
      </w:pPr>
      <w:r w:rsidRPr="00CB4A02">
        <w:rPr>
          <w:rFonts w:hint="cs"/>
          <w:rtl/>
          <w:lang/>
        </w:rPr>
        <w:t>9-</w:t>
      </w:r>
      <w:r w:rsidRPr="00CB4A02">
        <w:rPr>
          <w:rFonts w:hint="cs"/>
          <w:rtl/>
          <w:lang/>
        </w:rPr>
        <w:tab/>
      </w:r>
      <w:r>
        <w:rPr>
          <w:rFonts w:hint="cs"/>
          <w:rtl/>
          <w:lang/>
        </w:rPr>
        <w:t xml:space="preserve">وتأسف اللجنة </w:t>
      </w:r>
      <w:r w:rsidR="00E729A9">
        <w:rPr>
          <w:rFonts w:hint="cs"/>
          <w:rtl/>
          <w:lang/>
        </w:rPr>
        <w:t xml:space="preserve">لعدم توافر </w:t>
      </w:r>
      <w:r>
        <w:rPr>
          <w:rFonts w:hint="cs"/>
          <w:rtl/>
          <w:lang/>
        </w:rPr>
        <w:t xml:space="preserve">إحصاءات موثوق بها تُمكن من </w:t>
      </w:r>
      <w:r>
        <w:rPr>
          <w:rFonts w:hint="cs"/>
          <w:rtl/>
        </w:rPr>
        <w:t xml:space="preserve">إجراء </w:t>
      </w:r>
      <w:r>
        <w:rPr>
          <w:rFonts w:hint="cs"/>
          <w:rtl/>
          <w:lang/>
        </w:rPr>
        <w:t>تقييم دقيق لإعمال الحقوق الاقتصادية والاجتماعية والثقافية</w:t>
      </w:r>
      <w:r w:rsidRPr="00E456F9">
        <w:rPr>
          <w:rFonts w:hint="cs"/>
          <w:rtl/>
          <w:lang/>
        </w:rPr>
        <w:t xml:space="preserve"> </w:t>
      </w:r>
      <w:r>
        <w:rPr>
          <w:rFonts w:hint="cs"/>
          <w:rtl/>
          <w:lang/>
        </w:rPr>
        <w:t>في الدولة الطرف.</w:t>
      </w:r>
    </w:p>
    <w:p w:rsidR="0069689D" w:rsidRPr="002F0377" w:rsidRDefault="002F0377" w:rsidP="002F0377">
      <w:pPr>
        <w:pStyle w:val="SingleTxtGA"/>
        <w:rPr>
          <w:rFonts w:hint="cs"/>
          <w:b/>
          <w:bCs/>
          <w:rtl/>
          <w:lang/>
        </w:rPr>
      </w:pPr>
      <w:r w:rsidRPr="002F0377">
        <w:rPr>
          <w:rFonts w:hint="cs"/>
          <w:b/>
          <w:bCs/>
          <w:rtl/>
          <w:lang/>
        </w:rPr>
        <w:tab/>
      </w:r>
      <w:r w:rsidR="0069689D" w:rsidRPr="002F0377">
        <w:rPr>
          <w:rFonts w:hint="cs"/>
          <w:b/>
          <w:bCs/>
          <w:rtl/>
          <w:lang/>
        </w:rPr>
        <w:t xml:space="preserve">تطلب اللجنة من الدولة الطرف أن تدرج جمع البيانات وإنتاج واستخدام الإحصاءات المتعلقة بمؤشرات حقوق الإنسان في </w:t>
      </w:r>
      <w:proofErr w:type="spellStart"/>
      <w:r w:rsidR="0069689D" w:rsidRPr="002F0377">
        <w:rPr>
          <w:rFonts w:hint="cs"/>
          <w:b/>
          <w:bCs/>
          <w:rtl/>
          <w:lang/>
        </w:rPr>
        <w:t>استراتيجيتها</w:t>
      </w:r>
      <w:proofErr w:type="spellEnd"/>
      <w:r w:rsidR="0069689D" w:rsidRPr="002F0377">
        <w:rPr>
          <w:rFonts w:hint="cs"/>
          <w:b/>
          <w:bCs/>
          <w:rtl/>
          <w:lang/>
        </w:rPr>
        <w:t xml:space="preserve"> الوطنية لتطوير الإحصاءات. وفي هذا الصدد، تُحيل اللجنة الدولة الطرف إلى الإطار </w:t>
      </w:r>
      <w:proofErr w:type="spellStart"/>
      <w:r w:rsidR="0069689D" w:rsidRPr="002F0377">
        <w:rPr>
          <w:rFonts w:hint="cs"/>
          <w:b/>
          <w:bCs/>
          <w:rtl/>
          <w:lang/>
        </w:rPr>
        <w:t>المفاهيمي</w:t>
      </w:r>
      <w:proofErr w:type="spellEnd"/>
      <w:r w:rsidR="0069689D" w:rsidRPr="002F0377">
        <w:rPr>
          <w:rFonts w:hint="cs"/>
          <w:b/>
          <w:bCs/>
          <w:rtl/>
          <w:lang/>
        </w:rPr>
        <w:t xml:space="preserve"> والمنهجي لمؤشرات حقوق الإنسان الذي وضعته المفوضية السامية لحقوق الإنسان. وتطلب اللجنة من الدولة الطرف أن تُضمن تقريرها الدوري المقبل إحصاءات سنوية مقارنة بشأن ممارسة كل حق من الحقوق المكفولة في العهد. وينبغي أن تُصنف هذه الإحصاءات بحسب السن ونوع الجنس وسكان المناطق القروية/الحضرية والعرق </w:t>
      </w:r>
      <w:r w:rsidR="00E729A9" w:rsidRPr="002F0377">
        <w:rPr>
          <w:rFonts w:hint="cs"/>
          <w:b/>
          <w:bCs/>
          <w:rtl/>
          <w:lang/>
        </w:rPr>
        <w:t>وما إلى ذلك من المعايير ذات الصلة</w:t>
      </w:r>
      <w:r w:rsidR="0069689D" w:rsidRPr="002F0377">
        <w:rPr>
          <w:rFonts w:hint="cs"/>
          <w:b/>
          <w:bCs/>
          <w:rtl/>
          <w:lang/>
        </w:rPr>
        <w:t>.</w:t>
      </w:r>
    </w:p>
    <w:p w:rsidR="0069689D" w:rsidRDefault="0069689D" w:rsidP="002F0377">
      <w:pPr>
        <w:pStyle w:val="SingleTxtGA"/>
        <w:rPr>
          <w:rFonts w:hint="cs"/>
          <w:rtl/>
          <w:lang/>
        </w:rPr>
      </w:pPr>
      <w:r w:rsidRPr="003934D9">
        <w:rPr>
          <w:rFonts w:hint="cs"/>
          <w:rtl/>
          <w:lang/>
        </w:rPr>
        <w:t>10-</w:t>
      </w:r>
      <w:r w:rsidRPr="003934D9">
        <w:rPr>
          <w:rFonts w:hint="cs"/>
          <w:rtl/>
          <w:lang/>
        </w:rPr>
        <w:tab/>
      </w:r>
      <w:r>
        <w:rPr>
          <w:rFonts w:hint="cs"/>
          <w:rtl/>
          <w:lang/>
        </w:rPr>
        <w:t xml:space="preserve">وتلاحظ اللجنة بقلق أن مخصصات القطاعات الاجتماعية من الميزانية غير كافية، مما </w:t>
      </w:r>
      <w:r w:rsidR="00E729A9">
        <w:rPr>
          <w:rFonts w:hint="cs"/>
          <w:rtl/>
          <w:lang/>
        </w:rPr>
        <w:t xml:space="preserve">يحول دون </w:t>
      </w:r>
      <w:r>
        <w:rPr>
          <w:rFonts w:hint="cs"/>
          <w:rtl/>
          <w:lang/>
        </w:rPr>
        <w:t xml:space="preserve">الإعمال </w:t>
      </w:r>
      <w:r w:rsidR="00E729A9">
        <w:rPr>
          <w:rFonts w:hint="cs"/>
          <w:rtl/>
          <w:lang/>
        </w:rPr>
        <w:t xml:space="preserve">التدريجي </w:t>
      </w:r>
      <w:r>
        <w:rPr>
          <w:rFonts w:hint="cs"/>
          <w:rtl/>
          <w:lang/>
        </w:rPr>
        <w:t>للحقوق الاقتصادية والاجتماعية والثقافية</w:t>
      </w:r>
      <w:r w:rsidRPr="00781783">
        <w:rPr>
          <w:rFonts w:hint="cs"/>
          <w:rtl/>
          <w:lang/>
        </w:rPr>
        <w:t xml:space="preserve"> </w:t>
      </w:r>
      <w:r>
        <w:rPr>
          <w:rFonts w:hint="cs"/>
          <w:rtl/>
          <w:lang/>
        </w:rPr>
        <w:t xml:space="preserve">المنصوص عليها في العهد </w:t>
      </w:r>
      <w:r>
        <w:rPr>
          <w:rFonts w:hint="cs"/>
          <w:lang/>
        </w:rPr>
        <w:sym w:font="Symbol" w:char="F029"/>
      </w:r>
      <w:r>
        <w:rPr>
          <w:rFonts w:hint="cs"/>
          <w:rtl/>
          <w:lang/>
        </w:rPr>
        <w:t>الفقرة 1 من المادة 2</w:t>
      </w:r>
      <w:r>
        <w:rPr>
          <w:rFonts w:hint="cs"/>
          <w:lang/>
        </w:rPr>
        <w:sym w:font="Symbol" w:char="F028"/>
      </w:r>
      <w:r>
        <w:rPr>
          <w:rFonts w:hint="cs"/>
          <w:rtl/>
          <w:lang/>
        </w:rPr>
        <w:t>.</w:t>
      </w:r>
    </w:p>
    <w:p w:rsidR="0069689D" w:rsidRPr="002F0377" w:rsidRDefault="00E729A9" w:rsidP="002F0377">
      <w:pPr>
        <w:pStyle w:val="SingleTxtGA"/>
        <w:rPr>
          <w:rFonts w:hint="cs"/>
          <w:b/>
          <w:bCs/>
          <w:rtl/>
          <w:lang/>
        </w:rPr>
      </w:pPr>
      <w:r w:rsidRPr="002F0377">
        <w:rPr>
          <w:rFonts w:hint="cs"/>
          <w:b/>
          <w:bCs/>
          <w:rtl/>
          <w:lang/>
        </w:rPr>
        <w:tab/>
      </w:r>
      <w:r w:rsidR="0069689D" w:rsidRPr="002F0377">
        <w:rPr>
          <w:rFonts w:hint="cs"/>
          <w:b/>
          <w:bCs/>
          <w:rtl/>
          <w:lang/>
        </w:rPr>
        <w:t>تحث اللجنة الدولة الطرف على رفع الميزانيات المخصصة للقطاعات الاجتماعية قدر الإمكان، من قبيل السكن والغذاء والصحة والتعليم، ورفع ميزانية وزارة حقوق الإنسان، وفقاً لالتزامها بالاستفادة إلى أقصى حد من الموارد المتاحة لها، لاسيما بالاستفادة من الموارد المحررة بفضل عمليات تخفيف الدين. وتسترعي اللجنة انتباه الدولة الطرف إلى تعليقها العام رقم 3(1990) بشأن طبيعة التزامات الدول الأطراف.</w:t>
      </w:r>
    </w:p>
    <w:p w:rsidR="0069689D" w:rsidRDefault="0069689D" w:rsidP="002F0377">
      <w:pPr>
        <w:pStyle w:val="SingleTxtGA"/>
        <w:rPr>
          <w:rFonts w:hint="cs"/>
          <w:rtl/>
          <w:lang/>
        </w:rPr>
      </w:pPr>
      <w:r w:rsidRPr="002D7871">
        <w:rPr>
          <w:rFonts w:hint="cs"/>
          <w:rtl/>
          <w:lang/>
        </w:rPr>
        <w:t>11-</w:t>
      </w:r>
      <w:r>
        <w:rPr>
          <w:rFonts w:hint="cs"/>
          <w:rtl/>
          <w:lang/>
        </w:rPr>
        <w:tab/>
        <w:t xml:space="preserve">وتعتبر اللجنة أن </w:t>
      </w:r>
      <w:r w:rsidR="00E729A9">
        <w:rPr>
          <w:rFonts w:hint="cs"/>
          <w:rtl/>
          <w:lang/>
        </w:rPr>
        <w:t xml:space="preserve">استشراء </w:t>
      </w:r>
      <w:r>
        <w:rPr>
          <w:rFonts w:hint="cs"/>
          <w:rtl/>
          <w:lang/>
        </w:rPr>
        <w:t>الفساد في إدارة الدولة الطرف</w:t>
      </w:r>
      <w:r w:rsidRPr="002D7871">
        <w:rPr>
          <w:rFonts w:hint="cs"/>
          <w:rtl/>
          <w:lang/>
        </w:rPr>
        <w:t xml:space="preserve"> </w:t>
      </w:r>
      <w:r>
        <w:rPr>
          <w:rFonts w:hint="cs"/>
          <w:rtl/>
          <w:lang/>
        </w:rPr>
        <w:t xml:space="preserve">يبعث على القلق </w:t>
      </w:r>
      <w:r>
        <w:rPr>
          <w:rFonts w:hint="cs"/>
          <w:lang/>
        </w:rPr>
        <w:sym w:font="Symbol" w:char="F029"/>
      </w:r>
      <w:r>
        <w:rPr>
          <w:rFonts w:hint="cs"/>
          <w:rtl/>
          <w:lang/>
        </w:rPr>
        <w:t>الفقرة 1 من المادة 2</w:t>
      </w:r>
      <w:r>
        <w:rPr>
          <w:rFonts w:hint="cs"/>
          <w:lang/>
        </w:rPr>
        <w:sym w:font="Symbol" w:char="F028"/>
      </w:r>
      <w:r>
        <w:rPr>
          <w:rFonts w:hint="cs"/>
          <w:rtl/>
          <w:lang/>
        </w:rPr>
        <w:t>.</w:t>
      </w:r>
    </w:p>
    <w:p w:rsidR="0069689D" w:rsidRPr="002F0377" w:rsidRDefault="00E729A9" w:rsidP="002F0377">
      <w:pPr>
        <w:pStyle w:val="SingleTxtGA"/>
        <w:rPr>
          <w:rFonts w:hint="cs"/>
          <w:b/>
          <w:bCs/>
          <w:rtl/>
          <w:lang/>
        </w:rPr>
      </w:pPr>
      <w:r w:rsidRPr="002F0377">
        <w:rPr>
          <w:rFonts w:hint="cs"/>
          <w:b/>
          <w:bCs/>
          <w:rtl/>
          <w:lang/>
        </w:rPr>
        <w:tab/>
      </w:r>
      <w:r w:rsidR="0069689D" w:rsidRPr="002F0377">
        <w:rPr>
          <w:rFonts w:hint="cs"/>
          <w:b/>
          <w:bCs/>
          <w:rtl/>
          <w:lang/>
        </w:rPr>
        <w:t xml:space="preserve">توصي اللجنة الدولة الطرف </w:t>
      </w:r>
      <w:r w:rsidRPr="002F0377">
        <w:rPr>
          <w:rFonts w:hint="cs"/>
          <w:b/>
          <w:bCs/>
          <w:rtl/>
          <w:lang/>
        </w:rPr>
        <w:t xml:space="preserve">بمضاعفة </w:t>
      </w:r>
      <w:r w:rsidR="0069689D" w:rsidRPr="002F0377">
        <w:rPr>
          <w:rFonts w:hint="cs"/>
          <w:b/>
          <w:bCs/>
          <w:rtl/>
          <w:lang/>
        </w:rPr>
        <w:t xml:space="preserve">جهودها لمكافحة الفساد وما يتصل بذلك من إفلات من العقاب، </w:t>
      </w:r>
      <w:r w:rsidRPr="002F0377">
        <w:rPr>
          <w:rFonts w:hint="cs"/>
          <w:b/>
          <w:bCs/>
          <w:rtl/>
          <w:lang/>
        </w:rPr>
        <w:t xml:space="preserve">وضمان </w:t>
      </w:r>
      <w:r w:rsidR="0069689D" w:rsidRPr="002F0377">
        <w:rPr>
          <w:rFonts w:hint="cs"/>
          <w:b/>
          <w:bCs/>
          <w:rtl/>
          <w:lang/>
        </w:rPr>
        <w:t xml:space="preserve">الشفافية في تسيير الشؤون العامة، من الناحية القانونية والعملية. كما </w:t>
      </w:r>
      <w:r w:rsidRPr="002F0377">
        <w:rPr>
          <w:rFonts w:hint="cs"/>
          <w:b/>
          <w:bCs/>
          <w:rtl/>
          <w:lang/>
        </w:rPr>
        <w:t xml:space="preserve">توصيها باعتماد </w:t>
      </w:r>
      <w:r w:rsidR="0069689D" w:rsidRPr="002F0377">
        <w:rPr>
          <w:rFonts w:hint="cs"/>
          <w:b/>
          <w:bCs/>
          <w:rtl/>
          <w:lang/>
        </w:rPr>
        <w:t xml:space="preserve">قانون مكافحة الفساد </w:t>
      </w:r>
      <w:r w:rsidRPr="002F0377">
        <w:rPr>
          <w:rFonts w:hint="cs"/>
          <w:b/>
          <w:bCs/>
          <w:rtl/>
          <w:lang/>
        </w:rPr>
        <w:t xml:space="preserve">وتطبيق </w:t>
      </w:r>
      <w:r w:rsidR="0069689D" w:rsidRPr="002F0377">
        <w:rPr>
          <w:rFonts w:hint="cs"/>
          <w:b/>
          <w:bCs/>
          <w:rtl/>
          <w:lang/>
        </w:rPr>
        <w:t>أحكام المادة 145 من الدستور المتعلقة بالكشف عن الممتلكات والأصول المالية. وتوصي</w:t>
      </w:r>
      <w:r w:rsidRPr="002F0377">
        <w:rPr>
          <w:rFonts w:hint="cs"/>
          <w:b/>
          <w:bCs/>
          <w:rtl/>
          <w:lang/>
        </w:rPr>
        <w:t>ها</w:t>
      </w:r>
      <w:r w:rsidR="0069689D" w:rsidRPr="002F0377">
        <w:rPr>
          <w:rFonts w:hint="cs"/>
          <w:b/>
          <w:bCs/>
          <w:rtl/>
          <w:lang/>
        </w:rPr>
        <w:t xml:space="preserve"> أيضاً </w:t>
      </w:r>
      <w:r w:rsidRPr="002F0377">
        <w:rPr>
          <w:rFonts w:hint="cs"/>
          <w:b/>
          <w:bCs/>
          <w:rtl/>
          <w:lang/>
        </w:rPr>
        <w:t xml:space="preserve">باتخاذ </w:t>
      </w:r>
      <w:r w:rsidR="0069689D" w:rsidRPr="002F0377">
        <w:rPr>
          <w:rFonts w:hint="cs"/>
          <w:b/>
          <w:bCs/>
          <w:rtl/>
          <w:lang/>
        </w:rPr>
        <w:t xml:space="preserve">تدابير </w:t>
      </w:r>
      <w:r w:rsidRPr="002F0377">
        <w:rPr>
          <w:rFonts w:hint="cs"/>
          <w:b/>
          <w:bCs/>
          <w:rtl/>
          <w:lang/>
        </w:rPr>
        <w:t xml:space="preserve">من أجل توعية </w:t>
      </w:r>
      <w:r w:rsidR="0069689D" w:rsidRPr="002F0377">
        <w:rPr>
          <w:rFonts w:hint="cs"/>
          <w:b/>
          <w:bCs/>
          <w:rtl/>
          <w:lang/>
        </w:rPr>
        <w:t xml:space="preserve">السياسيين والبرلمانيين والمسؤولين الوطنيين والمحليين </w:t>
      </w:r>
      <w:r w:rsidRPr="002F0377">
        <w:rPr>
          <w:rFonts w:hint="cs"/>
          <w:b/>
          <w:bCs/>
          <w:rtl/>
          <w:lang/>
        </w:rPr>
        <w:t>ب</w:t>
      </w:r>
      <w:r w:rsidR="0069689D" w:rsidRPr="002F0377">
        <w:rPr>
          <w:rFonts w:hint="cs"/>
          <w:b/>
          <w:bCs/>
          <w:rtl/>
          <w:lang/>
        </w:rPr>
        <w:t xml:space="preserve">التكاليف الاقتصادية والاجتماعية </w:t>
      </w:r>
      <w:r w:rsidRPr="002F0377">
        <w:rPr>
          <w:rFonts w:hint="cs"/>
          <w:b/>
          <w:bCs/>
          <w:rtl/>
          <w:lang/>
        </w:rPr>
        <w:t>المترتبة على الفساد</w:t>
      </w:r>
      <w:r w:rsidR="0069689D" w:rsidRPr="002F0377">
        <w:rPr>
          <w:rFonts w:hint="cs"/>
          <w:b/>
          <w:bCs/>
          <w:rtl/>
          <w:lang/>
        </w:rPr>
        <w:t xml:space="preserve">، وكذلك </w:t>
      </w:r>
      <w:r w:rsidRPr="002F0377">
        <w:rPr>
          <w:rFonts w:hint="cs"/>
          <w:b/>
          <w:bCs/>
          <w:rtl/>
          <w:lang/>
        </w:rPr>
        <w:t xml:space="preserve">توعية </w:t>
      </w:r>
      <w:r w:rsidR="0069689D" w:rsidRPr="002F0377">
        <w:rPr>
          <w:rFonts w:hint="cs"/>
          <w:b/>
          <w:bCs/>
          <w:rtl/>
          <w:lang/>
        </w:rPr>
        <w:t xml:space="preserve">القضاة والمدعين العامين وقوات الأمن </w:t>
      </w:r>
      <w:r w:rsidRPr="002F0377">
        <w:rPr>
          <w:rFonts w:hint="cs"/>
          <w:b/>
          <w:bCs/>
          <w:rtl/>
          <w:lang/>
        </w:rPr>
        <w:t xml:space="preserve">بضرورة </w:t>
      </w:r>
      <w:r w:rsidR="0069689D" w:rsidRPr="002F0377">
        <w:rPr>
          <w:rFonts w:hint="cs"/>
          <w:b/>
          <w:bCs/>
          <w:rtl/>
          <w:lang/>
        </w:rPr>
        <w:t>التطبيق الصارم للقانون.</w:t>
      </w:r>
    </w:p>
    <w:p w:rsidR="0069689D" w:rsidRDefault="0069689D" w:rsidP="0023124D">
      <w:pPr>
        <w:pStyle w:val="SingleTxtGA"/>
        <w:rPr>
          <w:rFonts w:hint="cs"/>
          <w:rtl/>
          <w:lang/>
        </w:rPr>
      </w:pPr>
      <w:r w:rsidRPr="00716AD4">
        <w:rPr>
          <w:rFonts w:hint="cs"/>
          <w:rtl/>
          <w:lang/>
        </w:rPr>
        <w:t>12-</w:t>
      </w:r>
      <w:r w:rsidRPr="00716AD4">
        <w:rPr>
          <w:rFonts w:hint="cs"/>
          <w:rtl/>
          <w:lang/>
        </w:rPr>
        <w:tab/>
      </w:r>
      <w:r>
        <w:rPr>
          <w:rFonts w:hint="cs"/>
          <w:rtl/>
          <w:lang/>
        </w:rPr>
        <w:t xml:space="preserve">وتلاحظ اللجنة مع القلق وجود أحكام تمييزية تجاه الأشخاص المعوقين في </w:t>
      </w:r>
      <w:r w:rsidR="00E729A9">
        <w:rPr>
          <w:rFonts w:hint="cs"/>
          <w:rtl/>
          <w:lang/>
        </w:rPr>
        <w:t xml:space="preserve">قوانين </w:t>
      </w:r>
      <w:r>
        <w:rPr>
          <w:rFonts w:hint="cs"/>
          <w:rtl/>
          <w:lang/>
        </w:rPr>
        <w:t>الدولة الطرف، من قبيل المادة 23 من المرسوم رقم 1 المؤرخ 4 كانون الثاني/</w:t>
      </w:r>
      <w:r w:rsidR="0023124D">
        <w:rPr>
          <w:rFonts w:hint="cs"/>
          <w:rtl/>
          <w:lang/>
        </w:rPr>
        <w:t xml:space="preserve"> </w:t>
      </w:r>
      <w:r>
        <w:rPr>
          <w:rFonts w:hint="cs"/>
          <w:rtl/>
          <w:lang/>
        </w:rPr>
        <w:t>يناير</w:t>
      </w:r>
      <w:r w:rsidR="0023124D">
        <w:rPr>
          <w:rFonts w:hint="eastAsia"/>
          <w:rtl/>
          <w:lang/>
        </w:rPr>
        <w:t> </w:t>
      </w:r>
      <w:r>
        <w:rPr>
          <w:rFonts w:hint="cs"/>
          <w:rtl/>
          <w:lang/>
        </w:rPr>
        <w:t xml:space="preserve">1968، المتعلق بالنظام الأساسي العام للوظيفة العمومية، </w:t>
      </w:r>
      <w:r>
        <w:rPr>
          <w:rFonts w:hint="cs"/>
          <w:rtl/>
        </w:rPr>
        <w:t xml:space="preserve">بشأن شروط اللياقة البدنية الضرورية للعمل في الوظائف العامة. </w:t>
      </w:r>
      <w:r>
        <w:rPr>
          <w:rFonts w:hint="cs"/>
          <w:rtl/>
          <w:lang/>
        </w:rPr>
        <w:t>كما تلاحظ اللجنة مع القلق أن الأشخاص المعوقين في الدولة الطرف يجدون أنفسهم مستبعدين اجتماعياً، لأسباب من بينها العوائق السلوكية والحواجز المادية.</w:t>
      </w:r>
      <w:r w:rsidR="00DE3F35">
        <w:rPr>
          <w:rFonts w:hint="cs"/>
          <w:rtl/>
          <w:lang/>
        </w:rPr>
        <w:t xml:space="preserve"> وتأسف اللجنة أيضاً لعدم تقديم الدولة الطرف بيانات موثوقة وكافية سواء بشأن أعداد المعوقين أو عن تمتعهم بحقوقهم الاقتصادية والاجتماعية والثقافية (الفقرة 2 من المادة 2).</w:t>
      </w:r>
    </w:p>
    <w:p w:rsidR="0069689D" w:rsidRPr="002F0377" w:rsidRDefault="00DE3F35" w:rsidP="002F0377">
      <w:pPr>
        <w:pStyle w:val="SingleTxtGA"/>
        <w:rPr>
          <w:rFonts w:hint="cs"/>
          <w:b/>
          <w:bCs/>
          <w:rtl/>
          <w:lang/>
        </w:rPr>
      </w:pPr>
      <w:r w:rsidRPr="002F0377">
        <w:rPr>
          <w:rFonts w:hint="cs"/>
          <w:b/>
          <w:bCs/>
          <w:rtl/>
          <w:lang/>
        </w:rPr>
        <w:tab/>
      </w:r>
      <w:r w:rsidR="0069689D" w:rsidRPr="002F0377">
        <w:rPr>
          <w:rFonts w:hint="cs"/>
          <w:b/>
          <w:bCs/>
          <w:rtl/>
          <w:lang/>
        </w:rPr>
        <w:t xml:space="preserve">توصي اللجنة الدولة الطرف بما يلي: </w:t>
      </w:r>
      <w:r w:rsidR="0069689D" w:rsidRPr="002F0377">
        <w:rPr>
          <w:rFonts w:hint="cs"/>
          <w:b/>
          <w:bCs/>
          <w:rtl/>
        </w:rPr>
        <w:t xml:space="preserve">(أ) تعزيز </w:t>
      </w:r>
      <w:r w:rsidR="0069689D" w:rsidRPr="002F0377">
        <w:rPr>
          <w:rFonts w:hint="cs"/>
          <w:b/>
          <w:bCs/>
          <w:rtl/>
          <w:lang/>
        </w:rPr>
        <w:t xml:space="preserve">تشريعاتها </w:t>
      </w:r>
      <w:r w:rsidR="00C22493" w:rsidRPr="002F0377">
        <w:rPr>
          <w:rFonts w:hint="cs"/>
          <w:b/>
          <w:bCs/>
          <w:rtl/>
          <w:lang/>
        </w:rPr>
        <w:t>الرامي</w:t>
      </w:r>
      <w:r w:rsidR="00B6601B">
        <w:rPr>
          <w:rFonts w:hint="cs"/>
          <w:b/>
          <w:bCs/>
          <w:rtl/>
          <w:lang/>
        </w:rPr>
        <w:t>ة</w:t>
      </w:r>
      <w:r w:rsidR="00C22493" w:rsidRPr="002F0377">
        <w:rPr>
          <w:rFonts w:hint="cs"/>
          <w:b/>
          <w:bCs/>
          <w:rtl/>
          <w:lang/>
        </w:rPr>
        <w:t xml:space="preserve"> إلى تشجيع </w:t>
      </w:r>
      <w:r w:rsidR="0069689D" w:rsidRPr="002F0377">
        <w:rPr>
          <w:rFonts w:hint="cs"/>
          <w:b/>
          <w:bCs/>
          <w:rtl/>
          <w:lang/>
        </w:rPr>
        <w:t xml:space="preserve">المساواة، </w:t>
      </w:r>
      <w:r w:rsidR="00C22493" w:rsidRPr="002F0377">
        <w:rPr>
          <w:rFonts w:hint="cs"/>
          <w:b/>
          <w:bCs/>
          <w:rtl/>
          <w:lang/>
        </w:rPr>
        <w:t xml:space="preserve">وذلك </w:t>
      </w:r>
      <w:r w:rsidR="0069689D" w:rsidRPr="002F0377">
        <w:rPr>
          <w:rFonts w:hint="cs"/>
          <w:b/>
          <w:bCs/>
          <w:rtl/>
          <w:lang/>
        </w:rPr>
        <w:t xml:space="preserve">بإلغاء جميع الأحكام التمييزية تجاه الأشخاص المعوقين واستحداث واجب توفير ترتيبات </w:t>
      </w:r>
      <w:proofErr w:type="spellStart"/>
      <w:r w:rsidR="0069689D" w:rsidRPr="002F0377">
        <w:rPr>
          <w:rFonts w:hint="cs"/>
          <w:b/>
          <w:bCs/>
          <w:rtl/>
          <w:lang/>
        </w:rPr>
        <w:t>تيسيرية</w:t>
      </w:r>
      <w:proofErr w:type="spellEnd"/>
      <w:r w:rsidR="0069689D" w:rsidRPr="002F0377">
        <w:rPr>
          <w:rFonts w:hint="cs"/>
          <w:b/>
          <w:bCs/>
          <w:rtl/>
          <w:lang/>
        </w:rPr>
        <w:t xml:space="preserve"> معقولة لهم وتطبيق نظام الحصص فيما يتعلق بالعمل؛ </w:t>
      </w:r>
      <w:r w:rsidR="0069689D" w:rsidRPr="002F0377">
        <w:rPr>
          <w:rFonts w:hint="cs"/>
          <w:b/>
          <w:bCs/>
          <w:rtl/>
        </w:rPr>
        <w:t xml:space="preserve">(ب) </w:t>
      </w:r>
      <w:r w:rsidR="00C22493" w:rsidRPr="002F0377">
        <w:rPr>
          <w:rFonts w:hint="cs"/>
          <w:b/>
          <w:bCs/>
          <w:rtl/>
        </w:rPr>
        <w:t xml:space="preserve">إقامة </w:t>
      </w:r>
      <w:r w:rsidR="0069689D" w:rsidRPr="002F0377">
        <w:rPr>
          <w:rFonts w:hint="cs"/>
          <w:b/>
          <w:bCs/>
          <w:rtl/>
        </w:rPr>
        <w:t xml:space="preserve">نظام لجمع البيانات بشأن وضع الأشخاص المعوقين؛ (ج) مواصلة الجهود الرامية إلى رفع العوائق السلوكية والحواجز المادية؛ (د) توفير </w:t>
      </w:r>
      <w:r w:rsidR="0069689D" w:rsidRPr="002F0377">
        <w:rPr>
          <w:rFonts w:hint="cs"/>
          <w:b/>
          <w:bCs/>
          <w:rtl/>
          <w:lang/>
        </w:rPr>
        <w:t xml:space="preserve">الموارد </w:t>
      </w:r>
      <w:r w:rsidR="00C22493" w:rsidRPr="002F0377">
        <w:rPr>
          <w:rFonts w:hint="cs"/>
          <w:b/>
          <w:bCs/>
          <w:rtl/>
          <w:lang/>
        </w:rPr>
        <w:t xml:space="preserve">اللازمة </w:t>
      </w:r>
      <w:proofErr w:type="spellStart"/>
      <w:r w:rsidR="0069689D" w:rsidRPr="002F0377">
        <w:rPr>
          <w:rFonts w:hint="cs"/>
          <w:b/>
          <w:bCs/>
          <w:rtl/>
          <w:lang/>
        </w:rPr>
        <w:t>للاستراتيجية</w:t>
      </w:r>
      <w:proofErr w:type="spellEnd"/>
      <w:r w:rsidR="0069689D" w:rsidRPr="002F0377">
        <w:rPr>
          <w:rFonts w:hint="cs"/>
          <w:b/>
          <w:bCs/>
          <w:rtl/>
          <w:lang/>
        </w:rPr>
        <w:t xml:space="preserve"> الوطنية لحماية المعوقين والنهوض بهم في توغو ولخطة عملها وتنفيذهما.</w:t>
      </w:r>
    </w:p>
    <w:p w:rsidR="0069689D" w:rsidRDefault="0069689D" w:rsidP="002F0377">
      <w:pPr>
        <w:pStyle w:val="SingleTxtGA"/>
        <w:rPr>
          <w:rFonts w:hint="cs"/>
          <w:rtl/>
        </w:rPr>
      </w:pPr>
      <w:r w:rsidRPr="00687526">
        <w:rPr>
          <w:rFonts w:hint="cs"/>
          <w:rtl/>
          <w:lang/>
        </w:rPr>
        <w:t>13-</w:t>
      </w:r>
      <w:r w:rsidRPr="00687526">
        <w:rPr>
          <w:rFonts w:hint="cs"/>
          <w:rtl/>
          <w:lang/>
        </w:rPr>
        <w:tab/>
        <w:t xml:space="preserve">وتأسف </w:t>
      </w:r>
      <w:r w:rsidRPr="000E5CBB">
        <w:rPr>
          <w:rFonts w:hint="cs"/>
          <w:rtl/>
          <w:lang/>
        </w:rPr>
        <w:t xml:space="preserve">اللجنة </w:t>
      </w:r>
      <w:r w:rsidR="00C22493">
        <w:rPr>
          <w:rFonts w:hint="cs"/>
          <w:rtl/>
          <w:lang/>
        </w:rPr>
        <w:t xml:space="preserve">للإبقاء </w:t>
      </w:r>
      <w:r w:rsidRPr="000E5CBB">
        <w:rPr>
          <w:rFonts w:hint="cs"/>
          <w:rtl/>
          <w:lang/>
        </w:rPr>
        <w:t>على الأحكام التمييزية تجاه المرأة في قانون</w:t>
      </w:r>
      <w:r>
        <w:rPr>
          <w:rFonts w:hint="cs"/>
          <w:rtl/>
          <w:lang/>
        </w:rPr>
        <w:t xml:space="preserve"> الأحوال الشخصية والأسرة لعام 2012، بما في ذلك إمكانية تطبيق القانون العرفي في المسائل المتعلقة </w:t>
      </w:r>
      <w:r w:rsidR="00C22493">
        <w:rPr>
          <w:rFonts w:hint="cs"/>
          <w:rtl/>
          <w:lang/>
        </w:rPr>
        <w:t>بالمواريث</w:t>
      </w:r>
      <w:r>
        <w:rPr>
          <w:rFonts w:hint="cs"/>
          <w:rtl/>
          <w:lang/>
        </w:rPr>
        <w:t xml:space="preserve">. وتشعر اللجنة بالقلق أيضاً بشأن التأخير في اعتماد القانون الجنائي المنقح، الذي ينص على حظر جميع أشكال التمييز </w:t>
      </w:r>
      <w:r>
        <w:rPr>
          <w:rFonts w:hint="cs"/>
          <w:rtl/>
        </w:rPr>
        <w:t>(المادة 3).</w:t>
      </w:r>
    </w:p>
    <w:p w:rsidR="0069689D" w:rsidRPr="002F0377" w:rsidRDefault="00C22493" w:rsidP="002F0377">
      <w:pPr>
        <w:pStyle w:val="SingleTxtGA"/>
        <w:rPr>
          <w:rFonts w:hint="cs"/>
          <w:b/>
          <w:bCs/>
          <w:rtl/>
        </w:rPr>
      </w:pPr>
      <w:r w:rsidRPr="002F0377">
        <w:rPr>
          <w:rFonts w:hint="cs"/>
          <w:b/>
          <w:bCs/>
          <w:rtl/>
        </w:rPr>
        <w:tab/>
      </w:r>
      <w:r w:rsidR="0069689D" w:rsidRPr="002F0377">
        <w:rPr>
          <w:rFonts w:hint="cs"/>
          <w:b/>
          <w:bCs/>
          <w:rtl/>
        </w:rPr>
        <w:t xml:space="preserve">توصي اللجنة الدولة الطرف </w:t>
      </w:r>
      <w:r w:rsidRPr="002F0377">
        <w:rPr>
          <w:rFonts w:hint="cs"/>
          <w:b/>
          <w:bCs/>
          <w:rtl/>
        </w:rPr>
        <w:t xml:space="preserve">بمراجعة قوانينها </w:t>
      </w:r>
      <w:r w:rsidR="0069689D" w:rsidRPr="002F0377">
        <w:rPr>
          <w:rFonts w:hint="cs"/>
          <w:b/>
          <w:bCs/>
          <w:rtl/>
        </w:rPr>
        <w:t xml:space="preserve">بهدف تعديل كل حكم من الأحكام التمييزية أو الحكم الذي يمكن أن </w:t>
      </w:r>
      <w:r w:rsidR="0069689D" w:rsidRPr="002F0377">
        <w:rPr>
          <w:rFonts w:hint="cs"/>
          <w:b/>
          <w:bCs/>
          <w:rtl/>
          <w:lang/>
        </w:rPr>
        <w:t xml:space="preserve">ينص على التمييز لدى تطبيقه، </w:t>
      </w:r>
      <w:r w:rsidRPr="002F0377">
        <w:rPr>
          <w:rFonts w:hint="cs"/>
          <w:b/>
          <w:bCs/>
          <w:rtl/>
          <w:lang/>
        </w:rPr>
        <w:t>وضمان حظر تشريعاتها ل</w:t>
      </w:r>
      <w:r w:rsidR="0069689D" w:rsidRPr="002F0377">
        <w:rPr>
          <w:rFonts w:hint="cs"/>
          <w:b/>
          <w:bCs/>
          <w:rtl/>
          <w:lang/>
        </w:rPr>
        <w:t xml:space="preserve">جميع أشكال التمييز في ممارسة الحقوق الاقتصادية والاجتماعية والثقافية. وفي هذا الصدد، توجه اللجنة انتباه الدولة الطرف إلى الفقرة 2 من المادة 2 من </w:t>
      </w:r>
      <w:r w:rsidR="00F016FF">
        <w:rPr>
          <w:rFonts w:hint="cs"/>
          <w:b/>
          <w:bCs/>
          <w:rtl/>
          <w:lang/>
        </w:rPr>
        <w:t>العهد وإلى تعليقها العام رقم 20</w:t>
      </w:r>
      <w:r w:rsidR="0069689D" w:rsidRPr="002F0377">
        <w:rPr>
          <w:rFonts w:hint="cs"/>
          <w:b/>
          <w:bCs/>
          <w:rtl/>
        </w:rPr>
        <w:t xml:space="preserve">(2009) المتعلق بعدم التمييز </w:t>
      </w:r>
      <w:r w:rsidR="0069689D" w:rsidRPr="002F0377">
        <w:rPr>
          <w:rFonts w:hint="cs"/>
          <w:b/>
          <w:bCs/>
          <w:rtl/>
          <w:lang/>
        </w:rPr>
        <w:t xml:space="preserve">في الحقوق الاقتصادية والاجتماعية والثقافية. علاوة على ذلك، تدعو اللجنة الدولة الطرف إلى </w:t>
      </w:r>
      <w:r w:rsidRPr="002F0377">
        <w:rPr>
          <w:rFonts w:hint="cs"/>
          <w:b/>
          <w:bCs/>
          <w:rtl/>
          <w:lang/>
        </w:rPr>
        <w:t>التعجيل ب</w:t>
      </w:r>
      <w:r w:rsidR="0069689D" w:rsidRPr="002F0377">
        <w:rPr>
          <w:rFonts w:hint="cs"/>
          <w:b/>
          <w:bCs/>
          <w:rtl/>
          <w:lang/>
        </w:rPr>
        <w:t>اعتماد القانون الجنائي الجديد.</w:t>
      </w:r>
    </w:p>
    <w:p w:rsidR="0069689D" w:rsidRDefault="0069689D" w:rsidP="002F0377">
      <w:pPr>
        <w:pStyle w:val="SingleTxtGA"/>
        <w:rPr>
          <w:rFonts w:hint="cs"/>
          <w:rtl/>
        </w:rPr>
      </w:pPr>
      <w:r>
        <w:rPr>
          <w:rFonts w:hint="cs"/>
          <w:rtl/>
        </w:rPr>
        <w:t>14-</w:t>
      </w:r>
      <w:r>
        <w:rPr>
          <w:rFonts w:hint="cs"/>
          <w:rtl/>
        </w:rPr>
        <w:tab/>
      </w:r>
      <w:r w:rsidR="00C22493">
        <w:rPr>
          <w:rFonts w:hint="cs"/>
          <w:rtl/>
        </w:rPr>
        <w:t xml:space="preserve">ويساور </w:t>
      </w:r>
      <w:r>
        <w:rPr>
          <w:rFonts w:hint="cs"/>
          <w:rtl/>
        </w:rPr>
        <w:t xml:space="preserve">اللجنة القلق </w:t>
      </w:r>
      <w:r w:rsidR="00C22493">
        <w:rPr>
          <w:rFonts w:hint="cs"/>
          <w:rtl/>
        </w:rPr>
        <w:t>ل</w:t>
      </w:r>
      <w:r>
        <w:rPr>
          <w:rFonts w:hint="cs"/>
          <w:rtl/>
        </w:rPr>
        <w:t xml:space="preserve">استمرار العديد من الممارسات الضارة بالنساء والفتيات </w:t>
      </w:r>
      <w:r w:rsidR="00C22493">
        <w:rPr>
          <w:rFonts w:hint="cs"/>
          <w:rtl/>
        </w:rPr>
        <w:t xml:space="preserve">المذكورة </w:t>
      </w:r>
      <w:r>
        <w:rPr>
          <w:rFonts w:hint="cs"/>
          <w:rtl/>
        </w:rPr>
        <w:t>في الفقرة 317 من تقرير الدولة الطرف، من قبيل الزواج المبكر أو الزواج القسري أو الاستغلال الجنسي للفتيات في أديرة السحرة، رغم أن القانون يحظرها ورغم ما اتخذته الدولة الطرف من خطوات تستهدف إذكاء الوعي بشأن هذه المسألة (المادة 3).</w:t>
      </w:r>
    </w:p>
    <w:p w:rsidR="0069689D" w:rsidRPr="002F0377" w:rsidRDefault="00C22493" w:rsidP="002F0377">
      <w:pPr>
        <w:pStyle w:val="SingleTxtGA"/>
        <w:rPr>
          <w:rFonts w:hint="cs"/>
          <w:b/>
          <w:bCs/>
          <w:rtl/>
        </w:rPr>
      </w:pPr>
      <w:r w:rsidRPr="002F0377">
        <w:rPr>
          <w:rFonts w:hint="cs"/>
          <w:b/>
          <w:bCs/>
          <w:rtl/>
        </w:rPr>
        <w:tab/>
      </w:r>
      <w:r w:rsidR="0069689D" w:rsidRPr="002F0377">
        <w:rPr>
          <w:rFonts w:hint="cs"/>
          <w:b/>
          <w:bCs/>
          <w:rtl/>
        </w:rPr>
        <w:t xml:space="preserve">تدعو اللجنة الدولة الطرف إلى مضاعفة جهودها الرامية إلى مكافحة الممارسات الضارة بالنساء والفتيات من خلال، العمل </w:t>
      </w:r>
      <w:r w:rsidRPr="002F0377">
        <w:rPr>
          <w:rFonts w:hint="cs"/>
          <w:b/>
          <w:bCs/>
          <w:rtl/>
        </w:rPr>
        <w:t xml:space="preserve">على سبيل المثال، انطلاقاً من </w:t>
      </w:r>
      <w:r w:rsidR="0069689D" w:rsidRPr="002F0377">
        <w:rPr>
          <w:rFonts w:hint="cs"/>
          <w:b/>
          <w:bCs/>
          <w:rtl/>
        </w:rPr>
        <w:t>الدراسات التي تعززها ال</w:t>
      </w:r>
      <w:r w:rsidR="0069689D" w:rsidRPr="002F0377">
        <w:rPr>
          <w:rFonts w:hint="cs"/>
          <w:b/>
          <w:bCs/>
          <w:rtl/>
          <w:lang/>
        </w:rPr>
        <w:t xml:space="preserve">بيانات العملية المتعلقة بالأسباب الجذرية لهذه الممارسات، وإيلاء الاهتمام اللازم لمختلف مظاهرها </w:t>
      </w:r>
      <w:r w:rsidRPr="002F0377">
        <w:rPr>
          <w:rFonts w:hint="cs"/>
          <w:b/>
          <w:bCs/>
          <w:rtl/>
          <w:lang/>
        </w:rPr>
        <w:t xml:space="preserve">حسب </w:t>
      </w:r>
      <w:r w:rsidR="0069689D" w:rsidRPr="002F0377">
        <w:rPr>
          <w:rFonts w:hint="cs"/>
          <w:b/>
          <w:bCs/>
          <w:rtl/>
          <w:lang/>
        </w:rPr>
        <w:t xml:space="preserve">المجموعات الإثنية </w:t>
      </w:r>
      <w:r w:rsidRPr="002F0377">
        <w:rPr>
          <w:rFonts w:hint="cs"/>
          <w:b/>
          <w:bCs/>
          <w:rtl/>
          <w:lang/>
        </w:rPr>
        <w:t>والأعراف</w:t>
      </w:r>
      <w:r w:rsidR="0069689D" w:rsidRPr="002F0377">
        <w:rPr>
          <w:rFonts w:hint="cs"/>
          <w:b/>
          <w:bCs/>
          <w:rtl/>
          <w:lang/>
        </w:rPr>
        <w:t xml:space="preserve">، والقيام بحملات التوعية </w:t>
      </w:r>
      <w:r w:rsidRPr="002F0377">
        <w:rPr>
          <w:rFonts w:hint="cs"/>
          <w:b/>
          <w:bCs/>
          <w:rtl/>
          <w:lang/>
        </w:rPr>
        <w:t xml:space="preserve">الدائمة </w:t>
      </w:r>
      <w:r w:rsidR="0069689D" w:rsidRPr="002F0377">
        <w:rPr>
          <w:rFonts w:hint="cs"/>
          <w:b/>
          <w:bCs/>
          <w:rtl/>
          <w:lang/>
        </w:rPr>
        <w:t>بشأن هذه</w:t>
      </w:r>
      <w:r w:rsidR="00F016FF">
        <w:rPr>
          <w:rFonts w:hint="cs"/>
          <w:b/>
          <w:bCs/>
          <w:rtl/>
          <w:lang/>
        </w:rPr>
        <w:t xml:space="preserve"> الممارسات. وتحيل اللج</w:t>
      </w:r>
      <w:r w:rsidR="0069689D" w:rsidRPr="002F0377">
        <w:rPr>
          <w:rFonts w:hint="cs"/>
          <w:b/>
          <w:bCs/>
          <w:rtl/>
          <w:lang/>
        </w:rPr>
        <w:t>نة الدولة</w:t>
      </w:r>
      <w:r w:rsidR="00F016FF">
        <w:rPr>
          <w:rFonts w:hint="cs"/>
          <w:b/>
          <w:bCs/>
          <w:rtl/>
          <w:lang/>
        </w:rPr>
        <w:t xml:space="preserve"> الطرف إلى تعليقها العام رقم 16</w:t>
      </w:r>
      <w:r w:rsidR="0069689D" w:rsidRPr="002F0377">
        <w:rPr>
          <w:rFonts w:hint="cs"/>
          <w:b/>
          <w:bCs/>
          <w:rtl/>
        </w:rPr>
        <w:t xml:space="preserve">(2005) بشأن </w:t>
      </w:r>
      <w:r w:rsidR="0069689D" w:rsidRPr="002F0377">
        <w:rPr>
          <w:rFonts w:hint="cs"/>
          <w:b/>
          <w:bCs/>
          <w:rtl/>
          <w:lang/>
        </w:rPr>
        <w:t>المساواة بين الرجل والمرأة في التمتع بجميع الحقوق الاقتصادية والاجتماعية والثقافية</w:t>
      </w:r>
      <w:r w:rsidR="0069689D" w:rsidRPr="002F0377">
        <w:rPr>
          <w:rFonts w:hint="cs"/>
          <w:b/>
          <w:bCs/>
          <w:rtl/>
        </w:rPr>
        <w:t>.</w:t>
      </w:r>
    </w:p>
    <w:p w:rsidR="0069689D" w:rsidRDefault="0069689D" w:rsidP="002F0377">
      <w:pPr>
        <w:pStyle w:val="SingleTxtGA"/>
        <w:rPr>
          <w:rFonts w:hint="cs"/>
          <w:rtl/>
          <w:lang/>
        </w:rPr>
      </w:pPr>
      <w:r w:rsidRPr="00DB4FD7">
        <w:rPr>
          <w:rFonts w:hint="cs"/>
          <w:rtl/>
        </w:rPr>
        <w:t>15-</w:t>
      </w:r>
      <w:r w:rsidRPr="00DB4FD7">
        <w:rPr>
          <w:rFonts w:hint="cs"/>
          <w:rtl/>
        </w:rPr>
        <w:tab/>
      </w:r>
      <w:r w:rsidR="00C22493">
        <w:rPr>
          <w:rFonts w:hint="cs"/>
          <w:rtl/>
        </w:rPr>
        <w:t xml:space="preserve">وتعرب </w:t>
      </w:r>
      <w:r>
        <w:rPr>
          <w:rFonts w:hint="cs"/>
          <w:rtl/>
        </w:rPr>
        <w:t xml:space="preserve">اللجنة </w:t>
      </w:r>
      <w:r w:rsidR="00C22493">
        <w:rPr>
          <w:rFonts w:hint="cs"/>
          <w:rtl/>
        </w:rPr>
        <w:t xml:space="preserve">عن قلقها </w:t>
      </w:r>
      <w:r>
        <w:rPr>
          <w:rFonts w:hint="cs"/>
          <w:rtl/>
        </w:rPr>
        <w:t xml:space="preserve">إزاء حجم البطالة في الدولة الطرف، رغم تنفيذ سياسة العمل الوطنية. وفيما تحيط اللجنة </w:t>
      </w:r>
      <w:r>
        <w:rPr>
          <w:rFonts w:hint="cs"/>
          <w:rtl/>
          <w:lang/>
        </w:rPr>
        <w:t xml:space="preserve">علماً ببيان الوفد الذي يفيد </w:t>
      </w:r>
      <w:r w:rsidR="00C22493">
        <w:rPr>
          <w:rFonts w:hint="cs"/>
          <w:rtl/>
          <w:lang/>
        </w:rPr>
        <w:t>ب</w:t>
      </w:r>
      <w:r>
        <w:rPr>
          <w:rFonts w:hint="cs"/>
          <w:rtl/>
          <w:lang/>
        </w:rPr>
        <w:t xml:space="preserve">أن الوكالة الوطنية للعمالة هي </w:t>
      </w:r>
      <w:r w:rsidR="00C22493">
        <w:rPr>
          <w:rFonts w:hint="cs"/>
          <w:rtl/>
          <w:lang/>
        </w:rPr>
        <w:t xml:space="preserve">أكثر </w:t>
      </w:r>
      <w:r>
        <w:rPr>
          <w:rFonts w:hint="cs"/>
          <w:rtl/>
          <w:lang/>
        </w:rPr>
        <w:t xml:space="preserve">الوكالات العامة </w:t>
      </w:r>
      <w:r w:rsidR="00C22493">
        <w:rPr>
          <w:rFonts w:hint="cs"/>
          <w:rtl/>
          <w:lang/>
        </w:rPr>
        <w:t xml:space="preserve">التي تمتلك مقومات البقاء فإنها تعرب </w:t>
      </w:r>
      <w:r>
        <w:rPr>
          <w:rFonts w:hint="cs"/>
          <w:rtl/>
          <w:lang/>
        </w:rPr>
        <w:t xml:space="preserve">عن قلقها إزاء عدم جدوى الوكالة بالنظر إلى </w:t>
      </w:r>
      <w:r w:rsidR="00C22493">
        <w:rPr>
          <w:rFonts w:hint="cs"/>
          <w:rtl/>
          <w:lang/>
        </w:rPr>
        <w:t xml:space="preserve">ضآلة أعداد </w:t>
      </w:r>
      <w:r>
        <w:rPr>
          <w:rFonts w:hint="cs"/>
          <w:rtl/>
          <w:lang/>
        </w:rPr>
        <w:t xml:space="preserve">الذين حصلوا على المساعدة في عام 2012 </w:t>
      </w:r>
      <w:r>
        <w:rPr>
          <w:rFonts w:hint="cs"/>
          <w:rtl/>
        </w:rPr>
        <w:t>(المادة 6)</w:t>
      </w:r>
      <w:r>
        <w:rPr>
          <w:rFonts w:hint="cs"/>
          <w:rtl/>
          <w:lang/>
        </w:rPr>
        <w:t>.</w:t>
      </w:r>
    </w:p>
    <w:p w:rsidR="0069689D" w:rsidRPr="002F0377" w:rsidRDefault="00C22493" w:rsidP="002F0377">
      <w:pPr>
        <w:pStyle w:val="SingleTxtGA"/>
        <w:rPr>
          <w:rFonts w:hint="cs"/>
          <w:b/>
          <w:bCs/>
          <w:rtl/>
        </w:rPr>
      </w:pPr>
      <w:r w:rsidRPr="002F0377">
        <w:rPr>
          <w:rFonts w:hint="cs"/>
          <w:b/>
          <w:bCs/>
          <w:rtl/>
          <w:lang/>
        </w:rPr>
        <w:tab/>
      </w:r>
      <w:r w:rsidR="0069689D" w:rsidRPr="002F0377">
        <w:rPr>
          <w:rFonts w:hint="cs"/>
          <w:b/>
          <w:bCs/>
          <w:rtl/>
          <w:lang/>
        </w:rPr>
        <w:t xml:space="preserve">توصي اللجنة الدولة الطرف </w:t>
      </w:r>
      <w:r w:rsidRPr="002F0377">
        <w:rPr>
          <w:rFonts w:hint="cs"/>
          <w:b/>
          <w:bCs/>
          <w:rtl/>
          <w:lang/>
        </w:rPr>
        <w:t>بالتعجيل ب</w:t>
      </w:r>
      <w:r w:rsidR="0069689D" w:rsidRPr="002F0377">
        <w:rPr>
          <w:rFonts w:hint="cs"/>
          <w:b/>
          <w:bCs/>
          <w:rtl/>
          <w:lang/>
        </w:rPr>
        <w:t>اعتماد وتنفيذ سياسة العمل الوطنية الجديد</w:t>
      </w:r>
      <w:r w:rsidR="0033456F" w:rsidRPr="002F0377">
        <w:rPr>
          <w:rFonts w:hint="cs"/>
          <w:b/>
          <w:bCs/>
          <w:rtl/>
          <w:lang/>
        </w:rPr>
        <w:t xml:space="preserve">ة وخطة العمل الوظيفية. كما توصيها </w:t>
      </w:r>
      <w:r w:rsidR="0069689D" w:rsidRPr="002F0377">
        <w:rPr>
          <w:rFonts w:hint="cs"/>
          <w:b/>
          <w:bCs/>
          <w:rtl/>
          <w:lang/>
        </w:rPr>
        <w:t>بأن تدرج نهجاً قائماً على الحقوق في هذه السياسة. وتوجه اللجنة انتباه الدولة</w:t>
      </w:r>
      <w:r w:rsidR="0033456F" w:rsidRPr="002F0377">
        <w:rPr>
          <w:rFonts w:hint="cs"/>
          <w:b/>
          <w:bCs/>
          <w:rtl/>
          <w:lang/>
        </w:rPr>
        <w:t xml:space="preserve"> الطرف إلى تعليقها العام رقم 18</w:t>
      </w:r>
      <w:r w:rsidR="0069689D" w:rsidRPr="002F0377">
        <w:rPr>
          <w:rFonts w:hint="cs"/>
          <w:b/>
          <w:bCs/>
          <w:rtl/>
        </w:rPr>
        <w:t xml:space="preserve">(2005) بشأن الحق في العمل. </w:t>
      </w:r>
      <w:r w:rsidR="0033456F" w:rsidRPr="002F0377">
        <w:rPr>
          <w:rFonts w:hint="cs"/>
          <w:b/>
          <w:bCs/>
          <w:rtl/>
        </w:rPr>
        <w:t xml:space="preserve">وتشجعها أيضاً </w:t>
      </w:r>
      <w:r w:rsidR="0069689D" w:rsidRPr="002F0377">
        <w:rPr>
          <w:rFonts w:hint="cs"/>
          <w:b/>
          <w:bCs/>
          <w:rtl/>
        </w:rPr>
        <w:t>على بذل المزيد من الجهود لتوعية عامة الناس بوجود الوكالة الوطنية للعمالة وباختصاصاتها.</w:t>
      </w:r>
    </w:p>
    <w:p w:rsidR="0069689D" w:rsidRDefault="0069689D" w:rsidP="002F0377">
      <w:pPr>
        <w:pStyle w:val="SingleTxtGA"/>
        <w:rPr>
          <w:rFonts w:hint="cs"/>
          <w:rtl/>
          <w:lang/>
        </w:rPr>
      </w:pPr>
      <w:r w:rsidRPr="0054792F">
        <w:rPr>
          <w:rFonts w:hint="cs"/>
          <w:rtl/>
        </w:rPr>
        <w:t>16-</w:t>
      </w:r>
      <w:r w:rsidRPr="0054792F">
        <w:rPr>
          <w:rFonts w:hint="cs"/>
          <w:rtl/>
        </w:rPr>
        <w:tab/>
        <w:t xml:space="preserve">وتلاحظ اللجنة مع القلق </w:t>
      </w:r>
      <w:r w:rsidR="0033456F">
        <w:rPr>
          <w:rFonts w:hint="cs"/>
          <w:rtl/>
        </w:rPr>
        <w:t xml:space="preserve">شدة انخفاض </w:t>
      </w:r>
      <w:r>
        <w:rPr>
          <w:rFonts w:hint="cs"/>
          <w:rtl/>
        </w:rPr>
        <w:t>مستوى ا</w:t>
      </w:r>
      <w:r>
        <w:rPr>
          <w:rFonts w:hint="cs"/>
          <w:rtl/>
          <w:lang/>
        </w:rPr>
        <w:t xml:space="preserve">لحد الأدنى للأجور ومرتبات القطاع العام. وتعتبر أن عدم تطبيق الحد الأدنى للأجور على العمال القرويين أو العمال المنزليين أو العمال في القطاع غير النظامي يبعث على القلق بشكل أكبر </w:t>
      </w:r>
      <w:r>
        <w:rPr>
          <w:rFonts w:hint="cs"/>
          <w:rtl/>
        </w:rPr>
        <w:t>(المادة 7)</w:t>
      </w:r>
      <w:r>
        <w:rPr>
          <w:rFonts w:hint="cs"/>
          <w:rtl/>
          <w:lang/>
        </w:rPr>
        <w:t>.</w:t>
      </w:r>
    </w:p>
    <w:p w:rsidR="0069689D" w:rsidRPr="002F0377" w:rsidRDefault="0033456F" w:rsidP="002F0377">
      <w:pPr>
        <w:pStyle w:val="SingleTxtGA"/>
        <w:rPr>
          <w:rFonts w:hint="cs"/>
          <w:b/>
          <w:bCs/>
          <w:rtl/>
          <w:lang/>
        </w:rPr>
      </w:pPr>
      <w:r w:rsidRPr="002F0377">
        <w:rPr>
          <w:rFonts w:hint="cs"/>
          <w:b/>
          <w:bCs/>
          <w:rtl/>
          <w:lang/>
        </w:rPr>
        <w:tab/>
        <w:t xml:space="preserve">تحث </w:t>
      </w:r>
      <w:r w:rsidR="0069689D" w:rsidRPr="002F0377">
        <w:rPr>
          <w:rFonts w:hint="cs"/>
          <w:b/>
          <w:bCs/>
          <w:rtl/>
          <w:lang/>
        </w:rPr>
        <w:t xml:space="preserve">اللجنة </w:t>
      </w:r>
      <w:r w:rsidRPr="002F0377">
        <w:rPr>
          <w:rFonts w:hint="cs"/>
          <w:b/>
          <w:bCs/>
          <w:rtl/>
          <w:lang/>
        </w:rPr>
        <w:t xml:space="preserve">الدولة الطرف، مذكرة إيّاها بالعمل على ضمان </w:t>
      </w:r>
      <w:r w:rsidR="0069689D" w:rsidRPr="002F0377">
        <w:rPr>
          <w:rFonts w:hint="cs"/>
          <w:b/>
          <w:bCs/>
          <w:rtl/>
          <w:lang/>
        </w:rPr>
        <w:t>حق جميع الأشخاص في ظروف عمل لائقة وعادلة، على رفع مستوى الحد الأدنى للأجور ليتناسب تماماً مع قيمة "سلة سلع المستهلك" لفائدة العمال وأفراد أسرهم وضمان تطبيق الحد الأدنى</w:t>
      </w:r>
      <w:r w:rsidRPr="002F0377">
        <w:rPr>
          <w:rFonts w:hint="cs"/>
          <w:b/>
          <w:bCs/>
          <w:rtl/>
          <w:lang/>
        </w:rPr>
        <w:t xml:space="preserve"> للأجور في جميع القطاعات. وتدعوها </w:t>
      </w:r>
      <w:r w:rsidR="0069689D" w:rsidRPr="002F0377">
        <w:rPr>
          <w:rFonts w:hint="cs"/>
          <w:b/>
          <w:bCs/>
          <w:rtl/>
          <w:lang/>
        </w:rPr>
        <w:t xml:space="preserve">إلى تعديل جداول المرتبات في القطاع العام بهدف تأمين مستويات معيشة لائقة لموظفي القطاع العام </w:t>
      </w:r>
      <w:r w:rsidRPr="002F0377">
        <w:rPr>
          <w:rFonts w:hint="cs"/>
          <w:b/>
          <w:bCs/>
          <w:rtl/>
          <w:lang/>
        </w:rPr>
        <w:t>و</w:t>
      </w:r>
      <w:r w:rsidR="0069689D" w:rsidRPr="002F0377">
        <w:rPr>
          <w:rFonts w:hint="cs"/>
          <w:b/>
          <w:bCs/>
          <w:rtl/>
          <w:lang/>
        </w:rPr>
        <w:t>أسرهم.</w:t>
      </w:r>
    </w:p>
    <w:p w:rsidR="0069689D" w:rsidRDefault="0069689D" w:rsidP="002F0377">
      <w:pPr>
        <w:pStyle w:val="SingleTxtGA"/>
        <w:rPr>
          <w:rFonts w:hint="cs"/>
          <w:rtl/>
        </w:rPr>
      </w:pPr>
      <w:r w:rsidRPr="003D23A6">
        <w:rPr>
          <w:rFonts w:hint="cs"/>
          <w:rtl/>
          <w:lang/>
        </w:rPr>
        <w:t>17-</w:t>
      </w:r>
      <w:r w:rsidRPr="003D23A6">
        <w:rPr>
          <w:rFonts w:hint="cs"/>
          <w:rtl/>
          <w:lang/>
        </w:rPr>
        <w:tab/>
      </w:r>
      <w:r>
        <w:rPr>
          <w:rFonts w:hint="cs"/>
          <w:rtl/>
          <w:lang/>
        </w:rPr>
        <w:t xml:space="preserve">وتشعر اللجنة بالقلق لأن ظروف العمل لا تزال متردية في المنطقة الحرة وأن التأمين الاجتماعي لا يشمل إلا جزءاً فقط من القوى العاملة. </w:t>
      </w:r>
      <w:r w:rsidR="0033456F">
        <w:rPr>
          <w:rFonts w:hint="cs"/>
          <w:rtl/>
          <w:lang/>
        </w:rPr>
        <w:t>و</w:t>
      </w:r>
      <w:r>
        <w:rPr>
          <w:rFonts w:hint="cs"/>
          <w:rtl/>
          <w:lang/>
        </w:rPr>
        <w:t xml:space="preserve">علاوة على ذلك، تحيط اللجنة علماً مع القلق </w:t>
      </w:r>
      <w:r w:rsidR="0033456F">
        <w:rPr>
          <w:rFonts w:hint="cs"/>
          <w:rtl/>
          <w:lang/>
        </w:rPr>
        <w:t xml:space="preserve">برفض </w:t>
      </w:r>
      <w:r>
        <w:rPr>
          <w:rFonts w:hint="cs"/>
          <w:rtl/>
          <w:lang/>
        </w:rPr>
        <w:t xml:space="preserve">شركات تعمل في المنطقة الحرة استقبال مفتشي العمل رغم دخول القانون </w:t>
      </w:r>
      <w:r>
        <w:rPr>
          <w:rFonts w:hint="cs"/>
          <w:rtl/>
        </w:rPr>
        <w:t>المتعلق بإرساء النظام الداخلي لل</w:t>
      </w:r>
      <w:r>
        <w:rPr>
          <w:rFonts w:hint="cs"/>
          <w:rtl/>
          <w:lang/>
        </w:rPr>
        <w:t xml:space="preserve">منطقة الحرة حيز النفاذ في عام 2011 </w:t>
      </w:r>
      <w:r>
        <w:rPr>
          <w:rFonts w:hint="cs"/>
          <w:rtl/>
        </w:rPr>
        <w:t>(المادة 7).</w:t>
      </w:r>
    </w:p>
    <w:p w:rsidR="0069689D" w:rsidRPr="002F0377" w:rsidRDefault="0033456F" w:rsidP="002F0377">
      <w:pPr>
        <w:pStyle w:val="SingleTxtGA"/>
        <w:rPr>
          <w:rFonts w:hint="cs"/>
          <w:b/>
          <w:bCs/>
          <w:rtl/>
        </w:rPr>
      </w:pPr>
      <w:r w:rsidRPr="002F0377">
        <w:rPr>
          <w:rFonts w:hint="cs"/>
          <w:b/>
          <w:bCs/>
          <w:rtl/>
        </w:rPr>
        <w:tab/>
      </w:r>
      <w:r w:rsidR="0069689D" w:rsidRPr="002F0377">
        <w:rPr>
          <w:rFonts w:hint="cs"/>
          <w:b/>
          <w:bCs/>
          <w:rtl/>
        </w:rPr>
        <w:t xml:space="preserve">تحث اللجنة الدولة الطرف </w:t>
      </w:r>
      <w:r w:rsidRPr="002F0377">
        <w:rPr>
          <w:rFonts w:hint="cs"/>
          <w:b/>
          <w:bCs/>
          <w:rtl/>
        </w:rPr>
        <w:t xml:space="preserve">على </w:t>
      </w:r>
      <w:r w:rsidR="0069689D" w:rsidRPr="002F0377">
        <w:rPr>
          <w:rFonts w:hint="cs"/>
          <w:b/>
          <w:bCs/>
          <w:rtl/>
        </w:rPr>
        <w:t>تطبيق قانون العمل على الشركات العاملة في المنطقة الحرة وتفرض عقوبات فعالة في حالة عدم امتثالها للقانون. وتوصي اللجنة أيضاً بأن تضمن الدولة الطرف إلمام الأطراف المعنية بقانون عام 2011 المتعلق بإرساء النظام الداخلي لل</w:t>
      </w:r>
      <w:r w:rsidR="0069689D" w:rsidRPr="002F0377">
        <w:rPr>
          <w:rFonts w:hint="cs"/>
          <w:b/>
          <w:bCs/>
          <w:rtl/>
          <w:lang/>
        </w:rPr>
        <w:t>منطقة الحرة</w:t>
      </w:r>
      <w:r w:rsidR="0069689D" w:rsidRPr="002F0377">
        <w:rPr>
          <w:rFonts w:hint="cs"/>
          <w:b/>
          <w:bCs/>
          <w:rtl/>
        </w:rPr>
        <w:t xml:space="preserve"> وأن تضمن حرية وصول مفتشي العمل إلى جميع شركات المنطقة الحرة.</w:t>
      </w:r>
    </w:p>
    <w:p w:rsidR="0069689D" w:rsidRPr="002F0377" w:rsidRDefault="0033456F" w:rsidP="002F0377">
      <w:pPr>
        <w:pStyle w:val="SingleTxtGA"/>
        <w:rPr>
          <w:rFonts w:hint="cs"/>
          <w:b/>
          <w:bCs/>
          <w:rtl/>
        </w:rPr>
      </w:pPr>
      <w:r w:rsidRPr="002F0377">
        <w:rPr>
          <w:rFonts w:hint="cs"/>
          <w:b/>
          <w:bCs/>
          <w:rtl/>
        </w:rPr>
        <w:tab/>
      </w:r>
      <w:r w:rsidR="0069689D" w:rsidRPr="002F0377">
        <w:rPr>
          <w:rFonts w:hint="cs"/>
          <w:b/>
          <w:bCs/>
          <w:rtl/>
        </w:rPr>
        <w:t xml:space="preserve">وتطلب اللجنة </w:t>
      </w:r>
      <w:r w:rsidRPr="002F0377">
        <w:rPr>
          <w:rFonts w:hint="cs"/>
          <w:b/>
          <w:bCs/>
          <w:rtl/>
        </w:rPr>
        <w:t xml:space="preserve">إلى الدولة الطرف أن تدرج </w:t>
      </w:r>
      <w:r w:rsidR="0069689D" w:rsidRPr="002F0377">
        <w:rPr>
          <w:rFonts w:hint="cs"/>
          <w:b/>
          <w:bCs/>
          <w:rtl/>
        </w:rPr>
        <w:t xml:space="preserve">في تقريرها الدوري المقبل إحصاءات بشأن نزاعات العمل، بما يشمل شركات المنطقة الحرة. وتطلب </w:t>
      </w:r>
      <w:r w:rsidRPr="002F0377">
        <w:rPr>
          <w:rFonts w:hint="cs"/>
          <w:b/>
          <w:bCs/>
          <w:rtl/>
        </w:rPr>
        <w:t xml:space="preserve">إليها </w:t>
      </w:r>
      <w:r w:rsidR="0069689D" w:rsidRPr="002F0377">
        <w:rPr>
          <w:rFonts w:hint="cs"/>
          <w:b/>
          <w:bCs/>
          <w:rtl/>
        </w:rPr>
        <w:t xml:space="preserve">أيضاً أن تُوضح الدور الذي تضطلع به شركة تسيير المناطق الحرة </w:t>
      </w:r>
      <w:r w:rsidR="0069689D" w:rsidRPr="002F0377">
        <w:rPr>
          <w:b/>
          <w:bCs/>
          <w:lang w:val="fr-FR"/>
        </w:rPr>
        <w:t>(SAZOF)</w:t>
      </w:r>
      <w:r w:rsidR="0069689D" w:rsidRPr="002F0377">
        <w:rPr>
          <w:rFonts w:hint="cs"/>
          <w:b/>
          <w:bCs/>
          <w:rtl/>
        </w:rPr>
        <w:t xml:space="preserve"> في الإطار القانوني الجديد.</w:t>
      </w:r>
    </w:p>
    <w:p w:rsidR="0069689D" w:rsidRDefault="0069689D" w:rsidP="002F0377">
      <w:pPr>
        <w:pStyle w:val="SingleTxtGA"/>
        <w:rPr>
          <w:rFonts w:hint="cs"/>
          <w:rtl/>
        </w:rPr>
      </w:pPr>
      <w:r w:rsidRPr="004E2B88">
        <w:rPr>
          <w:rFonts w:hint="cs"/>
          <w:rtl/>
        </w:rPr>
        <w:t>18-</w:t>
      </w:r>
      <w:r w:rsidRPr="004E2B88">
        <w:rPr>
          <w:rFonts w:hint="cs"/>
          <w:rtl/>
        </w:rPr>
        <w:tab/>
      </w:r>
      <w:r>
        <w:rPr>
          <w:rFonts w:hint="cs"/>
          <w:rtl/>
        </w:rPr>
        <w:t xml:space="preserve">وتشعر اللجنة بالقلق </w:t>
      </w:r>
      <w:r w:rsidR="0033456F">
        <w:rPr>
          <w:rFonts w:hint="cs"/>
          <w:rtl/>
        </w:rPr>
        <w:t xml:space="preserve">لعدم تمتع </w:t>
      </w:r>
      <w:r>
        <w:rPr>
          <w:rFonts w:hint="cs"/>
          <w:rtl/>
        </w:rPr>
        <w:t xml:space="preserve">الأشخاص العاملين في القطاع غير النظامي، </w:t>
      </w:r>
      <w:r w:rsidR="0033456F">
        <w:rPr>
          <w:rFonts w:hint="cs"/>
          <w:rtl/>
        </w:rPr>
        <w:t xml:space="preserve">بمن فيهم </w:t>
      </w:r>
      <w:r>
        <w:rPr>
          <w:rFonts w:hint="cs"/>
          <w:rtl/>
        </w:rPr>
        <w:t xml:space="preserve">العمال </w:t>
      </w:r>
      <w:proofErr w:type="spellStart"/>
      <w:r>
        <w:rPr>
          <w:rFonts w:hint="cs"/>
          <w:rtl/>
        </w:rPr>
        <w:t>المنزليون</w:t>
      </w:r>
      <w:proofErr w:type="spellEnd"/>
      <w:r>
        <w:rPr>
          <w:rFonts w:hint="cs"/>
          <w:rtl/>
        </w:rPr>
        <w:t>، بظروف عمل منصفة ومرضية (المادتان 7 و9).</w:t>
      </w:r>
    </w:p>
    <w:p w:rsidR="0069689D" w:rsidRPr="002F0377" w:rsidRDefault="0033456F" w:rsidP="002F0377">
      <w:pPr>
        <w:pStyle w:val="SingleTxtGA"/>
        <w:rPr>
          <w:rFonts w:hint="cs"/>
          <w:b/>
          <w:bCs/>
          <w:rtl/>
        </w:rPr>
      </w:pPr>
      <w:r w:rsidRPr="002F0377">
        <w:rPr>
          <w:rFonts w:hint="cs"/>
          <w:b/>
          <w:bCs/>
          <w:rtl/>
        </w:rPr>
        <w:tab/>
      </w:r>
      <w:r w:rsidR="0069689D" w:rsidRPr="002F0377">
        <w:rPr>
          <w:rFonts w:hint="cs"/>
          <w:b/>
          <w:bCs/>
          <w:rtl/>
        </w:rPr>
        <w:t xml:space="preserve">توصي اللجنة أن تطبق الدولة الطرف قانون العمل والتشريعات الاجتماعية بداخل القطاع غير النظامي، لاسيما بفتحه أمام إدارات تفتيش العمل. وتطلب اللجنة أن تتصدى الدولة الطرف للعوائق التنظيمية التي </w:t>
      </w:r>
      <w:r w:rsidRPr="002F0377">
        <w:rPr>
          <w:rFonts w:hint="cs"/>
          <w:b/>
          <w:bCs/>
          <w:rtl/>
        </w:rPr>
        <w:t xml:space="preserve">تحول دون </w:t>
      </w:r>
      <w:r w:rsidR="0069689D" w:rsidRPr="002F0377">
        <w:rPr>
          <w:rFonts w:hint="cs"/>
          <w:b/>
          <w:bCs/>
          <w:rtl/>
        </w:rPr>
        <w:t>استحداث الوظائف في القطاع غير النظامي.</w:t>
      </w:r>
    </w:p>
    <w:p w:rsidR="0069689D" w:rsidRDefault="0069689D" w:rsidP="002F0377">
      <w:pPr>
        <w:pStyle w:val="SingleTxtGA"/>
        <w:rPr>
          <w:rFonts w:hint="cs"/>
          <w:rtl/>
        </w:rPr>
      </w:pPr>
      <w:r>
        <w:rPr>
          <w:rFonts w:hint="cs"/>
          <w:rtl/>
        </w:rPr>
        <w:t>19-</w:t>
      </w:r>
      <w:r>
        <w:rPr>
          <w:rFonts w:hint="cs"/>
          <w:rtl/>
        </w:rPr>
        <w:tab/>
        <w:t>وتلاحظ اللجنة مع القلق أن شريحة عريضة من سكان الدولة الطرف لا تتمتع بأي شكل من أشكال الحماية الاجتماعية، رغم اعتماد قانون التأمين الطبي وقانون الض</w:t>
      </w:r>
      <w:r w:rsidR="0033456F">
        <w:rPr>
          <w:rFonts w:hint="cs"/>
          <w:rtl/>
        </w:rPr>
        <w:t>مان الاجتماعي في عام 2011، اللذي</w:t>
      </w:r>
      <w:r>
        <w:rPr>
          <w:rFonts w:hint="cs"/>
          <w:rtl/>
        </w:rPr>
        <w:t xml:space="preserve">ن يوسعان نطاق نظام التغطية بشكل كبير. </w:t>
      </w:r>
      <w:r w:rsidR="0033456F">
        <w:rPr>
          <w:rFonts w:hint="cs"/>
          <w:rtl/>
          <w:lang/>
        </w:rPr>
        <w:t xml:space="preserve">وتأسف اللجنة أيضاً لبطء </w:t>
      </w:r>
      <w:r>
        <w:rPr>
          <w:rFonts w:hint="cs"/>
          <w:rtl/>
          <w:lang/>
        </w:rPr>
        <w:t>تنفيذ الإصلاحات المقررة وتشعر بالقلق إزاء معل</w:t>
      </w:r>
      <w:r w:rsidR="0033456F">
        <w:rPr>
          <w:rFonts w:hint="cs"/>
          <w:rtl/>
          <w:lang/>
        </w:rPr>
        <w:t>ومات وردت</w:t>
      </w:r>
      <w:r>
        <w:rPr>
          <w:rFonts w:hint="cs"/>
          <w:rtl/>
          <w:lang/>
        </w:rPr>
        <w:t xml:space="preserve">ها تفيد </w:t>
      </w:r>
      <w:r w:rsidR="0033456F">
        <w:rPr>
          <w:rFonts w:hint="cs"/>
          <w:rtl/>
          <w:lang/>
        </w:rPr>
        <w:t>ب</w:t>
      </w:r>
      <w:r>
        <w:rPr>
          <w:rFonts w:hint="cs"/>
          <w:rtl/>
          <w:lang/>
        </w:rPr>
        <w:t xml:space="preserve">أن الوضع المالي لمؤسسات الضمان الاجتماعي غير مستدام </w:t>
      </w:r>
      <w:r>
        <w:rPr>
          <w:rFonts w:hint="cs"/>
          <w:rtl/>
        </w:rPr>
        <w:t>(المادة 9).</w:t>
      </w:r>
    </w:p>
    <w:p w:rsidR="0069689D" w:rsidRPr="002F0377" w:rsidRDefault="0033456F" w:rsidP="0023124D">
      <w:pPr>
        <w:pStyle w:val="SingleTxtGA"/>
        <w:rPr>
          <w:rFonts w:hint="cs"/>
          <w:b/>
          <w:bCs/>
          <w:rtl/>
        </w:rPr>
      </w:pPr>
      <w:r w:rsidRPr="002F0377">
        <w:rPr>
          <w:rFonts w:hint="cs"/>
          <w:b/>
          <w:bCs/>
          <w:rtl/>
        </w:rPr>
        <w:tab/>
      </w:r>
      <w:r w:rsidR="0069689D" w:rsidRPr="002F0377">
        <w:rPr>
          <w:rFonts w:hint="cs"/>
          <w:b/>
          <w:bCs/>
          <w:rtl/>
        </w:rPr>
        <w:t>تحث اللجنة الدولة الطرف على التعجيل بتنفيذ نظام الضمان الاجتماعي بهدف توسيع نطاق التغطية على النحو المنصوص عليه في قانون الضمان الاجتماعي لعام</w:t>
      </w:r>
      <w:r w:rsidR="0023124D">
        <w:rPr>
          <w:rFonts w:hint="eastAsia"/>
          <w:b/>
          <w:bCs/>
          <w:rtl/>
        </w:rPr>
        <w:t> </w:t>
      </w:r>
      <w:r w:rsidR="0069689D" w:rsidRPr="002F0377">
        <w:rPr>
          <w:rFonts w:hint="cs"/>
          <w:b/>
          <w:bCs/>
          <w:rtl/>
        </w:rPr>
        <w:t>2011 بأقصى سرعة ممكنة. وتوصي</w:t>
      </w:r>
      <w:r w:rsidRPr="002F0377">
        <w:rPr>
          <w:rFonts w:hint="cs"/>
          <w:b/>
          <w:bCs/>
          <w:rtl/>
        </w:rPr>
        <w:t>ها</w:t>
      </w:r>
      <w:r w:rsidR="0069689D" w:rsidRPr="002F0377">
        <w:rPr>
          <w:rFonts w:hint="cs"/>
          <w:b/>
          <w:bCs/>
          <w:rtl/>
        </w:rPr>
        <w:t xml:space="preserve"> بضمان </w:t>
      </w:r>
      <w:r w:rsidRPr="002F0377">
        <w:rPr>
          <w:rFonts w:hint="cs"/>
          <w:b/>
          <w:bCs/>
          <w:rtl/>
        </w:rPr>
        <w:t xml:space="preserve">استناد </w:t>
      </w:r>
      <w:r w:rsidR="0069689D" w:rsidRPr="002F0377">
        <w:rPr>
          <w:rFonts w:hint="cs"/>
          <w:b/>
          <w:bCs/>
          <w:rtl/>
        </w:rPr>
        <w:t xml:space="preserve">هذه الإصلاحات </w:t>
      </w:r>
      <w:r w:rsidRPr="002F0377">
        <w:rPr>
          <w:rFonts w:hint="cs"/>
          <w:b/>
          <w:bCs/>
          <w:rtl/>
        </w:rPr>
        <w:t xml:space="preserve">إلى </w:t>
      </w:r>
      <w:r w:rsidR="0069689D" w:rsidRPr="002F0377">
        <w:rPr>
          <w:rFonts w:hint="cs"/>
          <w:b/>
          <w:bCs/>
          <w:rtl/>
        </w:rPr>
        <w:t xml:space="preserve">مؤسسات مستدامة وإجراءات </w:t>
      </w:r>
      <w:r w:rsidRPr="002F0377">
        <w:rPr>
          <w:rFonts w:hint="cs"/>
          <w:b/>
          <w:bCs/>
          <w:rtl/>
        </w:rPr>
        <w:t xml:space="preserve">يمكن </w:t>
      </w:r>
      <w:r w:rsidR="0069689D" w:rsidRPr="002F0377">
        <w:rPr>
          <w:rFonts w:hint="cs"/>
          <w:b/>
          <w:bCs/>
          <w:rtl/>
        </w:rPr>
        <w:t>للجميع</w:t>
      </w:r>
      <w:r w:rsidRPr="002F0377">
        <w:rPr>
          <w:rFonts w:hint="cs"/>
          <w:b/>
          <w:bCs/>
          <w:rtl/>
        </w:rPr>
        <w:t xml:space="preserve"> الاستفادة منها</w:t>
      </w:r>
      <w:r w:rsidR="0069689D" w:rsidRPr="002F0377">
        <w:rPr>
          <w:rFonts w:hint="cs"/>
          <w:b/>
          <w:bCs/>
          <w:rtl/>
        </w:rPr>
        <w:t>. وتحيل اللجنة الدولة الطرف إلى ت</w:t>
      </w:r>
      <w:r w:rsidR="00B6601B">
        <w:rPr>
          <w:rFonts w:hint="cs"/>
          <w:b/>
          <w:bCs/>
          <w:rtl/>
        </w:rPr>
        <w:t>عليقها العام رقم 19</w:t>
      </w:r>
      <w:r w:rsidR="0069689D" w:rsidRPr="002F0377">
        <w:rPr>
          <w:rFonts w:hint="cs"/>
          <w:b/>
          <w:bCs/>
          <w:rtl/>
        </w:rPr>
        <w:t>(2007) بشأن الحق في الضمان الاجتماعي.</w:t>
      </w:r>
    </w:p>
    <w:p w:rsidR="0069689D" w:rsidRDefault="0069689D" w:rsidP="002F0377">
      <w:pPr>
        <w:pStyle w:val="SingleTxtGA"/>
        <w:rPr>
          <w:rFonts w:hint="cs"/>
          <w:rtl/>
        </w:rPr>
      </w:pPr>
      <w:r w:rsidRPr="007532F8">
        <w:rPr>
          <w:rFonts w:hint="cs"/>
          <w:rtl/>
        </w:rPr>
        <w:t>20-</w:t>
      </w:r>
      <w:r w:rsidRPr="007532F8">
        <w:rPr>
          <w:rFonts w:hint="cs"/>
          <w:rtl/>
        </w:rPr>
        <w:tab/>
      </w:r>
      <w:r>
        <w:rPr>
          <w:rFonts w:hint="cs"/>
          <w:rtl/>
        </w:rPr>
        <w:t xml:space="preserve">وتوجه اللجنة الانتباه، </w:t>
      </w:r>
      <w:r>
        <w:rPr>
          <w:rFonts w:hint="cs"/>
          <w:rtl/>
          <w:lang/>
        </w:rPr>
        <w:t xml:space="preserve">بقلق بالغ، إلى انتشار عمل الأطفال في الدولة الطرف، لاسيما في أشد المناطق حرماناً </w:t>
      </w:r>
      <w:r>
        <w:rPr>
          <w:rFonts w:hint="cs"/>
          <w:rtl/>
        </w:rPr>
        <w:t>(المادة 10).</w:t>
      </w:r>
    </w:p>
    <w:p w:rsidR="0069689D" w:rsidRPr="002F0377" w:rsidRDefault="0033456F" w:rsidP="002F0377">
      <w:pPr>
        <w:pStyle w:val="SingleTxtGA"/>
        <w:rPr>
          <w:rFonts w:hint="cs"/>
          <w:b/>
          <w:bCs/>
          <w:rtl/>
        </w:rPr>
      </w:pPr>
      <w:r w:rsidRPr="002F0377">
        <w:rPr>
          <w:rFonts w:hint="cs"/>
          <w:b/>
          <w:bCs/>
          <w:rtl/>
        </w:rPr>
        <w:tab/>
      </w:r>
      <w:r w:rsidR="0069689D" w:rsidRPr="002F0377">
        <w:rPr>
          <w:rFonts w:hint="cs"/>
          <w:b/>
          <w:bCs/>
          <w:rtl/>
        </w:rPr>
        <w:t xml:space="preserve">تحث اللجنة الدولة الطرف على تنفيذ خطة العمل الوطنية لمكافحة عمل الأطفال وضمان </w:t>
      </w:r>
      <w:r w:rsidR="008800C2">
        <w:rPr>
          <w:rFonts w:hint="cs"/>
          <w:b/>
          <w:bCs/>
          <w:rtl/>
        </w:rPr>
        <w:t>تخصيص</w:t>
      </w:r>
      <w:r w:rsidRPr="002F0377">
        <w:rPr>
          <w:rFonts w:hint="cs"/>
          <w:b/>
          <w:bCs/>
          <w:rtl/>
        </w:rPr>
        <w:t xml:space="preserve"> الموارد اللازمة لها</w:t>
      </w:r>
      <w:r w:rsidR="0069689D" w:rsidRPr="002F0377">
        <w:rPr>
          <w:rFonts w:hint="cs"/>
          <w:b/>
          <w:bCs/>
          <w:rtl/>
        </w:rPr>
        <w:t>.</w:t>
      </w:r>
    </w:p>
    <w:p w:rsidR="0069689D" w:rsidRDefault="0069689D" w:rsidP="002F0377">
      <w:pPr>
        <w:pStyle w:val="SingleTxtGA"/>
        <w:rPr>
          <w:rFonts w:hint="cs"/>
          <w:rtl/>
        </w:rPr>
      </w:pPr>
      <w:r w:rsidRPr="00C65F21">
        <w:rPr>
          <w:rFonts w:hint="cs"/>
          <w:rtl/>
        </w:rPr>
        <w:t>21-</w:t>
      </w:r>
      <w:r w:rsidRPr="00C65F21">
        <w:rPr>
          <w:rFonts w:hint="cs"/>
          <w:rtl/>
        </w:rPr>
        <w:tab/>
      </w:r>
      <w:r>
        <w:rPr>
          <w:rFonts w:hint="cs"/>
          <w:rtl/>
        </w:rPr>
        <w:t xml:space="preserve">وتشعر اللجنة بالقلق لأن صعوبة الحصول على </w:t>
      </w:r>
      <w:r w:rsidR="0033456F">
        <w:rPr>
          <w:rFonts w:hint="cs"/>
          <w:rtl/>
          <w:lang/>
        </w:rPr>
        <w:t xml:space="preserve">شهادات </w:t>
      </w:r>
      <w:r>
        <w:rPr>
          <w:rFonts w:hint="cs"/>
          <w:rtl/>
          <w:lang/>
        </w:rPr>
        <w:t xml:space="preserve">الحالة المدنية تحرم </w:t>
      </w:r>
      <w:r w:rsidR="00341F39">
        <w:rPr>
          <w:rFonts w:hint="cs"/>
          <w:rtl/>
          <w:lang/>
        </w:rPr>
        <w:t xml:space="preserve">كثيراً </w:t>
      </w:r>
      <w:r>
        <w:rPr>
          <w:rFonts w:hint="cs"/>
          <w:rtl/>
          <w:lang/>
        </w:rPr>
        <w:t xml:space="preserve">من </w:t>
      </w:r>
      <w:r w:rsidR="00341F39">
        <w:rPr>
          <w:rFonts w:hint="cs"/>
          <w:rtl/>
          <w:lang/>
        </w:rPr>
        <w:t xml:space="preserve">الناس </w:t>
      </w:r>
      <w:r>
        <w:rPr>
          <w:rFonts w:hint="cs"/>
          <w:rtl/>
          <w:lang/>
        </w:rPr>
        <w:t xml:space="preserve">في الدولة الطرف من ممارسة حقوقهم الاقتصادية والاجتماعية والثقافية </w:t>
      </w:r>
      <w:r>
        <w:rPr>
          <w:rFonts w:hint="cs"/>
          <w:rtl/>
        </w:rPr>
        <w:t>(المادة 10).</w:t>
      </w:r>
    </w:p>
    <w:p w:rsidR="0069689D" w:rsidRPr="002F0377" w:rsidRDefault="00341F39" w:rsidP="002F0377">
      <w:pPr>
        <w:pStyle w:val="SingleTxtGA"/>
        <w:rPr>
          <w:rFonts w:hint="cs"/>
          <w:b/>
          <w:bCs/>
          <w:rtl/>
          <w:lang/>
        </w:rPr>
      </w:pPr>
      <w:r w:rsidRPr="002F0377">
        <w:rPr>
          <w:rFonts w:hint="cs"/>
          <w:b/>
          <w:bCs/>
          <w:rtl/>
        </w:rPr>
        <w:tab/>
      </w:r>
      <w:r w:rsidR="0069689D" w:rsidRPr="002F0377">
        <w:rPr>
          <w:rFonts w:hint="cs"/>
          <w:b/>
          <w:bCs/>
          <w:rtl/>
        </w:rPr>
        <w:t xml:space="preserve">تطلب اللجنة أن </w:t>
      </w:r>
      <w:r w:rsidRPr="002F0377">
        <w:rPr>
          <w:rFonts w:hint="cs"/>
          <w:b/>
          <w:bCs/>
          <w:rtl/>
        </w:rPr>
        <w:t xml:space="preserve">تعجّل </w:t>
      </w:r>
      <w:r w:rsidR="0069689D" w:rsidRPr="002F0377">
        <w:rPr>
          <w:rFonts w:hint="cs"/>
          <w:b/>
          <w:bCs/>
          <w:rtl/>
        </w:rPr>
        <w:t xml:space="preserve">الدولة الطرف </w:t>
      </w:r>
      <w:r w:rsidRPr="002F0377">
        <w:rPr>
          <w:rFonts w:hint="cs"/>
          <w:b/>
          <w:bCs/>
          <w:rtl/>
          <w:lang/>
        </w:rPr>
        <w:t>ب</w:t>
      </w:r>
      <w:r w:rsidR="0069689D" w:rsidRPr="002F0377">
        <w:rPr>
          <w:rFonts w:hint="cs"/>
          <w:b/>
          <w:bCs/>
          <w:rtl/>
          <w:lang/>
        </w:rPr>
        <w:t xml:space="preserve">عملية </w:t>
      </w:r>
      <w:r w:rsidR="0069689D" w:rsidRPr="002F0377">
        <w:rPr>
          <w:rFonts w:hint="cs"/>
          <w:b/>
          <w:bCs/>
          <w:rtl/>
        </w:rPr>
        <w:t xml:space="preserve">تسجيل </w:t>
      </w:r>
      <w:r w:rsidRPr="002F0377">
        <w:rPr>
          <w:rFonts w:hint="cs"/>
          <w:b/>
          <w:bCs/>
          <w:rtl/>
        </w:rPr>
        <w:t xml:space="preserve">المواليد </w:t>
      </w:r>
      <w:r w:rsidR="0069689D" w:rsidRPr="002F0377">
        <w:rPr>
          <w:rFonts w:hint="cs"/>
          <w:b/>
          <w:bCs/>
          <w:rtl/>
        </w:rPr>
        <w:t xml:space="preserve">الذين لا يحملون وثائق هوية وأن تضمن وجود </w:t>
      </w:r>
      <w:r w:rsidR="0069689D" w:rsidRPr="002F0377">
        <w:rPr>
          <w:rFonts w:hint="cs"/>
          <w:b/>
          <w:bCs/>
          <w:rtl/>
          <w:lang/>
        </w:rPr>
        <w:t>دوائر الحالة المدنية في جميع أنحاء البلد.</w:t>
      </w:r>
    </w:p>
    <w:p w:rsidR="0069689D" w:rsidRDefault="0069689D" w:rsidP="0023124D">
      <w:pPr>
        <w:pStyle w:val="SingleTxtGA"/>
        <w:rPr>
          <w:rFonts w:hint="cs"/>
          <w:rtl/>
          <w:lang/>
        </w:rPr>
      </w:pPr>
      <w:r w:rsidRPr="00E220EF">
        <w:rPr>
          <w:rFonts w:hint="cs"/>
          <w:rtl/>
          <w:lang/>
        </w:rPr>
        <w:t>22-</w:t>
      </w:r>
      <w:r>
        <w:rPr>
          <w:rFonts w:hint="cs"/>
          <w:rtl/>
          <w:lang/>
        </w:rPr>
        <w:tab/>
        <w:t xml:space="preserve">وتلاحظ اللجنة بقلق أن الغالبية الساحقة من سكان الدولة الطرف، </w:t>
      </w:r>
      <w:r w:rsidR="00341F39">
        <w:rPr>
          <w:rFonts w:hint="cs"/>
          <w:rtl/>
          <w:lang/>
        </w:rPr>
        <w:t xml:space="preserve">بمن فيهم </w:t>
      </w:r>
      <w:r>
        <w:rPr>
          <w:rFonts w:hint="cs"/>
          <w:rtl/>
          <w:lang/>
        </w:rPr>
        <w:t xml:space="preserve">النساء والشباب، يعيشون في حالة فقر رغم تنفيذ استراتيجية الحد من الفقر منذ 2008. كما تلاحظ بقلق أن الفقر ازداد حدة وأنه يؤثر في </w:t>
      </w:r>
      <w:r w:rsidR="00341F39">
        <w:rPr>
          <w:rFonts w:hint="cs"/>
          <w:rtl/>
          <w:lang/>
        </w:rPr>
        <w:t xml:space="preserve">أعداد متزايدة من الناس </w:t>
      </w:r>
      <w:r>
        <w:rPr>
          <w:rFonts w:hint="cs"/>
          <w:rtl/>
          <w:lang/>
        </w:rPr>
        <w:t xml:space="preserve">في </w:t>
      </w:r>
      <w:r w:rsidR="00341F39">
        <w:rPr>
          <w:rFonts w:hint="cs"/>
          <w:rtl/>
          <w:lang/>
        </w:rPr>
        <w:t xml:space="preserve">المناطق الريفية </w:t>
      </w:r>
      <w:r>
        <w:rPr>
          <w:rFonts w:hint="cs"/>
          <w:rtl/>
          <w:lang/>
        </w:rPr>
        <w:t xml:space="preserve">وفي بعض المناطق، </w:t>
      </w:r>
      <w:r w:rsidR="00341F39">
        <w:rPr>
          <w:rFonts w:hint="cs"/>
          <w:rtl/>
          <w:lang/>
        </w:rPr>
        <w:t xml:space="preserve">مثل </w:t>
      </w:r>
      <w:r>
        <w:rPr>
          <w:rFonts w:hint="cs"/>
          <w:rtl/>
          <w:lang/>
        </w:rPr>
        <w:t xml:space="preserve">منطقة </w:t>
      </w:r>
      <w:proofErr w:type="spellStart"/>
      <w:r>
        <w:rPr>
          <w:rFonts w:hint="cs"/>
          <w:rtl/>
          <w:lang/>
        </w:rPr>
        <w:t>السافانا</w:t>
      </w:r>
      <w:proofErr w:type="spellEnd"/>
      <w:r>
        <w:rPr>
          <w:rFonts w:hint="cs"/>
          <w:rtl/>
          <w:lang/>
        </w:rPr>
        <w:t xml:space="preserve"> والمنطقة الوسطى ومنطقة </w:t>
      </w:r>
      <w:proofErr w:type="spellStart"/>
      <w:r>
        <w:rPr>
          <w:rFonts w:hint="cs"/>
          <w:rtl/>
          <w:lang/>
        </w:rPr>
        <w:t>كارا</w:t>
      </w:r>
      <w:proofErr w:type="spellEnd"/>
      <w:r>
        <w:rPr>
          <w:rFonts w:hint="cs"/>
          <w:rtl/>
          <w:lang/>
        </w:rPr>
        <w:t xml:space="preserve"> والمنطقة الساحلية </w:t>
      </w:r>
      <w:r>
        <w:rPr>
          <w:rFonts w:hint="cs"/>
          <w:rtl/>
        </w:rPr>
        <w:t>(المادة</w:t>
      </w:r>
      <w:r w:rsidR="0023124D">
        <w:rPr>
          <w:rFonts w:hint="eastAsia"/>
          <w:rtl/>
        </w:rPr>
        <w:t> </w:t>
      </w:r>
      <w:r>
        <w:rPr>
          <w:rFonts w:hint="cs"/>
          <w:rtl/>
        </w:rPr>
        <w:t>11)</w:t>
      </w:r>
      <w:r>
        <w:rPr>
          <w:rFonts w:hint="cs"/>
          <w:rtl/>
          <w:lang/>
        </w:rPr>
        <w:t>.</w:t>
      </w:r>
    </w:p>
    <w:p w:rsidR="0069689D" w:rsidRPr="002F0377" w:rsidRDefault="00341F39" w:rsidP="005241AB">
      <w:pPr>
        <w:pStyle w:val="SingleTxtGA"/>
        <w:rPr>
          <w:rFonts w:hint="cs"/>
          <w:b/>
          <w:bCs/>
          <w:rtl/>
          <w:lang w:val="fr-FR"/>
        </w:rPr>
      </w:pPr>
      <w:r w:rsidRPr="002F0377">
        <w:rPr>
          <w:rFonts w:hint="cs"/>
          <w:b/>
          <w:bCs/>
          <w:rtl/>
          <w:lang/>
        </w:rPr>
        <w:tab/>
      </w:r>
      <w:r w:rsidR="0069689D" w:rsidRPr="002F0377">
        <w:rPr>
          <w:rFonts w:hint="cs"/>
          <w:b/>
          <w:bCs/>
          <w:rtl/>
          <w:lang/>
        </w:rPr>
        <w:t xml:space="preserve">توصي اللجنة بأن تسهر الدولة الطرف على إعطاء استراتيجية تسريع النمو </w:t>
      </w:r>
      <w:r w:rsidRPr="002F0377">
        <w:rPr>
          <w:rFonts w:hint="cs"/>
          <w:b/>
          <w:bCs/>
          <w:rtl/>
          <w:lang/>
        </w:rPr>
        <w:t xml:space="preserve">والنهوض بالعمالة </w:t>
      </w:r>
      <w:r w:rsidR="0069689D" w:rsidRPr="002F0377">
        <w:rPr>
          <w:rFonts w:hint="cs"/>
          <w:b/>
          <w:bCs/>
          <w:rtl/>
          <w:lang/>
        </w:rPr>
        <w:t xml:space="preserve">الأولوية والموارد الكافيتين لمكافحة الفقر في </w:t>
      </w:r>
      <w:r w:rsidRPr="002F0377">
        <w:rPr>
          <w:rFonts w:hint="cs"/>
          <w:b/>
          <w:bCs/>
          <w:rtl/>
          <w:lang/>
        </w:rPr>
        <w:t xml:space="preserve">المناطق الريفية </w:t>
      </w:r>
      <w:r w:rsidR="0069689D" w:rsidRPr="002F0377">
        <w:rPr>
          <w:rFonts w:hint="cs"/>
          <w:b/>
          <w:bCs/>
          <w:rtl/>
          <w:lang/>
        </w:rPr>
        <w:t xml:space="preserve">وفي أشد المناطق حرماناً. وتطلب اللجنة أن تُضمن الدولة الطرف تقريرها الدوري القادم بيانات مقارنة مصنفة حسب السنة </w:t>
      </w:r>
      <w:r w:rsidRPr="002F0377">
        <w:rPr>
          <w:rFonts w:hint="cs"/>
          <w:b/>
          <w:bCs/>
          <w:rtl/>
          <w:lang/>
        </w:rPr>
        <w:t>والمناطق الريفية والحضرية</w:t>
      </w:r>
      <w:r w:rsidR="0069689D" w:rsidRPr="002F0377">
        <w:rPr>
          <w:rFonts w:hint="cs"/>
          <w:b/>
          <w:bCs/>
          <w:rtl/>
          <w:lang/>
        </w:rPr>
        <w:t xml:space="preserve">، ومؤشرات عن الأشخاص الذين يعيشون في حالة فقر وفي حالة فقر مدقع وعن التقدم الذي أحرزته في مكافحة الفقر. وتوجه اللجنة انتباه الدولة الطرف إلى بيانها عن الفقر والعهد الدولي الخاص بالحقوق الاقتصادية والاجتماعية والثقافية، المعتمد في 4 أيار/مايو 2001 </w:t>
      </w:r>
      <w:r w:rsidR="005241AB">
        <w:rPr>
          <w:rFonts w:hint="cs"/>
          <w:b/>
          <w:bCs/>
          <w:rtl/>
          <w:lang/>
        </w:rPr>
        <w:t>(</w:t>
      </w:r>
      <w:r w:rsidR="0069689D" w:rsidRPr="002F0377">
        <w:rPr>
          <w:b/>
          <w:bCs/>
          <w:lang w:val="fr-FR"/>
        </w:rPr>
        <w:t>E/2002/22–E/C.12/2001/17</w:t>
      </w:r>
      <w:r w:rsidR="0069689D" w:rsidRPr="002F0377">
        <w:rPr>
          <w:rFonts w:hint="cs"/>
          <w:b/>
          <w:bCs/>
          <w:rtl/>
          <w:lang w:val="fr-FR"/>
        </w:rPr>
        <w:t>، المرفق السابع</w:t>
      </w:r>
      <w:r w:rsidR="0069689D" w:rsidRPr="002F0377">
        <w:rPr>
          <w:rFonts w:hint="cs"/>
          <w:b/>
          <w:bCs/>
          <w:lang w:val="fr-FR"/>
        </w:rPr>
        <w:sym w:font="Symbol" w:char="F028"/>
      </w:r>
      <w:r w:rsidR="0069689D" w:rsidRPr="002F0377">
        <w:rPr>
          <w:rFonts w:hint="cs"/>
          <w:b/>
          <w:bCs/>
          <w:rtl/>
          <w:lang w:val="fr-FR"/>
        </w:rPr>
        <w:t>.</w:t>
      </w:r>
    </w:p>
    <w:p w:rsidR="0069689D" w:rsidRDefault="0069689D" w:rsidP="002F0377">
      <w:pPr>
        <w:pStyle w:val="SingleTxtGA"/>
        <w:rPr>
          <w:rFonts w:hint="cs"/>
          <w:rtl/>
          <w:lang/>
        </w:rPr>
      </w:pPr>
      <w:r w:rsidRPr="003C0973">
        <w:rPr>
          <w:rFonts w:hint="cs"/>
          <w:rtl/>
          <w:lang w:val="fr-FR"/>
        </w:rPr>
        <w:t>23-</w:t>
      </w:r>
      <w:r w:rsidRPr="003C0973">
        <w:rPr>
          <w:rFonts w:hint="cs"/>
          <w:rtl/>
          <w:lang w:val="fr-FR"/>
        </w:rPr>
        <w:tab/>
      </w:r>
      <w:r>
        <w:rPr>
          <w:rFonts w:hint="cs"/>
          <w:rtl/>
          <w:lang w:val="fr-FR"/>
        </w:rPr>
        <w:t xml:space="preserve">وتلاحظ اللجنة بقلق </w:t>
      </w:r>
      <w:r w:rsidR="00341F39">
        <w:rPr>
          <w:rFonts w:hint="cs"/>
          <w:rtl/>
          <w:lang/>
        </w:rPr>
        <w:t xml:space="preserve">قلة أعداد المساكن </w:t>
      </w:r>
      <w:r>
        <w:rPr>
          <w:rFonts w:hint="cs"/>
          <w:rtl/>
          <w:lang/>
        </w:rPr>
        <w:t xml:space="preserve">في الدولة الطرف </w:t>
      </w:r>
      <w:r w:rsidR="00341F39">
        <w:rPr>
          <w:rFonts w:hint="cs"/>
          <w:rtl/>
          <w:lang/>
        </w:rPr>
        <w:t xml:space="preserve">وتردّي أحوال منازل </w:t>
      </w:r>
      <w:r>
        <w:rPr>
          <w:rFonts w:hint="cs"/>
          <w:rtl/>
          <w:lang/>
        </w:rPr>
        <w:t xml:space="preserve">معظم السكان الذين يعيشون في الأحياء الفقيرة. </w:t>
      </w:r>
      <w:r w:rsidR="008B779F">
        <w:rPr>
          <w:rFonts w:hint="cs"/>
          <w:rtl/>
          <w:lang/>
        </w:rPr>
        <w:t xml:space="preserve">كما </w:t>
      </w:r>
      <w:r>
        <w:rPr>
          <w:rFonts w:hint="cs"/>
          <w:rtl/>
          <w:lang/>
        </w:rPr>
        <w:t xml:space="preserve">تشعر بالقلق </w:t>
      </w:r>
      <w:r w:rsidR="008B779F">
        <w:rPr>
          <w:rFonts w:hint="cs"/>
          <w:rtl/>
          <w:lang/>
        </w:rPr>
        <w:t xml:space="preserve">لعدم بلوغ </w:t>
      </w:r>
      <w:r>
        <w:rPr>
          <w:rFonts w:hint="cs"/>
          <w:rtl/>
          <w:lang/>
        </w:rPr>
        <w:t>ه</w:t>
      </w:r>
      <w:r w:rsidR="008B779F">
        <w:rPr>
          <w:rFonts w:hint="cs"/>
          <w:rtl/>
          <w:lang/>
        </w:rPr>
        <w:t>دف بناء مساكن جديدة في عام 2012</w:t>
      </w:r>
      <w:r>
        <w:rPr>
          <w:rFonts w:hint="cs"/>
          <w:rtl/>
          <w:lang/>
        </w:rPr>
        <w:t>، لا</w:t>
      </w:r>
      <w:r w:rsidR="008B779F">
        <w:rPr>
          <w:rFonts w:hint="eastAsia"/>
          <w:rtl/>
          <w:lang/>
        </w:rPr>
        <w:t> </w:t>
      </w:r>
      <w:r>
        <w:rPr>
          <w:rFonts w:hint="cs"/>
          <w:rtl/>
          <w:lang/>
        </w:rPr>
        <w:t xml:space="preserve">سيما أن </w:t>
      </w:r>
      <w:r w:rsidR="005241AB">
        <w:rPr>
          <w:rFonts w:hint="cs"/>
          <w:rtl/>
          <w:lang/>
        </w:rPr>
        <w:t>ا</w:t>
      </w:r>
      <w:r>
        <w:rPr>
          <w:rFonts w:hint="cs"/>
          <w:rtl/>
          <w:lang/>
        </w:rPr>
        <w:t xml:space="preserve">لأهداف المتوقع تحقيقها في السنوات العشر المقبلة طموحة جداً </w:t>
      </w:r>
      <w:r>
        <w:rPr>
          <w:rFonts w:hint="cs"/>
          <w:rtl/>
        </w:rPr>
        <w:t>(المادة 11)</w:t>
      </w:r>
      <w:r>
        <w:rPr>
          <w:rFonts w:hint="cs"/>
          <w:rtl/>
          <w:lang/>
        </w:rPr>
        <w:t>.</w:t>
      </w:r>
    </w:p>
    <w:p w:rsidR="0069689D" w:rsidRPr="002F0377" w:rsidRDefault="008B779F" w:rsidP="002F0377">
      <w:pPr>
        <w:pStyle w:val="SingleTxtGA"/>
        <w:rPr>
          <w:rFonts w:hint="cs"/>
          <w:b/>
          <w:bCs/>
          <w:rtl/>
          <w:lang/>
        </w:rPr>
      </w:pPr>
      <w:r w:rsidRPr="002F0377">
        <w:rPr>
          <w:rFonts w:hint="cs"/>
          <w:b/>
          <w:bCs/>
          <w:rtl/>
          <w:lang/>
        </w:rPr>
        <w:tab/>
      </w:r>
      <w:r w:rsidR="0069689D" w:rsidRPr="002F0377">
        <w:rPr>
          <w:rFonts w:hint="cs"/>
          <w:b/>
          <w:bCs/>
          <w:rtl/>
          <w:lang/>
        </w:rPr>
        <w:t xml:space="preserve">توصي اللجنة الدولة الطرف بضمان </w:t>
      </w:r>
      <w:r w:rsidRPr="002F0377">
        <w:rPr>
          <w:rFonts w:hint="cs"/>
          <w:b/>
          <w:bCs/>
          <w:rtl/>
          <w:lang/>
        </w:rPr>
        <w:t xml:space="preserve">استناد </w:t>
      </w:r>
      <w:r w:rsidR="0069689D" w:rsidRPr="002F0377">
        <w:rPr>
          <w:rFonts w:hint="cs"/>
          <w:b/>
          <w:bCs/>
          <w:rtl/>
          <w:lang/>
        </w:rPr>
        <w:t xml:space="preserve">الاستراتيجية الوطنية للإسكان إلى الحق في </w:t>
      </w:r>
      <w:r w:rsidRPr="002F0377">
        <w:rPr>
          <w:rFonts w:hint="cs"/>
          <w:b/>
          <w:bCs/>
          <w:rtl/>
          <w:lang/>
        </w:rPr>
        <w:t>ال</w:t>
      </w:r>
      <w:r w:rsidR="0069689D" w:rsidRPr="002F0377">
        <w:rPr>
          <w:rFonts w:hint="cs"/>
          <w:b/>
          <w:bCs/>
          <w:rtl/>
          <w:lang/>
        </w:rPr>
        <w:t xml:space="preserve">سكن </w:t>
      </w:r>
      <w:r w:rsidRPr="002F0377">
        <w:rPr>
          <w:rFonts w:hint="cs"/>
          <w:b/>
          <w:bCs/>
          <w:rtl/>
          <w:lang/>
        </w:rPr>
        <w:t>ال</w:t>
      </w:r>
      <w:r w:rsidR="0069689D" w:rsidRPr="002F0377">
        <w:rPr>
          <w:rFonts w:hint="cs"/>
          <w:b/>
          <w:bCs/>
          <w:rtl/>
          <w:lang/>
        </w:rPr>
        <w:t xml:space="preserve">لائق وإعطاء الأولوية في الحصول على المنازل المشيدة حديثاً إلى الأشخاص والمجموعات المحرومة والمهمشة، لاسيما سكان الأحياء الفقيرة. </w:t>
      </w:r>
      <w:r w:rsidRPr="002F0377">
        <w:rPr>
          <w:rFonts w:hint="cs"/>
          <w:b/>
          <w:bCs/>
          <w:rtl/>
          <w:lang/>
        </w:rPr>
        <w:t>و</w:t>
      </w:r>
      <w:r w:rsidR="0069689D" w:rsidRPr="002F0377">
        <w:rPr>
          <w:rFonts w:hint="cs"/>
          <w:b/>
          <w:bCs/>
          <w:rtl/>
          <w:lang/>
        </w:rPr>
        <w:t xml:space="preserve">إضافة إلى ذلك، توصي اللجنة أن تزيد الدولة الطرف الحصة المخصصة للإسكان في الميزانية الوطنية بشكل ملموس بهدف </w:t>
      </w:r>
      <w:r w:rsidRPr="002F0377">
        <w:rPr>
          <w:rFonts w:hint="cs"/>
          <w:b/>
          <w:bCs/>
          <w:rtl/>
          <w:lang/>
        </w:rPr>
        <w:t xml:space="preserve">التصدّي لفداحة </w:t>
      </w:r>
      <w:r w:rsidR="0069689D" w:rsidRPr="002F0377">
        <w:rPr>
          <w:rFonts w:hint="cs"/>
          <w:b/>
          <w:bCs/>
          <w:rtl/>
          <w:lang/>
        </w:rPr>
        <w:t>المشكلة. وتسترعي اللجنة انتباه الدول</w:t>
      </w:r>
      <w:r w:rsidR="0023124D">
        <w:rPr>
          <w:rFonts w:hint="cs"/>
          <w:b/>
          <w:bCs/>
          <w:rtl/>
          <w:lang/>
        </w:rPr>
        <w:t>ة الطرف إلى تعليقها العام رقم 4</w:t>
      </w:r>
      <w:r w:rsidR="0069689D" w:rsidRPr="002F0377">
        <w:rPr>
          <w:rFonts w:hint="cs"/>
          <w:b/>
          <w:bCs/>
          <w:rtl/>
        </w:rPr>
        <w:t xml:space="preserve">(1991) بشأن </w:t>
      </w:r>
      <w:r w:rsidR="0069689D" w:rsidRPr="002F0377">
        <w:rPr>
          <w:rFonts w:hint="cs"/>
          <w:b/>
          <w:bCs/>
          <w:rtl/>
          <w:lang/>
        </w:rPr>
        <w:t>الحق في السكن اللائق.</w:t>
      </w:r>
    </w:p>
    <w:p w:rsidR="0069689D" w:rsidRDefault="0069689D" w:rsidP="008005A2">
      <w:pPr>
        <w:pStyle w:val="SingleTxtGA"/>
        <w:rPr>
          <w:rFonts w:hint="cs"/>
          <w:rtl/>
          <w:lang/>
        </w:rPr>
      </w:pPr>
      <w:r w:rsidRPr="00522F1D">
        <w:rPr>
          <w:rFonts w:hint="cs"/>
          <w:rtl/>
          <w:lang/>
        </w:rPr>
        <w:t>24-</w:t>
      </w:r>
      <w:r w:rsidRPr="00522F1D">
        <w:rPr>
          <w:rFonts w:hint="cs"/>
          <w:rtl/>
          <w:lang/>
        </w:rPr>
        <w:tab/>
      </w:r>
      <w:r>
        <w:rPr>
          <w:rFonts w:hint="cs"/>
          <w:rtl/>
          <w:lang/>
        </w:rPr>
        <w:t xml:space="preserve">وتعرب اللجنة عن قلقها إزاء عدم </w:t>
      </w:r>
      <w:proofErr w:type="spellStart"/>
      <w:r>
        <w:rPr>
          <w:rFonts w:hint="cs"/>
          <w:rtl/>
          <w:lang/>
        </w:rPr>
        <w:t>ملاءمة</w:t>
      </w:r>
      <w:proofErr w:type="spellEnd"/>
      <w:r>
        <w:rPr>
          <w:rFonts w:hint="cs"/>
          <w:rtl/>
          <w:lang/>
        </w:rPr>
        <w:t xml:space="preserve"> الإطار القانوني الذي ينظم الحق في السكن، لاسيما ما يتعلق بالاستئجار والإخلاء القسري </w:t>
      </w:r>
      <w:r>
        <w:rPr>
          <w:rFonts w:hint="cs"/>
          <w:rtl/>
        </w:rPr>
        <w:t>(المادة 11)</w:t>
      </w:r>
      <w:r>
        <w:rPr>
          <w:rFonts w:hint="cs"/>
          <w:rtl/>
          <w:lang/>
        </w:rPr>
        <w:t>.</w:t>
      </w:r>
    </w:p>
    <w:p w:rsidR="0069689D" w:rsidRPr="008005A2" w:rsidRDefault="008B779F" w:rsidP="008005A2">
      <w:pPr>
        <w:pStyle w:val="SingleTxtGA"/>
        <w:rPr>
          <w:rFonts w:hint="cs"/>
          <w:b/>
          <w:bCs/>
          <w:rtl/>
        </w:rPr>
      </w:pPr>
      <w:r w:rsidRPr="008005A2">
        <w:rPr>
          <w:rFonts w:hint="cs"/>
          <w:b/>
          <w:bCs/>
          <w:rtl/>
          <w:lang w:val="fr-FR"/>
        </w:rPr>
        <w:tab/>
      </w:r>
      <w:r w:rsidR="0069689D" w:rsidRPr="008005A2">
        <w:rPr>
          <w:rFonts w:hint="cs"/>
          <w:b/>
          <w:bCs/>
          <w:rtl/>
          <w:lang w:val="fr-FR"/>
        </w:rPr>
        <w:t xml:space="preserve">توصي اللجنة بأن تنظم الدولة الطرف </w:t>
      </w:r>
      <w:r w:rsidR="0069689D" w:rsidRPr="008005A2">
        <w:rPr>
          <w:rFonts w:hint="cs"/>
          <w:b/>
          <w:bCs/>
          <w:rtl/>
          <w:lang/>
        </w:rPr>
        <w:t xml:space="preserve">ترتيبات التأجير بهدف وضع حد للتجاوزات التي تم التعرف عليها وإرساء </w:t>
      </w:r>
      <w:r w:rsidRPr="008005A2">
        <w:rPr>
          <w:rFonts w:hint="cs"/>
          <w:b/>
          <w:bCs/>
          <w:rtl/>
          <w:lang/>
        </w:rPr>
        <w:t xml:space="preserve">دعائم </w:t>
      </w:r>
      <w:r w:rsidR="0069689D" w:rsidRPr="008005A2">
        <w:rPr>
          <w:rFonts w:hint="cs"/>
          <w:b/>
          <w:bCs/>
          <w:rtl/>
          <w:lang/>
        </w:rPr>
        <w:t xml:space="preserve">الحق في سكن لائق وبتكلفة معقولة لفائدة المستأجرين. </w:t>
      </w:r>
      <w:r w:rsidRPr="008005A2">
        <w:rPr>
          <w:rFonts w:hint="cs"/>
          <w:b/>
          <w:bCs/>
          <w:rtl/>
          <w:lang/>
        </w:rPr>
        <w:t xml:space="preserve">وتوصيها </w:t>
      </w:r>
      <w:r w:rsidR="0069689D" w:rsidRPr="008005A2">
        <w:rPr>
          <w:rFonts w:hint="cs"/>
          <w:b/>
          <w:bCs/>
          <w:rtl/>
          <w:lang/>
        </w:rPr>
        <w:t xml:space="preserve">أيضاً </w:t>
      </w:r>
      <w:r w:rsidRPr="008005A2">
        <w:rPr>
          <w:rFonts w:hint="cs"/>
          <w:b/>
          <w:bCs/>
          <w:rtl/>
          <w:lang/>
        </w:rPr>
        <w:t xml:space="preserve">بالعمل على اتساق </w:t>
      </w:r>
      <w:r w:rsidR="0069689D" w:rsidRPr="008005A2">
        <w:rPr>
          <w:rFonts w:hint="cs"/>
          <w:b/>
          <w:bCs/>
          <w:rtl/>
          <w:lang/>
        </w:rPr>
        <w:t xml:space="preserve">تشريعها المتعلق بالإخلاء القسري مع المعايير الدولية، لاسيما فيما يتعلق بالتزامها بضمان </w:t>
      </w:r>
      <w:r w:rsidRPr="008005A2">
        <w:rPr>
          <w:rFonts w:hint="cs"/>
          <w:b/>
          <w:bCs/>
          <w:rtl/>
          <w:lang/>
        </w:rPr>
        <w:t xml:space="preserve">توفير سقف يظل كل </w:t>
      </w:r>
      <w:r w:rsidR="0069689D" w:rsidRPr="008005A2">
        <w:rPr>
          <w:rFonts w:hint="cs"/>
          <w:b/>
          <w:bCs/>
          <w:rtl/>
          <w:lang/>
        </w:rPr>
        <w:t xml:space="preserve">شخص أو </w:t>
      </w:r>
      <w:r w:rsidRPr="008005A2">
        <w:rPr>
          <w:rFonts w:hint="cs"/>
          <w:b/>
          <w:bCs/>
          <w:rtl/>
          <w:lang/>
        </w:rPr>
        <w:t xml:space="preserve">الحيلولة دون وقوعه </w:t>
      </w:r>
      <w:r w:rsidR="0069689D" w:rsidRPr="008005A2">
        <w:rPr>
          <w:rFonts w:hint="cs"/>
          <w:b/>
          <w:bCs/>
          <w:rtl/>
          <w:lang/>
        </w:rPr>
        <w:t xml:space="preserve">ضحية انتهاك </w:t>
      </w:r>
      <w:r w:rsidRPr="008005A2">
        <w:rPr>
          <w:rFonts w:hint="cs"/>
          <w:b/>
          <w:bCs/>
          <w:rtl/>
          <w:lang/>
        </w:rPr>
        <w:t xml:space="preserve">لأحدى حقوقه الإنسانية </w:t>
      </w:r>
      <w:r w:rsidR="0069689D" w:rsidRPr="008005A2">
        <w:rPr>
          <w:rFonts w:hint="cs"/>
          <w:b/>
          <w:bCs/>
          <w:rtl/>
          <w:lang/>
        </w:rPr>
        <w:t>الأخرى عقب تعرضه للإخلاء القسري. وتحيل اللجنة الدول</w:t>
      </w:r>
      <w:r w:rsidR="005241AB">
        <w:rPr>
          <w:rFonts w:hint="cs"/>
          <w:b/>
          <w:bCs/>
          <w:rtl/>
          <w:lang/>
        </w:rPr>
        <w:t>ة الطرف إلى تعليقها العام رقم 7</w:t>
      </w:r>
      <w:r w:rsidR="0069689D" w:rsidRPr="008005A2">
        <w:rPr>
          <w:rFonts w:hint="cs"/>
          <w:b/>
          <w:bCs/>
          <w:rtl/>
        </w:rPr>
        <w:t>(1997) بشأن الحق في سكن لائق: الإخلاء القسري.</w:t>
      </w:r>
    </w:p>
    <w:p w:rsidR="0069689D" w:rsidRDefault="0069689D" w:rsidP="0023124D">
      <w:pPr>
        <w:pStyle w:val="SingleTxtGA"/>
        <w:rPr>
          <w:rFonts w:hint="cs"/>
          <w:rtl/>
          <w:lang/>
        </w:rPr>
      </w:pPr>
      <w:r>
        <w:rPr>
          <w:rFonts w:hint="cs"/>
          <w:rtl/>
        </w:rPr>
        <w:t>25-</w:t>
      </w:r>
      <w:r>
        <w:rPr>
          <w:rFonts w:hint="cs"/>
          <w:rtl/>
        </w:rPr>
        <w:tab/>
      </w:r>
      <w:r>
        <w:rPr>
          <w:rFonts w:hint="cs"/>
          <w:rtl/>
          <w:lang/>
        </w:rPr>
        <w:t xml:space="preserve">وتأسف اللجنة </w:t>
      </w:r>
      <w:r w:rsidR="008B779F">
        <w:rPr>
          <w:rFonts w:hint="cs"/>
          <w:rtl/>
          <w:lang/>
        </w:rPr>
        <w:t xml:space="preserve">لعدم </w:t>
      </w:r>
      <w:r>
        <w:rPr>
          <w:rFonts w:hint="cs"/>
          <w:rtl/>
          <w:lang/>
        </w:rPr>
        <w:t>الأمن العقاري وأمن الحيازة في الدولة الطرف،</w:t>
      </w:r>
      <w:r w:rsidR="008B779F">
        <w:rPr>
          <w:rFonts w:hint="cs"/>
          <w:rtl/>
          <w:lang/>
        </w:rPr>
        <w:t xml:space="preserve"> بسبب تقادم الإطار القانوني وبطء</w:t>
      </w:r>
      <w:r>
        <w:rPr>
          <w:rFonts w:hint="cs"/>
          <w:rtl/>
          <w:lang/>
        </w:rPr>
        <w:t xml:space="preserve"> </w:t>
      </w:r>
      <w:r w:rsidR="008B779F">
        <w:rPr>
          <w:rFonts w:hint="cs"/>
          <w:rtl/>
          <w:lang/>
        </w:rPr>
        <w:t xml:space="preserve">وتكلفة </w:t>
      </w:r>
      <w:r>
        <w:rPr>
          <w:rFonts w:hint="cs"/>
          <w:rtl/>
          <w:lang/>
        </w:rPr>
        <w:t xml:space="preserve">الإجراءات والمعاملات المتعلقة بالملكية ، وبسبب الفساد والاحتيال. وتلاحظ اللجنة مع القلق ضعف ملاك الأراضي أمام مصادرة الأراضي </w:t>
      </w:r>
      <w:r>
        <w:rPr>
          <w:rFonts w:hint="cs"/>
          <w:rtl/>
        </w:rPr>
        <w:t>(المادة</w:t>
      </w:r>
      <w:r w:rsidR="0023124D">
        <w:rPr>
          <w:rFonts w:hint="eastAsia"/>
          <w:rtl/>
        </w:rPr>
        <w:t> </w:t>
      </w:r>
      <w:r>
        <w:rPr>
          <w:rFonts w:hint="cs"/>
          <w:rtl/>
        </w:rPr>
        <w:t>11)</w:t>
      </w:r>
      <w:r>
        <w:rPr>
          <w:rFonts w:hint="cs"/>
          <w:rtl/>
          <w:lang/>
        </w:rPr>
        <w:t>.</w:t>
      </w:r>
    </w:p>
    <w:p w:rsidR="0069689D" w:rsidRPr="008005A2" w:rsidRDefault="008B779F" w:rsidP="008005A2">
      <w:pPr>
        <w:pStyle w:val="SingleTxtGA"/>
        <w:rPr>
          <w:rFonts w:hint="cs"/>
          <w:b/>
          <w:bCs/>
          <w:rtl/>
          <w:lang/>
        </w:rPr>
      </w:pPr>
      <w:r w:rsidRPr="008005A2">
        <w:rPr>
          <w:rFonts w:hint="cs"/>
          <w:b/>
          <w:bCs/>
          <w:rtl/>
          <w:lang/>
        </w:rPr>
        <w:tab/>
      </w:r>
      <w:r w:rsidR="0069689D" w:rsidRPr="008005A2">
        <w:rPr>
          <w:rFonts w:hint="cs"/>
          <w:b/>
          <w:bCs/>
          <w:rtl/>
          <w:lang/>
        </w:rPr>
        <w:t xml:space="preserve">تدعو اللجنة الدولة الطرف </w:t>
      </w:r>
      <w:r w:rsidRPr="008005A2">
        <w:rPr>
          <w:rFonts w:hint="cs"/>
          <w:b/>
          <w:bCs/>
          <w:rtl/>
          <w:lang/>
        </w:rPr>
        <w:t xml:space="preserve">إلى إصلاح </w:t>
      </w:r>
      <w:r w:rsidR="0069689D" w:rsidRPr="008005A2">
        <w:rPr>
          <w:rFonts w:hint="cs"/>
          <w:b/>
          <w:bCs/>
          <w:rtl/>
          <w:lang/>
        </w:rPr>
        <w:t xml:space="preserve">القطاع العقاري في أقرب الآجال وتحثها على </w:t>
      </w:r>
      <w:r w:rsidRPr="008005A2">
        <w:rPr>
          <w:rFonts w:hint="cs"/>
          <w:b/>
          <w:bCs/>
          <w:rtl/>
          <w:lang/>
        </w:rPr>
        <w:t xml:space="preserve">مراعاة </w:t>
      </w:r>
      <w:r w:rsidR="0069689D" w:rsidRPr="008005A2">
        <w:rPr>
          <w:rFonts w:hint="cs"/>
          <w:b/>
          <w:bCs/>
          <w:rtl/>
          <w:lang/>
        </w:rPr>
        <w:t>ضعف ملاك الأراضي أمام مصادرة الأراضي، وكذلك احتياجات أكثر الفئات الاجتماعية تهميشاً واستضعافاً، لاسيما فيما يتعلق بالوصول إلى الأراضي. كما تدعو</w:t>
      </w:r>
      <w:r w:rsidRPr="008005A2">
        <w:rPr>
          <w:rFonts w:hint="cs"/>
          <w:b/>
          <w:bCs/>
          <w:rtl/>
          <w:lang/>
        </w:rPr>
        <w:t>ها</w:t>
      </w:r>
      <w:r w:rsidR="0069689D" w:rsidRPr="008005A2">
        <w:rPr>
          <w:rFonts w:hint="cs"/>
          <w:b/>
          <w:bCs/>
          <w:rtl/>
          <w:lang/>
        </w:rPr>
        <w:t xml:space="preserve"> إلى تنفيذ سلسة التوصيات </w:t>
      </w:r>
      <w:r w:rsidR="0069689D" w:rsidRPr="008005A2">
        <w:rPr>
          <w:rFonts w:hint="cs"/>
          <w:b/>
          <w:bCs/>
          <w:rtl/>
        </w:rPr>
        <w:t xml:space="preserve">(رقم 28) بشأن المسائل المتعلقة بالأراضي التي وضعتها </w:t>
      </w:r>
      <w:r w:rsidR="0069689D" w:rsidRPr="008005A2">
        <w:rPr>
          <w:rFonts w:hint="cs"/>
          <w:b/>
          <w:bCs/>
          <w:rtl/>
          <w:lang/>
        </w:rPr>
        <w:t>لجنة الحقيقة والعدل والمصالحة.</w:t>
      </w:r>
    </w:p>
    <w:p w:rsidR="0069689D" w:rsidRDefault="0069689D" w:rsidP="008005A2">
      <w:pPr>
        <w:pStyle w:val="SingleTxtGA"/>
        <w:rPr>
          <w:rFonts w:hint="cs"/>
          <w:rtl/>
          <w:lang/>
        </w:rPr>
      </w:pPr>
      <w:r>
        <w:rPr>
          <w:rFonts w:hint="cs"/>
          <w:rtl/>
          <w:lang/>
        </w:rPr>
        <w:t>26-</w:t>
      </w:r>
      <w:r>
        <w:rPr>
          <w:rFonts w:hint="cs"/>
          <w:rtl/>
          <w:lang/>
        </w:rPr>
        <w:tab/>
        <w:t xml:space="preserve">وتلاحظ اللجنة بقلق بالغ أن الحالات التي أُبلغت عنها تخص مجتمعات محلية وملاك أراض صُودرت بدافع المنفعة العامة دون أن </w:t>
      </w:r>
      <w:r w:rsidR="008B779F">
        <w:rPr>
          <w:rFonts w:hint="cs"/>
          <w:rtl/>
          <w:lang/>
        </w:rPr>
        <w:t xml:space="preserve">تحصل تلك الأطراف </w:t>
      </w:r>
      <w:r>
        <w:rPr>
          <w:rFonts w:hint="cs"/>
          <w:rtl/>
          <w:lang/>
        </w:rPr>
        <w:t xml:space="preserve">على تعويض أو يتم نقلهم إلى أماكن أخرى بشكل مناسب </w:t>
      </w:r>
      <w:r>
        <w:rPr>
          <w:rFonts w:hint="cs"/>
          <w:rtl/>
        </w:rPr>
        <w:t>(المادة 11 والفقرة 2 من المادة 1)</w:t>
      </w:r>
      <w:r>
        <w:rPr>
          <w:rFonts w:hint="cs"/>
          <w:rtl/>
          <w:lang/>
        </w:rPr>
        <w:t>.</w:t>
      </w:r>
    </w:p>
    <w:p w:rsidR="0069689D" w:rsidRPr="008005A2" w:rsidRDefault="008B779F" w:rsidP="008005A2">
      <w:pPr>
        <w:pStyle w:val="SingleTxtGA"/>
        <w:rPr>
          <w:rFonts w:hint="cs"/>
          <w:b/>
          <w:bCs/>
          <w:rtl/>
          <w:lang/>
        </w:rPr>
      </w:pPr>
      <w:r w:rsidRPr="008005A2">
        <w:rPr>
          <w:rFonts w:hint="cs"/>
          <w:b/>
          <w:bCs/>
          <w:rtl/>
          <w:lang/>
        </w:rPr>
        <w:tab/>
      </w:r>
      <w:r w:rsidR="0069689D" w:rsidRPr="008005A2">
        <w:rPr>
          <w:rFonts w:hint="cs"/>
          <w:b/>
          <w:bCs/>
          <w:rtl/>
          <w:lang/>
        </w:rPr>
        <w:t xml:space="preserve">فيما تُحيط اللجنة علماً ببيان الوفد الذي يفيد </w:t>
      </w:r>
      <w:r w:rsidRPr="008005A2">
        <w:rPr>
          <w:rFonts w:hint="cs"/>
          <w:b/>
          <w:bCs/>
          <w:rtl/>
          <w:lang/>
        </w:rPr>
        <w:t xml:space="preserve">بعكوف </w:t>
      </w:r>
      <w:r w:rsidR="0069689D" w:rsidRPr="008005A2">
        <w:rPr>
          <w:rFonts w:hint="cs"/>
          <w:b/>
          <w:bCs/>
          <w:rtl/>
          <w:lang/>
        </w:rPr>
        <w:t xml:space="preserve">الدولة الطرف </w:t>
      </w:r>
      <w:r w:rsidRPr="008005A2">
        <w:rPr>
          <w:rFonts w:hint="cs"/>
          <w:b/>
          <w:bCs/>
          <w:rtl/>
          <w:lang/>
        </w:rPr>
        <w:t xml:space="preserve">على </w:t>
      </w:r>
      <w:r w:rsidR="0069689D" w:rsidRPr="008005A2">
        <w:rPr>
          <w:rFonts w:hint="cs"/>
          <w:b/>
          <w:bCs/>
          <w:rtl/>
          <w:lang/>
        </w:rPr>
        <w:t xml:space="preserve">مراجعة قضايا نزع الملكية، </w:t>
      </w:r>
      <w:r w:rsidRPr="008005A2">
        <w:rPr>
          <w:rFonts w:hint="cs"/>
          <w:b/>
          <w:bCs/>
          <w:rtl/>
          <w:lang/>
        </w:rPr>
        <w:t xml:space="preserve">فإنها تدعو </w:t>
      </w:r>
      <w:r w:rsidR="0069689D" w:rsidRPr="008005A2">
        <w:rPr>
          <w:rFonts w:hint="cs"/>
          <w:b/>
          <w:bCs/>
          <w:rtl/>
          <w:lang/>
        </w:rPr>
        <w:t xml:space="preserve">الدولة الطرف إلى تسوية وضع المجموعات والأفراد المعنيين بنزع الملكية بحجة المنفعة العامة، </w:t>
      </w:r>
      <w:r w:rsidRPr="008005A2">
        <w:rPr>
          <w:rFonts w:hint="cs"/>
          <w:b/>
          <w:bCs/>
          <w:rtl/>
          <w:lang/>
        </w:rPr>
        <w:t xml:space="preserve">ممن </w:t>
      </w:r>
      <w:r w:rsidR="0069689D" w:rsidRPr="008005A2">
        <w:rPr>
          <w:rFonts w:hint="cs"/>
          <w:b/>
          <w:bCs/>
          <w:rtl/>
          <w:lang/>
        </w:rPr>
        <w:t>لم يحصلوا على تعويض أو لم تدفع لهم مبالغ الإيجار.</w:t>
      </w:r>
    </w:p>
    <w:p w:rsidR="0069689D" w:rsidRPr="008005A2" w:rsidRDefault="008005A2" w:rsidP="0023124D">
      <w:pPr>
        <w:pStyle w:val="SingleTxtGA"/>
        <w:rPr>
          <w:rFonts w:hint="cs"/>
          <w:b/>
          <w:bCs/>
          <w:rtl/>
          <w:lang/>
        </w:rPr>
      </w:pPr>
      <w:r>
        <w:rPr>
          <w:rFonts w:hint="cs"/>
          <w:b/>
          <w:bCs/>
          <w:rtl/>
          <w:lang/>
        </w:rPr>
        <w:tab/>
      </w:r>
      <w:r w:rsidR="0069689D" w:rsidRPr="008005A2">
        <w:rPr>
          <w:rFonts w:hint="cs"/>
          <w:b/>
          <w:bCs/>
          <w:rtl/>
          <w:lang/>
        </w:rPr>
        <w:t xml:space="preserve">علاوة على ذلك، تحث اللجنة الدولة الطرف على </w:t>
      </w:r>
      <w:r w:rsidR="008B779F" w:rsidRPr="008005A2">
        <w:rPr>
          <w:rFonts w:hint="cs"/>
          <w:b/>
          <w:bCs/>
          <w:rtl/>
          <w:lang/>
        </w:rPr>
        <w:t xml:space="preserve">العمل على اتساق </w:t>
      </w:r>
      <w:r w:rsidR="0069689D" w:rsidRPr="008005A2">
        <w:rPr>
          <w:rFonts w:hint="cs"/>
          <w:b/>
          <w:bCs/>
          <w:rtl/>
          <w:lang/>
        </w:rPr>
        <w:t xml:space="preserve">أحكامها القانونية بشأن نزع الملكية، بما في ذلك المرسوم رقم </w:t>
      </w:r>
      <w:r w:rsidR="0069689D" w:rsidRPr="008005A2">
        <w:rPr>
          <w:b/>
          <w:bCs/>
        </w:rPr>
        <w:t>45-2016</w:t>
      </w:r>
      <w:r w:rsidR="0069689D" w:rsidRPr="008005A2">
        <w:rPr>
          <w:rFonts w:hint="cs"/>
          <w:b/>
          <w:bCs/>
          <w:rtl/>
        </w:rPr>
        <w:t xml:space="preserve"> المؤرخ في 1 أيلول/</w:t>
      </w:r>
      <w:r w:rsidR="0023124D">
        <w:rPr>
          <w:rFonts w:hint="cs"/>
          <w:b/>
          <w:bCs/>
          <w:rtl/>
        </w:rPr>
        <w:t xml:space="preserve"> </w:t>
      </w:r>
      <w:r w:rsidR="0069689D" w:rsidRPr="008005A2">
        <w:rPr>
          <w:rFonts w:hint="cs"/>
          <w:b/>
          <w:bCs/>
          <w:rtl/>
        </w:rPr>
        <w:t>سبتمبر</w:t>
      </w:r>
      <w:r w:rsidR="0023124D">
        <w:rPr>
          <w:rFonts w:hint="eastAsia"/>
          <w:b/>
          <w:bCs/>
          <w:rtl/>
        </w:rPr>
        <w:t> </w:t>
      </w:r>
      <w:r w:rsidR="0069689D" w:rsidRPr="008005A2">
        <w:rPr>
          <w:rFonts w:hint="cs"/>
          <w:b/>
          <w:bCs/>
          <w:rtl/>
        </w:rPr>
        <w:t xml:space="preserve">1945 الذي ينظم نزع الملكية للمنفعة العامة، مع المعايير الدولية ذات الصلة. وعلى وجه الخصوص، توصي اللجنة بأن يحمي القانون حق </w:t>
      </w:r>
      <w:r w:rsidR="0069689D" w:rsidRPr="008005A2">
        <w:rPr>
          <w:rFonts w:hint="cs"/>
          <w:b/>
          <w:bCs/>
          <w:rtl/>
          <w:lang/>
        </w:rPr>
        <w:t xml:space="preserve">سكان المنازل والمجتمعات المحلية وملاك الأراضي في الموافقة الحرة والمسبقة والمستنيرة على المسائل التي يمكن أن تغير </w:t>
      </w:r>
      <w:r w:rsidR="008B779F" w:rsidRPr="008005A2">
        <w:rPr>
          <w:rFonts w:hint="cs"/>
          <w:b/>
          <w:bCs/>
          <w:rtl/>
          <w:lang/>
        </w:rPr>
        <w:t xml:space="preserve">مجرى </w:t>
      </w:r>
      <w:r w:rsidR="0069689D" w:rsidRPr="008005A2">
        <w:rPr>
          <w:rFonts w:hint="cs"/>
          <w:b/>
          <w:bCs/>
          <w:rtl/>
          <w:lang/>
        </w:rPr>
        <w:t xml:space="preserve">حياتهم. وتسترعي اللجنة انتباه الدولة الطرف إلى المبادئ الأساسية والمبادئ التوجيهية المتعلقة بعمليات الإخلاء القسري والترحيل بدافع التنمية </w:t>
      </w:r>
      <w:r w:rsidR="0069689D" w:rsidRPr="008005A2">
        <w:rPr>
          <w:b/>
          <w:bCs/>
        </w:rPr>
        <w:t>(A/HRC/4/18)</w:t>
      </w:r>
      <w:r w:rsidR="0069689D" w:rsidRPr="008005A2">
        <w:rPr>
          <w:rFonts w:hint="cs"/>
          <w:b/>
          <w:bCs/>
          <w:rtl/>
        </w:rPr>
        <w:t xml:space="preserve">، التي أعدها المقرر الخاص </w:t>
      </w:r>
      <w:r w:rsidR="0069689D" w:rsidRPr="008005A2">
        <w:rPr>
          <w:rFonts w:hint="cs"/>
          <w:b/>
          <w:bCs/>
          <w:rtl/>
          <w:lang/>
        </w:rPr>
        <w:t>المعني بالحق في السكن اللائق كعنصر من عناصر الحق في مستوى معيشي مناسب.</w:t>
      </w:r>
    </w:p>
    <w:p w:rsidR="0069689D" w:rsidRDefault="0069689D" w:rsidP="008005A2">
      <w:pPr>
        <w:pStyle w:val="SingleTxtGA"/>
        <w:rPr>
          <w:rFonts w:hint="cs"/>
          <w:rtl/>
        </w:rPr>
      </w:pPr>
      <w:r w:rsidRPr="00A54270">
        <w:rPr>
          <w:rFonts w:hint="cs"/>
          <w:rtl/>
          <w:lang/>
        </w:rPr>
        <w:t>27-</w:t>
      </w:r>
      <w:r w:rsidRPr="00A54270">
        <w:rPr>
          <w:rFonts w:hint="cs"/>
          <w:rtl/>
          <w:lang/>
        </w:rPr>
        <w:tab/>
      </w:r>
      <w:r>
        <w:rPr>
          <w:rFonts w:hint="cs"/>
          <w:rtl/>
          <w:lang/>
        </w:rPr>
        <w:t xml:space="preserve">وتشعر اللجنة بقلق إزاء الآثار البيئية والاجتماعية الضارة الناجمة عن الاضطلاع بأنشطة استخراج الموارد الطبيعية في الدولة الطرف </w:t>
      </w:r>
      <w:r>
        <w:rPr>
          <w:rFonts w:hint="cs"/>
          <w:rtl/>
        </w:rPr>
        <w:t>(المادة 11 والفقرة 2 من المادة 1).</w:t>
      </w:r>
    </w:p>
    <w:p w:rsidR="0069689D" w:rsidRPr="008005A2" w:rsidRDefault="008B779F" w:rsidP="008005A2">
      <w:pPr>
        <w:pStyle w:val="SingleTxtGA"/>
        <w:rPr>
          <w:rFonts w:hint="cs"/>
          <w:b/>
          <w:bCs/>
          <w:rtl/>
          <w:lang/>
        </w:rPr>
      </w:pPr>
      <w:r w:rsidRPr="008005A2">
        <w:rPr>
          <w:rFonts w:hint="cs"/>
          <w:b/>
          <w:bCs/>
          <w:rtl/>
        </w:rPr>
        <w:tab/>
      </w:r>
      <w:r w:rsidR="0069689D" w:rsidRPr="008005A2">
        <w:rPr>
          <w:rFonts w:hint="cs"/>
          <w:b/>
          <w:bCs/>
          <w:rtl/>
        </w:rPr>
        <w:t xml:space="preserve">توصي اللجنة الدولة الطرف بتعزيز الإطار القانوني الذي ينظم حماية البيئة والحقوق الاجتماعية في مجال </w:t>
      </w:r>
      <w:r w:rsidRPr="008005A2">
        <w:rPr>
          <w:rFonts w:hint="cs"/>
          <w:b/>
          <w:bCs/>
          <w:rtl/>
        </w:rPr>
        <w:t xml:space="preserve">التعدين </w:t>
      </w:r>
      <w:r w:rsidR="0069689D" w:rsidRPr="008005A2">
        <w:rPr>
          <w:rFonts w:hint="cs"/>
          <w:b/>
          <w:bCs/>
          <w:rtl/>
        </w:rPr>
        <w:t xml:space="preserve">في ضوء المشاكل التي طفت على السطح نتيجة لهذه الأنشطة. </w:t>
      </w:r>
      <w:r w:rsidRPr="008005A2">
        <w:rPr>
          <w:rFonts w:hint="cs"/>
          <w:b/>
          <w:bCs/>
          <w:rtl/>
        </w:rPr>
        <w:t xml:space="preserve">كما </w:t>
      </w:r>
      <w:r w:rsidR="0069689D" w:rsidRPr="008005A2">
        <w:rPr>
          <w:rFonts w:hint="cs"/>
          <w:b/>
          <w:bCs/>
          <w:rtl/>
        </w:rPr>
        <w:t>توصي</w:t>
      </w:r>
      <w:r w:rsidRPr="008005A2">
        <w:rPr>
          <w:rFonts w:hint="cs"/>
          <w:b/>
          <w:bCs/>
          <w:rtl/>
        </w:rPr>
        <w:t xml:space="preserve">ها </w:t>
      </w:r>
      <w:r w:rsidR="0069689D" w:rsidRPr="008005A2">
        <w:rPr>
          <w:rFonts w:hint="cs"/>
          <w:b/>
          <w:bCs/>
          <w:rtl/>
        </w:rPr>
        <w:t xml:space="preserve">بضمان أن </w:t>
      </w:r>
      <w:r w:rsidRPr="008005A2">
        <w:rPr>
          <w:rFonts w:hint="cs"/>
          <w:b/>
          <w:bCs/>
          <w:rtl/>
        </w:rPr>
        <w:t xml:space="preserve">يضع </w:t>
      </w:r>
      <w:r w:rsidR="0069689D" w:rsidRPr="008005A2">
        <w:rPr>
          <w:rFonts w:hint="cs"/>
          <w:b/>
          <w:bCs/>
          <w:rtl/>
        </w:rPr>
        <w:t xml:space="preserve">مرسوم </w:t>
      </w:r>
      <w:r w:rsidR="0069689D" w:rsidRPr="008005A2">
        <w:rPr>
          <w:rFonts w:hint="cs"/>
          <w:b/>
          <w:bCs/>
          <w:rtl/>
          <w:lang/>
        </w:rPr>
        <w:t xml:space="preserve">تطبيق القانون رقم </w:t>
      </w:r>
      <w:r w:rsidR="0069689D" w:rsidRPr="008005A2">
        <w:rPr>
          <w:b/>
          <w:bCs/>
          <w:lang w:val="fr-FR"/>
        </w:rPr>
        <w:t>2011-008</w:t>
      </w:r>
      <w:r w:rsidRPr="008005A2">
        <w:rPr>
          <w:rFonts w:hint="cs"/>
          <w:b/>
          <w:bCs/>
          <w:rtl/>
          <w:lang w:val="fr-FR"/>
        </w:rPr>
        <w:t>،</w:t>
      </w:r>
      <w:r w:rsidR="0069689D" w:rsidRPr="008005A2">
        <w:rPr>
          <w:rFonts w:hint="cs"/>
          <w:b/>
          <w:bCs/>
          <w:rtl/>
          <w:lang w:val="fr-FR"/>
        </w:rPr>
        <w:t xml:space="preserve"> المؤرخ 3 آذار/مارس 2011 بشأن مساهمة شركات التعدي</w:t>
      </w:r>
      <w:r w:rsidRPr="008005A2">
        <w:rPr>
          <w:rFonts w:hint="cs"/>
          <w:b/>
          <w:bCs/>
          <w:rtl/>
          <w:lang w:val="fr-FR"/>
        </w:rPr>
        <w:t xml:space="preserve">ن في التنمية الإقليمية والمحلية، </w:t>
      </w:r>
      <w:r w:rsidR="0069689D" w:rsidRPr="008005A2">
        <w:rPr>
          <w:rFonts w:hint="cs"/>
          <w:b/>
          <w:bCs/>
          <w:rtl/>
          <w:lang/>
        </w:rPr>
        <w:t>أحكاماً تمنح فوائد ملموسة من أجل إعمال الحقوق الاقتصادية والاجتماعية والثقافية للمجتمعات المعنية.</w:t>
      </w:r>
    </w:p>
    <w:p w:rsidR="0069689D" w:rsidRDefault="0069689D" w:rsidP="0023124D">
      <w:pPr>
        <w:pStyle w:val="SingleTxtGA"/>
        <w:rPr>
          <w:rFonts w:hint="cs"/>
          <w:rtl/>
          <w:lang/>
        </w:rPr>
      </w:pPr>
      <w:r w:rsidRPr="005F35CF">
        <w:rPr>
          <w:rFonts w:hint="cs"/>
          <w:rtl/>
          <w:lang/>
        </w:rPr>
        <w:t>28-</w:t>
      </w:r>
      <w:r w:rsidRPr="005F35CF">
        <w:rPr>
          <w:rFonts w:hint="cs"/>
          <w:rtl/>
          <w:lang/>
        </w:rPr>
        <w:tab/>
      </w:r>
      <w:r>
        <w:rPr>
          <w:rFonts w:hint="cs"/>
          <w:rtl/>
          <w:lang/>
        </w:rPr>
        <w:t xml:space="preserve">وتأسف اللجنة لانعدام </w:t>
      </w:r>
      <w:r w:rsidR="008B779F">
        <w:rPr>
          <w:rFonts w:hint="cs"/>
          <w:rtl/>
          <w:lang/>
        </w:rPr>
        <w:t>الأمن الغذائي وسوء التغذية اللذي</w:t>
      </w:r>
      <w:r>
        <w:rPr>
          <w:rFonts w:hint="cs"/>
          <w:rtl/>
          <w:lang/>
        </w:rPr>
        <w:t xml:space="preserve">ن يؤثران في </w:t>
      </w:r>
      <w:r w:rsidR="008B779F">
        <w:rPr>
          <w:rFonts w:hint="cs"/>
          <w:rtl/>
          <w:lang/>
        </w:rPr>
        <w:t xml:space="preserve">قطاع </w:t>
      </w:r>
      <w:r>
        <w:rPr>
          <w:rFonts w:hint="cs"/>
          <w:rtl/>
          <w:lang/>
        </w:rPr>
        <w:t xml:space="preserve">كبير من السكان في الدولة الطرف، على الرغم من تنفيذ البرنامج الوطني للاستثمار الزراعي والأمن الغذائي. كما تشعر اللجنة بالقلق إزاء بيع منتجات غذائية لا تستوفي المعايير القانونية </w:t>
      </w:r>
      <w:r>
        <w:rPr>
          <w:rFonts w:hint="cs"/>
          <w:rtl/>
        </w:rPr>
        <w:t>(المادة</w:t>
      </w:r>
      <w:r w:rsidR="0023124D">
        <w:rPr>
          <w:rFonts w:hint="eastAsia"/>
          <w:rtl/>
        </w:rPr>
        <w:t> </w:t>
      </w:r>
      <w:r>
        <w:rPr>
          <w:rFonts w:hint="cs"/>
          <w:rtl/>
        </w:rPr>
        <w:t>11)</w:t>
      </w:r>
      <w:r>
        <w:rPr>
          <w:rFonts w:hint="cs"/>
          <w:rtl/>
          <w:lang/>
        </w:rPr>
        <w:t>.</w:t>
      </w:r>
    </w:p>
    <w:p w:rsidR="0069689D" w:rsidRPr="008005A2" w:rsidRDefault="008B779F" w:rsidP="008005A2">
      <w:pPr>
        <w:pStyle w:val="SingleTxtGA"/>
        <w:rPr>
          <w:rFonts w:hint="cs"/>
          <w:b/>
          <w:bCs/>
          <w:rtl/>
          <w:lang/>
        </w:rPr>
      </w:pPr>
      <w:r w:rsidRPr="008005A2">
        <w:rPr>
          <w:rFonts w:hint="cs"/>
          <w:b/>
          <w:bCs/>
          <w:rtl/>
          <w:lang/>
        </w:rPr>
        <w:tab/>
      </w:r>
      <w:r w:rsidR="0069689D" w:rsidRPr="008005A2">
        <w:rPr>
          <w:rFonts w:hint="cs"/>
          <w:b/>
          <w:bCs/>
          <w:rtl/>
          <w:lang/>
        </w:rPr>
        <w:t xml:space="preserve">تطلب اللجنة </w:t>
      </w:r>
      <w:r w:rsidRPr="008005A2">
        <w:rPr>
          <w:rFonts w:hint="cs"/>
          <w:b/>
          <w:bCs/>
          <w:rtl/>
          <w:lang/>
        </w:rPr>
        <w:t xml:space="preserve">إلى </w:t>
      </w:r>
      <w:r w:rsidR="0069689D" w:rsidRPr="008005A2">
        <w:rPr>
          <w:rFonts w:hint="cs"/>
          <w:b/>
          <w:bCs/>
          <w:rtl/>
          <w:lang/>
        </w:rPr>
        <w:t xml:space="preserve">الدولة الطرف، </w:t>
      </w:r>
      <w:r w:rsidRPr="008005A2">
        <w:rPr>
          <w:rFonts w:hint="cs"/>
          <w:b/>
          <w:bCs/>
          <w:rtl/>
          <w:lang/>
        </w:rPr>
        <w:t xml:space="preserve">أن تضمن </w:t>
      </w:r>
      <w:r w:rsidR="0069689D" w:rsidRPr="008005A2">
        <w:rPr>
          <w:rFonts w:hint="cs"/>
          <w:b/>
          <w:bCs/>
          <w:rtl/>
          <w:lang/>
        </w:rPr>
        <w:t xml:space="preserve">من خلال برنامجها الوطني للاستثمار الزراعي والأمن الغذائي وأنشطة الوكالة الوطنية للأمن الغذائي، ما يلي: </w:t>
      </w:r>
      <w:r w:rsidR="0069689D" w:rsidRPr="008005A2">
        <w:rPr>
          <w:rFonts w:hint="cs"/>
          <w:b/>
          <w:bCs/>
          <w:rtl/>
        </w:rPr>
        <w:t xml:space="preserve">(أ) </w:t>
      </w:r>
      <w:r w:rsidRPr="008005A2">
        <w:rPr>
          <w:rFonts w:hint="cs"/>
          <w:b/>
          <w:bCs/>
          <w:rtl/>
        </w:rPr>
        <w:t>تعزيز الإطار القانوني للحق في الغذاء</w:t>
      </w:r>
      <w:r w:rsidR="0069689D" w:rsidRPr="008005A2">
        <w:rPr>
          <w:rFonts w:hint="cs"/>
          <w:b/>
          <w:bCs/>
          <w:rtl/>
        </w:rPr>
        <w:t xml:space="preserve">؛ (ب) </w:t>
      </w:r>
      <w:r w:rsidRPr="008005A2">
        <w:rPr>
          <w:rFonts w:hint="cs"/>
          <w:b/>
          <w:bCs/>
          <w:rtl/>
        </w:rPr>
        <w:t xml:space="preserve">تركيز </w:t>
      </w:r>
      <w:r w:rsidR="0069689D" w:rsidRPr="008005A2">
        <w:rPr>
          <w:rFonts w:hint="cs"/>
          <w:b/>
          <w:bCs/>
          <w:rtl/>
        </w:rPr>
        <w:t xml:space="preserve">الأنشطة المضطلع بها </w:t>
      </w:r>
      <w:r w:rsidRPr="008005A2">
        <w:rPr>
          <w:rFonts w:hint="cs"/>
          <w:b/>
          <w:bCs/>
          <w:rtl/>
        </w:rPr>
        <w:t xml:space="preserve">على </w:t>
      </w:r>
      <w:r w:rsidR="0069689D" w:rsidRPr="008005A2">
        <w:rPr>
          <w:rFonts w:hint="cs"/>
          <w:b/>
          <w:bCs/>
          <w:rtl/>
        </w:rPr>
        <w:t xml:space="preserve">إعمال الحق في الغذاء </w:t>
      </w:r>
      <w:r w:rsidRPr="008005A2">
        <w:rPr>
          <w:rFonts w:hint="cs"/>
          <w:b/>
          <w:bCs/>
          <w:rtl/>
        </w:rPr>
        <w:t xml:space="preserve">بإدراج </w:t>
      </w:r>
      <w:r w:rsidR="0069689D" w:rsidRPr="008005A2">
        <w:rPr>
          <w:rFonts w:hint="cs"/>
          <w:b/>
          <w:bCs/>
          <w:rtl/>
        </w:rPr>
        <w:t xml:space="preserve">عناصر مختلفة من هذا الحق، أي الكفاية والجودة والتوافر وإمكانية </w:t>
      </w:r>
      <w:r w:rsidR="0069689D" w:rsidRPr="008005A2">
        <w:rPr>
          <w:rFonts w:hint="cs"/>
          <w:b/>
          <w:bCs/>
          <w:rtl/>
          <w:lang/>
        </w:rPr>
        <w:t>الوصول</w:t>
      </w:r>
      <w:r w:rsidRPr="008005A2">
        <w:rPr>
          <w:rFonts w:hint="cs"/>
          <w:b/>
          <w:bCs/>
          <w:rtl/>
          <w:lang/>
        </w:rPr>
        <w:t xml:space="preserve"> إلى الغذاء اقتصادياً ومادياً؛ </w:t>
      </w:r>
      <w:r w:rsidR="0069689D" w:rsidRPr="008005A2">
        <w:rPr>
          <w:rFonts w:hint="cs"/>
          <w:b/>
          <w:bCs/>
          <w:rtl/>
        </w:rPr>
        <w:t xml:space="preserve">(ج) </w:t>
      </w:r>
      <w:r w:rsidRPr="008005A2">
        <w:rPr>
          <w:rFonts w:hint="cs"/>
          <w:b/>
          <w:bCs/>
          <w:rtl/>
        </w:rPr>
        <w:t xml:space="preserve">تحديد </w:t>
      </w:r>
      <w:r w:rsidR="0069689D" w:rsidRPr="008005A2">
        <w:rPr>
          <w:rFonts w:hint="cs"/>
          <w:b/>
          <w:bCs/>
          <w:rtl/>
        </w:rPr>
        <w:t>مسؤوليات مختلف أصحاب المصالح بشكل واضح، لاسيما لدى تنفيذ البرنامج الوطني.</w:t>
      </w:r>
      <w:r w:rsidR="0069689D" w:rsidRPr="008005A2">
        <w:rPr>
          <w:rFonts w:hint="cs"/>
          <w:b/>
          <w:bCs/>
          <w:rtl/>
          <w:lang/>
        </w:rPr>
        <w:t xml:space="preserve"> وتوجه اللجنة انتباه الدولة</w:t>
      </w:r>
      <w:r w:rsidR="0023124D">
        <w:rPr>
          <w:rFonts w:hint="cs"/>
          <w:b/>
          <w:bCs/>
          <w:rtl/>
          <w:lang/>
        </w:rPr>
        <w:t xml:space="preserve"> الطرف إلى تعليقها العام رقم 12</w:t>
      </w:r>
      <w:r w:rsidR="0069689D" w:rsidRPr="008005A2">
        <w:rPr>
          <w:rFonts w:hint="cs"/>
          <w:b/>
          <w:bCs/>
          <w:rtl/>
        </w:rPr>
        <w:t xml:space="preserve">(1999) بشأن </w:t>
      </w:r>
      <w:r w:rsidR="0069689D" w:rsidRPr="008005A2">
        <w:rPr>
          <w:rFonts w:hint="cs"/>
          <w:b/>
          <w:bCs/>
          <w:rtl/>
          <w:lang/>
        </w:rPr>
        <w:t>الحق في الغذاء الكافي.</w:t>
      </w:r>
    </w:p>
    <w:p w:rsidR="0069689D" w:rsidRDefault="0069689D" w:rsidP="008005A2">
      <w:pPr>
        <w:pStyle w:val="SingleTxtGA"/>
        <w:rPr>
          <w:rFonts w:hint="cs"/>
          <w:rtl/>
          <w:lang/>
        </w:rPr>
      </w:pPr>
      <w:r w:rsidRPr="00146942">
        <w:rPr>
          <w:rFonts w:hint="cs"/>
          <w:rtl/>
          <w:lang/>
        </w:rPr>
        <w:t>29-</w:t>
      </w:r>
      <w:r w:rsidRPr="00146942">
        <w:rPr>
          <w:rFonts w:hint="cs"/>
          <w:rtl/>
          <w:lang/>
        </w:rPr>
        <w:tab/>
      </w:r>
      <w:r>
        <w:rPr>
          <w:rFonts w:hint="cs"/>
          <w:rtl/>
          <w:lang/>
        </w:rPr>
        <w:t xml:space="preserve">وتلاحظ اللجنة مع القلق الصعوبات التي تواجهها الدولة الطرف في إعمال الحق في الصحة. </w:t>
      </w:r>
      <w:r w:rsidR="008B779F">
        <w:rPr>
          <w:rFonts w:hint="cs"/>
          <w:rtl/>
          <w:lang/>
        </w:rPr>
        <w:t xml:space="preserve">كما </w:t>
      </w:r>
      <w:r>
        <w:rPr>
          <w:rFonts w:hint="cs"/>
          <w:rtl/>
          <w:lang/>
        </w:rPr>
        <w:t xml:space="preserve">تلاحظ عدم كفاية الموارد المخصصة لقطاع الصحة وما لذلك من أثر في الموارد البشرية والهياكل الأساسية الصحية، وارتفاع تكلفة الرعاية الطبية بالنسبة للأسر المعيشية، ومشاكل الصحة العامة من قبيل </w:t>
      </w:r>
      <w:proofErr w:type="spellStart"/>
      <w:r>
        <w:rPr>
          <w:rFonts w:hint="cs"/>
          <w:rtl/>
          <w:lang/>
        </w:rPr>
        <w:t>الملاريا</w:t>
      </w:r>
      <w:proofErr w:type="spellEnd"/>
      <w:r>
        <w:rPr>
          <w:rFonts w:hint="cs"/>
          <w:rtl/>
          <w:lang/>
        </w:rPr>
        <w:t xml:space="preserve"> وأمراض الإسهال، أو وفيات الرضع والأمهات </w:t>
      </w:r>
      <w:r>
        <w:rPr>
          <w:rFonts w:hint="cs"/>
          <w:rtl/>
        </w:rPr>
        <w:t>(المادة 12)</w:t>
      </w:r>
      <w:r>
        <w:rPr>
          <w:rFonts w:hint="cs"/>
          <w:rtl/>
          <w:lang/>
        </w:rPr>
        <w:t>.</w:t>
      </w:r>
    </w:p>
    <w:p w:rsidR="0069689D" w:rsidRPr="008005A2" w:rsidRDefault="008B779F" w:rsidP="000B1ABA">
      <w:pPr>
        <w:pStyle w:val="SingleTxtGA"/>
        <w:rPr>
          <w:rFonts w:hint="cs"/>
          <w:b/>
          <w:bCs/>
          <w:rtl/>
          <w:lang/>
        </w:rPr>
      </w:pPr>
      <w:r w:rsidRPr="008005A2">
        <w:rPr>
          <w:rFonts w:hint="cs"/>
          <w:b/>
          <w:bCs/>
          <w:rtl/>
          <w:lang/>
        </w:rPr>
        <w:tab/>
      </w:r>
      <w:r w:rsidR="0069689D" w:rsidRPr="008005A2">
        <w:rPr>
          <w:rFonts w:hint="cs"/>
          <w:b/>
          <w:bCs/>
          <w:rtl/>
          <w:lang/>
        </w:rPr>
        <w:t xml:space="preserve">تحث اللجنة الدولة الطرف على ما يلي: </w:t>
      </w:r>
      <w:r w:rsidR="0069689D" w:rsidRPr="008005A2">
        <w:rPr>
          <w:rFonts w:hint="cs"/>
          <w:b/>
          <w:bCs/>
          <w:rtl/>
        </w:rPr>
        <w:t xml:space="preserve">(أ) </w:t>
      </w:r>
      <w:r w:rsidRPr="008005A2">
        <w:rPr>
          <w:rFonts w:hint="cs"/>
          <w:b/>
          <w:bCs/>
          <w:rtl/>
        </w:rPr>
        <w:t xml:space="preserve">زيادة </w:t>
      </w:r>
      <w:r w:rsidR="0069689D" w:rsidRPr="008005A2">
        <w:rPr>
          <w:rFonts w:hint="cs"/>
          <w:b/>
          <w:bCs/>
          <w:rtl/>
        </w:rPr>
        <w:t xml:space="preserve">الموارد المخصصة </w:t>
      </w:r>
      <w:r w:rsidR="0069689D" w:rsidRPr="008005A2">
        <w:rPr>
          <w:rFonts w:hint="cs"/>
          <w:b/>
          <w:bCs/>
          <w:rtl/>
          <w:lang/>
        </w:rPr>
        <w:t xml:space="preserve">للسياسة الصحية الوطنية المعتمدة في عام 2012 ووضع جدول زمني لتحقيق هدف </w:t>
      </w:r>
      <w:proofErr w:type="spellStart"/>
      <w:r w:rsidR="0069689D" w:rsidRPr="008005A2">
        <w:rPr>
          <w:rFonts w:hint="cs"/>
          <w:b/>
          <w:bCs/>
          <w:rtl/>
          <w:lang/>
        </w:rPr>
        <w:t>أبوجا</w:t>
      </w:r>
      <w:proofErr w:type="spellEnd"/>
      <w:r w:rsidR="0069689D" w:rsidRPr="008005A2">
        <w:rPr>
          <w:rFonts w:hint="cs"/>
          <w:b/>
          <w:bCs/>
          <w:rtl/>
          <w:lang/>
        </w:rPr>
        <w:t xml:space="preserve">؛ </w:t>
      </w:r>
      <w:r w:rsidR="0069689D" w:rsidRPr="008005A2">
        <w:rPr>
          <w:rFonts w:hint="cs"/>
          <w:b/>
          <w:bCs/>
          <w:rtl/>
        </w:rPr>
        <w:t>(ب)</w:t>
      </w:r>
      <w:r w:rsidR="000B1ABA">
        <w:rPr>
          <w:rFonts w:hint="eastAsia"/>
          <w:b/>
          <w:bCs/>
          <w:rtl/>
        </w:rPr>
        <w:t> </w:t>
      </w:r>
      <w:r w:rsidR="0069689D" w:rsidRPr="008005A2">
        <w:rPr>
          <w:rFonts w:hint="cs"/>
          <w:b/>
          <w:bCs/>
          <w:rtl/>
        </w:rPr>
        <w:t xml:space="preserve">ضمان </w:t>
      </w:r>
      <w:r w:rsidRPr="008005A2">
        <w:rPr>
          <w:rFonts w:hint="cs"/>
          <w:b/>
          <w:bCs/>
          <w:rtl/>
        </w:rPr>
        <w:t xml:space="preserve">صوغ </w:t>
      </w:r>
      <w:r w:rsidR="0069689D" w:rsidRPr="008005A2">
        <w:rPr>
          <w:rFonts w:hint="cs"/>
          <w:b/>
          <w:bCs/>
          <w:rtl/>
        </w:rPr>
        <w:t xml:space="preserve">هذه السياسة </w:t>
      </w:r>
      <w:r w:rsidRPr="008005A2">
        <w:rPr>
          <w:rFonts w:hint="cs"/>
          <w:b/>
          <w:bCs/>
          <w:rtl/>
        </w:rPr>
        <w:t xml:space="preserve">في إطار </w:t>
      </w:r>
      <w:r w:rsidR="0069689D" w:rsidRPr="008005A2">
        <w:rPr>
          <w:rFonts w:hint="cs"/>
          <w:b/>
          <w:bCs/>
          <w:rtl/>
        </w:rPr>
        <w:t xml:space="preserve">إعمال الحق في الصحة؛ (ج) نشر قانون الصحة المعتمد في عام 2009 وإنفاذه. وتحيل اللجنة </w:t>
      </w:r>
      <w:r w:rsidR="0023124D">
        <w:rPr>
          <w:rFonts w:hint="cs"/>
          <w:b/>
          <w:bCs/>
          <w:rtl/>
        </w:rPr>
        <w:t>الدولة الطرف إلى تعليقها رقم</w:t>
      </w:r>
      <w:r w:rsidR="0023124D">
        <w:rPr>
          <w:rFonts w:hint="eastAsia"/>
          <w:b/>
          <w:bCs/>
          <w:rtl/>
        </w:rPr>
        <w:t> </w:t>
      </w:r>
      <w:r w:rsidR="0023124D">
        <w:rPr>
          <w:rFonts w:hint="cs"/>
          <w:b/>
          <w:bCs/>
          <w:rtl/>
        </w:rPr>
        <w:t>14</w:t>
      </w:r>
      <w:r w:rsidR="0069689D" w:rsidRPr="008005A2">
        <w:rPr>
          <w:rFonts w:hint="cs"/>
          <w:b/>
          <w:bCs/>
          <w:rtl/>
        </w:rPr>
        <w:t xml:space="preserve">(2000) بشأن الحق في </w:t>
      </w:r>
      <w:r w:rsidR="0069689D" w:rsidRPr="008005A2">
        <w:rPr>
          <w:rFonts w:hint="cs"/>
          <w:b/>
          <w:bCs/>
          <w:rtl/>
          <w:lang/>
        </w:rPr>
        <w:t>أعلى مستوى صحي يمكن بلوغه.</w:t>
      </w:r>
    </w:p>
    <w:p w:rsidR="0069689D" w:rsidRDefault="0069689D" w:rsidP="008005A2">
      <w:pPr>
        <w:pStyle w:val="SingleTxtGA"/>
        <w:rPr>
          <w:rFonts w:hint="cs"/>
          <w:rtl/>
          <w:lang/>
        </w:rPr>
      </w:pPr>
      <w:r w:rsidRPr="000C5FB5">
        <w:rPr>
          <w:rFonts w:hint="cs"/>
          <w:rtl/>
          <w:lang/>
        </w:rPr>
        <w:t>30-</w:t>
      </w:r>
      <w:r w:rsidRPr="000C5FB5">
        <w:rPr>
          <w:rFonts w:hint="cs"/>
          <w:rtl/>
          <w:lang/>
        </w:rPr>
        <w:tab/>
      </w:r>
      <w:r>
        <w:rPr>
          <w:rFonts w:hint="cs"/>
          <w:rtl/>
          <w:lang/>
        </w:rPr>
        <w:t>وتعرب اللجنة عن قلقها إزاء تكاثر الأطباء الممارسين لحسابهم الخاص دون ترخيص وإزاء السوق غير المشروعة لتسويق المنتجات الصيدلانية التي لا يمكن ضمان جودتها.</w:t>
      </w:r>
    </w:p>
    <w:p w:rsidR="0069689D" w:rsidRPr="008005A2" w:rsidRDefault="008B779F" w:rsidP="008005A2">
      <w:pPr>
        <w:pStyle w:val="SingleTxtGA"/>
        <w:rPr>
          <w:rFonts w:hint="cs"/>
          <w:b/>
          <w:bCs/>
          <w:rtl/>
          <w:lang/>
        </w:rPr>
      </w:pPr>
      <w:r w:rsidRPr="008005A2">
        <w:rPr>
          <w:rFonts w:hint="cs"/>
          <w:b/>
          <w:bCs/>
          <w:rtl/>
          <w:lang/>
        </w:rPr>
        <w:tab/>
      </w:r>
      <w:r w:rsidR="0069689D" w:rsidRPr="008005A2">
        <w:rPr>
          <w:rFonts w:hint="cs"/>
          <w:b/>
          <w:bCs/>
          <w:rtl/>
          <w:lang/>
        </w:rPr>
        <w:t xml:space="preserve">توصي اللجنة الدولة الطرف </w:t>
      </w:r>
      <w:r w:rsidRPr="008005A2">
        <w:rPr>
          <w:rFonts w:hint="cs"/>
          <w:b/>
          <w:bCs/>
          <w:rtl/>
          <w:lang/>
        </w:rPr>
        <w:t xml:space="preserve">بالعمل على </w:t>
      </w:r>
      <w:r w:rsidR="0069689D" w:rsidRPr="008005A2">
        <w:rPr>
          <w:rFonts w:hint="cs"/>
          <w:b/>
          <w:bCs/>
          <w:rtl/>
          <w:lang/>
        </w:rPr>
        <w:t xml:space="preserve">ألا يمارس الطب أي طبيب غير مرخص له </w:t>
      </w:r>
      <w:r w:rsidRPr="008005A2">
        <w:rPr>
          <w:rFonts w:hint="cs"/>
          <w:b/>
          <w:bCs/>
          <w:rtl/>
          <w:lang/>
        </w:rPr>
        <w:t>فيها</w:t>
      </w:r>
      <w:r w:rsidR="0069689D" w:rsidRPr="008005A2">
        <w:rPr>
          <w:rFonts w:hint="cs"/>
          <w:b/>
          <w:bCs/>
          <w:rtl/>
          <w:lang/>
        </w:rPr>
        <w:t xml:space="preserve">. وتطلب أيضاً أن تضع الدولة الطرف في أقرب وقت ممكن تشريعاً لمكافحة السوق غير المشروعة للمنتجات الصيدلانية وشن حملة، على النحو المقرر، لتوعية السكان بالمخاطر الناجمة عن هذه المنتجات. وتوصي اللجنة أن تضمن الدولة الطرف توافر المنتجات الصيدلانية، </w:t>
      </w:r>
      <w:r w:rsidRPr="008005A2">
        <w:rPr>
          <w:rFonts w:hint="cs"/>
          <w:b/>
          <w:bCs/>
          <w:rtl/>
          <w:lang/>
        </w:rPr>
        <w:t xml:space="preserve">للجمعي بما في ذلك الفئات </w:t>
      </w:r>
      <w:r w:rsidR="0069689D" w:rsidRPr="008005A2">
        <w:rPr>
          <w:rFonts w:hint="cs"/>
          <w:b/>
          <w:bCs/>
          <w:rtl/>
          <w:lang/>
        </w:rPr>
        <w:t xml:space="preserve">المستضعفة والمهمشة، بهدف تفادي اللجوء إلى </w:t>
      </w:r>
      <w:r w:rsidRPr="008005A2">
        <w:rPr>
          <w:rFonts w:hint="cs"/>
          <w:b/>
          <w:bCs/>
          <w:rtl/>
          <w:lang/>
        </w:rPr>
        <w:t xml:space="preserve">الأسواق </w:t>
      </w:r>
      <w:r w:rsidR="0069689D" w:rsidRPr="008005A2">
        <w:rPr>
          <w:rFonts w:hint="cs"/>
          <w:b/>
          <w:bCs/>
          <w:rtl/>
          <w:lang/>
        </w:rPr>
        <w:t>غير المشروعة.</w:t>
      </w:r>
    </w:p>
    <w:p w:rsidR="0069689D" w:rsidRDefault="0069689D" w:rsidP="008005A2">
      <w:pPr>
        <w:pStyle w:val="SingleTxtGA"/>
        <w:rPr>
          <w:rFonts w:hint="cs"/>
          <w:rtl/>
          <w:lang/>
        </w:rPr>
      </w:pPr>
      <w:r w:rsidRPr="00806D1D">
        <w:rPr>
          <w:rFonts w:hint="cs"/>
          <w:rtl/>
          <w:lang/>
        </w:rPr>
        <w:t>31-</w:t>
      </w:r>
      <w:r w:rsidRPr="00806D1D">
        <w:rPr>
          <w:rFonts w:hint="cs"/>
          <w:rtl/>
          <w:lang/>
        </w:rPr>
        <w:tab/>
      </w:r>
      <w:r>
        <w:rPr>
          <w:rFonts w:hint="cs"/>
          <w:rtl/>
          <w:lang/>
        </w:rPr>
        <w:t>وتشعر اللجنة بالقلق ل</w:t>
      </w:r>
      <w:r w:rsidR="008B779F">
        <w:rPr>
          <w:rFonts w:hint="cs"/>
          <w:rtl/>
          <w:lang/>
        </w:rPr>
        <w:t>انتشار فيروس نقص المناعة البشري</w:t>
      </w:r>
      <w:r w:rsidR="000B1ABA">
        <w:rPr>
          <w:rFonts w:hint="cs"/>
          <w:rtl/>
          <w:lang/>
        </w:rPr>
        <w:t>ة</w:t>
      </w:r>
      <w:r w:rsidR="008B779F">
        <w:rPr>
          <w:rFonts w:hint="cs"/>
          <w:rtl/>
          <w:lang/>
        </w:rPr>
        <w:t xml:space="preserve"> المكتسب</w:t>
      </w:r>
      <w:r>
        <w:rPr>
          <w:rFonts w:hint="cs"/>
          <w:rtl/>
          <w:lang/>
        </w:rPr>
        <w:t xml:space="preserve"> في الدولة الطرف، لاسيما في صفوف الفئات المستضعفة. وتلاحظ اللجنة بقلق إزاء عدم إتاحة العلاج </w:t>
      </w:r>
      <w:r w:rsidR="008B779F">
        <w:rPr>
          <w:rFonts w:hint="cs"/>
          <w:rtl/>
          <w:lang/>
        </w:rPr>
        <w:t xml:space="preserve">بالأدوية المجانية المضادة للفيروسات </w:t>
      </w:r>
      <w:proofErr w:type="spellStart"/>
      <w:r w:rsidR="008B779F">
        <w:rPr>
          <w:rFonts w:hint="cs"/>
          <w:rtl/>
          <w:lang/>
        </w:rPr>
        <w:t>القهقرية</w:t>
      </w:r>
      <w:proofErr w:type="spellEnd"/>
      <w:r w:rsidR="008B779F">
        <w:rPr>
          <w:rFonts w:hint="cs"/>
          <w:rtl/>
          <w:lang/>
        </w:rPr>
        <w:t xml:space="preserve"> </w:t>
      </w:r>
      <w:r>
        <w:rPr>
          <w:rFonts w:hint="cs"/>
          <w:rtl/>
          <w:lang/>
        </w:rPr>
        <w:t xml:space="preserve">في جميع أنحاء البلد </w:t>
      </w:r>
      <w:r w:rsidR="008B779F">
        <w:rPr>
          <w:rFonts w:hint="cs"/>
          <w:rtl/>
          <w:lang/>
        </w:rPr>
        <w:t xml:space="preserve">ولحدوث </w:t>
      </w:r>
      <w:proofErr w:type="spellStart"/>
      <w:r w:rsidR="008B779F">
        <w:rPr>
          <w:rFonts w:hint="cs"/>
          <w:rtl/>
          <w:lang/>
        </w:rPr>
        <w:t>شحة</w:t>
      </w:r>
      <w:proofErr w:type="spellEnd"/>
      <w:r w:rsidR="008B779F">
        <w:rPr>
          <w:rFonts w:hint="cs"/>
          <w:rtl/>
          <w:lang/>
        </w:rPr>
        <w:t xml:space="preserve"> في تلك الأدوية </w:t>
      </w:r>
      <w:r>
        <w:rPr>
          <w:rFonts w:hint="cs"/>
          <w:rtl/>
          <w:lang/>
        </w:rPr>
        <w:t>في عامي 2009 و2010.</w:t>
      </w:r>
    </w:p>
    <w:p w:rsidR="0069689D" w:rsidRPr="008005A2" w:rsidRDefault="008B779F" w:rsidP="0023124D">
      <w:pPr>
        <w:pStyle w:val="SingleTxtGA"/>
        <w:rPr>
          <w:rFonts w:hint="cs"/>
          <w:b/>
          <w:bCs/>
          <w:rtl/>
          <w:lang/>
        </w:rPr>
      </w:pPr>
      <w:r w:rsidRPr="008005A2">
        <w:rPr>
          <w:rFonts w:hint="cs"/>
          <w:b/>
          <w:bCs/>
          <w:rtl/>
          <w:lang/>
        </w:rPr>
        <w:tab/>
      </w:r>
      <w:r w:rsidR="0069689D" w:rsidRPr="008005A2">
        <w:rPr>
          <w:rFonts w:hint="cs"/>
          <w:b/>
          <w:bCs/>
          <w:rtl/>
          <w:lang/>
        </w:rPr>
        <w:t xml:space="preserve">تحث اللجنة الدولة الطرف على ما يلي: </w:t>
      </w:r>
      <w:r w:rsidR="0069689D" w:rsidRPr="008005A2">
        <w:rPr>
          <w:rFonts w:hint="cs"/>
          <w:b/>
          <w:bCs/>
          <w:rtl/>
        </w:rPr>
        <w:t>(أ) اعتماد تشريع لتنفيذ القانون رقم</w:t>
      </w:r>
      <w:r w:rsidR="0023124D">
        <w:rPr>
          <w:rFonts w:hint="eastAsia"/>
          <w:b/>
          <w:bCs/>
          <w:rtl/>
        </w:rPr>
        <w:t> </w:t>
      </w:r>
      <w:r w:rsidR="0069689D" w:rsidRPr="008005A2">
        <w:rPr>
          <w:b/>
          <w:bCs/>
          <w:lang w:val="fr-FR"/>
        </w:rPr>
        <w:t>2005-12</w:t>
      </w:r>
      <w:r w:rsidR="0069689D" w:rsidRPr="008005A2">
        <w:rPr>
          <w:rFonts w:hint="cs"/>
          <w:b/>
          <w:bCs/>
          <w:rtl/>
          <w:lang w:val="fr-FR"/>
        </w:rPr>
        <w:t xml:space="preserve"> بشأن حماية الأشخاص من </w:t>
      </w:r>
      <w:r w:rsidRPr="008005A2">
        <w:rPr>
          <w:rFonts w:hint="cs"/>
          <w:b/>
          <w:bCs/>
          <w:rtl/>
          <w:lang w:val="fr-FR"/>
        </w:rPr>
        <w:t xml:space="preserve">الأيدز والعدوى بفيروسه </w:t>
      </w:r>
      <w:r w:rsidR="0069689D" w:rsidRPr="008005A2">
        <w:rPr>
          <w:rFonts w:hint="cs"/>
          <w:b/>
          <w:bCs/>
          <w:rtl/>
          <w:lang w:val="fr-FR"/>
        </w:rPr>
        <w:t xml:space="preserve">وضمان التطبيق الفعال لهذا القانون، لاسيما بإذكاء الوعي في صفوف عامة الناس والسلطات المسؤولة عن تنفيذه؛ </w:t>
      </w:r>
      <w:r w:rsidR="0069689D" w:rsidRPr="008005A2">
        <w:rPr>
          <w:rFonts w:hint="cs"/>
          <w:b/>
          <w:bCs/>
          <w:rtl/>
        </w:rPr>
        <w:t xml:space="preserve">(ب) توسيع استرداد تكاليف </w:t>
      </w:r>
      <w:r w:rsidR="0069689D" w:rsidRPr="008005A2">
        <w:rPr>
          <w:rFonts w:hint="cs"/>
          <w:b/>
          <w:bCs/>
          <w:rtl/>
          <w:lang/>
        </w:rPr>
        <w:t>العلاج المضاد للفيروس</w:t>
      </w:r>
      <w:r w:rsidRPr="008005A2">
        <w:rPr>
          <w:rFonts w:hint="cs"/>
          <w:b/>
          <w:bCs/>
          <w:rtl/>
          <w:lang/>
        </w:rPr>
        <w:t>ات</w:t>
      </w:r>
      <w:r w:rsidR="0069689D" w:rsidRPr="008005A2">
        <w:rPr>
          <w:rFonts w:hint="cs"/>
          <w:b/>
          <w:bCs/>
          <w:rtl/>
          <w:lang/>
        </w:rPr>
        <w:t xml:space="preserve"> </w:t>
      </w:r>
      <w:proofErr w:type="spellStart"/>
      <w:r w:rsidR="0069689D" w:rsidRPr="008005A2">
        <w:rPr>
          <w:rFonts w:hint="cs"/>
          <w:b/>
          <w:bCs/>
          <w:rtl/>
          <w:lang/>
        </w:rPr>
        <w:t>القهقري</w:t>
      </w:r>
      <w:r w:rsidRPr="008005A2">
        <w:rPr>
          <w:rFonts w:hint="cs"/>
          <w:b/>
          <w:bCs/>
          <w:rtl/>
          <w:lang/>
        </w:rPr>
        <w:t>ة</w:t>
      </w:r>
      <w:proofErr w:type="spellEnd"/>
      <w:r w:rsidR="0069689D" w:rsidRPr="008005A2">
        <w:rPr>
          <w:rFonts w:hint="cs"/>
          <w:b/>
          <w:bCs/>
          <w:rtl/>
          <w:lang/>
        </w:rPr>
        <w:t xml:space="preserve"> إلى البلد بأسره وضمان حصول الفئات المستضعفة على العلاج بشكل عادل؛ </w:t>
      </w:r>
      <w:r w:rsidR="0069689D" w:rsidRPr="008005A2">
        <w:rPr>
          <w:rFonts w:hint="cs"/>
          <w:b/>
          <w:bCs/>
          <w:rtl/>
        </w:rPr>
        <w:t xml:space="preserve">(ج) ضمان تخصيص تمويل ثابت لهذا الغرض بهدف تفادي أي </w:t>
      </w:r>
      <w:proofErr w:type="spellStart"/>
      <w:r w:rsidRPr="008005A2">
        <w:rPr>
          <w:rFonts w:hint="cs"/>
          <w:b/>
          <w:bCs/>
          <w:rtl/>
        </w:rPr>
        <w:t>شحة</w:t>
      </w:r>
      <w:proofErr w:type="spellEnd"/>
      <w:r w:rsidRPr="008005A2">
        <w:rPr>
          <w:rFonts w:hint="cs"/>
          <w:b/>
          <w:bCs/>
          <w:rtl/>
        </w:rPr>
        <w:t xml:space="preserve"> في الأدوية المضادة للفيروسات </w:t>
      </w:r>
      <w:proofErr w:type="spellStart"/>
      <w:r w:rsidRPr="008005A2">
        <w:rPr>
          <w:rFonts w:hint="cs"/>
          <w:b/>
          <w:bCs/>
          <w:rtl/>
        </w:rPr>
        <w:t>القهقرية</w:t>
      </w:r>
      <w:proofErr w:type="spellEnd"/>
      <w:r w:rsidR="0069689D" w:rsidRPr="008005A2">
        <w:rPr>
          <w:rFonts w:hint="cs"/>
          <w:b/>
          <w:bCs/>
          <w:rtl/>
          <w:lang/>
        </w:rPr>
        <w:t>.</w:t>
      </w:r>
    </w:p>
    <w:p w:rsidR="0069689D" w:rsidRDefault="0069689D" w:rsidP="008005A2">
      <w:pPr>
        <w:pStyle w:val="SingleTxtGA"/>
        <w:rPr>
          <w:rFonts w:hint="cs"/>
          <w:rtl/>
          <w:lang/>
        </w:rPr>
      </w:pPr>
      <w:r w:rsidRPr="00F07712">
        <w:rPr>
          <w:rFonts w:hint="cs"/>
          <w:rtl/>
          <w:lang/>
        </w:rPr>
        <w:t>32-</w:t>
      </w:r>
      <w:r w:rsidRPr="00F07712">
        <w:rPr>
          <w:rFonts w:hint="cs"/>
          <w:rtl/>
          <w:lang/>
        </w:rPr>
        <w:tab/>
      </w:r>
      <w:r>
        <w:rPr>
          <w:rFonts w:hint="cs"/>
          <w:rtl/>
          <w:lang/>
        </w:rPr>
        <w:t xml:space="preserve">وتلاحظ اللجنة بقلق أن السلطات لا تقوم بزيارات منتظمة لمستشفيات الأمراض النفسية، رغم وجود أحكام لهذا الغرض في قانون الصحة </w:t>
      </w:r>
      <w:r>
        <w:rPr>
          <w:rFonts w:hint="cs"/>
          <w:rtl/>
        </w:rPr>
        <w:t>(المادة 12)</w:t>
      </w:r>
      <w:r>
        <w:rPr>
          <w:rFonts w:hint="cs"/>
          <w:rtl/>
          <w:lang/>
        </w:rPr>
        <w:t>.</w:t>
      </w:r>
    </w:p>
    <w:p w:rsidR="0069689D" w:rsidRPr="008005A2" w:rsidRDefault="008B779F" w:rsidP="008005A2">
      <w:pPr>
        <w:pStyle w:val="SingleTxtGA"/>
        <w:rPr>
          <w:rFonts w:hint="cs"/>
          <w:b/>
          <w:bCs/>
          <w:rtl/>
          <w:lang/>
        </w:rPr>
      </w:pPr>
      <w:r w:rsidRPr="008005A2">
        <w:rPr>
          <w:rFonts w:hint="cs"/>
          <w:b/>
          <w:bCs/>
          <w:rtl/>
          <w:lang/>
        </w:rPr>
        <w:tab/>
      </w:r>
      <w:r w:rsidR="0069689D" w:rsidRPr="008005A2">
        <w:rPr>
          <w:rFonts w:hint="cs"/>
          <w:b/>
          <w:bCs/>
          <w:rtl/>
          <w:lang/>
        </w:rPr>
        <w:t xml:space="preserve">تحث اللجنة الدولة الطرف على اعتماد وتنفيذ تشريع لتطبيق قانون الصحة فيما يتعلق بحماية الصحة العقلية في أقرب الآجال. </w:t>
      </w:r>
      <w:r w:rsidRPr="008005A2">
        <w:rPr>
          <w:rFonts w:hint="cs"/>
          <w:b/>
          <w:bCs/>
          <w:rtl/>
          <w:lang/>
        </w:rPr>
        <w:t xml:space="preserve">وتحث اللجنة الدولة الطرف، على وجه الخصوص، </w:t>
      </w:r>
      <w:r w:rsidR="0069689D" w:rsidRPr="008005A2">
        <w:rPr>
          <w:rFonts w:hint="cs"/>
          <w:b/>
          <w:bCs/>
          <w:rtl/>
          <w:lang/>
        </w:rPr>
        <w:t xml:space="preserve">على أن تُضمن النص المتعلق بزيارة مراكز إيواء المرضى المصابين باضطرابات عقلية أحكاماً واضحة، على النحو المنصوص عليه في المادة 127 من قانون الصحة، وفي النص المتعلق بالتفتيش المنتظم والرقابة القضائية الفعالة للاحتجاز في مستشفيات الأمراض النفسية. وتطلب اللجنة </w:t>
      </w:r>
      <w:r w:rsidR="00587EC4" w:rsidRPr="008005A2">
        <w:rPr>
          <w:rFonts w:hint="cs"/>
          <w:b/>
          <w:bCs/>
          <w:rtl/>
          <w:lang/>
        </w:rPr>
        <w:t xml:space="preserve">إلى </w:t>
      </w:r>
      <w:r w:rsidR="0069689D" w:rsidRPr="008005A2">
        <w:rPr>
          <w:rFonts w:hint="cs"/>
          <w:b/>
          <w:bCs/>
          <w:rtl/>
          <w:lang/>
        </w:rPr>
        <w:t xml:space="preserve">الدولة الطرف </w:t>
      </w:r>
      <w:r w:rsidR="00587EC4" w:rsidRPr="008005A2">
        <w:rPr>
          <w:rFonts w:hint="cs"/>
          <w:b/>
          <w:bCs/>
          <w:rtl/>
          <w:lang/>
        </w:rPr>
        <w:t xml:space="preserve">أن تدرج </w:t>
      </w:r>
      <w:r w:rsidR="0069689D" w:rsidRPr="008005A2">
        <w:rPr>
          <w:rFonts w:hint="cs"/>
          <w:b/>
          <w:bCs/>
          <w:rtl/>
          <w:lang/>
        </w:rPr>
        <w:t>في تقريرها الدوري القادم تفاصيل عن وضع الصحة العقلية في الدولة الطرف.</w:t>
      </w:r>
    </w:p>
    <w:p w:rsidR="0069689D" w:rsidRDefault="0069689D" w:rsidP="008005A2">
      <w:pPr>
        <w:pStyle w:val="SingleTxtGA"/>
        <w:rPr>
          <w:rFonts w:hint="cs"/>
          <w:rtl/>
          <w:lang/>
        </w:rPr>
      </w:pPr>
      <w:r w:rsidRPr="00646139">
        <w:rPr>
          <w:rFonts w:hint="cs"/>
          <w:rtl/>
          <w:lang/>
        </w:rPr>
        <w:t>33-</w:t>
      </w:r>
      <w:r w:rsidRPr="00646139">
        <w:rPr>
          <w:rFonts w:hint="cs"/>
          <w:rtl/>
          <w:lang w:val="fr-FR"/>
        </w:rPr>
        <w:tab/>
      </w:r>
      <w:r>
        <w:rPr>
          <w:rFonts w:hint="cs"/>
          <w:rtl/>
          <w:lang w:val="fr-FR"/>
        </w:rPr>
        <w:t xml:space="preserve">وتشعر اللجنة بالقلق إزاء نقص الوصول </w:t>
      </w:r>
      <w:r>
        <w:rPr>
          <w:rFonts w:hint="cs"/>
          <w:rtl/>
          <w:lang/>
        </w:rPr>
        <w:t>إلى المياه النظيفة ووسائل الإصحاح، لا</w:t>
      </w:r>
      <w:r w:rsidR="00587EC4">
        <w:rPr>
          <w:rFonts w:hint="eastAsia"/>
          <w:rtl/>
          <w:lang/>
        </w:rPr>
        <w:t> </w:t>
      </w:r>
      <w:r>
        <w:rPr>
          <w:rFonts w:hint="cs"/>
          <w:rtl/>
          <w:lang/>
        </w:rPr>
        <w:t xml:space="preserve">سيما في </w:t>
      </w:r>
      <w:r w:rsidR="00587EC4">
        <w:rPr>
          <w:rFonts w:hint="cs"/>
          <w:rtl/>
          <w:lang/>
        </w:rPr>
        <w:t xml:space="preserve">المناطق الريفية </w:t>
      </w:r>
      <w:r>
        <w:rPr>
          <w:rFonts w:hint="cs"/>
          <w:rtl/>
          <w:lang/>
        </w:rPr>
        <w:t xml:space="preserve">وفي بعض المناطق. </w:t>
      </w:r>
      <w:r w:rsidR="00587EC4">
        <w:rPr>
          <w:rFonts w:hint="cs"/>
          <w:rtl/>
          <w:lang/>
        </w:rPr>
        <w:t xml:space="preserve">كما </w:t>
      </w:r>
      <w:r>
        <w:rPr>
          <w:rFonts w:hint="cs"/>
          <w:rtl/>
          <w:lang/>
        </w:rPr>
        <w:t xml:space="preserve">تعرب عن قلقها لعدم كفاية رصد جودة المياه والتلوث في </w:t>
      </w:r>
      <w:r w:rsidR="00587EC4">
        <w:rPr>
          <w:rFonts w:hint="cs"/>
          <w:rtl/>
          <w:lang/>
        </w:rPr>
        <w:t xml:space="preserve">المناطق </w:t>
      </w:r>
      <w:r>
        <w:rPr>
          <w:rFonts w:hint="cs"/>
          <w:rtl/>
          <w:lang/>
        </w:rPr>
        <w:t xml:space="preserve">الحضرية بسبب قصور معالجة النفايات ومياه الصرف الصحي والتخلص منهما </w:t>
      </w:r>
      <w:r>
        <w:rPr>
          <w:rFonts w:hint="cs"/>
          <w:rtl/>
        </w:rPr>
        <w:t>(المادة 12)</w:t>
      </w:r>
      <w:r>
        <w:rPr>
          <w:rFonts w:hint="cs"/>
          <w:rtl/>
          <w:lang/>
        </w:rPr>
        <w:t>.</w:t>
      </w:r>
    </w:p>
    <w:p w:rsidR="0069689D" w:rsidRPr="008005A2" w:rsidRDefault="008005A2" w:rsidP="008005A2">
      <w:pPr>
        <w:pStyle w:val="SingleTxtGA"/>
        <w:rPr>
          <w:rFonts w:hint="cs"/>
          <w:b/>
          <w:bCs/>
          <w:rtl/>
          <w:lang w:val="fr-FR"/>
        </w:rPr>
      </w:pPr>
      <w:r w:rsidRPr="008005A2">
        <w:rPr>
          <w:rFonts w:hint="cs"/>
          <w:b/>
          <w:bCs/>
          <w:rtl/>
          <w:lang w:val="fr-FR"/>
        </w:rPr>
        <w:tab/>
      </w:r>
      <w:r w:rsidR="0069689D" w:rsidRPr="008005A2">
        <w:rPr>
          <w:rFonts w:hint="cs"/>
          <w:b/>
          <w:bCs/>
          <w:rtl/>
          <w:lang w:val="fr-FR"/>
        </w:rPr>
        <w:t>تحث اللجنة الدولة الطرف على تطوير خدمات الصرف الصحي العام ومعالجة النفايات والمياه المستعملة والتزويد بالمياه الصالحة للشرب، لا</w:t>
      </w:r>
      <w:r w:rsidR="00587EC4" w:rsidRPr="008005A2">
        <w:rPr>
          <w:rFonts w:hint="eastAsia"/>
          <w:b/>
          <w:bCs/>
          <w:rtl/>
          <w:lang w:val="fr-FR"/>
        </w:rPr>
        <w:t> </w:t>
      </w:r>
      <w:r w:rsidR="0069689D" w:rsidRPr="008005A2">
        <w:rPr>
          <w:rFonts w:hint="cs"/>
          <w:b/>
          <w:bCs/>
          <w:rtl/>
          <w:lang w:val="fr-FR"/>
        </w:rPr>
        <w:t xml:space="preserve">سيما في </w:t>
      </w:r>
      <w:r w:rsidR="00587EC4" w:rsidRPr="008005A2">
        <w:rPr>
          <w:rFonts w:hint="cs"/>
          <w:b/>
          <w:bCs/>
          <w:rtl/>
          <w:lang w:val="fr-FR"/>
        </w:rPr>
        <w:t xml:space="preserve">المناطق الريفية </w:t>
      </w:r>
      <w:r w:rsidR="0069689D" w:rsidRPr="008005A2">
        <w:rPr>
          <w:rFonts w:hint="cs"/>
          <w:b/>
          <w:bCs/>
          <w:rtl/>
          <w:lang w:val="fr-FR"/>
        </w:rPr>
        <w:t xml:space="preserve">وفي منطقة </w:t>
      </w:r>
      <w:proofErr w:type="spellStart"/>
      <w:r w:rsidR="0069689D" w:rsidRPr="008005A2">
        <w:rPr>
          <w:rFonts w:hint="cs"/>
          <w:b/>
          <w:bCs/>
          <w:rtl/>
          <w:lang w:val="fr-FR"/>
        </w:rPr>
        <w:t>السافانا</w:t>
      </w:r>
      <w:proofErr w:type="spellEnd"/>
      <w:r w:rsidR="0069689D" w:rsidRPr="008005A2">
        <w:rPr>
          <w:rFonts w:hint="cs"/>
          <w:b/>
          <w:bCs/>
          <w:rtl/>
          <w:lang w:val="fr-FR"/>
        </w:rPr>
        <w:t xml:space="preserve"> ومنطقة </w:t>
      </w:r>
      <w:proofErr w:type="spellStart"/>
      <w:r w:rsidR="0069689D" w:rsidRPr="008005A2">
        <w:rPr>
          <w:rFonts w:hint="cs"/>
          <w:b/>
          <w:bCs/>
          <w:rtl/>
          <w:lang w:val="fr-FR"/>
        </w:rPr>
        <w:t>كارا</w:t>
      </w:r>
      <w:proofErr w:type="spellEnd"/>
      <w:r w:rsidR="0069689D" w:rsidRPr="008005A2">
        <w:rPr>
          <w:rFonts w:hint="cs"/>
          <w:b/>
          <w:bCs/>
          <w:rtl/>
          <w:lang w:val="fr-FR"/>
        </w:rPr>
        <w:t xml:space="preserve">، وتنقية الأماكن الملوثة بالمياه المستعملة. </w:t>
      </w:r>
      <w:r w:rsidR="00587EC4" w:rsidRPr="008005A2">
        <w:rPr>
          <w:rFonts w:hint="cs"/>
          <w:b/>
          <w:bCs/>
          <w:rtl/>
          <w:lang w:val="fr-FR"/>
        </w:rPr>
        <w:t xml:space="preserve">وتوصيها </w:t>
      </w:r>
      <w:r w:rsidR="0069689D" w:rsidRPr="008005A2">
        <w:rPr>
          <w:rFonts w:hint="cs"/>
          <w:b/>
          <w:bCs/>
          <w:rtl/>
          <w:lang w:val="fr-FR"/>
        </w:rPr>
        <w:t>ب</w:t>
      </w:r>
      <w:r w:rsidR="0069689D" w:rsidRPr="008005A2">
        <w:rPr>
          <w:rFonts w:hint="cs"/>
          <w:b/>
          <w:bCs/>
          <w:rtl/>
          <w:lang/>
        </w:rPr>
        <w:t xml:space="preserve">استحداث بند ميزانية مستقل وممول بشكل أفضل يخصص لإدارة المياه ووسائل الإصحاح في ميزانية قطاع الصحة. وتدعو اللجنة الدولة الطرف إلى تقديم معلومات في تقريرها الدوري المقبل بشأن خطة العمل الوطنية لإدارة المياه ووسائل الإصحاح. وتسترعي </w:t>
      </w:r>
      <w:r w:rsidR="00587EC4" w:rsidRPr="008005A2">
        <w:rPr>
          <w:rFonts w:hint="cs"/>
          <w:b/>
          <w:bCs/>
          <w:rtl/>
          <w:lang/>
        </w:rPr>
        <w:t>انتباهها إلى تعليقها العام رقم 15</w:t>
      </w:r>
      <w:r w:rsidR="0069689D" w:rsidRPr="008005A2">
        <w:rPr>
          <w:rFonts w:hint="cs"/>
          <w:b/>
          <w:bCs/>
          <w:rtl/>
        </w:rPr>
        <w:t xml:space="preserve">(1997) بشأن الحق في المياه وإلى بيانها </w:t>
      </w:r>
      <w:r w:rsidR="00F97C2E" w:rsidRPr="008005A2">
        <w:rPr>
          <w:rFonts w:hint="cs"/>
          <w:b/>
          <w:bCs/>
          <w:rtl/>
        </w:rPr>
        <w:t xml:space="preserve">بشأن </w:t>
      </w:r>
      <w:r w:rsidR="0069689D" w:rsidRPr="008005A2">
        <w:rPr>
          <w:rFonts w:hint="cs"/>
          <w:b/>
          <w:bCs/>
          <w:rtl/>
          <w:lang/>
        </w:rPr>
        <w:t xml:space="preserve">الحق في الصرف الصحي </w:t>
      </w:r>
      <w:r w:rsidR="0069689D" w:rsidRPr="008005A2">
        <w:rPr>
          <w:b/>
          <w:bCs/>
          <w:lang w:val="fr-FR"/>
        </w:rPr>
        <w:t>(E/C.12/2010/1)</w:t>
      </w:r>
      <w:r w:rsidR="0069689D" w:rsidRPr="008005A2">
        <w:rPr>
          <w:rFonts w:hint="cs"/>
          <w:b/>
          <w:bCs/>
          <w:rtl/>
          <w:lang w:val="fr-FR"/>
        </w:rPr>
        <w:t>.</w:t>
      </w:r>
    </w:p>
    <w:p w:rsidR="0069689D" w:rsidRDefault="0069689D" w:rsidP="00566055">
      <w:pPr>
        <w:pStyle w:val="SingleTxtGA"/>
        <w:rPr>
          <w:rFonts w:hint="cs"/>
          <w:rtl/>
          <w:lang/>
        </w:rPr>
      </w:pPr>
      <w:r>
        <w:rPr>
          <w:rFonts w:hint="cs"/>
          <w:b/>
          <w:rtl/>
          <w:lang w:val="fr-FR"/>
        </w:rPr>
        <w:t>34-</w:t>
      </w:r>
      <w:r>
        <w:rPr>
          <w:rFonts w:hint="cs"/>
          <w:b/>
          <w:rtl/>
          <w:lang w:val="fr-FR"/>
        </w:rPr>
        <w:tab/>
        <w:t xml:space="preserve">تلاحظ اللجنة مع القلق </w:t>
      </w:r>
      <w:r>
        <w:rPr>
          <w:rFonts w:hint="cs"/>
          <w:rtl/>
          <w:lang/>
        </w:rPr>
        <w:t xml:space="preserve">ارتفاع معدلات الأمية </w:t>
      </w:r>
      <w:r w:rsidR="00F97C2E">
        <w:rPr>
          <w:rFonts w:hint="cs"/>
          <w:rtl/>
          <w:lang/>
        </w:rPr>
        <w:t xml:space="preserve">والتسرّب من المدرسة </w:t>
      </w:r>
      <w:r>
        <w:rPr>
          <w:rFonts w:hint="cs"/>
          <w:rtl/>
          <w:lang/>
        </w:rPr>
        <w:t xml:space="preserve">والرسوب الدراسي في الدولة الطرف، لاسيما في صفوف الفتيات. كما تشعر بالقلق </w:t>
      </w:r>
      <w:r w:rsidR="00F97C2E">
        <w:rPr>
          <w:rFonts w:hint="cs"/>
          <w:rtl/>
          <w:lang/>
        </w:rPr>
        <w:t xml:space="preserve">لمعاناة </w:t>
      </w:r>
      <w:r>
        <w:rPr>
          <w:rFonts w:hint="cs"/>
          <w:rtl/>
          <w:lang/>
        </w:rPr>
        <w:t xml:space="preserve">النظام التعليمي في الدولة الطرف من جملة أمور منها، النقص الحاد في عدد المدرسين وعدم كفاية البنيات التحتية وتكاثر مدارس التعليم الابتدائي والثانوي الناشئة عن مبادرات محلية </w:t>
      </w:r>
      <w:r>
        <w:rPr>
          <w:rFonts w:hint="cs"/>
          <w:rtl/>
        </w:rPr>
        <w:t>(المادتان 13 و14)</w:t>
      </w:r>
      <w:r>
        <w:rPr>
          <w:rFonts w:hint="cs"/>
          <w:rtl/>
          <w:lang/>
        </w:rPr>
        <w:t>.</w:t>
      </w:r>
    </w:p>
    <w:p w:rsidR="0069689D" w:rsidRPr="008005A2" w:rsidRDefault="008005A2" w:rsidP="008005A2">
      <w:pPr>
        <w:pStyle w:val="SingleTxtGA"/>
        <w:rPr>
          <w:rFonts w:hint="cs"/>
          <w:b/>
          <w:bCs/>
          <w:rtl/>
        </w:rPr>
      </w:pPr>
      <w:r w:rsidRPr="008005A2">
        <w:rPr>
          <w:rFonts w:hint="cs"/>
          <w:b/>
          <w:bCs/>
          <w:rtl/>
          <w:lang/>
        </w:rPr>
        <w:tab/>
      </w:r>
      <w:r w:rsidR="0069689D" w:rsidRPr="008005A2">
        <w:rPr>
          <w:rFonts w:hint="cs"/>
          <w:b/>
          <w:bCs/>
          <w:rtl/>
          <w:lang/>
        </w:rPr>
        <w:t xml:space="preserve">توصي اللجنة الدولة الطرف بما يلي: </w:t>
      </w:r>
      <w:r w:rsidR="0069689D" w:rsidRPr="008005A2">
        <w:rPr>
          <w:rFonts w:hint="cs"/>
          <w:b/>
          <w:bCs/>
          <w:rtl/>
        </w:rPr>
        <w:t xml:space="preserve">(أ) تخصيص الموارد </w:t>
      </w:r>
      <w:r w:rsidR="00F97C2E" w:rsidRPr="008005A2">
        <w:rPr>
          <w:rFonts w:hint="cs"/>
          <w:b/>
          <w:bCs/>
          <w:rtl/>
        </w:rPr>
        <w:t xml:space="preserve">اللازمة </w:t>
      </w:r>
      <w:r w:rsidR="0069689D" w:rsidRPr="008005A2">
        <w:rPr>
          <w:rFonts w:hint="cs"/>
          <w:b/>
          <w:bCs/>
          <w:rtl/>
        </w:rPr>
        <w:t xml:space="preserve">لإعمال الحق في التعليم؛ (ب) معالجة الأسباب الجذرية لمعدلات الرسوب </w:t>
      </w:r>
      <w:r w:rsidR="00F97C2E" w:rsidRPr="008005A2">
        <w:rPr>
          <w:rFonts w:hint="cs"/>
          <w:b/>
          <w:bCs/>
          <w:rtl/>
        </w:rPr>
        <w:t xml:space="preserve">والتسرّب من المدرسة </w:t>
      </w:r>
      <w:r w:rsidR="0069689D" w:rsidRPr="008005A2">
        <w:rPr>
          <w:rFonts w:hint="cs"/>
          <w:b/>
          <w:bCs/>
          <w:rtl/>
        </w:rPr>
        <w:t xml:space="preserve">التي تسجلها وللتفاوت بين الفتيات والفتيان فيما يتعلق بالتمتع بالحق في التعليم؛ (ج) اعتماد سياسة </w:t>
      </w:r>
      <w:r w:rsidR="0069689D" w:rsidRPr="008005A2">
        <w:rPr>
          <w:rFonts w:hint="cs"/>
          <w:b/>
          <w:bCs/>
          <w:rtl/>
          <w:lang/>
        </w:rPr>
        <w:t xml:space="preserve">محو الأمية والتعليم غير </w:t>
      </w:r>
      <w:r w:rsidR="00F97C2E" w:rsidRPr="008005A2">
        <w:rPr>
          <w:rFonts w:hint="cs"/>
          <w:b/>
          <w:bCs/>
          <w:rtl/>
          <w:lang/>
        </w:rPr>
        <w:t>النظامي</w:t>
      </w:r>
      <w:r w:rsidR="0069689D" w:rsidRPr="008005A2">
        <w:rPr>
          <w:rFonts w:hint="cs"/>
          <w:b/>
          <w:bCs/>
          <w:rtl/>
        </w:rPr>
        <w:t>؛ (د) ضمان تدريس لغات الأقليات وحقوق الإنسان في جميع مراحل النظام التعليمي. وتوجه اللجنة انتباه الدولة</w:t>
      </w:r>
      <w:r w:rsidR="00566055">
        <w:rPr>
          <w:rFonts w:hint="cs"/>
          <w:b/>
          <w:bCs/>
          <w:rtl/>
        </w:rPr>
        <w:t xml:space="preserve"> الطرف إلى تعليقها العام رقم 13</w:t>
      </w:r>
      <w:r w:rsidR="0069689D" w:rsidRPr="008005A2">
        <w:rPr>
          <w:rFonts w:hint="cs"/>
          <w:b/>
          <w:bCs/>
          <w:rtl/>
        </w:rPr>
        <w:t>(1999) بشأن الحق في التعليم.</w:t>
      </w:r>
    </w:p>
    <w:p w:rsidR="0069689D" w:rsidRDefault="0069689D" w:rsidP="0023124D">
      <w:pPr>
        <w:pStyle w:val="SingleTxtGA"/>
        <w:rPr>
          <w:rFonts w:hint="cs"/>
          <w:rtl/>
          <w:lang/>
        </w:rPr>
      </w:pPr>
      <w:r w:rsidRPr="00F46AD6">
        <w:rPr>
          <w:rFonts w:hint="cs"/>
          <w:rtl/>
        </w:rPr>
        <w:t>35-</w:t>
      </w:r>
      <w:r w:rsidRPr="00F46AD6">
        <w:rPr>
          <w:rFonts w:hint="cs"/>
          <w:rtl/>
        </w:rPr>
        <w:tab/>
      </w:r>
      <w:r>
        <w:rPr>
          <w:rFonts w:hint="cs"/>
          <w:rtl/>
        </w:rPr>
        <w:t xml:space="preserve">وتأسف اللجنة لعدم تزويدها بأية معلومات بشأن تطبيق مبدأ </w:t>
      </w:r>
      <w:r>
        <w:rPr>
          <w:rFonts w:hint="cs"/>
          <w:rtl/>
          <w:lang/>
        </w:rPr>
        <w:t xml:space="preserve">الهوية الشخصية الثقافية في الدولة الطرف أو بشأن حقوق المجموعات العرقية المحمية بموجب القانون </w:t>
      </w:r>
      <w:r>
        <w:rPr>
          <w:rFonts w:hint="cs"/>
          <w:rtl/>
        </w:rPr>
        <w:t>(المادة</w:t>
      </w:r>
      <w:r w:rsidR="0023124D">
        <w:rPr>
          <w:rFonts w:hint="eastAsia"/>
          <w:rtl/>
        </w:rPr>
        <w:t> </w:t>
      </w:r>
      <w:r>
        <w:rPr>
          <w:rFonts w:hint="cs"/>
          <w:rtl/>
        </w:rPr>
        <w:t>15)</w:t>
      </w:r>
      <w:r>
        <w:rPr>
          <w:rFonts w:hint="cs"/>
          <w:rtl/>
          <w:lang/>
        </w:rPr>
        <w:t>.</w:t>
      </w:r>
    </w:p>
    <w:p w:rsidR="0069689D" w:rsidRPr="008005A2" w:rsidRDefault="00F97C2E" w:rsidP="0023124D">
      <w:pPr>
        <w:pStyle w:val="SingleTxtGA"/>
        <w:rPr>
          <w:rFonts w:hint="cs"/>
          <w:b/>
          <w:bCs/>
          <w:rtl/>
          <w:lang/>
        </w:rPr>
      </w:pPr>
      <w:r w:rsidRPr="008005A2">
        <w:rPr>
          <w:rFonts w:hint="cs"/>
          <w:b/>
          <w:bCs/>
          <w:rtl/>
          <w:lang/>
        </w:rPr>
        <w:tab/>
      </w:r>
      <w:r w:rsidR="0069689D" w:rsidRPr="008005A2">
        <w:rPr>
          <w:rFonts w:hint="cs"/>
          <w:b/>
          <w:bCs/>
          <w:rtl/>
          <w:lang/>
        </w:rPr>
        <w:t xml:space="preserve">تطلب اللجنة </w:t>
      </w:r>
      <w:r w:rsidRPr="008005A2">
        <w:rPr>
          <w:rFonts w:hint="cs"/>
          <w:b/>
          <w:bCs/>
          <w:rtl/>
          <w:lang/>
        </w:rPr>
        <w:t xml:space="preserve">إلى </w:t>
      </w:r>
      <w:r w:rsidR="0069689D" w:rsidRPr="008005A2">
        <w:rPr>
          <w:rFonts w:hint="cs"/>
          <w:b/>
          <w:bCs/>
          <w:rtl/>
          <w:lang/>
        </w:rPr>
        <w:t xml:space="preserve">الدولة الطرف </w:t>
      </w:r>
      <w:r w:rsidRPr="008005A2">
        <w:rPr>
          <w:rFonts w:hint="cs"/>
          <w:b/>
          <w:bCs/>
          <w:rtl/>
          <w:lang/>
        </w:rPr>
        <w:t xml:space="preserve">أن تضمّن </w:t>
      </w:r>
      <w:r w:rsidR="0069689D" w:rsidRPr="008005A2">
        <w:rPr>
          <w:rFonts w:hint="cs"/>
          <w:b/>
          <w:bCs/>
          <w:rtl/>
          <w:lang/>
        </w:rPr>
        <w:t xml:space="preserve">تقريرها الدوري القادم معلومات بشأن تطبيق </w:t>
      </w:r>
      <w:r w:rsidR="0069689D" w:rsidRPr="008005A2">
        <w:rPr>
          <w:rFonts w:hint="cs"/>
          <w:b/>
          <w:bCs/>
          <w:rtl/>
        </w:rPr>
        <w:t xml:space="preserve">مبدأ </w:t>
      </w:r>
      <w:r w:rsidR="0069689D" w:rsidRPr="008005A2">
        <w:rPr>
          <w:rFonts w:hint="cs"/>
          <w:b/>
          <w:bCs/>
          <w:rtl/>
          <w:lang/>
        </w:rPr>
        <w:t xml:space="preserve">الهوية الشخصية الثقافية في الدولة الطرف. وفيما يتعلق بالتنوع العرقي للدولة الطرف، توصي اللجنة بضمان </w:t>
      </w:r>
      <w:r w:rsidRPr="008005A2">
        <w:rPr>
          <w:rFonts w:hint="cs"/>
          <w:b/>
          <w:bCs/>
          <w:rtl/>
          <w:lang/>
        </w:rPr>
        <w:t xml:space="preserve">حماية </w:t>
      </w:r>
      <w:r w:rsidR="0069689D" w:rsidRPr="008005A2">
        <w:rPr>
          <w:rFonts w:hint="cs"/>
          <w:b/>
          <w:bCs/>
          <w:rtl/>
          <w:lang/>
        </w:rPr>
        <w:t xml:space="preserve">قوانين الدولة الطرف </w:t>
      </w:r>
      <w:r w:rsidRPr="008005A2">
        <w:rPr>
          <w:rFonts w:hint="cs"/>
          <w:b/>
          <w:bCs/>
          <w:rtl/>
          <w:lang/>
        </w:rPr>
        <w:t>ل</w:t>
      </w:r>
      <w:r w:rsidR="0069689D" w:rsidRPr="008005A2">
        <w:rPr>
          <w:rFonts w:hint="cs"/>
          <w:b/>
          <w:bCs/>
          <w:rtl/>
          <w:lang/>
        </w:rPr>
        <w:t xml:space="preserve">لحقوق المكفولة لجميع المجموعات العرقية، بما في ذلك حقها في التمتع بالتنوع الثقافي، والتقاليد، والعادات واللغات، وكذلك جميع المظاهر الأخرى لروابط الهوية والثقافة الخاصة بها. وتدعو اللجنة الدولة الطرف أيضاً إلى تنفيذ توصيات لجنة الحقيقة والعدالة والمصالحة المتعلقة بالنزاعات العرقية </w:t>
      </w:r>
      <w:r w:rsidR="0069689D" w:rsidRPr="008005A2">
        <w:rPr>
          <w:rFonts w:hint="cs"/>
          <w:b/>
          <w:bCs/>
          <w:rtl/>
        </w:rPr>
        <w:t>(التوصية رقم 30). وتوجه اللجنة انتباه الدولة الطرف إلى تعليقها العام رقم</w:t>
      </w:r>
      <w:r w:rsidR="0023124D">
        <w:rPr>
          <w:rFonts w:hint="eastAsia"/>
          <w:b/>
          <w:bCs/>
          <w:rtl/>
        </w:rPr>
        <w:t> </w:t>
      </w:r>
      <w:r w:rsidR="0069689D" w:rsidRPr="008005A2">
        <w:rPr>
          <w:rFonts w:hint="cs"/>
          <w:b/>
          <w:bCs/>
          <w:rtl/>
        </w:rPr>
        <w:t xml:space="preserve">21(2009) بشأن حق </w:t>
      </w:r>
      <w:r w:rsidR="0069689D" w:rsidRPr="008005A2">
        <w:rPr>
          <w:rFonts w:hint="cs"/>
          <w:b/>
          <w:bCs/>
          <w:rtl/>
          <w:lang/>
        </w:rPr>
        <w:t>كل فرد في أن يشارك في الحياة الثقافية.</w:t>
      </w:r>
    </w:p>
    <w:p w:rsidR="0069689D" w:rsidRDefault="0069689D" w:rsidP="008005A2">
      <w:pPr>
        <w:pStyle w:val="SingleTxtGA"/>
        <w:rPr>
          <w:rFonts w:hint="cs"/>
          <w:rtl/>
          <w:lang/>
        </w:rPr>
      </w:pPr>
      <w:r>
        <w:rPr>
          <w:rFonts w:hint="cs"/>
          <w:rtl/>
          <w:lang/>
        </w:rPr>
        <w:t>36-</w:t>
      </w:r>
      <w:r>
        <w:rPr>
          <w:rFonts w:hint="cs"/>
          <w:rtl/>
          <w:lang/>
        </w:rPr>
        <w:tab/>
        <w:t>وتوصي اللجنة الدولة الطرف بأن تستعرض وتعتمد الخطة الوطنية لتنفيذ توصيات حقوق الإنسان في ضوء التوصيات الصادرة عن هيئات المعاهدات في أقرب وقت ممكن. وتحث اللجنة الدولة الطرف أيضاً على تسخير الموارد المالية والبشرية اللازمة لتنفيذ هذه الخطة.</w:t>
      </w:r>
    </w:p>
    <w:p w:rsidR="0069689D" w:rsidRDefault="0069689D" w:rsidP="0023124D">
      <w:pPr>
        <w:pStyle w:val="SingleTxtGA"/>
        <w:rPr>
          <w:rFonts w:hint="cs"/>
          <w:rtl/>
          <w:lang/>
        </w:rPr>
      </w:pPr>
      <w:r>
        <w:rPr>
          <w:rFonts w:hint="cs"/>
          <w:rtl/>
          <w:lang/>
        </w:rPr>
        <w:t>37-</w:t>
      </w:r>
      <w:r>
        <w:rPr>
          <w:rFonts w:hint="cs"/>
          <w:rtl/>
          <w:lang/>
        </w:rPr>
        <w:tab/>
        <w:t>وتشجع اللجنة الدولة الطرف على التصديق على البروتوكول الاختياري الملحق بالعهد الدولي الخاص بالحقوق الاقتصاديـة والاجتماعيـة والثقافيـة، الذي وقعت عليه في</w:t>
      </w:r>
      <w:r w:rsidR="0023124D">
        <w:rPr>
          <w:rFonts w:hint="eastAsia"/>
          <w:rtl/>
          <w:lang/>
        </w:rPr>
        <w:t> </w:t>
      </w:r>
      <w:r>
        <w:rPr>
          <w:rFonts w:hint="cs"/>
          <w:rtl/>
          <w:lang/>
        </w:rPr>
        <w:t>25 أيلول/سبتمبر 2009.</w:t>
      </w:r>
    </w:p>
    <w:p w:rsidR="0069689D" w:rsidRDefault="0069689D" w:rsidP="008005A2">
      <w:pPr>
        <w:pStyle w:val="SingleTxtGA"/>
        <w:rPr>
          <w:rFonts w:hint="cs"/>
          <w:rtl/>
          <w:lang/>
        </w:rPr>
      </w:pPr>
      <w:r>
        <w:rPr>
          <w:rFonts w:hint="cs"/>
          <w:rtl/>
          <w:lang/>
        </w:rPr>
        <w:t>38-</w:t>
      </w:r>
      <w:r>
        <w:rPr>
          <w:rFonts w:hint="cs"/>
          <w:rtl/>
          <w:lang/>
        </w:rPr>
        <w:tab/>
        <w:t>وتشجع اللجنة الدولة الطرف على النظر في التوقيع والتصديق على البروتوكول الاختياري لاتفاقية القضاء على جميع أشكال التمييز ضد المرأة؛ والبروتوكول الاختياري لاتفاقية حقوق الطفل المتعلّق بإجراء تقديم البلاغات. وتشجع اللجنة الدولة الطرف أيضاً على النظر في التصديق على اتفاقية حماية حقوق جميع العمال المهاجرين وأفراد أسرهم.</w:t>
      </w:r>
    </w:p>
    <w:p w:rsidR="0069689D" w:rsidRDefault="0069689D" w:rsidP="008005A2">
      <w:pPr>
        <w:pStyle w:val="SingleTxtGA"/>
        <w:rPr>
          <w:rFonts w:hint="cs"/>
          <w:rtl/>
          <w:lang/>
        </w:rPr>
      </w:pPr>
      <w:r>
        <w:rPr>
          <w:rFonts w:hint="cs"/>
          <w:rtl/>
          <w:lang/>
        </w:rPr>
        <w:t>39-</w:t>
      </w:r>
      <w:r>
        <w:rPr>
          <w:rFonts w:hint="cs"/>
          <w:rtl/>
          <w:lang/>
        </w:rPr>
        <w:tab/>
        <w:t>وتدعو اللجنة الدولة الطرف إلى مواصلة التعاون مع مفوضية الأمم المتحدة لحقوق الإنسان ومع برامج ووكالات الأمم المتحدة المتخصصة ذات الصلة في توغو بشأن المسائل المتعلقة بحماية الحقوق الاقتصادية والاجتماعية والثقافية.</w:t>
      </w:r>
    </w:p>
    <w:p w:rsidR="0069689D" w:rsidRDefault="0069689D" w:rsidP="008005A2">
      <w:pPr>
        <w:pStyle w:val="SingleTxtGA"/>
        <w:rPr>
          <w:rFonts w:hint="cs"/>
          <w:rtl/>
          <w:lang/>
        </w:rPr>
      </w:pPr>
      <w:r>
        <w:rPr>
          <w:rFonts w:hint="cs"/>
          <w:rtl/>
          <w:lang/>
        </w:rPr>
        <w:t>40-</w:t>
      </w:r>
      <w:r>
        <w:rPr>
          <w:rFonts w:hint="cs"/>
          <w:rtl/>
          <w:lang/>
        </w:rPr>
        <w:tab/>
        <w:t xml:space="preserve">وتطلب اللجنة </w:t>
      </w:r>
      <w:r w:rsidR="00F97C2E">
        <w:rPr>
          <w:rFonts w:hint="cs"/>
          <w:rtl/>
          <w:lang/>
        </w:rPr>
        <w:t xml:space="preserve">إلى </w:t>
      </w:r>
      <w:r>
        <w:rPr>
          <w:rFonts w:hint="cs"/>
          <w:rtl/>
          <w:lang/>
        </w:rPr>
        <w:t>الدولة الطرف أن تنشر هذه الملاحظات الختامية على نطاق واسع بين جميع شرائح المجتمع، بما يشمل الوظيفة العامة والمنظمات القضائية ومنظمات المجتمع المدني، وأن تُورد معلومات في تقريرها الدوري المقبل بشأن الخطوات المتخذة لتنفيذها. وتشجع اللجنة الدولة الطرف على دعوة منظمات المجتمع المدني إلى المشاركة في المناقشات التي ستسبق تقديم تقريرها الدوري المقبل.</w:t>
      </w:r>
    </w:p>
    <w:p w:rsidR="0069689D" w:rsidRDefault="0069689D" w:rsidP="008005A2">
      <w:pPr>
        <w:pStyle w:val="SingleTxtGA"/>
        <w:rPr>
          <w:rFonts w:hint="cs"/>
          <w:rtl/>
          <w:lang w:val="fr-FR"/>
        </w:rPr>
      </w:pPr>
      <w:r>
        <w:rPr>
          <w:rFonts w:hint="cs"/>
          <w:rtl/>
          <w:lang/>
        </w:rPr>
        <w:t>41-</w:t>
      </w:r>
      <w:r>
        <w:rPr>
          <w:rFonts w:hint="cs"/>
          <w:rtl/>
          <w:lang/>
        </w:rPr>
        <w:tab/>
        <w:t xml:space="preserve">وتدعو اللجنة الدولة الطرف إلى تقديم وثيقة رئيسية وفقاً للمبادئ التوجيهية المنسقة لتقديم التقارير بموجب المعاهدات الدولية لحقوق الإنسان </w:t>
      </w:r>
      <w:r w:rsidRPr="00542CC4">
        <w:rPr>
          <w:lang w:val="fr-FR"/>
        </w:rPr>
        <w:t>(HRI/MC/2006/3)</w:t>
      </w:r>
      <w:r>
        <w:rPr>
          <w:rFonts w:hint="cs"/>
          <w:rtl/>
          <w:lang w:val="fr-FR"/>
        </w:rPr>
        <w:t>.</w:t>
      </w:r>
    </w:p>
    <w:p w:rsidR="0069689D" w:rsidRDefault="0069689D" w:rsidP="0023124D">
      <w:pPr>
        <w:pStyle w:val="SingleTxtGA"/>
        <w:rPr>
          <w:rFonts w:hint="cs"/>
          <w:rtl/>
          <w:lang w:val="fr-FR"/>
        </w:rPr>
      </w:pPr>
      <w:r>
        <w:rPr>
          <w:rFonts w:hint="cs"/>
          <w:rtl/>
          <w:lang w:val="fr-FR"/>
        </w:rPr>
        <w:t>42-</w:t>
      </w:r>
      <w:r>
        <w:rPr>
          <w:rFonts w:hint="cs"/>
          <w:rtl/>
          <w:lang w:val="fr-FR"/>
        </w:rPr>
        <w:tab/>
        <w:t xml:space="preserve">وتطلب اللجنة إلى الدولة الطرف أن تقدم تقريرها الدوري القادم، وفقاً للمبادئ التوجيهية التي اعتمدتها اللجنة في عام 2008 </w:t>
      </w:r>
      <w:r w:rsidRPr="00865EB5">
        <w:rPr>
          <w:lang w:val="fr-FR"/>
        </w:rPr>
        <w:t>(E/C.12/2008/2</w:t>
      </w:r>
      <w:r w:rsidRPr="00542CC4">
        <w:rPr>
          <w:lang w:val="fr-FR"/>
        </w:rPr>
        <w:t>)</w:t>
      </w:r>
      <w:r>
        <w:rPr>
          <w:rFonts w:hint="cs"/>
          <w:rtl/>
          <w:lang w:val="fr-FR"/>
        </w:rPr>
        <w:t xml:space="preserve">، بحلول 31 </w:t>
      </w:r>
      <w:r w:rsidR="00F97C2E">
        <w:rPr>
          <w:rFonts w:hint="cs"/>
          <w:rtl/>
          <w:lang w:val="fr-FR"/>
        </w:rPr>
        <w:t>أيار/</w:t>
      </w:r>
      <w:r w:rsidR="0023124D">
        <w:rPr>
          <w:rFonts w:hint="cs"/>
          <w:rtl/>
          <w:lang w:val="fr-FR"/>
        </w:rPr>
        <w:t xml:space="preserve"> </w:t>
      </w:r>
      <w:r w:rsidR="00F97C2E">
        <w:rPr>
          <w:rFonts w:hint="cs"/>
          <w:rtl/>
          <w:lang w:val="fr-FR"/>
        </w:rPr>
        <w:t>مايو</w:t>
      </w:r>
      <w:r w:rsidR="0023124D">
        <w:rPr>
          <w:rFonts w:hint="eastAsia"/>
          <w:rtl/>
          <w:lang w:val="fr-FR"/>
        </w:rPr>
        <w:t> </w:t>
      </w:r>
      <w:r>
        <w:rPr>
          <w:rFonts w:hint="cs"/>
          <w:rtl/>
          <w:lang w:val="fr-FR"/>
        </w:rPr>
        <w:t>2018.</w:t>
      </w:r>
    </w:p>
    <w:p w:rsidR="008005A2" w:rsidRPr="008005A2" w:rsidRDefault="008005A2" w:rsidP="008005A2">
      <w:pPr>
        <w:spacing w:before="120"/>
        <w:jc w:val="center"/>
        <w:rPr>
          <w:rFonts w:hint="cs"/>
          <w:u w:val="single"/>
          <w:rtl/>
          <w:lang w:val="fr-FR"/>
        </w:rPr>
      </w:pPr>
      <w:r>
        <w:rPr>
          <w:u w:val="single"/>
          <w:rtl/>
          <w:lang w:val="fr-FR"/>
        </w:rPr>
        <w:tab/>
      </w:r>
      <w:r>
        <w:rPr>
          <w:u w:val="single"/>
          <w:rtl/>
          <w:lang w:val="fr-FR"/>
        </w:rPr>
        <w:tab/>
      </w:r>
      <w:r>
        <w:rPr>
          <w:u w:val="single"/>
          <w:rtl/>
          <w:lang w:val="fr-FR"/>
        </w:rPr>
        <w:tab/>
      </w:r>
    </w:p>
    <w:sectPr w:rsidR="008005A2" w:rsidRPr="008005A2" w:rsidSect="00CB45D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B8" w:rsidRPr="00FE6865" w:rsidRDefault="000D07B8" w:rsidP="00FE6865">
      <w:pPr>
        <w:pStyle w:val="Footer"/>
      </w:pPr>
    </w:p>
  </w:endnote>
  <w:endnote w:type="continuationSeparator" w:id="0">
    <w:p w:rsidR="000D07B8" w:rsidRDefault="000D0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B8" w:rsidRPr="00CB45D3" w:rsidRDefault="000D07B8" w:rsidP="00CB45D3">
    <w:pPr>
      <w:pStyle w:val="Footer"/>
      <w:tabs>
        <w:tab w:val="right" w:pos="9598"/>
      </w:tabs>
    </w:pPr>
    <w:r>
      <w:t>GE.13-44281</w:t>
    </w:r>
    <w:r>
      <w:tab/>
    </w:r>
    <w:r w:rsidRPr="00CB45D3">
      <w:rPr>
        <w:b/>
        <w:sz w:val="18"/>
      </w:rPr>
      <w:fldChar w:fldCharType="begin"/>
    </w:r>
    <w:r w:rsidRPr="00CB45D3">
      <w:rPr>
        <w:b/>
        <w:sz w:val="18"/>
      </w:rPr>
      <w:instrText xml:space="preserve"> PAGE  \* MERGEFORMAT </w:instrText>
    </w:r>
    <w:r w:rsidRPr="00CB45D3">
      <w:rPr>
        <w:b/>
        <w:sz w:val="18"/>
      </w:rPr>
      <w:fldChar w:fldCharType="separate"/>
    </w:r>
    <w:r w:rsidR="00AA64B6">
      <w:rPr>
        <w:b/>
        <w:noProof/>
        <w:sz w:val="18"/>
      </w:rPr>
      <w:t>12</w:t>
    </w:r>
    <w:r w:rsidRPr="00CB45D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B8" w:rsidRPr="00CB45D3" w:rsidRDefault="000D07B8" w:rsidP="00CB45D3">
    <w:pPr>
      <w:pStyle w:val="Footer"/>
      <w:tabs>
        <w:tab w:val="right" w:pos="9598"/>
      </w:tabs>
      <w:rPr>
        <w:b/>
        <w:sz w:val="18"/>
      </w:rPr>
    </w:pPr>
    <w:r w:rsidRPr="00CB45D3">
      <w:rPr>
        <w:b/>
        <w:sz w:val="18"/>
      </w:rPr>
      <w:fldChar w:fldCharType="begin"/>
    </w:r>
    <w:r w:rsidRPr="00CB45D3">
      <w:rPr>
        <w:b/>
        <w:sz w:val="18"/>
      </w:rPr>
      <w:instrText xml:space="preserve"> PAGE  \* MERGEFORMAT </w:instrText>
    </w:r>
    <w:r w:rsidRPr="00CB45D3">
      <w:rPr>
        <w:b/>
        <w:sz w:val="18"/>
      </w:rPr>
      <w:fldChar w:fldCharType="separate"/>
    </w:r>
    <w:r w:rsidR="00AA64B6">
      <w:rPr>
        <w:b/>
        <w:noProof/>
        <w:sz w:val="18"/>
      </w:rPr>
      <w:t>13</w:t>
    </w:r>
    <w:r w:rsidRPr="00CB45D3">
      <w:rPr>
        <w:b/>
        <w:sz w:val="18"/>
      </w:rPr>
      <w:fldChar w:fldCharType="end"/>
    </w:r>
    <w:r>
      <w:rPr>
        <w:b/>
        <w:sz w:val="18"/>
      </w:rPr>
      <w:tab/>
    </w:r>
    <w:r>
      <w:t>GE.13-44281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B8" w:rsidRDefault="000D07B8" w:rsidP="00CB45D3">
    <w:pPr>
      <w:pStyle w:val="Footer"/>
      <w:jc w:val="right"/>
    </w:pPr>
    <w:r>
      <w:rPr>
        <w:sz w:val="20"/>
      </w:rPr>
      <w:t>(A)   GE.13-44281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280613    020713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B8" w:rsidRDefault="000D07B8" w:rsidP="003F6FD7">
      <w:pPr>
        <w:pStyle w:val="Footer"/>
        <w:bidi/>
        <w:spacing w:after="80" w:line="200" w:lineRule="exact"/>
        <w:ind w:left="680"/>
      </w:pPr>
      <w:r>
        <w:rPr>
          <w:rFonts w:hint="cs"/>
          <w:rtl/>
        </w:rPr>
        <w:t>__________</w:t>
      </w:r>
    </w:p>
  </w:footnote>
  <w:footnote w:type="continuationSeparator" w:id="0">
    <w:p w:rsidR="000D07B8" w:rsidRDefault="000D07B8" w:rsidP="003F6FD7">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B8" w:rsidRPr="00CB45D3" w:rsidRDefault="000D07B8" w:rsidP="00CB45D3">
    <w:pPr>
      <w:pStyle w:val="Header"/>
      <w:jc w:val="right"/>
    </w:pPr>
    <w:r w:rsidRPr="00CB45D3">
      <w:t>E/C.12/TGO/CO/1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B8" w:rsidRPr="00CB45D3" w:rsidRDefault="000D07B8" w:rsidP="00CB45D3">
    <w:pPr>
      <w:pStyle w:val="Header"/>
      <w:jc w:val="left"/>
    </w:pPr>
    <w:r w:rsidRPr="00CB45D3">
      <w:t>E/C.12/TGO/CO/1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24C0"/>
    <w:rsid w:val="00040E25"/>
    <w:rsid w:val="00042149"/>
    <w:rsid w:val="000648EA"/>
    <w:rsid w:val="000957C8"/>
    <w:rsid w:val="000B1ABA"/>
    <w:rsid w:val="000B52F2"/>
    <w:rsid w:val="000D07B8"/>
    <w:rsid w:val="000D0EAE"/>
    <w:rsid w:val="000D5380"/>
    <w:rsid w:val="000D6654"/>
    <w:rsid w:val="000F0264"/>
    <w:rsid w:val="000F2EBF"/>
    <w:rsid w:val="000F5FF6"/>
    <w:rsid w:val="00113FA5"/>
    <w:rsid w:val="001455A0"/>
    <w:rsid w:val="001602A3"/>
    <w:rsid w:val="001A406B"/>
    <w:rsid w:val="001A5161"/>
    <w:rsid w:val="001A60BD"/>
    <w:rsid w:val="001B2169"/>
    <w:rsid w:val="001D10C3"/>
    <w:rsid w:val="0023124D"/>
    <w:rsid w:val="0023736D"/>
    <w:rsid w:val="00257225"/>
    <w:rsid w:val="002F0377"/>
    <w:rsid w:val="00310160"/>
    <w:rsid w:val="0033456F"/>
    <w:rsid w:val="00341A8C"/>
    <w:rsid w:val="00341F39"/>
    <w:rsid w:val="003519E6"/>
    <w:rsid w:val="003B4356"/>
    <w:rsid w:val="003F08A8"/>
    <w:rsid w:val="003F6AF7"/>
    <w:rsid w:val="003F6FD7"/>
    <w:rsid w:val="004250E3"/>
    <w:rsid w:val="004324C0"/>
    <w:rsid w:val="0046705E"/>
    <w:rsid w:val="00472A81"/>
    <w:rsid w:val="004B2C92"/>
    <w:rsid w:val="004D6A3A"/>
    <w:rsid w:val="004F4AD7"/>
    <w:rsid w:val="005241AB"/>
    <w:rsid w:val="00557CD3"/>
    <w:rsid w:val="00566055"/>
    <w:rsid w:val="00567691"/>
    <w:rsid w:val="00571432"/>
    <w:rsid w:val="005732A2"/>
    <w:rsid w:val="005762A5"/>
    <w:rsid w:val="0057775E"/>
    <w:rsid w:val="00587EC4"/>
    <w:rsid w:val="00590BA3"/>
    <w:rsid w:val="005B7AE0"/>
    <w:rsid w:val="005F146F"/>
    <w:rsid w:val="005F71B6"/>
    <w:rsid w:val="00660FD4"/>
    <w:rsid w:val="00674B69"/>
    <w:rsid w:val="0068691F"/>
    <w:rsid w:val="0069689D"/>
    <w:rsid w:val="006A4425"/>
    <w:rsid w:val="006B4669"/>
    <w:rsid w:val="006D7898"/>
    <w:rsid w:val="006F6BF8"/>
    <w:rsid w:val="00707BDF"/>
    <w:rsid w:val="00710727"/>
    <w:rsid w:val="00715F45"/>
    <w:rsid w:val="00731B84"/>
    <w:rsid w:val="00734AE7"/>
    <w:rsid w:val="00773A9F"/>
    <w:rsid w:val="007B4C75"/>
    <w:rsid w:val="007E197F"/>
    <w:rsid w:val="007F68C4"/>
    <w:rsid w:val="008005A2"/>
    <w:rsid w:val="008153DE"/>
    <w:rsid w:val="00852A10"/>
    <w:rsid w:val="00862634"/>
    <w:rsid w:val="00866C59"/>
    <w:rsid w:val="00877306"/>
    <w:rsid w:val="008800C2"/>
    <w:rsid w:val="008A6242"/>
    <w:rsid w:val="008B4BC6"/>
    <w:rsid w:val="008B779F"/>
    <w:rsid w:val="00901E57"/>
    <w:rsid w:val="00935F0E"/>
    <w:rsid w:val="0095208F"/>
    <w:rsid w:val="009619F8"/>
    <w:rsid w:val="00977B3F"/>
    <w:rsid w:val="009814AE"/>
    <w:rsid w:val="00996BBE"/>
    <w:rsid w:val="009A4BF7"/>
    <w:rsid w:val="009D1DD5"/>
    <w:rsid w:val="00A11DDA"/>
    <w:rsid w:val="00A26157"/>
    <w:rsid w:val="00A265C3"/>
    <w:rsid w:val="00A43F9A"/>
    <w:rsid w:val="00A543D4"/>
    <w:rsid w:val="00AA64B6"/>
    <w:rsid w:val="00AD0014"/>
    <w:rsid w:val="00AD4CF2"/>
    <w:rsid w:val="00AF0BBA"/>
    <w:rsid w:val="00B104AC"/>
    <w:rsid w:val="00B30468"/>
    <w:rsid w:val="00B6601B"/>
    <w:rsid w:val="00BA5F5C"/>
    <w:rsid w:val="00BB2C41"/>
    <w:rsid w:val="00BC55C8"/>
    <w:rsid w:val="00BC5C10"/>
    <w:rsid w:val="00BE2964"/>
    <w:rsid w:val="00C22493"/>
    <w:rsid w:val="00C24FBD"/>
    <w:rsid w:val="00C3554C"/>
    <w:rsid w:val="00C473BA"/>
    <w:rsid w:val="00C611ED"/>
    <w:rsid w:val="00C6490A"/>
    <w:rsid w:val="00C64FE1"/>
    <w:rsid w:val="00C66164"/>
    <w:rsid w:val="00C8345E"/>
    <w:rsid w:val="00C925A8"/>
    <w:rsid w:val="00CA5F7C"/>
    <w:rsid w:val="00CB45D3"/>
    <w:rsid w:val="00CD3685"/>
    <w:rsid w:val="00D05540"/>
    <w:rsid w:val="00D224DA"/>
    <w:rsid w:val="00D51067"/>
    <w:rsid w:val="00D75657"/>
    <w:rsid w:val="00D960AD"/>
    <w:rsid w:val="00DA0E0E"/>
    <w:rsid w:val="00DB0C39"/>
    <w:rsid w:val="00DB7679"/>
    <w:rsid w:val="00DE25A9"/>
    <w:rsid w:val="00DE3F35"/>
    <w:rsid w:val="00DF1702"/>
    <w:rsid w:val="00DF4DD8"/>
    <w:rsid w:val="00DF668E"/>
    <w:rsid w:val="00DF68B8"/>
    <w:rsid w:val="00E14D2B"/>
    <w:rsid w:val="00E20DBA"/>
    <w:rsid w:val="00E660D6"/>
    <w:rsid w:val="00E729A9"/>
    <w:rsid w:val="00E771AB"/>
    <w:rsid w:val="00EA796F"/>
    <w:rsid w:val="00EB077B"/>
    <w:rsid w:val="00EC50B9"/>
    <w:rsid w:val="00ED26A0"/>
    <w:rsid w:val="00F016FF"/>
    <w:rsid w:val="00F1727A"/>
    <w:rsid w:val="00F34764"/>
    <w:rsid w:val="00F54E3C"/>
    <w:rsid w:val="00F738A4"/>
    <w:rsid w:val="00F874BD"/>
    <w:rsid w:val="00F97C2E"/>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TotalTime>
  <Pages>13</Pages>
  <Words>3740</Words>
  <Characters>21323</Characters>
  <Application>Microsoft Office Outlook</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E/C.12/TGO/CO/1</vt:lpstr>
    </vt:vector>
  </TitlesOfParts>
  <Company>CSD</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E/C.12/TGO/CO/1</dc:title>
  <dc:subject>MARTIN</dc:subject>
  <dc:creator>SAYED</dc:creator>
  <cp:keywords/>
  <dc:description/>
  <cp:lastModifiedBy>SAYED</cp:lastModifiedBy>
  <cp:revision>2</cp:revision>
  <cp:lastPrinted>2013-07-01T09:30:00Z</cp:lastPrinted>
  <dcterms:created xsi:type="dcterms:W3CDTF">2013-07-02T06:54:00Z</dcterms:created>
  <dcterms:modified xsi:type="dcterms:W3CDTF">2013-07-02T06:54:00Z</dcterms:modified>
</cp:coreProperties>
</file>