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r>
        <w:rPr>
          <w:rFonts w:hint="eastAsia"/>
        </w:rPr>
        <w:t>经济、社会和文化权利委员会</w:t>
      </w:r>
    </w:p>
    <w:p w:rsidR="00000000" w:rsidRDefault="00000000">
      <w:pPr>
        <w:rPr>
          <w:rFonts w:hint="eastAsia"/>
        </w:rPr>
      </w:pPr>
      <w:r>
        <w:rPr>
          <w:rFonts w:hint="eastAsia"/>
        </w:rPr>
        <w:t>第三十六届会议</w:t>
      </w:r>
    </w:p>
    <w:p w:rsidR="00000000" w:rsidRDefault="00000000">
      <w:pPr>
        <w:spacing w:after="480"/>
        <w:rPr>
          <w:rFonts w:hint="eastAsia"/>
        </w:rPr>
      </w:pPr>
      <w:r>
        <w:rPr>
          <w:rFonts w:hint="eastAsia"/>
        </w:rPr>
        <w:t>2006</w:t>
      </w:r>
      <w:r>
        <w:rPr>
          <w:rFonts w:hint="eastAsia"/>
        </w:rPr>
        <w:t>年</w:t>
      </w:r>
      <w:r>
        <w:rPr>
          <w:rFonts w:hint="eastAsia"/>
        </w:rPr>
        <w:t>5</w:t>
      </w:r>
      <w:r>
        <w:rPr>
          <w:rFonts w:hint="eastAsia"/>
        </w:rPr>
        <w:t>月</w:t>
      </w:r>
      <w:r>
        <w:rPr>
          <w:rFonts w:hint="eastAsia"/>
        </w:rPr>
        <w:t>1</w:t>
      </w:r>
      <w:r>
        <w:rPr>
          <w:rFonts w:hint="eastAsia"/>
        </w:rPr>
        <w:t>日至</w:t>
      </w:r>
      <w:r>
        <w:rPr>
          <w:rFonts w:hint="eastAsia"/>
        </w:rPr>
        <w:t>19</w:t>
      </w:r>
      <w:r>
        <w:rPr>
          <w:rFonts w:hint="eastAsia"/>
        </w:rPr>
        <w:t>日，日内瓦</w:t>
      </w:r>
    </w:p>
    <w:p w:rsidR="00000000" w:rsidRDefault="00000000">
      <w:pPr>
        <w:pStyle w:val="Heading2"/>
        <w:rPr>
          <w:rFonts w:hint="eastAsia"/>
        </w:rPr>
      </w:pPr>
      <w:r>
        <w:rPr>
          <w:rFonts w:hint="eastAsia"/>
        </w:rPr>
        <w:t>审议缔约国根据《公约》第十六条和</w:t>
      </w:r>
      <w:r>
        <w:br/>
      </w:r>
      <w:r>
        <w:rPr>
          <w:rFonts w:hint="eastAsia"/>
        </w:rPr>
        <w:t>第十七条提交的报告</w:t>
      </w:r>
    </w:p>
    <w:p w:rsidR="00000000" w:rsidRDefault="00000000">
      <w:pPr>
        <w:pStyle w:val="Heading3"/>
        <w:rPr>
          <w:rFonts w:hint="eastAsia"/>
        </w:rPr>
      </w:pPr>
      <w:r>
        <w:rPr>
          <w:rFonts w:hint="eastAsia"/>
        </w:rPr>
        <w:t>经济、社会和文化权利委员会的结论性意见</w:t>
      </w:r>
    </w:p>
    <w:p w:rsidR="00000000" w:rsidRDefault="00000000">
      <w:pPr>
        <w:pStyle w:val="Heading3"/>
        <w:rPr>
          <w:rFonts w:hint="eastAsia"/>
        </w:rPr>
      </w:pPr>
      <w:r>
        <w:rPr>
          <w:rFonts w:hint="eastAsia"/>
        </w:rPr>
        <w:t>摩纳哥</w:t>
      </w:r>
    </w:p>
    <w:p w:rsidR="00000000" w:rsidRDefault="00000000">
      <w:pPr>
        <w:spacing w:after="320"/>
        <w:rPr>
          <w:rFonts w:hint="eastAsia"/>
        </w:rPr>
      </w:pPr>
      <w:r>
        <w:rPr>
          <w:rFonts w:hint="eastAsia"/>
        </w:rPr>
        <w:tab/>
        <w:t xml:space="preserve">1.  </w:t>
      </w:r>
      <w:r>
        <w:rPr>
          <w:rFonts w:hint="eastAsia"/>
        </w:rPr>
        <w:t>经济、社会和文化权利委员会在</w:t>
      </w:r>
      <w:r>
        <w:rPr>
          <w:rFonts w:hint="eastAsia"/>
        </w:rPr>
        <w:t>2006</w:t>
      </w:r>
      <w:r>
        <w:rPr>
          <w:rFonts w:hint="eastAsia"/>
        </w:rPr>
        <w:t>年</w:t>
      </w:r>
      <w:r>
        <w:rPr>
          <w:rFonts w:hint="eastAsia"/>
        </w:rPr>
        <w:t>5</w:t>
      </w:r>
      <w:r>
        <w:rPr>
          <w:rFonts w:hint="eastAsia"/>
        </w:rPr>
        <w:t>月</w:t>
      </w:r>
      <w:r>
        <w:rPr>
          <w:rFonts w:hint="eastAsia"/>
        </w:rPr>
        <w:t>2</w:t>
      </w:r>
      <w:r>
        <w:rPr>
          <w:rFonts w:hint="eastAsia"/>
        </w:rPr>
        <w:t>日举行的第</w:t>
      </w:r>
      <w:r>
        <w:rPr>
          <w:rFonts w:hint="eastAsia"/>
        </w:rPr>
        <w:t>3</w:t>
      </w:r>
      <w:r>
        <w:rPr>
          <w:rFonts w:hint="eastAsia"/>
        </w:rPr>
        <w:t>和第</w:t>
      </w:r>
      <w:r>
        <w:rPr>
          <w:rFonts w:hint="eastAsia"/>
        </w:rPr>
        <w:t>4</w:t>
      </w:r>
      <w:r>
        <w:rPr>
          <w:rFonts w:hint="eastAsia"/>
        </w:rPr>
        <w:t>次会议上</w:t>
      </w:r>
      <w:r>
        <w:rPr>
          <w:rFonts w:hint="eastAsia"/>
        </w:rPr>
        <w:t>(E/C.12/2006/SR.</w:t>
      </w:r>
      <w:r>
        <w:t>3</w:t>
      </w:r>
      <w:r>
        <w:rPr>
          <w:rFonts w:hint="eastAsia"/>
        </w:rPr>
        <w:t>和</w:t>
      </w:r>
      <w:r>
        <w:rPr>
          <w:rFonts w:hint="eastAsia"/>
        </w:rPr>
        <w:t>4)</w:t>
      </w:r>
      <w:r>
        <w:rPr>
          <w:rFonts w:hint="eastAsia"/>
        </w:rPr>
        <w:t>，审议了摩纳哥关于《经济、社会、文化权利国际公约》执行情况的首次报告</w:t>
      </w:r>
      <w:r>
        <w:rPr>
          <w:rFonts w:hint="eastAsia"/>
        </w:rPr>
        <w:t>(E/1990/5/A</w:t>
      </w:r>
      <w:r>
        <w:t>dd</w:t>
      </w:r>
      <w:r>
        <w:rPr>
          <w:rFonts w:hint="eastAsia"/>
        </w:rPr>
        <w:t>.64)</w:t>
      </w:r>
      <w:r>
        <w:rPr>
          <w:rFonts w:hint="eastAsia"/>
        </w:rPr>
        <w:t>，并在</w:t>
      </w:r>
      <w:r>
        <w:rPr>
          <w:rFonts w:hint="eastAsia"/>
        </w:rPr>
        <w:t>2006</w:t>
      </w:r>
      <w:r>
        <w:rPr>
          <w:rFonts w:hint="eastAsia"/>
        </w:rPr>
        <w:t>年</w:t>
      </w:r>
      <w:r>
        <w:rPr>
          <w:rFonts w:hint="eastAsia"/>
        </w:rPr>
        <w:t>5</w:t>
      </w:r>
      <w:r>
        <w:rPr>
          <w:rFonts w:hint="eastAsia"/>
        </w:rPr>
        <w:t>月</w:t>
      </w:r>
      <w:r>
        <w:rPr>
          <w:rFonts w:hint="eastAsia"/>
        </w:rPr>
        <w:t>19</w:t>
      </w:r>
      <w:r>
        <w:rPr>
          <w:rFonts w:hint="eastAsia"/>
        </w:rPr>
        <w:t>日举行的第</w:t>
      </w:r>
      <w:r>
        <w:rPr>
          <w:rFonts w:hint="eastAsia"/>
        </w:rPr>
        <w:t>19</w:t>
      </w:r>
      <w:r>
        <w:rPr>
          <w:rFonts w:hint="eastAsia"/>
        </w:rPr>
        <w:t>次会议上通过了以下结论性意见。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2.  </w:t>
      </w:r>
      <w:r>
        <w:rPr>
          <w:rFonts w:hint="eastAsia"/>
        </w:rPr>
        <w:t>委员会欢迎缔约国提交首次报告及其对问题清单的书面答复，以供审议。它还欢迎与缔约国代表团坦率和建设性的对话。委员会注意到缔约国以报告修正文本的方式提供了额外的信息。但它遗憾的是，报告修正文本只是在要审议报告的届会前夕才提交，致使难以将额外信息考虑进去。</w:t>
      </w:r>
    </w:p>
    <w:p w:rsidR="00000000" w:rsidRDefault="00000000">
      <w:pPr>
        <w:spacing w:after="320"/>
        <w:rPr>
          <w:rFonts w:hint="eastAsia"/>
        </w:rPr>
      </w:pP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3.  </w:t>
      </w:r>
      <w:r>
        <w:rPr>
          <w:rFonts w:hint="eastAsia"/>
        </w:rPr>
        <w:t>委员会满意地注意到</w:t>
      </w:r>
      <w:r>
        <w:rPr>
          <w:rFonts w:hint="eastAsia"/>
        </w:rPr>
        <w:t>2005</w:t>
      </w:r>
      <w:r>
        <w:rPr>
          <w:rFonts w:hint="eastAsia"/>
        </w:rPr>
        <w:t>年</w:t>
      </w:r>
      <w:r>
        <w:rPr>
          <w:rFonts w:hint="eastAsia"/>
        </w:rPr>
        <w:t>7</w:t>
      </w:r>
      <w:r>
        <w:rPr>
          <w:rFonts w:hint="eastAsia"/>
        </w:rPr>
        <w:t>月</w:t>
      </w:r>
      <w:r>
        <w:rPr>
          <w:rFonts w:hint="eastAsia"/>
        </w:rPr>
        <w:t>15</w:t>
      </w:r>
      <w:r>
        <w:rPr>
          <w:rFonts w:hint="eastAsia"/>
        </w:rPr>
        <w:t>日通过了关于公众言论自由的法令，将具有种族、族裔或宗教性的侮辱以及基于证实或假设的性倾向的侮辱定为犯罪。</w:t>
      </w:r>
    </w:p>
    <w:p w:rsidR="00000000" w:rsidRDefault="00000000">
      <w:pPr>
        <w:rPr>
          <w:rFonts w:hint="eastAsia"/>
        </w:rPr>
      </w:pPr>
      <w:r>
        <w:rPr>
          <w:rFonts w:hint="eastAsia"/>
        </w:rPr>
        <w:tab/>
        <w:t xml:space="preserve">4.  </w:t>
      </w:r>
      <w:r>
        <w:rPr>
          <w:rFonts w:hint="eastAsia"/>
          <w:spacing w:val="4"/>
        </w:rPr>
        <w:t>委员会欢迎缔约国于</w:t>
      </w:r>
      <w:r>
        <w:rPr>
          <w:rFonts w:hint="eastAsia"/>
          <w:spacing w:val="4"/>
        </w:rPr>
        <w:t>2005</w:t>
      </w:r>
      <w:r>
        <w:rPr>
          <w:rFonts w:hint="eastAsia"/>
          <w:spacing w:val="4"/>
        </w:rPr>
        <w:t>年</w:t>
      </w:r>
      <w:r>
        <w:rPr>
          <w:rFonts w:hint="eastAsia"/>
          <w:spacing w:val="4"/>
        </w:rPr>
        <w:t>3</w:t>
      </w:r>
      <w:r>
        <w:rPr>
          <w:rFonts w:hint="eastAsia"/>
          <w:spacing w:val="4"/>
        </w:rPr>
        <w:t>月加入《消除对妇女的一切形式歧视公约》。</w:t>
      </w:r>
    </w:p>
    <w:p w:rsidR="00000000" w:rsidRDefault="00000000">
      <w:pPr>
        <w:rPr>
          <w:rFonts w:hint="eastAsia"/>
        </w:rPr>
      </w:pPr>
      <w:r>
        <w:rPr>
          <w:rFonts w:hint="eastAsia"/>
        </w:rPr>
        <w:tab/>
        <w:t xml:space="preserve">5.  </w:t>
      </w:r>
      <w:r>
        <w:rPr>
          <w:rFonts w:hint="eastAsia"/>
        </w:rPr>
        <w:t>委员会满意地注意到缔约国几乎不存在失业问题。</w:t>
      </w:r>
    </w:p>
    <w:p w:rsidR="00000000" w:rsidRDefault="00000000">
      <w:pPr>
        <w:spacing w:after="320"/>
        <w:rPr>
          <w:rFonts w:hint="eastAsia"/>
        </w:rPr>
      </w:pPr>
      <w:r>
        <w:rPr>
          <w:rFonts w:hint="eastAsia"/>
        </w:rPr>
        <w:tab/>
        <w:t xml:space="preserve">6.  </w:t>
      </w:r>
      <w:r>
        <w:rPr>
          <w:rFonts w:hint="eastAsia"/>
        </w:rPr>
        <w:t>委员会满意地注意到缔约国大力实行立法现代化，包括对《民法》作修正，禁止在婚生或非婚生、或者通奸或乱伦关系所生子女之间发生歧视。它欢迎《民法》现在只有“子女”或“后代”的提法。它还欢迎《民法》将“父权”的概念改为“父母权力”的概念。</w:t>
      </w:r>
    </w:p>
    <w:p w:rsidR="00000000" w:rsidRDefault="00000000">
      <w:pPr>
        <w:pStyle w:val="Heading3"/>
        <w:rPr>
          <w:rFonts w:hint="eastAsia"/>
        </w:rPr>
      </w:pPr>
      <w:r>
        <w:rPr>
          <w:rFonts w:hint="eastAsia"/>
          <w:u w:val="none"/>
        </w:rPr>
        <w:t xml:space="preserve">C.  </w:t>
      </w:r>
      <w:r>
        <w:rPr>
          <w:rFonts w:hint="eastAsia"/>
        </w:rPr>
        <w:t>阻碍执行《公约》的因素和困难</w:t>
      </w:r>
    </w:p>
    <w:p w:rsidR="00000000" w:rsidRDefault="00000000">
      <w:pPr>
        <w:spacing w:after="320"/>
        <w:rPr>
          <w:rFonts w:hint="eastAsia"/>
          <w:spacing w:val="4"/>
        </w:rPr>
      </w:pPr>
      <w:r>
        <w:rPr>
          <w:rFonts w:hint="eastAsia"/>
        </w:rPr>
        <w:tab/>
        <w:t xml:space="preserve">7.  </w:t>
      </w:r>
      <w:r>
        <w:rPr>
          <w:rFonts w:hint="eastAsia"/>
          <w:spacing w:val="2"/>
        </w:rPr>
        <w:t>委员会注意到，摩纳哥在有效执行《公约》方面没有严重的阻碍因素或困难。</w:t>
      </w:r>
    </w:p>
    <w:p w:rsidR="00000000" w:rsidRDefault="00000000">
      <w:pPr>
        <w:pStyle w:val="Heading3"/>
        <w:rPr>
          <w:rFonts w:hint="eastAsia"/>
        </w:rPr>
      </w:pPr>
      <w:r>
        <w:rPr>
          <w:rFonts w:hint="eastAsia"/>
          <w:u w:val="none"/>
        </w:rPr>
        <w:t xml:space="preserve">D.  </w:t>
      </w:r>
      <w:r>
        <w:rPr>
          <w:rFonts w:hint="eastAsia"/>
        </w:rPr>
        <w:t>引起关注的主要问题</w:t>
      </w:r>
    </w:p>
    <w:p w:rsidR="00000000" w:rsidRDefault="00000000">
      <w:pPr>
        <w:rPr>
          <w:rFonts w:hint="eastAsia"/>
        </w:rPr>
      </w:pPr>
      <w:r>
        <w:rPr>
          <w:rFonts w:hint="eastAsia"/>
        </w:rPr>
        <w:tab/>
        <w:t xml:space="preserve">8.  </w:t>
      </w:r>
      <w:r>
        <w:rPr>
          <w:rFonts w:hint="eastAsia"/>
        </w:rPr>
        <w:t>委员会对缔约国在批准《公约》时所作的解释性声明和保留表示关注，特别是在第二条第二款和第六、第九和第十三条方面。</w:t>
      </w:r>
    </w:p>
    <w:p w:rsidR="00000000" w:rsidRDefault="00000000">
      <w:pPr>
        <w:rPr>
          <w:rFonts w:hint="eastAsia"/>
        </w:rPr>
      </w:pPr>
      <w:r>
        <w:rPr>
          <w:rFonts w:hint="eastAsia"/>
        </w:rPr>
        <w:tab/>
        <w:t xml:space="preserve">9.  </w:t>
      </w:r>
      <w:r>
        <w:rPr>
          <w:rFonts w:hint="eastAsia"/>
        </w:rPr>
        <w:t>委员会欢迎缔约国于</w:t>
      </w:r>
      <w:r>
        <w:rPr>
          <w:rFonts w:hint="eastAsia"/>
        </w:rPr>
        <w:t>2005</w:t>
      </w:r>
      <w:r>
        <w:rPr>
          <w:rFonts w:hint="eastAsia"/>
        </w:rPr>
        <w:t>年</w:t>
      </w:r>
      <w:r>
        <w:rPr>
          <w:rFonts w:hint="eastAsia"/>
        </w:rPr>
        <w:t>5</w:t>
      </w:r>
      <w:r>
        <w:rPr>
          <w:rFonts w:hint="eastAsia"/>
        </w:rPr>
        <w:t>月</w:t>
      </w:r>
      <w:r>
        <w:rPr>
          <w:rFonts w:hint="eastAsia"/>
        </w:rPr>
        <w:t>12</w:t>
      </w:r>
      <w:r>
        <w:rPr>
          <w:rFonts w:hint="eastAsia"/>
        </w:rPr>
        <w:t>日通过了关于母亲将摩纳哥国籍传给子女的第</w:t>
      </w:r>
      <w:r>
        <w:rPr>
          <w:rFonts w:hint="eastAsia"/>
        </w:rPr>
        <w:t>1296</w:t>
      </w:r>
      <w:r>
        <w:rPr>
          <w:rFonts w:hint="eastAsia"/>
        </w:rPr>
        <w:t>号法令，但它仍然关注阻碍已归化的妇女离婚后将摩纳哥国籍传给子女的限制。</w:t>
      </w:r>
    </w:p>
    <w:p w:rsidR="00000000" w:rsidRDefault="00000000">
      <w:pPr>
        <w:rPr>
          <w:rFonts w:hint="eastAsia"/>
        </w:rPr>
      </w:pPr>
      <w:r>
        <w:rPr>
          <w:rFonts w:hint="eastAsia"/>
        </w:rPr>
        <w:tab/>
        <w:t xml:space="preserve">10.  </w:t>
      </w:r>
      <w:r>
        <w:rPr>
          <w:rFonts w:hint="eastAsia"/>
        </w:rPr>
        <w:t>委员会关注的是，非摩纳哥人仍然受到五年居住要求的限制，使他们无法享受住房权，得不到社会福利和医疗</w:t>
      </w:r>
      <w:r>
        <w:rPr>
          <w:rFonts w:hint="eastAsia"/>
        </w:rPr>
        <w:t>(</w:t>
      </w:r>
      <w:r>
        <w:rPr>
          <w:rFonts w:hint="eastAsia"/>
        </w:rPr>
        <w:t>《公约》第二条第二款和第十一条</w:t>
      </w:r>
      <w:r>
        <w:rPr>
          <w:rFonts w:hint="eastAsia"/>
        </w:rPr>
        <w:t>)</w:t>
      </w:r>
      <w:r>
        <w:rPr>
          <w:rFonts w:hint="eastAsia"/>
        </w:rPr>
        <w:t>。</w:t>
      </w:r>
    </w:p>
    <w:p w:rsidR="00000000" w:rsidRDefault="00000000">
      <w:pPr>
        <w:rPr>
          <w:rFonts w:hint="eastAsia"/>
        </w:rPr>
      </w:pPr>
      <w:r>
        <w:rPr>
          <w:rFonts w:hint="eastAsia"/>
        </w:rPr>
        <w:tab/>
        <w:t xml:space="preserve">11.  </w:t>
      </w:r>
      <w:r>
        <w:rPr>
          <w:rFonts w:hint="eastAsia"/>
        </w:rPr>
        <w:t>委员会注意到对《民法》作的修正，但它仍然关注，对希望获得摩纳哥国籍的男女之间有不同的法律要求</w:t>
      </w:r>
      <w:r>
        <w:rPr>
          <w:rFonts w:hint="eastAsia"/>
        </w:rPr>
        <w:t>(</w:t>
      </w:r>
      <w:r>
        <w:rPr>
          <w:rFonts w:hint="eastAsia"/>
        </w:rPr>
        <w:t>《公约》第三条</w:t>
      </w:r>
      <w:r>
        <w:rPr>
          <w:rFonts w:hint="eastAsia"/>
        </w:rPr>
        <w:t>)</w:t>
      </w:r>
      <w:r>
        <w:rPr>
          <w:rFonts w:hint="eastAsia"/>
        </w:rPr>
        <w:t>。</w:t>
      </w:r>
    </w:p>
    <w:p w:rsidR="00000000" w:rsidRDefault="00000000">
      <w:pPr>
        <w:rPr>
          <w:rFonts w:hint="eastAsia"/>
        </w:rPr>
      </w:pPr>
      <w:r>
        <w:rPr>
          <w:rFonts w:hint="eastAsia"/>
        </w:rPr>
        <w:tab/>
        <w:t xml:space="preserve">12.  </w:t>
      </w:r>
      <w:r>
        <w:rPr>
          <w:rFonts w:hint="eastAsia"/>
        </w:rPr>
        <w:t>委员会注意到，对工薪职员有一个有效的社会保障系统。但是它感到遗憾的是，社会保障制度中没有引进适用于自谋职业者的家庭福利</w:t>
      </w:r>
      <w:r>
        <w:rPr>
          <w:rFonts w:hint="eastAsia"/>
        </w:rPr>
        <w:t>(</w:t>
      </w:r>
      <w:r>
        <w:rPr>
          <w:rFonts w:hint="eastAsia"/>
        </w:rPr>
        <w:t>《公约》第九条</w:t>
      </w:r>
      <w:r>
        <w:rPr>
          <w:rFonts w:hint="eastAsia"/>
        </w:rPr>
        <w:t>)</w:t>
      </w:r>
      <w:r>
        <w:rPr>
          <w:rFonts w:hint="eastAsia"/>
        </w:rPr>
        <w:t>。</w:t>
      </w:r>
    </w:p>
    <w:p w:rsidR="00000000" w:rsidRDefault="00000000">
      <w:pPr>
        <w:rPr>
          <w:rFonts w:hint="eastAsia"/>
        </w:rPr>
      </w:pPr>
      <w:r>
        <w:rPr>
          <w:rFonts w:hint="eastAsia"/>
        </w:rPr>
        <w:tab/>
        <w:t xml:space="preserve">13.  </w:t>
      </w:r>
      <w:r>
        <w:rPr>
          <w:rFonts w:hint="eastAsia"/>
        </w:rPr>
        <w:t>委员会关切地注意到影响到年轻人的健康问题，特别是因吸毒和毒瘾引起的健康问题</w:t>
      </w:r>
      <w:r>
        <w:rPr>
          <w:rFonts w:hint="eastAsia"/>
        </w:rPr>
        <w:t>(</w:t>
      </w:r>
      <w:r>
        <w:rPr>
          <w:rFonts w:hint="eastAsia"/>
        </w:rPr>
        <w:t>《公约》第十和第十二条</w:t>
      </w:r>
      <w:r>
        <w:rPr>
          <w:rFonts w:hint="eastAsia"/>
        </w:rPr>
        <w:t>)</w:t>
      </w:r>
      <w:r>
        <w:rPr>
          <w:rFonts w:hint="eastAsia"/>
        </w:rPr>
        <w:t>。</w:t>
      </w:r>
    </w:p>
    <w:p w:rsidR="00000000" w:rsidRDefault="00000000">
      <w:pPr>
        <w:rPr>
          <w:rFonts w:hint="eastAsia"/>
        </w:rPr>
      </w:pPr>
      <w:r>
        <w:rPr>
          <w:rFonts w:hint="eastAsia"/>
        </w:rPr>
        <w:tab/>
        <w:t xml:space="preserve">14.  </w:t>
      </w:r>
      <w:r>
        <w:rPr>
          <w:rFonts w:hint="eastAsia"/>
        </w:rPr>
        <w:t>委员会对国内暴力侵害妇女方面没有具体立法表示关注</w:t>
      </w:r>
      <w:r>
        <w:rPr>
          <w:rFonts w:hint="eastAsia"/>
        </w:rPr>
        <w:t>(</w:t>
      </w:r>
      <w:r>
        <w:rPr>
          <w:rFonts w:hint="eastAsia"/>
        </w:rPr>
        <w:t>《公约》第十和第十二条</w:t>
      </w:r>
      <w:r>
        <w:rPr>
          <w:rFonts w:hint="eastAsia"/>
        </w:rPr>
        <w:t>)</w:t>
      </w:r>
      <w:r>
        <w:rPr>
          <w:rFonts w:hint="eastAsia"/>
        </w:rPr>
        <w:t>。</w:t>
      </w:r>
    </w:p>
    <w:p w:rsidR="00000000" w:rsidRDefault="00000000">
      <w:pPr>
        <w:spacing w:after="320"/>
        <w:rPr>
          <w:rFonts w:hint="eastAsia"/>
        </w:rPr>
      </w:pPr>
      <w:r>
        <w:rPr>
          <w:rFonts w:hint="eastAsia"/>
        </w:rPr>
        <w:tab/>
        <w:t xml:space="preserve">15.  </w:t>
      </w:r>
      <w:r>
        <w:rPr>
          <w:rFonts w:hint="eastAsia"/>
        </w:rPr>
        <w:t>委员会关切地注意到缔约国的法规规定，流产在任何情况下都是非法的</w:t>
      </w:r>
      <w:r>
        <w:rPr>
          <w:rFonts w:hint="eastAsia"/>
        </w:rPr>
        <w:t>(</w:t>
      </w:r>
      <w:r>
        <w:rPr>
          <w:rFonts w:hint="eastAsia"/>
        </w:rPr>
        <w:t>第十二条</w:t>
      </w:r>
      <w:r>
        <w:rPr>
          <w:rFonts w:hint="eastAsia"/>
        </w:rPr>
        <w:t>)</w:t>
      </w:r>
      <w:r>
        <w:rPr>
          <w:rFonts w:hint="eastAsia"/>
        </w:rPr>
        <w:t>。</w:t>
      </w:r>
      <w:r>
        <w:rPr>
          <w:rFonts w:hint="eastAsia"/>
        </w:rPr>
        <w:t>)</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16.  </w:t>
      </w:r>
      <w:r>
        <w:rPr>
          <w:rFonts w:hint="eastAsia"/>
        </w:rPr>
        <w:t>委员会建议缔约国撤消解释性声明和保留。委员会鼓励缔约国，特别是根据缔约国最近的发展情况，审查已经或者将要过时或没有意义的解释性声明和保留，包括对《公约》第二条第二款、第六、第九和第十三条的解释性声明和保留。</w:t>
      </w:r>
    </w:p>
    <w:p w:rsidR="00000000" w:rsidRDefault="00000000">
      <w:pPr>
        <w:rPr>
          <w:rFonts w:hint="eastAsia"/>
        </w:rPr>
      </w:pPr>
      <w:r>
        <w:rPr>
          <w:rFonts w:hint="eastAsia"/>
        </w:rPr>
        <w:tab/>
        <w:t xml:space="preserve">17.  </w:t>
      </w:r>
      <w:r>
        <w:rPr>
          <w:rFonts w:hint="eastAsia"/>
        </w:rPr>
        <w:t>委员会鼓励缔约国通过立法，规定在摩纳哥妇女将国籍传给子女方面的法律平等，不管她们获得国籍的方式如何。</w:t>
      </w:r>
    </w:p>
    <w:p w:rsidR="00000000" w:rsidRDefault="00000000">
      <w:pPr>
        <w:rPr>
          <w:rFonts w:hint="eastAsia"/>
        </w:rPr>
      </w:pPr>
      <w:r>
        <w:rPr>
          <w:rFonts w:hint="eastAsia"/>
        </w:rPr>
        <w:tab/>
        <w:t xml:space="preserve">18.  </w:t>
      </w:r>
      <w:r>
        <w:rPr>
          <w:rFonts w:hint="eastAsia"/>
        </w:rPr>
        <w:t>委员会建议缔约国对非摩纳哥人五年的居住要求予以减少，以使他们能够享受住房权，并获得社会福利和医疗。</w:t>
      </w:r>
    </w:p>
    <w:p w:rsidR="00000000" w:rsidRDefault="00000000">
      <w:pPr>
        <w:rPr>
          <w:rFonts w:hint="eastAsia"/>
        </w:rPr>
      </w:pPr>
      <w:r>
        <w:rPr>
          <w:rFonts w:hint="eastAsia"/>
        </w:rPr>
        <w:tab/>
        <w:t xml:space="preserve">19.  </w:t>
      </w:r>
      <w:r>
        <w:rPr>
          <w:rFonts w:hint="eastAsia"/>
        </w:rPr>
        <w:t>委员会建议对男女实行同样的入籍条例。</w:t>
      </w:r>
    </w:p>
    <w:p w:rsidR="00000000" w:rsidRDefault="00000000">
      <w:pPr>
        <w:rPr>
          <w:rFonts w:hint="eastAsia"/>
        </w:rPr>
      </w:pPr>
      <w:r>
        <w:rPr>
          <w:rFonts w:hint="eastAsia"/>
        </w:rPr>
        <w:tab/>
        <w:t xml:space="preserve">20.  </w:t>
      </w:r>
      <w:r>
        <w:rPr>
          <w:rFonts w:hint="eastAsia"/>
          <w:spacing w:val="4"/>
        </w:rPr>
        <w:t>委员会建议缔约国确保社会保障系统向各类工人及其家庭提供充分的保护。</w:t>
      </w:r>
    </w:p>
    <w:p w:rsidR="00000000" w:rsidRDefault="00000000">
      <w:pPr>
        <w:rPr>
          <w:rFonts w:hint="eastAsia"/>
        </w:rPr>
      </w:pPr>
      <w:r>
        <w:rPr>
          <w:rFonts w:hint="eastAsia"/>
        </w:rPr>
        <w:tab/>
        <w:t xml:space="preserve">21.  </w:t>
      </w:r>
      <w:r>
        <w:rPr>
          <w:rFonts w:hint="eastAsia"/>
        </w:rPr>
        <w:t>委员会建议缔约国加紧努力，防治毒瘾，特别是防治青年人的毒瘾，并在这方面通过具体立法。</w:t>
      </w:r>
    </w:p>
    <w:p w:rsidR="00000000" w:rsidRDefault="00000000">
      <w:pPr>
        <w:rPr>
          <w:rFonts w:hint="eastAsia"/>
        </w:rPr>
      </w:pPr>
      <w:r>
        <w:rPr>
          <w:rFonts w:hint="eastAsia"/>
        </w:rPr>
        <w:tab/>
        <w:t xml:space="preserve">22.  </w:t>
      </w:r>
      <w:r>
        <w:rPr>
          <w:rFonts w:hint="eastAsia"/>
        </w:rPr>
        <w:t>委员会建议缔约国考虑通过具体立法，将家庭暴力定为刑事罪，并确立司法程序保护受家庭暴力的妇女。</w:t>
      </w:r>
    </w:p>
    <w:p w:rsidR="00000000" w:rsidRDefault="00000000">
      <w:pPr>
        <w:rPr>
          <w:rFonts w:hint="eastAsia"/>
        </w:rPr>
      </w:pPr>
      <w:r>
        <w:rPr>
          <w:rFonts w:hint="eastAsia"/>
        </w:rPr>
        <w:tab/>
        <w:t xml:space="preserve">23.  </w:t>
      </w:r>
      <w:r>
        <w:rPr>
          <w:rFonts w:hint="eastAsia"/>
        </w:rPr>
        <w:t>委员会建议缔约国审查关于流产的立法，并就流产有其医疗原因和强奸或乱伦所致的怀孕，在普遍禁止流产的规定上作出一些例外。</w:t>
      </w:r>
    </w:p>
    <w:p w:rsidR="00000000" w:rsidRDefault="00000000">
      <w:pPr>
        <w:rPr>
          <w:rFonts w:hint="eastAsia"/>
        </w:rPr>
      </w:pPr>
      <w:r>
        <w:rPr>
          <w:rFonts w:hint="eastAsia"/>
        </w:rPr>
        <w:tab/>
        <w:t xml:space="preserve">24.  </w:t>
      </w:r>
      <w:r>
        <w:rPr>
          <w:rFonts w:hint="eastAsia"/>
        </w:rPr>
        <w:t>委员会鼓励缔约国根据《巴黎原则》</w:t>
      </w:r>
      <w:r>
        <w:rPr>
          <w:rFonts w:hint="eastAsia"/>
        </w:rPr>
        <w:t>(</w:t>
      </w:r>
      <w:r>
        <w:rPr>
          <w:rFonts w:hint="eastAsia"/>
        </w:rPr>
        <w:t>大会第</w:t>
      </w:r>
      <w:r>
        <w:rPr>
          <w:rFonts w:hint="eastAsia"/>
        </w:rPr>
        <w:t>48/134</w:t>
      </w:r>
      <w:r>
        <w:rPr>
          <w:rFonts w:hint="eastAsia"/>
        </w:rPr>
        <w:t>号决议</w:t>
      </w:r>
      <w:r>
        <w:rPr>
          <w:rFonts w:hint="eastAsia"/>
        </w:rPr>
        <w:t>)</w:t>
      </w:r>
      <w:r>
        <w:rPr>
          <w:rFonts w:hint="eastAsia"/>
        </w:rPr>
        <w:t>建立一个独立的国家人权机构，并给予保护和增进所有人权，包括经济、社会和文化权利的授权。</w:t>
      </w:r>
    </w:p>
    <w:p w:rsidR="00000000" w:rsidRDefault="00000000">
      <w:pPr>
        <w:rPr>
          <w:rFonts w:hint="eastAsia"/>
        </w:rPr>
      </w:pPr>
      <w:r>
        <w:rPr>
          <w:rFonts w:hint="eastAsia"/>
        </w:rPr>
        <w:tab/>
        <w:t xml:space="preserve">25.  </w:t>
      </w:r>
      <w:r>
        <w:rPr>
          <w:rFonts w:hint="eastAsia"/>
        </w:rPr>
        <w:t>委员会建议缔约国按照修正的《民法》对专门涉及经济、社会和文化权利的立法作调整。</w:t>
      </w:r>
    </w:p>
    <w:p w:rsidR="00000000" w:rsidRDefault="00000000">
      <w:pPr>
        <w:rPr>
          <w:rFonts w:hint="eastAsia"/>
        </w:rPr>
      </w:pPr>
      <w:r>
        <w:rPr>
          <w:rFonts w:hint="eastAsia"/>
        </w:rPr>
        <w:tab/>
        <w:t xml:space="preserve">26.  </w:t>
      </w:r>
      <w:r>
        <w:rPr>
          <w:rFonts w:hint="eastAsia"/>
        </w:rPr>
        <w:t>委员会鼓励缔约国加入国际劳工组织</w:t>
      </w:r>
      <w:r>
        <w:rPr>
          <w:rFonts w:hint="eastAsia"/>
        </w:rPr>
        <w:t>(</w:t>
      </w:r>
      <w:r>
        <w:rPr>
          <w:rFonts w:hint="eastAsia"/>
        </w:rPr>
        <w:t>劳工组织</w:t>
      </w:r>
      <w:r>
        <w:rPr>
          <w:rFonts w:hint="eastAsia"/>
        </w:rPr>
        <w:t>)</w:t>
      </w:r>
      <w:r>
        <w:rPr>
          <w:rFonts w:hint="eastAsia"/>
        </w:rPr>
        <w:t>，签署并批准与《公约》各条款有关的劳工组织公约。</w:t>
      </w:r>
    </w:p>
    <w:p w:rsidR="00000000" w:rsidRDefault="00000000">
      <w:pPr>
        <w:rPr>
          <w:rFonts w:hint="eastAsia"/>
        </w:rPr>
      </w:pPr>
      <w:r>
        <w:rPr>
          <w:rFonts w:hint="eastAsia"/>
        </w:rPr>
        <w:tab/>
        <w:t xml:space="preserve">27.  </w:t>
      </w:r>
      <w:r>
        <w:rPr>
          <w:rFonts w:hint="eastAsia"/>
        </w:rPr>
        <w:t>委员会鼓励缔约国确保在各级学校提供人权教育，并提高国家官员和司法机构对人权，特别是对经济、社会和文化权利的认识。</w:t>
      </w:r>
    </w:p>
    <w:p w:rsidR="00000000" w:rsidRDefault="00000000">
      <w:pPr>
        <w:rPr>
          <w:rFonts w:hint="eastAsia"/>
        </w:rPr>
      </w:pPr>
      <w:r>
        <w:rPr>
          <w:rFonts w:hint="eastAsia"/>
        </w:rPr>
        <w:tab/>
        <w:t xml:space="preserve">28.  </w:t>
      </w:r>
      <w:r>
        <w:rPr>
          <w:rFonts w:hint="eastAsia"/>
        </w:rPr>
        <w:t>委员会鼓励缔约国加入联合国教育、科学文化组织</w:t>
      </w:r>
      <w:r>
        <w:rPr>
          <w:rFonts w:hint="eastAsia"/>
        </w:rPr>
        <w:t>(</w:t>
      </w:r>
      <w:r>
        <w:rPr>
          <w:rFonts w:hint="eastAsia"/>
        </w:rPr>
        <w:t>教科文组织</w:t>
      </w:r>
      <w:r>
        <w:rPr>
          <w:rFonts w:hint="eastAsia"/>
        </w:rPr>
        <w:t>)</w:t>
      </w:r>
      <w:r>
        <w:rPr>
          <w:rFonts w:hint="eastAsia"/>
        </w:rPr>
        <w:t>《取缔教育歧视公约》。</w:t>
      </w:r>
    </w:p>
    <w:p w:rsidR="00000000" w:rsidRDefault="00000000">
      <w:pPr>
        <w:rPr>
          <w:rFonts w:hint="eastAsia"/>
        </w:rPr>
      </w:pPr>
      <w:r>
        <w:rPr>
          <w:rFonts w:hint="eastAsia"/>
        </w:rPr>
        <w:tab/>
        <w:t xml:space="preserve">29.  </w:t>
      </w:r>
      <w:r>
        <w:rPr>
          <w:rFonts w:hint="eastAsia"/>
        </w:rPr>
        <w:t>委员会鼓励缔约国将其资金援助水平提高到联合国建议的最低额，即国民总产值的</w:t>
      </w:r>
      <w:r>
        <w:rPr>
          <w:rFonts w:hint="eastAsia"/>
        </w:rPr>
        <w:t>0.7%</w:t>
      </w:r>
      <w:r>
        <w:rPr>
          <w:rFonts w:hint="eastAsia"/>
        </w:rPr>
        <w:t>。</w:t>
      </w:r>
    </w:p>
    <w:p w:rsidR="00000000" w:rsidRDefault="00000000">
      <w:pPr>
        <w:rPr>
          <w:rFonts w:hint="eastAsia"/>
        </w:rPr>
      </w:pPr>
      <w:r>
        <w:rPr>
          <w:rFonts w:hint="eastAsia"/>
        </w:rPr>
        <w:tab/>
        <w:t xml:space="preserve">30.  </w:t>
      </w:r>
      <w:r>
        <w:rPr>
          <w:rFonts w:hint="eastAsia"/>
        </w:rPr>
        <w:t>委员会请缔约国就《公约》的执行情况，特别是就工作所涉的发病率和审查最低年龄的频率提供分类数据，并在这方面请缔约国参照委员会第</w:t>
      </w:r>
      <w:r>
        <w:rPr>
          <w:rFonts w:hint="eastAsia"/>
        </w:rPr>
        <w:t>14</w:t>
      </w:r>
      <w:r>
        <w:rPr>
          <w:rFonts w:hint="eastAsia"/>
        </w:rPr>
        <w:t>号一般性意见，特别是关于核心义务的第</w:t>
      </w:r>
      <w:r>
        <w:rPr>
          <w:rFonts w:hint="eastAsia"/>
        </w:rPr>
        <w:t>43</w:t>
      </w:r>
      <w:r>
        <w:rPr>
          <w:rFonts w:hint="eastAsia"/>
        </w:rPr>
        <w:t>和</w:t>
      </w:r>
      <w:r>
        <w:rPr>
          <w:rFonts w:hint="eastAsia"/>
        </w:rPr>
        <w:t>44</w:t>
      </w:r>
      <w:r>
        <w:rPr>
          <w:rFonts w:hint="eastAsia"/>
        </w:rPr>
        <w:t>段。它还建议将这份资料用于加强与《公约》有关的政策、方案和监测。</w:t>
      </w:r>
    </w:p>
    <w:p w:rsidR="00000000" w:rsidRDefault="00000000">
      <w:pPr>
        <w:rPr>
          <w:rFonts w:hint="eastAsia"/>
        </w:rPr>
      </w:pPr>
      <w:r>
        <w:rPr>
          <w:rFonts w:hint="eastAsia"/>
        </w:rPr>
        <w:tab/>
        <w:t xml:space="preserve">31.  </w:t>
      </w:r>
      <w:r>
        <w:rPr>
          <w:rFonts w:hint="eastAsia"/>
        </w:rPr>
        <w:t>委员会请缔约国向社会各阶层广为散发本结论性意见，并在下次定期报告中就落实这些结论性意见的所有步骤向委员会作介绍。它还鼓励缔约国请非政府组织和民间社会其它成员在提交下次定期报告前参加国家一级的讨论进程。</w:t>
      </w:r>
    </w:p>
    <w:p w:rsidR="00000000" w:rsidRDefault="00000000">
      <w:pPr>
        <w:rPr>
          <w:rFonts w:hint="eastAsia"/>
        </w:rPr>
      </w:pPr>
      <w:r>
        <w:rPr>
          <w:rFonts w:hint="eastAsia"/>
        </w:rPr>
        <w:tab/>
        <w:t xml:space="preserve">32.  </w:t>
      </w:r>
      <w:r>
        <w:rPr>
          <w:rFonts w:hint="eastAsia"/>
        </w:rPr>
        <w:t>最后，委员会请缔约国在</w:t>
      </w:r>
      <w:r>
        <w:rPr>
          <w:rFonts w:hint="eastAsia"/>
        </w:rPr>
        <w:t>2009</w:t>
      </w:r>
      <w:r>
        <w:rPr>
          <w:rFonts w:hint="eastAsia"/>
        </w:rPr>
        <w:t>年</w:t>
      </w:r>
      <w:r>
        <w:rPr>
          <w:rFonts w:hint="eastAsia"/>
        </w:rPr>
        <w:t>6</w:t>
      </w:r>
      <w:r>
        <w:rPr>
          <w:rFonts w:hint="eastAsia"/>
        </w:rPr>
        <w:t>月</w:t>
      </w:r>
      <w:r>
        <w:rPr>
          <w:rFonts w:hint="eastAsia"/>
        </w:rPr>
        <w:t>30</w:t>
      </w:r>
      <w:r>
        <w:rPr>
          <w:rFonts w:hint="eastAsia"/>
        </w:rPr>
        <w:t>日前合并提交第二和第三次定期报告。</w:t>
      </w:r>
    </w:p>
    <w:p w:rsidR="00000000" w:rsidRDefault="00000000">
      <w:pPr>
        <w:rPr>
          <w:rFonts w:hint="eastAsia"/>
        </w:rPr>
      </w:pPr>
    </w:p>
    <w:p w:rsidR="00000000" w:rsidRDefault="00000000">
      <w:pPr>
        <w:jc w:val="center"/>
      </w:pPr>
      <w:r>
        <w:t>--  --  --  --  --</w:t>
      </w:r>
    </w:p>
    <w:p w:rsidR="00000000" w:rsidRDefault="00000000">
      <w:pPr>
        <w:rPr>
          <w:rFonts w:hint="eastAsia"/>
        </w:rPr>
      </w:pPr>
    </w:p>
    <w:sectPr w:rsidR="00000000">
      <w:headerReference w:type="even" r:id="rId7"/>
      <w:headerReference w:type="default" r:id="rId8"/>
      <w:headerReference w:type="first" r:id="rId9"/>
      <w:footerReference w:type="first" r:id="rId10"/>
      <w:pgSz w:w="11906" w:h="16838" w:code="9"/>
      <w:pgMar w:top="1985" w:right="851" w:bottom="1985" w:left="1701" w:header="794" w:footer="1588"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06-42615 (C)</w:t>
          </w:r>
        </w:p>
      </w:tc>
      <w:tc>
        <w:tcPr>
          <w:tcW w:w="1050" w:type="dxa"/>
        </w:tcPr>
        <w:p w:rsidR="00000000" w:rsidRDefault="00000000">
          <w:pPr>
            <w:pStyle w:val="Footer"/>
          </w:pPr>
          <w:r>
            <w:t>210706</w:t>
          </w:r>
        </w:p>
      </w:tc>
      <w:tc>
        <w:tcPr>
          <w:tcW w:w="6061" w:type="dxa"/>
        </w:tcPr>
        <w:p w:rsidR="00000000" w:rsidRDefault="00000000">
          <w:pPr>
            <w:pStyle w:val="Footer"/>
          </w:pPr>
          <w:r>
            <w:t>110906</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E/C.12/MCO/CO/1</w:t>
    </w:r>
  </w:p>
  <w:p w:rsidR="00000000" w:rsidRDefault="00000000">
    <w:pPr>
      <w:pStyle w:val="Heade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r>
    <w:r>
      <w:tab/>
    </w:r>
    <w:r>
      <w:tab/>
      <w:t>E/C.12/MCO/CO/1</w:t>
    </w:r>
  </w:p>
  <w:p w:rsidR="00000000" w:rsidRDefault="00000000">
    <w:pPr>
      <w:pStyle w:val="Header"/>
      <w:rPr>
        <w:lang w:val="en-US"/>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Y="9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536"/>
      <w:gridCol w:w="3260"/>
    </w:tblGrid>
    <w:tr w:rsidR="00000000">
      <w:tblPrEx>
        <w:tblCellMar>
          <w:top w:w="0" w:type="dxa"/>
          <w:bottom w:w="0" w:type="dxa"/>
        </w:tblCellMar>
      </w:tblPrEx>
      <w:tc>
        <w:tcPr>
          <w:tcW w:w="1668" w:type="dxa"/>
          <w:tcBorders>
            <w:top w:val="nil"/>
            <w:left w:val="nil"/>
            <w:bottom w:val="single" w:sz="8" w:space="0" w:color="auto"/>
            <w:right w:val="nil"/>
          </w:tcBorders>
          <w:vAlign w:val="center"/>
        </w:tcPr>
        <w:p w:rsidR="00000000" w:rsidRDefault="00000000">
          <w:pPr>
            <w:pStyle w:val="1L"/>
            <w:framePr w:w="0" w:hRule="auto" w:hSpace="0" w:wrap="auto" w:vAnchor="margin" w:hAnchor="text" w:xAlign="left" w:yAlign="inline"/>
            <w:rPr>
              <w:rFonts w:ascii="Time New Roman" w:hAnsi="Time New Roman"/>
              <w:b/>
            </w:rPr>
          </w:pPr>
          <w:r>
            <w:rPr>
              <w:rFonts w:hint="eastAsia"/>
            </w:rPr>
            <w:t>联合国</w:t>
          </w:r>
        </w:p>
      </w:tc>
      <w:tc>
        <w:tcPr>
          <w:tcW w:w="4536" w:type="dxa"/>
          <w:tcBorders>
            <w:top w:val="nil"/>
            <w:left w:val="nil"/>
            <w:bottom w:val="single" w:sz="8" w:space="0" w:color="auto"/>
            <w:right w:val="nil"/>
          </w:tcBorders>
        </w:tcPr>
        <w:p w:rsidR="00000000" w:rsidRDefault="00000000">
          <w:pPr>
            <w:pStyle w:val="1L"/>
            <w:framePr w:w="0" w:hRule="auto" w:hSpace="0" w:wrap="auto" w:vAnchor="margin" w:hAnchor="text" w:xAlign="left" w:yAlign="inline"/>
          </w:pPr>
        </w:p>
      </w:tc>
      <w:tc>
        <w:tcPr>
          <w:tcW w:w="3260" w:type="dxa"/>
          <w:tcBorders>
            <w:top w:val="nil"/>
            <w:left w:val="nil"/>
            <w:bottom w:val="single" w:sz="8" w:space="0" w:color="auto"/>
            <w:right w:val="nil"/>
          </w:tcBorders>
          <w:vAlign w:val="bottom"/>
        </w:tcPr>
        <w:p w:rsidR="00000000" w:rsidRDefault="00000000">
          <w:pPr>
            <w:pStyle w:val="1R1"/>
            <w:jc w:val="right"/>
            <w:rPr>
              <w:rFonts w:ascii="Univers" w:hAnsi="Univers"/>
              <w:b w:val="0"/>
              <w:sz w:val="72"/>
            </w:rPr>
          </w:pPr>
          <w:r>
            <w:t>E</w:t>
          </w:r>
        </w:p>
      </w:tc>
    </w:tr>
    <w:bookmarkStart w:id="0" w:name="_MON_992683020"/>
    <w:bookmarkStart w:id="1" w:name="_MON_1114339969"/>
    <w:bookmarkEnd w:id="0"/>
    <w:bookmarkEnd w:id="1"/>
    <w:tr w:rsidR="00000000">
      <w:tblPrEx>
        <w:tblCellMar>
          <w:top w:w="0" w:type="dxa"/>
          <w:bottom w:w="0" w:type="dxa"/>
        </w:tblCellMar>
      </w:tblPrEx>
      <w:tc>
        <w:tcPr>
          <w:tcW w:w="1668" w:type="dxa"/>
          <w:tcBorders>
            <w:top w:val="single" w:sz="8" w:space="0" w:color="auto"/>
            <w:left w:val="nil"/>
            <w:bottom w:val="single" w:sz="24"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23889" r:id="rId2"/>
            </w:object>
          </w:r>
        </w:p>
      </w:tc>
      <w:tc>
        <w:tcPr>
          <w:tcW w:w="4536" w:type="dxa"/>
          <w:tcBorders>
            <w:top w:val="single" w:sz="8" w:space="0" w:color="auto"/>
            <w:left w:val="nil"/>
            <w:bottom w:val="single" w:sz="24" w:space="0" w:color="auto"/>
            <w:right w:val="nil"/>
          </w:tcBorders>
        </w:tcPr>
        <w:p w:rsidR="00000000" w:rsidRDefault="00000000">
          <w:pPr>
            <w:pStyle w:val="1m1"/>
            <w:spacing w:before="480"/>
          </w:pPr>
          <w:r>
            <w:rPr>
              <w:rFonts w:hint="eastAsia"/>
            </w:rPr>
            <w:t>经济及社会理事会</w:t>
          </w:r>
        </w:p>
      </w:tc>
      <w:tc>
        <w:tcPr>
          <w:tcW w:w="3260" w:type="dxa"/>
          <w:tcBorders>
            <w:top w:val="single" w:sz="8" w:space="0" w:color="auto"/>
            <w:left w:val="nil"/>
            <w:bottom w:val="single" w:sz="24" w:space="0" w:color="auto"/>
            <w:right w:val="nil"/>
          </w:tcBorders>
        </w:tcPr>
        <w:p w:rsidR="00000000" w:rsidRDefault="00000000">
          <w:pPr>
            <w:pStyle w:val="Header"/>
            <w:rPr>
              <w:lang w:eastAsia="zh-CN"/>
            </w:rPr>
          </w:pPr>
        </w:p>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E/C.12/MCO/CO/1</w:t>
          </w:r>
        </w:p>
        <w:p w:rsidR="00000000" w:rsidRDefault="00000000">
          <w:pPr>
            <w:pStyle w:val="Header"/>
          </w:pPr>
          <w:r>
            <w:t>13 June 2006</w:t>
          </w:r>
        </w:p>
        <w:p w:rsidR="00000000" w:rsidRDefault="00000000">
          <w:pPr>
            <w:pStyle w:val="Header"/>
          </w:pPr>
        </w:p>
        <w:p w:rsidR="00000000" w:rsidRDefault="00000000">
          <w:pPr>
            <w:pStyle w:val="Header"/>
          </w:pPr>
          <w:r>
            <w:t>CHINESE</w:t>
          </w:r>
        </w:p>
        <w:p w:rsidR="00000000" w:rsidRDefault="00000000">
          <w:pPr>
            <w:pStyle w:val="Header"/>
            <w:tabs>
              <w:tab w:val="clear" w:pos="992"/>
              <w:tab w:val="left" w:pos="993"/>
            </w:tabs>
          </w:pPr>
          <w:r>
            <w:t>Original:</w:t>
          </w:r>
          <w:r>
            <w:tab/>
            <w:t>FRENCH</w:t>
          </w:r>
        </w:p>
        <w:p w:rsidR="00000000" w:rsidRDefault="00000000">
          <w:pPr>
            <w:pStyle w:val="Header"/>
          </w:pPr>
        </w:p>
      </w:tc>
    </w:tr>
    <w:tr w:rsidR="00000000">
      <w:tblPrEx>
        <w:tblCellMar>
          <w:top w:w="0" w:type="dxa"/>
          <w:bottom w:w="0" w:type="dxa"/>
        </w:tblCellMar>
      </w:tblPrEx>
      <w:trPr>
        <w:cantSplit/>
        <w:trHeight w:val="293"/>
      </w:trPr>
      <w:tc>
        <w:tcPr>
          <w:tcW w:w="1668" w:type="dxa"/>
          <w:tcBorders>
            <w:top w:val="single" w:sz="24" w:space="0" w:color="auto"/>
            <w:left w:val="nil"/>
            <w:bottom w:val="nil"/>
            <w:right w:val="nil"/>
          </w:tcBorders>
          <w:noWrap/>
        </w:tcPr>
        <w:p w:rsidR="00000000" w:rsidRDefault="00000000">
          <w:pPr>
            <w:rPr>
              <w:sz w:val="16"/>
            </w:rPr>
          </w:pPr>
        </w:p>
      </w:tc>
      <w:tc>
        <w:tcPr>
          <w:tcW w:w="4536" w:type="dxa"/>
          <w:tcBorders>
            <w:top w:val="single" w:sz="24" w:space="0" w:color="auto"/>
            <w:left w:val="nil"/>
            <w:bottom w:val="nil"/>
            <w:right w:val="nil"/>
          </w:tcBorders>
          <w:noWrap/>
        </w:tcPr>
        <w:p w:rsidR="00000000" w:rsidRDefault="00000000">
          <w:pPr>
            <w:pStyle w:val="1m1"/>
            <w:spacing w:line="240" w:lineRule="auto"/>
            <w:rPr>
              <w:rFonts w:hint="eastAsia"/>
              <w:sz w:val="16"/>
            </w:rPr>
          </w:pPr>
        </w:p>
      </w:tc>
      <w:tc>
        <w:tcPr>
          <w:tcW w:w="3260" w:type="dxa"/>
          <w:tcBorders>
            <w:top w:val="single" w:sz="24" w:space="0" w:color="auto"/>
            <w:left w:val="nil"/>
            <w:bottom w:val="nil"/>
            <w:right w:val="nil"/>
          </w:tcBorders>
          <w:noWrap/>
        </w:tcPr>
        <w:p w:rsidR="00000000" w:rsidRDefault="00000000">
          <w:pPr>
            <w:rPr>
              <w:sz w:val="16"/>
            </w:rPr>
          </w:pPr>
        </w:p>
      </w:tc>
    </w:tr>
  </w:tbl>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8">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2">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3">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6">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17">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19">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0">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2">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25">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26">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27">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29">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30">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3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32">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33">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35">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36">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37">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42">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43">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44">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46">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47">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48">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49">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50">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51">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2">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53">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54">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6">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7">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58">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59">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61">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62">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63">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4">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65">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66">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7">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9">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72">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4">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75">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76">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77">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8">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24"/>
  </w:num>
  <w:num w:numId="2">
    <w:abstractNumId w:val="25"/>
  </w:num>
  <w:num w:numId="3">
    <w:abstractNumId w:val="46"/>
  </w:num>
  <w:num w:numId="4">
    <w:abstractNumId w:val="29"/>
  </w:num>
  <w:num w:numId="5">
    <w:abstractNumId w:val="73"/>
  </w:num>
  <w:num w:numId="6">
    <w:abstractNumId w:val="0"/>
  </w:num>
  <w:num w:numId="7">
    <w:abstractNumId w:val="39"/>
  </w:num>
  <w:num w:numId="8">
    <w:abstractNumId w:val="22"/>
  </w:num>
  <w:num w:numId="9">
    <w:abstractNumId w:val="8"/>
  </w:num>
  <w:num w:numId="10">
    <w:abstractNumId w:val="13"/>
  </w:num>
  <w:num w:numId="11">
    <w:abstractNumId w:val="67"/>
  </w:num>
  <w:num w:numId="12">
    <w:abstractNumId w:val="16"/>
  </w:num>
  <w:num w:numId="13">
    <w:abstractNumId w:val="71"/>
  </w:num>
  <w:num w:numId="14">
    <w:abstractNumId w:val="43"/>
  </w:num>
  <w:num w:numId="15">
    <w:abstractNumId w:val="47"/>
  </w:num>
  <w:num w:numId="16">
    <w:abstractNumId w:val="4"/>
  </w:num>
  <w:num w:numId="17">
    <w:abstractNumId w:val="77"/>
  </w:num>
  <w:num w:numId="18">
    <w:abstractNumId w:val="66"/>
  </w:num>
  <w:num w:numId="19">
    <w:abstractNumId w:val="63"/>
  </w:num>
  <w:num w:numId="20">
    <w:abstractNumId w:val="6"/>
  </w:num>
  <w:num w:numId="21">
    <w:abstractNumId w:val="45"/>
  </w:num>
  <w:num w:numId="22">
    <w:abstractNumId w:val="49"/>
  </w:num>
  <w:num w:numId="23">
    <w:abstractNumId w:val="75"/>
  </w:num>
  <w:num w:numId="24">
    <w:abstractNumId w:val="57"/>
  </w:num>
  <w:num w:numId="25">
    <w:abstractNumId w:val="55"/>
  </w:num>
  <w:num w:numId="26">
    <w:abstractNumId w:val="38"/>
  </w:num>
  <w:num w:numId="27">
    <w:abstractNumId w:val="10"/>
  </w:num>
  <w:num w:numId="28">
    <w:abstractNumId w:val="7"/>
  </w:num>
  <w:num w:numId="29">
    <w:abstractNumId w:val="78"/>
  </w:num>
  <w:num w:numId="30">
    <w:abstractNumId w:val="1"/>
  </w:num>
  <w:num w:numId="31">
    <w:abstractNumId w:val="15"/>
  </w:num>
  <w:num w:numId="32">
    <w:abstractNumId w:val="46"/>
  </w:num>
  <w:num w:numId="33">
    <w:abstractNumId w:val="29"/>
  </w:num>
  <w:num w:numId="34">
    <w:abstractNumId w:val="70"/>
  </w:num>
  <w:num w:numId="35">
    <w:abstractNumId w:val="23"/>
  </w:num>
  <w:num w:numId="36">
    <w:abstractNumId w:val="62"/>
  </w:num>
  <w:num w:numId="37">
    <w:abstractNumId w:val="61"/>
  </w:num>
  <w:num w:numId="38">
    <w:abstractNumId w:val="30"/>
  </w:num>
  <w:num w:numId="39">
    <w:abstractNumId w:val="50"/>
  </w:num>
  <w:num w:numId="40">
    <w:abstractNumId w:val="54"/>
  </w:num>
  <w:num w:numId="41">
    <w:abstractNumId w:val="68"/>
  </w:num>
  <w:num w:numId="42">
    <w:abstractNumId w:val="5"/>
  </w:num>
  <w:num w:numId="43">
    <w:abstractNumId w:val="27"/>
  </w:num>
  <w:num w:numId="44">
    <w:abstractNumId w:val="29"/>
  </w:num>
  <w:num w:numId="45">
    <w:abstractNumId w:val="46"/>
  </w:num>
  <w:num w:numId="46">
    <w:abstractNumId w:val="29"/>
  </w:num>
  <w:num w:numId="47">
    <w:abstractNumId w:val="29"/>
  </w:num>
  <w:num w:numId="48">
    <w:abstractNumId w:val="46"/>
  </w:num>
  <w:num w:numId="49">
    <w:abstractNumId w:val="46"/>
  </w:num>
  <w:num w:numId="50">
    <w:abstractNumId w:val="29"/>
  </w:num>
  <w:num w:numId="51">
    <w:abstractNumId w:val="46"/>
  </w:num>
  <w:num w:numId="52">
    <w:abstractNumId w:val="29"/>
  </w:num>
  <w:num w:numId="53">
    <w:abstractNumId w:val="29"/>
  </w:num>
  <w:num w:numId="54">
    <w:abstractNumId w:val="46"/>
  </w:num>
  <w:num w:numId="55">
    <w:abstractNumId w:val="29"/>
  </w:num>
  <w:num w:numId="56">
    <w:abstractNumId w:val="46"/>
  </w:num>
  <w:num w:numId="57">
    <w:abstractNumId w:val="29"/>
  </w:num>
  <w:num w:numId="58">
    <w:abstractNumId w:val="46"/>
  </w:num>
  <w:num w:numId="59">
    <w:abstractNumId w:val="76"/>
  </w:num>
  <w:num w:numId="60">
    <w:abstractNumId w:val="53"/>
  </w:num>
  <w:num w:numId="61">
    <w:abstractNumId w:val="64"/>
  </w:num>
  <w:num w:numId="62">
    <w:abstractNumId w:val="21"/>
  </w:num>
  <w:num w:numId="63">
    <w:abstractNumId w:val="28"/>
  </w:num>
  <w:num w:numId="64">
    <w:abstractNumId w:val="12"/>
  </w:num>
  <w:num w:numId="65">
    <w:abstractNumId w:val="58"/>
  </w:num>
  <w:num w:numId="66">
    <w:abstractNumId w:val="51"/>
  </w:num>
  <w:num w:numId="67">
    <w:abstractNumId w:val="33"/>
  </w:num>
  <w:num w:numId="68">
    <w:abstractNumId w:val="14"/>
  </w:num>
  <w:num w:numId="69">
    <w:abstractNumId w:val="52"/>
  </w:num>
  <w:num w:numId="70">
    <w:abstractNumId w:val="11"/>
  </w:num>
  <w:num w:numId="71">
    <w:abstractNumId w:val="32"/>
  </w:num>
  <w:num w:numId="72">
    <w:abstractNumId w:val="41"/>
  </w:num>
  <w:num w:numId="73">
    <w:abstractNumId w:val="74"/>
  </w:num>
  <w:num w:numId="74">
    <w:abstractNumId w:val="48"/>
  </w:num>
  <w:num w:numId="75">
    <w:abstractNumId w:val="34"/>
  </w:num>
  <w:num w:numId="76">
    <w:abstractNumId w:val="26"/>
  </w:num>
  <w:num w:numId="77">
    <w:abstractNumId w:val="3"/>
  </w:num>
  <w:num w:numId="78">
    <w:abstractNumId w:val="3"/>
  </w:num>
  <w:num w:numId="79">
    <w:abstractNumId w:val="29"/>
  </w:num>
  <w:num w:numId="80">
    <w:abstractNumId w:val="3"/>
  </w:num>
  <w:num w:numId="81">
    <w:abstractNumId w:val="46"/>
  </w:num>
  <w:num w:numId="82">
    <w:abstractNumId w:val="29"/>
  </w:num>
  <w:num w:numId="83">
    <w:abstractNumId w:val="42"/>
  </w:num>
  <w:num w:numId="84">
    <w:abstractNumId w:val="18"/>
  </w:num>
  <w:num w:numId="85">
    <w:abstractNumId w:val="60"/>
  </w:num>
  <w:num w:numId="86">
    <w:abstractNumId w:val="59"/>
  </w:num>
  <w:num w:numId="87">
    <w:abstractNumId w:val="2"/>
  </w:num>
  <w:num w:numId="88">
    <w:abstractNumId w:val="44"/>
  </w:num>
  <w:num w:numId="89">
    <w:abstractNumId w:val="17"/>
  </w:num>
  <w:num w:numId="90">
    <w:abstractNumId w:val="40"/>
  </w:num>
  <w:num w:numId="91">
    <w:abstractNumId w:val="9"/>
  </w:num>
  <w:num w:numId="92">
    <w:abstractNumId w:val="56"/>
  </w:num>
  <w:num w:numId="93">
    <w:abstractNumId w:val="37"/>
  </w:num>
  <w:num w:numId="94">
    <w:abstractNumId w:val="69"/>
  </w:num>
  <w:num w:numId="95">
    <w:abstractNumId w:val="65"/>
  </w:num>
  <w:num w:numId="96">
    <w:abstractNumId w:val="19"/>
  </w:num>
  <w:num w:numId="97">
    <w:abstractNumId w:val="35"/>
  </w:num>
  <w:num w:numId="98">
    <w:abstractNumId w:val="36"/>
  </w:num>
  <w:num w:numId="99">
    <w:abstractNumId w:val="20"/>
  </w:num>
  <w:num w:numId="100">
    <w:abstractNumId w:val="72"/>
  </w:num>
  <w:num w:numId="101">
    <w:abstractNumId w:val="72"/>
  </w:num>
  <w:num w:numId="102">
    <w:abstractNumId w:val="20"/>
  </w:num>
  <w:num w:numId="103">
    <w:abstractNumId w:val="20"/>
  </w:num>
  <w:num w:numId="104">
    <w:abstractNumId w:val="72"/>
  </w:num>
  <w:num w:numId="105">
    <w:abstractNumId w:val="20"/>
  </w:num>
  <w:num w:numId="10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semiHidden/>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81"/>
      </w:numPr>
      <w:tabs>
        <w:tab w:val="clear" w:pos="510"/>
      </w:tabs>
    </w:pPr>
  </w:style>
  <w:style w:type="paragraph" w:customStyle="1" w:styleId="a">
    <w:name w:val="悬挂符号●"/>
    <w:basedOn w:val="Normal"/>
    <w:pPr>
      <w:numPr>
        <w:numId w:val="82"/>
      </w:numPr>
      <w:tabs>
        <w:tab w:val="clear" w:pos="510"/>
      </w:tabs>
    </w:pPr>
  </w:style>
  <w:style w:type="paragraph" w:customStyle="1" w:styleId="1L">
    <w:name w:val="页眉1L"/>
    <w:basedOn w:val="Normal"/>
    <w:autoRedefine/>
    <w:pPr>
      <w:framePr w:w="1542" w:h="627" w:hSpace="180" w:wrap="around" w:vAnchor="page" w:hAnchor="page" w:x="1469" w:y="1390"/>
      <w:widowControl w:val="0"/>
      <w:spacing w:line="240" w:lineRule="auto"/>
    </w:pPr>
    <w:rPr>
      <w:rFonts w:ascii="SimHei" w:eastAsia="SimHei"/>
      <w:snapToGrid/>
      <w:spacing w:val="6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semiHidden/>
    <w:pPr>
      <w:widowControl w:val="0"/>
    </w:pPr>
    <w:rPr>
      <w:snapToGrid/>
    </w:rPr>
  </w:style>
  <w:style w:type="paragraph" w:customStyle="1" w:styleId="ac">
    <w:name w:val="表中文字"/>
    <w:basedOn w:val="Normal"/>
    <w:pPr>
      <w:spacing w:line="320" w:lineRule="exact"/>
    </w:pPr>
    <w:rPr>
      <w:spacing w:val="0"/>
      <w:sz w:val="21"/>
    </w:rPr>
  </w:style>
  <w:style w:type="paragraph" w:customStyle="1" w:styleId="ad">
    <w:name w:val="正文缩进"/>
    <w:basedOn w:val="Normal"/>
    <w:pPr>
      <w:ind w:left="1021" w:firstLine="510"/>
    </w:pPr>
  </w:style>
  <w:style w:type="paragraph" w:customStyle="1" w:styleId="ae">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f">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106"/>
      </w:numPr>
      <w:tabs>
        <w:tab w:val="clear" w:pos="360"/>
        <w:tab w:val="left" w:pos="737"/>
      </w:tabs>
      <w:overflowPunct/>
      <w:adjustRightInd/>
      <w:snapToGrid/>
      <w:spacing w:after="240" w:line="240" w:lineRule="auto"/>
      <w:jc w:val="left"/>
    </w:pPr>
    <w:rPr>
      <w:rFonts w:eastAsia="PMingLiU"/>
      <w:snapToGrid/>
      <w:spacing w:val="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4</TotalTime>
  <Pages>4</Pages>
  <Words>2025</Words>
  <Characters>2164</Characters>
  <Application>Microsoft Office Word</Application>
  <DocSecurity>4</DocSecurity>
  <Lines>89</Lines>
  <Paragraphs>44</Paragraphs>
  <ScaleCrop>false</ScaleCrop>
  <HeadingPairs>
    <vt:vector size="2" baseType="variant">
      <vt:variant>
        <vt:lpstr>题目</vt:lpstr>
      </vt:variant>
      <vt:variant>
        <vt:i4>1</vt:i4>
      </vt:variant>
    </vt:vector>
  </HeadingPairs>
  <TitlesOfParts>
    <vt:vector size="1" baseType="lpstr">
      <vt:lpstr>E.dot</vt:lpstr>
    </vt:vector>
  </TitlesOfParts>
  <Company>TPS_CHI</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MLU</dc:creator>
  <cp:keywords/>
  <dc:description/>
  <cp:lastModifiedBy>MLU</cp:lastModifiedBy>
  <cp:revision>3</cp:revision>
  <cp:lastPrinted>2006-09-11T13:14:00Z</cp:lastPrinted>
  <dcterms:created xsi:type="dcterms:W3CDTF">2006-09-11T13:14:00Z</dcterms:created>
  <dcterms:modified xsi:type="dcterms:W3CDTF">2006-09-11T13:18:00Z</dcterms:modified>
</cp:coreProperties>
</file>