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8F12B7" w:rsidTr="00DD1051">
        <w:trPr>
          <w:trHeight w:val="851"/>
        </w:trPr>
        <w:tc>
          <w:tcPr>
            <w:tcW w:w="1259" w:type="dxa"/>
            <w:tcBorders>
              <w:top w:val="nil"/>
              <w:left w:val="nil"/>
              <w:bottom w:val="single" w:sz="4" w:space="0" w:color="auto"/>
              <w:right w:val="nil"/>
            </w:tcBorders>
            <w:shd w:val="clear" w:color="auto" w:fill="auto"/>
          </w:tcPr>
          <w:p w:rsidR="00446DE4" w:rsidRPr="008F12B7" w:rsidRDefault="00446DE4" w:rsidP="00DD1051">
            <w:pPr>
              <w:rPr>
                <w:lang w:val="en-US"/>
              </w:rPr>
            </w:pPr>
          </w:p>
        </w:tc>
        <w:tc>
          <w:tcPr>
            <w:tcW w:w="2236" w:type="dxa"/>
            <w:tcBorders>
              <w:top w:val="nil"/>
              <w:left w:val="nil"/>
              <w:bottom w:val="single" w:sz="4" w:space="0" w:color="auto"/>
              <w:right w:val="nil"/>
            </w:tcBorders>
            <w:shd w:val="clear" w:color="auto" w:fill="auto"/>
            <w:vAlign w:val="bottom"/>
          </w:tcPr>
          <w:p w:rsidR="00446DE4" w:rsidRPr="00DD1051" w:rsidRDefault="00BC0578" w:rsidP="00DD1051">
            <w:pPr>
              <w:spacing w:after="80" w:line="300" w:lineRule="exact"/>
              <w:rPr>
                <w:sz w:val="28"/>
                <w:szCs w:val="28"/>
              </w:rPr>
            </w:pPr>
            <w:r w:rsidRPr="00DD105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8F12B7" w:rsidRDefault="00DB0F0D" w:rsidP="0061628C">
            <w:pPr>
              <w:suppressAutoHyphens w:val="0"/>
              <w:spacing w:after="20"/>
              <w:jc w:val="right"/>
            </w:pPr>
            <w:r w:rsidRPr="008F12B7">
              <w:rPr>
                <w:sz w:val="40"/>
                <w:szCs w:val="40"/>
              </w:rPr>
              <w:t>E</w:t>
            </w:r>
            <w:r w:rsidRPr="008F12B7">
              <w:t>/C.12/</w:t>
            </w:r>
            <w:r w:rsidR="008F12B7" w:rsidRPr="008F12B7">
              <w:t>IDN</w:t>
            </w:r>
            <w:r w:rsidR="0024165B" w:rsidRPr="008F12B7">
              <w:t>/</w:t>
            </w:r>
            <w:r w:rsidR="001F74B2" w:rsidRPr="008F12B7">
              <w:t>CO/</w:t>
            </w:r>
            <w:r w:rsidR="008F12B7" w:rsidRPr="008F12B7">
              <w:t>1</w:t>
            </w:r>
          </w:p>
        </w:tc>
      </w:tr>
      <w:tr w:rsidR="003107FA" w:rsidRPr="007E2C6D"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7E2C6D" w:rsidRDefault="00BC0578" w:rsidP="00DD105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605516" w:rsidRPr="00171D66" w:rsidRDefault="00D81256" w:rsidP="00D81256">
            <w:pPr>
              <w:spacing w:before="120" w:line="420" w:lineRule="exact"/>
              <w:rPr>
                <w:b/>
                <w:sz w:val="28"/>
                <w:szCs w:val="28"/>
              </w:rPr>
            </w:pPr>
            <w:r>
              <w:rPr>
                <w:b/>
                <w:sz w:val="40"/>
                <w:szCs w:val="40"/>
              </w:rPr>
              <w:t>Economic and Social Council</w:t>
            </w:r>
            <w:r w:rsidRPr="00171D66">
              <w:rPr>
                <w:b/>
                <w:sz w:val="28"/>
                <w:szCs w:val="28"/>
              </w:rPr>
              <w:t xml:space="preserve"> </w:t>
            </w:r>
          </w:p>
        </w:tc>
        <w:tc>
          <w:tcPr>
            <w:tcW w:w="2930" w:type="dxa"/>
            <w:tcBorders>
              <w:top w:val="single" w:sz="4" w:space="0" w:color="auto"/>
              <w:left w:val="nil"/>
              <w:bottom w:val="single" w:sz="12" w:space="0" w:color="auto"/>
              <w:right w:val="nil"/>
            </w:tcBorders>
            <w:shd w:val="clear" w:color="auto" w:fill="auto"/>
          </w:tcPr>
          <w:p w:rsidR="0024165B" w:rsidRPr="00171D66" w:rsidRDefault="0024165B" w:rsidP="00DD1051">
            <w:pPr>
              <w:suppressAutoHyphens w:val="0"/>
              <w:spacing w:before="240" w:line="240" w:lineRule="exact"/>
            </w:pPr>
            <w:r w:rsidRPr="00171D66">
              <w:t xml:space="preserve">Distr.: </w:t>
            </w:r>
            <w:r w:rsidR="000B2121" w:rsidRPr="00171D66">
              <w:t>General</w:t>
            </w:r>
          </w:p>
          <w:p w:rsidR="0024165B" w:rsidRPr="00171D66" w:rsidRDefault="006E722A" w:rsidP="00DD1051">
            <w:pPr>
              <w:suppressAutoHyphens w:val="0"/>
            </w:pPr>
            <w:r>
              <w:t>19</w:t>
            </w:r>
            <w:r w:rsidR="00F44B78">
              <w:t xml:space="preserve"> June</w:t>
            </w:r>
            <w:r w:rsidR="00293AD0" w:rsidRPr="00171D66">
              <w:t xml:space="preserve"> 2014</w:t>
            </w:r>
          </w:p>
          <w:p w:rsidR="0024165B" w:rsidRPr="00171D66" w:rsidRDefault="0024165B" w:rsidP="00DD1051">
            <w:pPr>
              <w:suppressAutoHyphens w:val="0"/>
            </w:pPr>
          </w:p>
          <w:p w:rsidR="00605516" w:rsidRPr="00171D66" w:rsidRDefault="0024165B" w:rsidP="00A21ADA">
            <w:pPr>
              <w:suppressAutoHyphens w:val="0"/>
            </w:pPr>
            <w:r w:rsidRPr="00171D66">
              <w:t xml:space="preserve">Original: </w:t>
            </w:r>
            <w:r w:rsidR="00A21ADA" w:rsidRPr="00171D66">
              <w:t>English</w:t>
            </w:r>
          </w:p>
        </w:tc>
      </w:tr>
    </w:tbl>
    <w:p w:rsidR="00E62C9D" w:rsidRDefault="00DB0F0D" w:rsidP="00DB0F0D">
      <w:pPr>
        <w:spacing w:before="120"/>
      </w:pPr>
      <w:r>
        <w:rPr>
          <w:b/>
          <w:sz w:val="24"/>
          <w:szCs w:val="24"/>
        </w:rPr>
        <w:t>Committee on Economic, Social and Cultural Rights</w:t>
      </w:r>
      <w:r w:rsidR="00DD4969">
        <w:rPr>
          <w:noProof/>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747D37" w:rsidRPr="00A77059" w:rsidRDefault="001F3FDF" w:rsidP="00D81256">
      <w:pPr>
        <w:pStyle w:val="HChG"/>
        <w:outlineLvl w:val="0"/>
      </w:pPr>
      <w:r w:rsidRPr="001F3FDF">
        <w:tab/>
      </w:r>
      <w:r w:rsidR="00A609FF">
        <w:tab/>
      </w:r>
      <w:r w:rsidR="00A609FF" w:rsidRPr="00A77059">
        <w:t>C</w:t>
      </w:r>
      <w:r w:rsidR="00747D37" w:rsidRPr="00A77059">
        <w:t xml:space="preserve">oncluding observations on the </w:t>
      </w:r>
      <w:r w:rsidR="00202AF1">
        <w:rPr>
          <w:rFonts w:ascii="Times New Roman Bold" w:hAnsi="Times New Roman Bold"/>
          <w:color w:val="000000"/>
        </w:rPr>
        <w:t>initial report</w:t>
      </w:r>
      <w:r w:rsidR="00D81256">
        <w:rPr>
          <w:rFonts w:ascii="Times New Roman Bold" w:hAnsi="Times New Roman Bold"/>
          <w:color w:val="000000"/>
        </w:rPr>
        <w:t xml:space="preserve"> </w:t>
      </w:r>
      <w:r w:rsidR="00D81256">
        <w:rPr>
          <w:rFonts w:ascii="Times New Roman Bold" w:hAnsi="Times New Roman Bold"/>
          <w:color w:val="000000"/>
        </w:rPr>
        <w:br/>
      </w:r>
      <w:r w:rsidR="00747D37" w:rsidRPr="00A77059">
        <w:t xml:space="preserve">of </w:t>
      </w:r>
      <w:r w:rsidR="008F12B7" w:rsidRPr="008F12B7">
        <w:t>Indonesia</w:t>
      </w:r>
      <w:r w:rsidR="008F7CD8" w:rsidRPr="000A5855">
        <w:rPr>
          <w:rFonts w:cs="Times New Roman"/>
          <w:b w:val="0"/>
          <w:sz w:val="20"/>
        </w:rPr>
        <w:footnoteReference w:customMarkFollows="1" w:id="2"/>
        <w:t>*</w:t>
      </w:r>
    </w:p>
    <w:p w:rsidR="008F12B7" w:rsidRPr="005746C4" w:rsidRDefault="008F12B7" w:rsidP="00B50957">
      <w:pPr>
        <w:pStyle w:val="SingleTxtG"/>
        <w:numPr>
          <w:ilvl w:val="0"/>
          <w:numId w:val="17"/>
        </w:numPr>
        <w:tabs>
          <w:tab w:val="left" w:pos="1701"/>
        </w:tabs>
        <w:ind w:left="1134" w:firstLine="0"/>
        <w:rPr>
          <w:rFonts w:cs="Times New Roman"/>
        </w:rPr>
      </w:pPr>
      <w:r w:rsidRPr="005746C4">
        <w:rPr>
          <w:rFonts w:cs="Times New Roman"/>
        </w:rPr>
        <w:t>The Committee on Economic, Social and Cultural Rights considered the</w:t>
      </w:r>
      <w:r>
        <w:rPr>
          <w:rFonts w:cs="Times New Roman"/>
        </w:rPr>
        <w:t xml:space="preserve"> initial</w:t>
      </w:r>
      <w:r>
        <w:rPr>
          <w:rFonts w:cs="Times New Roman"/>
          <w:lang w:val="en-US"/>
        </w:rPr>
        <w:t xml:space="preserve"> report of Indonesia</w:t>
      </w:r>
      <w:r w:rsidRPr="005746C4">
        <w:rPr>
          <w:rFonts w:cs="Times New Roman"/>
        </w:rPr>
        <w:t xml:space="preserve"> on the implementation of the International Covenant on Economic, Social and Cultural Rights (</w:t>
      </w:r>
      <w:r w:rsidR="00473F50" w:rsidRPr="00473F50">
        <w:rPr>
          <w:rFonts w:cs="Times New Roman"/>
        </w:rPr>
        <w:t>E/C.12/IDN/1</w:t>
      </w:r>
      <w:r>
        <w:rPr>
          <w:rFonts w:cs="Times New Roman"/>
        </w:rPr>
        <w:t xml:space="preserve">) at its </w:t>
      </w:r>
      <w:r w:rsidR="00B50957">
        <w:rPr>
          <w:rFonts w:cs="Times New Roman"/>
        </w:rPr>
        <w:t>6th</w:t>
      </w:r>
      <w:r>
        <w:rPr>
          <w:rFonts w:cs="Times New Roman"/>
        </w:rPr>
        <w:t xml:space="preserve"> </w:t>
      </w:r>
      <w:r w:rsidR="00965F52">
        <w:rPr>
          <w:rFonts w:cs="Times New Roman"/>
        </w:rPr>
        <w:t>to</w:t>
      </w:r>
      <w:r w:rsidRPr="005746C4">
        <w:rPr>
          <w:rFonts w:cs="Times New Roman"/>
        </w:rPr>
        <w:t xml:space="preserve"> </w:t>
      </w:r>
      <w:r w:rsidR="00B50957">
        <w:rPr>
          <w:rFonts w:cs="Times New Roman"/>
        </w:rPr>
        <w:t>8th</w:t>
      </w:r>
      <w:r>
        <w:rPr>
          <w:rFonts w:cs="Times New Roman"/>
        </w:rPr>
        <w:t xml:space="preserve"> </w:t>
      </w:r>
      <w:r w:rsidRPr="005746C4">
        <w:rPr>
          <w:rFonts w:cs="Times New Roman"/>
        </w:rPr>
        <w:t>meetings (E/C.12/20</w:t>
      </w:r>
      <w:r w:rsidR="00B50957">
        <w:rPr>
          <w:rFonts w:cs="Times New Roman"/>
        </w:rPr>
        <w:t>1</w:t>
      </w:r>
      <w:r w:rsidR="00467C3E">
        <w:rPr>
          <w:rFonts w:cs="Times New Roman"/>
        </w:rPr>
        <w:t>4</w:t>
      </w:r>
      <w:r w:rsidR="00B50957">
        <w:rPr>
          <w:rFonts w:cs="Times New Roman"/>
        </w:rPr>
        <w:t>/SR.6-8</w:t>
      </w:r>
      <w:r w:rsidRPr="005746C4">
        <w:rPr>
          <w:rFonts w:cs="Times New Roman"/>
        </w:rPr>
        <w:t xml:space="preserve">) held on </w:t>
      </w:r>
      <w:r w:rsidR="00B50957">
        <w:rPr>
          <w:rFonts w:cs="Times New Roman"/>
        </w:rPr>
        <w:t>30 April and 1 May 2014</w:t>
      </w:r>
      <w:r w:rsidRPr="005746C4">
        <w:rPr>
          <w:rFonts w:cs="Times New Roman"/>
        </w:rPr>
        <w:t xml:space="preserve">, and adopted, at its </w:t>
      </w:r>
      <w:r w:rsidR="00B50957">
        <w:rPr>
          <w:rFonts w:cs="Times New Roman"/>
        </w:rPr>
        <w:t>40</w:t>
      </w:r>
      <w:r w:rsidRPr="005746C4">
        <w:rPr>
          <w:rFonts w:cs="Times New Roman"/>
        </w:rPr>
        <w:t>th</w:t>
      </w:r>
      <w:r w:rsidRPr="005746C4">
        <w:rPr>
          <w:rFonts w:cs="Times New Roman"/>
          <w:lang w:eastAsia="ko-KR"/>
        </w:rPr>
        <w:t xml:space="preserve"> meeting</w:t>
      </w:r>
      <w:r w:rsidRPr="005746C4">
        <w:rPr>
          <w:rFonts w:cs="Times New Roman"/>
        </w:rPr>
        <w:t xml:space="preserve"> held on </w:t>
      </w:r>
      <w:r w:rsidR="00B50957">
        <w:rPr>
          <w:rFonts w:cs="Times New Roman"/>
        </w:rPr>
        <w:t>23 May 2014</w:t>
      </w:r>
      <w:r w:rsidRPr="005746C4">
        <w:rPr>
          <w:rFonts w:cs="Times New Roman"/>
        </w:rPr>
        <w:t>, the following concluding observations.</w:t>
      </w:r>
    </w:p>
    <w:p w:rsidR="008F12B7" w:rsidRPr="005746C4" w:rsidRDefault="008F12B7" w:rsidP="002D123D">
      <w:pPr>
        <w:pStyle w:val="HChG"/>
      </w:pPr>
      <w:r w:rsidRPr="005746C4">
        <w:tab/>
        <w:t>A.</w:t>
      </w:r>
      <w:r w:rsidRPr="005746C4">
        <w:tab/>
        <w:t>Introduction</w:t>
      </w:r>
    </w:p>
    <w:p w:rsidR="008F12B7" w:rsidRDefault="008F12B7" w:rsidP="00697F2A">
      <w:pPr>
        <w:pStyle w:val="SingleTxtG"/>
        <w:numPr>
          <w:ilvl w:val="0"/>
          <w:numId w:val="17"/>
        </w:numPr>
        <w:tabs>
          <w:tab w:val="left" w:pos="1701"/>
        </w:tabs>
        <w:ind w:left="1134" w:firstLine="0"/>
        <w:rPr>
          <w:rFonts w:cs="Times New Roman"/>
        </w:rPr>
      </w:pPr>
      <w:r w:rsidRPr="005746C4">
        <w:rPr>
          <w:rFonts w:cs="Times New Roman"/>
        </w:rPr>
        <w:t xml:space="preserve">The Committee </w:t>
      </w:r>
      <w:r>
        <w:rPr>
          <w:rFonts w:cs="Times New Roman"/>
        </w:rPr>
        <w:t xml:space="preserve">notes with </w:t>
      </w:r>
      <w:r w:rsidR="00467C3E">
        <w:rPr>
          <w:rFonts w:cs="Times New Roman"/>
        </w:rPr>
        <w:t>appreciation</w:t>
      </w:r>
      <w:r w:rsidR="00467C3E" w:rsidRPr="005746C4">
        <w:rPr>
          <w:rFonts w:cs="Times New Roman"/>
        </w:rPr>
        <w:t xml:space="preserve"> </w:t>
      </w:r>
      <w:r w:rsidR="00B50957">
        <w:rPr>
          <w:rFonts w:cs="Times New Roman"/>
        </w:rPr>
        <w:t>the</w:t>
      </w:r>
      <w:r w:rsidRPr="005746C4">
        <w:rPr>
          <w:rFonts w:cs="Times New Roman"/>
        </w:rPr>
        <w:t xml:space="preserve"> submission </w:t>
      </w:r>
      <w:r w:rsidR="00B50957">
        <w:rPr>
          <w:rFonts w:cs="Times New Roman"/>
        </w:rPr>
        <w:t>of the initial report</w:t>
      </w:r>
      <w:r>
        <w:rPr>
          <w:rFonts w:cs="Times New Roman"/>
        </w:rPr>
        <w:t xml:space="preserve"> and the</w:t>
      </w:r>
      <w:r w:rsidRPr="005746C4">
        <w:rPr>
          <w:rFonts w:cs="Times New Roman"/>
        </w:rPr>
        <w:t xml:space="preserve"> written replies </w:t>
      </w:r>
      <w:r>
        <w:rPr>
          <w:rFonts w:cs="Times New Roman"/>
        </w:rPr>
        <w:t>to the</w:t>
      </w:r>
      <w:r w:rsidRPr="005746C4">
        <w:rPr>
          <w:rFonts w:cs="Times New Roman"/>
        </w:rPr>
        <w:t xml:space="preserve"> list of issues (E/C.12/</w:t>
      </w:r>
      <w:r w:rsidR="00B50957">
        <w:rPr>
          <w:rFonts w:cs="Times New Roman"/>
        </w:rPr>
        <w:t>IDN/Q/1</w:t>
      </w:r>
      <w:r>
        <w:rPr>
          <w:rFonts w:cs="Times New Roman"/>
        </w:rPr>
        <w:t>/Add.1</w:t>
      </w:r>
      <w:r w:rsidR="00965F52">
        <w:rPr>
          <w:rFonts w:cs="Times New Roman"/>
        </w:rPr>
        <w:t>)</w:t>
      </w:r>
      <w:r>
        <w:rPr>
          <w:rFonts w:cs="Times New Roman"/>
        </w:rPr>
        <w:t>.</w:t>
      </w:r>
      <w:r w:rsidRPr="005746C4">
        <w:rPr>
          <w:rFonts w:cs="Times New Roman"/>
        </w:rPr>
        <w:t xml:space="preserve"> </w:t>
      </w:r>
      <w:r>
        <w:rPr>
          <w:rFonts w:cs="Times New Roman"/>
        </w:rPr>
        <w:t xml:space="preserve">The Committee also </w:t>
      </w:r>
      <w:r w:rsidRPr="005746C4">
        <w:rPr>
          <w:rFonts w:cs="Times New Roman"/>
        </w:rPr>
        <w:t>welcomes the</w:t>
      </w:r>
      <w:r>
        <w:rPr>
          <w:rFonts w:cs="Times New Roman"/>
        </w:rPr>
        <w:t xml:space="preserve"> opportunity to engage with </w:t>
      </w:r>
      <w:r w:rsidRPr="005746C4">
        <w:rPr>
          <w:rFonts w:cs="Times New Roman"/>
        </w:rPr>
        <w:t>the State part</w:t>
      </w:r>
      <w:r w:rsidR="00B50957">
        <w:rPr>
          <w:rFonts w:cs="Times New Roman"/>
        </w:rPr>
        <w:t>y’s</w:t>
      </w:r>
      <w:r w:rsidRPr="00CB0457">
        <w:rPr>
          <w:rFonts w:cs="Times New Roman"/>
        </w:rPr>
        <w:t xml:space="preserve"> </w:t>
      </w:r>
      <w:r w:rsidR="00B50957">
        <w:rPr>
          <w:rFonts w:cs="Times New Roman"/>
        </w:rPr>
        <w:t xml:space="preserve">high level and </w:t>
      </w:r>
      <w:r w:rsidRPr="00CB0457">
        <w:rPr>
          <w:rFonts w:cs="Times New Roman"/>
        </w:rPr>
        <w:t>inter-ministerial delegation</w:t>
      </w:r>
      <w:r w:rsidR="00697F2A">
        <w:rPr>
          <w:rFonts w:cs="Times New Roman"/>
        </w:rPr>
        <w:t xml:space="preserve"> and expresses appreciation for the frank and constructive dialogue that it had</w:t>
      </w:r>
      <w:r>
        <w:rPr>
          <w:rFonts w:cs="Times New Roman"/>
        </w:rPr>
        <w:t>.</w:t>
      </w:r>
    </w:p>
    <w:p w:rsidR="008F12B7" w:rsidRPr="005746C4" w:rsidRDefault="008F12B7" w:rsidP="002D123D">
      <w:pPr>
        <w:pStyle w:val="HChG"/>
      </w:pPr>
      <w:r w:rsidRPr="005746C4">
        <w:tab/>
        <w:t>B.</w:t>
      </w:r>
      <w:r w:rsidRPr="005746C4">
        <w:tab/>
        <w:t>Positive aspects</w:t>
      </w:r>
    </w:p>
    <w:p w:rsidR="008F12B7" w:rsidRDefault="008F12B7" w:rsidP="00E069D4">
      <w:pPr>
        <w:pStyle w:val="SingleTxtG"/>
        <w:numPr>
          <w:ilvl w:val="0"/>
          <w:numId w:val="17"/>
        </w:numPr>
        <w:tabs>
          <w:tab w:val="left" w:pos="1701"/>
        </w:tabs>
        <w:ind w:left="1134" w:firstLine="0"/>
        <w:rPr>
          <w:rFonts w:cs="Times New Roman"/>
        </w:rPr>
      </w:pPr>
      <w:r w:rsidRPr="005746C4">
        <w:rPr>
          <w:rFonts w:cs="Times New Roman"/>
        </w:rPr>
        <w:t>The Committee welcomes the State party’s ratification of</w:t>
      </w:r>
      <w:r>
        <w:rPr>
          <w:rFonts w:cs="Times New Roman"/>
        </w:rPr>
        <w:t>:</w:t>
      </w:r>
    </w:p>
    <w:p w:rsidR="00965F52" w:rsidRPr="000A5855" w:rsidRDefault="000A5855" w:rsidP="000A5855">
      <w:pPr>
        <w:pStyle w:val="SingleTxtG"/>
      </w:pPr>
      <w:r>
        <w:tab/>
        <w:t>(a)</w:t>
      </w:r>
      <w:r>
        <w:tab/>
        <w:t>T</w:t>
      </w:r>
      <w:r w:rsidR="00965F52" w:rsidRPr="000A5855">
        <w:t>he Optional Protocols to the Convention on the Rights of the Child on the involvement of children in armed conflict and on the sale of children</w:t>
      </w:r>
      <w:r w:rsidR="00165A7D" w:rsidRPr="000A5855">
        <w:t>,</w:t>
      </w:r>
      <w:r w:rsidR="00965F52" w:rsidRPr="000A5855">
        <w:t xml:space="preserve"> child prostitution and child pornography on 24 September 2012</w:t>
      </w:r>
      <w:r w:rsidR="00165A7D" w:rsidRPr="000A5855">
        <w:t>;</w:t>
      </w:r>
    </w:p>
    <w:p w:rsidR="00965F52" w:rsidRPr="000A5855" w:rsidRDefault="000A5855" w:rsidP="000A5855">
      <w:pPr>
        <w:pStyle w:val="SingleTxtG"/>
      </w:pPr>
      <w:r>
        <w:tab/>
        <w:t>(b)</w:t>
      </w:r>
      <w:r>
        <w:tab/>
        <w:t>T</w:t>
      </w:r>
      <w:r w:rsidR="00965F52" w:rsidRPr="000A5855">
        <w:t>he International Convention on the Protection of the Rights of All Migrant Workers and Members of Their Families on 31 May 2012;</w:t>
      </w:r>
    </w:p>
    <w:p w:rsidR="00B50957" w:rsidRPr="000A5855" w:rsidRDefault="000A5855" w:rsidP="000A5855">
      <w:pPr>
        <w:pStyle w:val="SingleTxtG"/>
      </w:pPr>
      <w:r>
        <w:tab/>
        <w:t>(c)</w:t>
      </w:r>
      <w:r>
        <w:tab/>
        <w:t>T</w:t>
      </w:r>
      <w:r w:rsidR="00B50957" w:rsidRPr="000A5855">
        <w:t>he Convention on the Rights of Persons with Disabilities on 30 November 2011</w:t>
      </w:r>
      <w:r w:rsidR="00DA70D4">
        <w:t>;</w:t>
      </w:r>
    </w:p>
    <w:p w:rsidR="007D3CED" w:rsidRDefault="00003A63" w:rsidP="007D3CED">
      <w:pPr>
        <w:pStyle w:val="SingleTxtG"/>
        <w:numPr>
          <w:ilvl w:val="0"/>
          <w:numId w:val="17"/>
        </w:numPr>
        <w:tabs>
          <w:tab w:val="left" w:pos="1701"/>
        </w:tabs>
        <w:ind w:left="1134" w:firstLine="0"/>
        <w:rPr>
          <w:rFonts w:cs="Times New Roman"/>
        </w:rPr>
      </w:pPr>
      <w:r>
        <w:rPr>
          <w:rFonts w:cs="Times New Roman"/>
        </w:rPr>
        <w:t>The Committee welcomes the following policy and legislative steps taken by the State party:</w:t>
      </w:r>
    </w:p>
    <w:p w:rsidR="00003A63" w:rsidRPr="000A5855" w:rsidRDefault="000A5855" w:rsidP="000A5855">
      <w:pPr>
        <w:pStyle w:val="SingleTxtG"/>
      </w:pPr>
      <w:r>
        <w:tab/>
        <w:t>(a)</w:t>
      </w:r>
      <w:r>
        <w:tab/>
      </w:r>
      <w:r w:rsidR="00BE6696" w:rsidRPr="000A5855">
        <w:t>The introduction of universal health coverage under the National Health Insurance,</w:t>
      </w:r>
      <w:r w:rsidR="00BE6696" w:rsidRPr="000A5855">
        <w:rPr>
          <w:rStyle w:val="FootnoteReference"/>
          <w:sz w:val="20"/>
          <w:vertAlign w:val="baseline"/>
        </w:rPr>
        <w:t xml:space="preserve"> </w:t>
      </w:r>
      <w:r w:rsidR="00BE6696" w:rsidRPr="000A5855">
        <w:t xml:space="preserve"> which is now effective in seven provinces;</w:t>
      </w:r>
    </w:p>
    <w:p w:rsidR="009C6845" w:rsidRPr="000A5855" w:rsidRDefault="000A5855" w:rsidP="000A5855">
      <w:pPr>
        <w:pStyle w:val="SingleTxtG"/>
      </w:pPr>
      <w:r>
        <w:tab/>
        <w:t>(b)</w:t>
      </w:r>
      <w:r>
        <w:tab/>
      </w:r>
      <w:r w:rsidR="009C6845" w:rsidRPr="000A5855">
        <w:t xml:space="preserve">The adoption of Ministry of Public Works No. 14/2010 on Minimum Service Standard in Public Works and </w:t>
      </w:r>
      <w:proofErr w:type="spellStart"/>
      <w:r w:rsidR="009C6845" w:rsidRPr="000A5855">
        <w:t>Planology</w:t>
      </w:r>
      <w:proofErr w:type="spellEnd"/>
      <w:r w:rsidR="009C6845" w:rsidRPr="000A5855">
        <w:t>;</w:t>
      </w:r>
    </w:p>
    <w:p w:rsidR="00E3010C" w:rsidRPr="000A5855" w:rsidRDefault="000A5855" w:rsidP="000A5855">
      <w:pPr>
        <w:pStyle w:val="SingleTxtG"/>
      </w:pPr>
      <w:r>
        <w:tab/>
        <w:t>(c)</w:t>
      </w:r>
      <w:r>
        <w:tab/>
      </w:r>
      <w:r w:rsidR="00E3010C" w:rsidRPr="000A5855">
        <w:t>The adoption of Ministry of Manpower an</w:t>
      </w:r>
      <w:r>
        <w:t>d Transmigration Regulation No. </w:t>
      </w:r>
      <w:r w:rsidR="00E3010C" w:rsidRPr="000A5855">
        <w:t xml:space="preserve">19/2012 on </w:t>
      </w:r>
      <w:r w:rsidR="005339E9" w:rsidRPr="000A5855">
        <w:t>Terms of Partial Assignment of Work to Third Party Companies</w:t>
      </w:r>
      <w:r w:rsidR="00E3010C" w:rsidRPr="000A5855">
        <w:t>;</w:t>
      </w:r>
    </w:p>
    <w:p w:rsidR="00DA24EB" w:rsidRPr="000A5855" w:rsidRDefault="000A5855" w:rsidP="000A5855">
      <w:pPr>
        <w:pStyle w:val="SingleTxtG"/>
      </w:pPr>
      <w:r>
        <w:tab/>
        <w:t>(d)</w:t>
      </w:r>
      <w:r>
        <w:tab/>
      </w:r>
      <w:r w:rsidR="00DA24EB" w:rsidRPr="000A5855">
        <w:t>The adoption of Ministry of Educat</w:t>
      </w:r>
      <w:r>
        <w:t>ion and Culture Regional No. </w:t>
      </w:r>
      <w:r w:rsidR="00DA24EB" w:rsidRPr="000A5855">
        <w:t>81/2 of 2013</w:t>
      </w:r>
      <w:r w:rsidR="005339E9" w:rsidRPr="000A5855">
        <w:t xml:space="preserve"> on Implementation of Curriculum</w:t>
      </w:r>
      <w:r w:rsidR="00DA24EB" w:rsidRPr="000A5855">
        <w:t xml:space="preserve"> mandating elementary schools to include local language in the school curricula.</w:t>
      </w:r>
    </w:p>
    <w:p w:rsidR="008F12B7" w:rsidRDefault="008F12B7" w:rsidP="002D123D">
      <w:pPr>
        <w:pStyle w:val="HChG"/>
        <w:rPr>
          <w:bCs/>
        </w:rPr>
      </w:pPr>
      <w:r>
        <w:tab/>
      </w:r>
      <w:r w:rsidRPr="005746C4">
        <w:t>C.</w:t>
      </w:r>
      <w:r w:rsidRPr="005746C4">
        <w:tab/>
        <w:t>Principal subjects of concern and recommendations</w:t>
      </w:r>
    </w:p>
    <w:p w:rsidR="004B4777" w:rsidRPr="004B4777" w:rsidRDefault="006E27D3" w:rsidP="000A5855">
      <w:pPr>
        <w:pStyle w:val="H1G"/>
      </w:pPr>
      <w:r>
        <w:tab/>
      </w:r>
      <w:r>
        <w:tab/>
      </w:r>
      <w:r w:rsidR="004B4777" w:rsidRPr="004B4777">
        <w:t>Application of the Covenant</w:t>
      </w:r>
      <w:r w:rsidR="00F139E7">
        <w:t xml:space="preserve"> and access to jus</w:t>
      </w:r>
      <w:r w:rsidR="000A5855">
        <w:t>tice for economic, social </w:t>
      </w:r>
      <w:r w:rsidR="00F139E7">
        <w:t>and cultural rights</w:t>
      </w:r>
    </w:p>
    <w:p w:rsidR="008F12B7" w:rsidRPr="007C51E7" w:rsidRDefault="00CD1980" w:rsidP="000F4847">
      <w:pPr>
        <w:pStyle w:val="SingleTxtG"/>
        <w:numPr>
          <w:ilvl w:val="0"/>
          <w:numId w:val="17"/>
        </w:numPr>
        <w:tabs>
          <w:tab w:val="left" w:pos="1701"/>
        </w:tabs>
        <w:ind w:left="1134" w:firstLine="0"/>
        <w:rPr>
          <w:rFonts w:cs="Times New Roman"/>
        </w:rPr>
      </w:pPr>
      <w:r>
        <w:rPr>
          <w:rFonts w:cs="Times New Roman"/>
        </w:rPr>
        <w:t>While n</w:t>
      </w:r>
      <w:r w:rsidR="000F4847" w:rsidRPr="007C51E7">
        <w:rPr>
          <w:rFonts w:cs="Times New Roman"/>
        </w:rPr>
        <w:t xml:space="preserve">oting the information provided by the State party on decisions of the </w:t>
      </w:r>
      <w:smartTag w:uri="urn:schemas-microsoft-com:office:smarttags" w:element="Street">
        <w:smartTag w:uri="urn:schemas-microsoft-com:office:smarttags" w:element="address">
          <w:r w:rsidR="000F4847" w:rsidRPr="007C51E7">
            <w:rPr>
              <w:rFonts w:cs="Times New Roman"/>
            </w:rPr>
            <w:t>Constitutional Court</w:t>
          </w:r>
        </w:smartTag>
      </w:smartTag>
      <w:r w:rsidR="000F4847" w:rsidRPr="007C51E7">
        <w:rPr>
          <w:rFonts w:cs="Times New Roman"/>
        </w:rPr>
        <w:t xml:space="preserve"> referring to provisions of the Covenant, the Committee regrets the lack of information on </w:t>
      </w:r>
      <w:r w:rsidR="000F4847" w:rsidRPr="007C51E7">
        <w:t>jurisprudence invoking the Covenant before lower courts and administrative instances.</w:t>
      </w:r>
      <w:r w:rsidR="00F139E7">
        <w:t xml:space="preserve"> </w:t>
      </w:r>
      <w:r w:rsidR="00F139E7" w:rsidRPr="000C4FB6">
        <w:t>The Committee is also concerned that the insufficient number of legal professionals, including lawyers,</w:t>
      </w:r>
      <w:r w:rsidR="000C4FB6" w:rsidRPr="000C4FB6">
        <w:t xml:space="preserve"> hinder</w:t>
      </w:r>
      <w:r w:rsidR="000C4FB6">
        <w:t>s</w:t>
      </w:r>
      <w:r w:rsidR="000C4FB6" w:rsidRPr="000C4FB6">
        <w:t xml:space="preserve"> victims’ access to redress</w:t>
      </w:r>
      <w:r w:rsidR="000A5855">
        <w:rPr>
          <w:rFonts w:cs="Times New Roman"/>
        </w:rPr>
        <w:t xml:space="preserve"> (art. </w:t>
      </w:r>
      <w:r w:rsidR="000F4847" w:rsidRPr="007C51E7">
        <w:rPr>
          <w:rFonts w:cs="Times New Roman"/>
        </w:rPr>
        <w:t>2.1)</w:t>
      </w:r>
      <w:r w:rsidR="004C47A8">
        <w:rPr>
          <w:rFonts w:cs="Times New Roman"/>
        </w:rPr>
        <w:t>.</w:t>
      </w:r>
    </w:p>
    <w:p w:rsidR="000F4847" w:rsidRDefault="000F4847" w:rsidP="000F4847">
      <w:pPr>
        <w:pStyle w:val="SingleTxtG"/>
        <w:tabs>
          <w:tab w:val="left" w:pos="1701"/>
        </w:tabs>
        <w:rPr>
          <w:rFonts w:cs="Times New Roman"/>
          <w:b/>
          <w:bCs/>
          <w:lang w:val="en-US"/>
        </w:rPr>
      </w:pPr>
      <w:r w:rsidRPr="007C51E7">
        <w:rPr>
          <w:rFonts w:cs="Times New Roman"/>
          <w:b/>
          <w:bCs/>
          <w:lang w:val="en-US"/>
        </w:rPr>
        <w:t>The Committee recommends that the State party raise awareness among members of the judiciary and the general public of the Covenant and</w:t>
      </w:r>
      <w:r w:rsidR="00680F74">
        <w:rPr>
          <w:rFonts w:cs="Times New Roman"/>
          <w:b/>
          <w:bCs/>
          <w:lang w:val="en-US"/>
        </w:rPr>
        <w:t xml:space="preserve"> of</w:t>
      </w:r>
      <w:r w:rsidRPr="007C51E7">
        <w:rPr>
          <w:rFonts w:cs="Times New Roman"/>
          <w:b/>
          <w:bCs/>
          <w:lang w:val="en-US"/>
        </w:rPr>
        <w:t xml:space="preserve"> the </w:t>
      </w:r>
      <w:proofErr w:type="spellStart"/>
      <w:r w:rsidRPr="007C51E7">
        <w:rPr>
          <w:rFonts w:cs="Times New Roman"/>
          <w:b/>
          <w:bCs/>
          <w:lang w:val="en-US"/>
        </w:rPr>
        <w:t>justiciability</w:t>
      </w:r>
      <w:proofErr w:type="spellEnd"/>
      <w:r w:rsidRPr="007C51E7">
        <w:rPr>
          <w:rFonts w:cs="Times New Roman"/>
          <w:b/>
          <w:bCs/>
          <w:lang w:val="en-US"/>
        </w:rPr>
        <w:t xml:space="preserve"> of economic, social an</w:t>
      </w:r>
      <w:r w:rsidR="000C4FB6">
        <w:rPr>
          <w:rFonts w:cs="Times New Roman"/>
          <w:b/>
          <w:bCs/>
          <w:lang w:val="en-US"/>
        </w:rPr>
        <w:t>d cultural rights</w:t>
      </w:r>
      <w:r w:rsidR="00473F50">
        <w:rPr>
          <w:rFonts w:cs="Times New Roman"/>
          <w:b/>
          <w:bCs/>
          <w:lang w:val="en-US"/>
        </w:rPr>
        <w:t>, including through awareness-</w:t>
      </w:r>
      <w:r w:rsidR="00891F3F">
        <w:rPr>
          <w:rFonts w:cs="Times New Roman"/>
          <w:b/>
          <w:bCs/>
          <w:lang w:val="en-US"/>
        </w:rPr>
        <w:t>raising campaigns and the inclusion of human rights in school curricula at all levels</w:t>
      </w:r>
      <w:r w:rsidR="000C4FB6">
        <w:rPr>
          <w:rFonts w:cs="Times New Roman"/>
          <w:b/>
          <w:bCs/>
          <w:lang w:val="en-US"/>
        </w:rPr>
        <w:t xml:space="preserve">. It also recommends that the State party invest in the expansion of training </w:t>
      </w:r>
      <w:proofErr w:type="spellStart"/>
      <w:r w:rsidR="000C4FB6">
        <w:rPr>
          <w:rFonts w:cs="Times New Roman"/>
          <w:b/>
          <w:bCs/>
          <w:lang w:val="en-US"/>
        </w:rPr>
        <w:t>programmes</w:t>
      </w:r>
      <w:proofErr w:type="spellEnd"/>
      <w:r w:rsidR="000C4FB6">
        <w:rPr>
          <w:rFonts w:cs="Times New Roman"/>
          <w:b/>
          <w:bCs/>
          <w:lang w:val="en-US"/>
        </w:rPr>
        <w:t xml:space="preserve"> </w:t>
      </w:r>
      <w:r w:rsidR="0068147C">
        <w:rPr>
          <w:rFonts w:cs="Times New Roman"/>
          <w:b/>
          <w:bCs/>
          <w:lang w:val="en-US"/>
        </w:rPr>
        <w:t>for the</w:t>
      </w:r>
      <w:r w:rsidR="000C4FB6">
        <w:rPr>
          <w:rFonts w:cs="Times New Roman"/>
          <w:b/>
          <w:bCs/>
          <w:lang w:val="en-US"/>
        </w:rPr>
        <w:t xml:space="preserve"> legal professions.</w:t>
      </w:r>
      <w:r w:rsidRPr="007C51E7">
        <w:rPr>
          <w:rFonts w:cs="Times New Roman"/>
          <w:b/>
          <w:bCs/>
          <w:lang w:val="en-US"/>
        </w:rPr>
        <w:t xml:space="preserve"> </w:t>
      </w:r>
      <w:r w:rsidR="000C4FB6">
        <w:rPr>
          <w:rFonts w:cs="Times New Roman"/>
          <w:b/>
          <w:bCs/>
          <w:lang w:val="en-US"/>
        </w:rPr>
        <w:t xml:space="preserve">The Committee </w:t>
      </w:r>
      <w:r w:rsidRPr="007C51E7">
        <w:rPr>
          <w:rFonts w:cs="Times New Roman"/>
          <w:b/>
          <w:bCs/>
          <w:lang w:val="en-US"/>
        </w:rPr>
        <w:t>requests that the State party include information in its next periodic report on decisions by courts and administrative authorities which give effect to the rights set forth in the Covenant. The Committee draws the State party’s atten</w:t>
      </w:r>
      <w:r w:rsidR="000A5855">
        <w:rPr>
          <w:rFonts w:cs="Times New Roman"/>
          <w:b/>
          <w:bCs/>
          <w:lang w:val="en-US"/>
        </w:rPr>
        <w:t>tion to its general comment No. </w:t>
      </w:r>
      <w:r w:rsidRPr="007C51E7">
        <w:rPr>
          <w:rFonts w:cs="Times New Roman"/>
          <w:b/>
          <w:bCs/>
          <w:lang w:val="en-US"/>
        </w:rPr>
        <w:t>9 (1998) on the domestic application of the Covenant.</w:t>
      </w:r>
    </w:p>
    <w:p w:rsidR="004B4777" w:rsidRDefault="006E27D3" w:rsidP="000A5855">
      <w:pPr>
        <w:pStyle w:val="H1G"/>
        <w:rPr>
          <w:lang w:val="en-US"/>
        </w:rPr>
      </w:pPr>
      <w:r>
        <w:rPr>
          <w:lang w:val="en-US"/>
        </w:rPr>
        <w:tab/>
      </w:r>
      <w:r>
        <w:rPr>
          <w:lang w:val="en-US"/>
        </w:rPr>
        <w:tab/>
      </w:r>
      <w:r w:rsidR="004B4777">
        <w:rPr>
          <w:lang w:val="en-US"/>
        </w:rPr>
        <w:t>Local laws and regulations</w:t>
      </w:r>
    </w:p>
    <w:p w:rsidR="000F4847" w:rsidRPr="007C51E7" w:rsidRDefault="00080A3E" w:rsidP="00AB2D79">
      <w:pPr>
        <w:pStyle w:val="SingleTxtG"/>
        <w:numPr>
          <w:ilvl w:val="0"/>
          <w:numId w:val="17"/>
        </w:numPr>
        <w:tabs>
          <w:tab w:val="left" w:pos="1701"/>
        </w:tabs>
        <w:ind w:left="1134" w:firstLine="0"/>
        <w:rPr>
          <w:rFonts w:cs="Times New Roman"/>
        </w:rPr>
      </w:pPr>
      <w:r w:rsidRPr="007C51E7">
        <w:rPr>
          <w:rFonts w:cs="Times New Roman"/>
          <w:lang w:val="en-US"/>
        </w:rPr>
        <w:t xml:space="preserve">The Committee </w:t>
      </w:r>
      <w:r w:rsidR="00965F52">
        <w:rPr>
          <w:rFonts w:cs="Times New Roman"/>
        </w:rPr>
        <w:t>notes with concern</w:t>
      </w:r>
      <w:r w:rsidRPr="007C51E7">
        <w:rPr>
          <w:rFonts w:cs="Times New Roman"/>
        </w:rPr>
        <w:t xml:space="preserve"> that </w:t>
      </w:r>
      <w:r w:rsidR="00E36D56" w:rsidRPr="007C51E7">
        <w:rPr>
          <w:rFonts w:cs="Times New Roman"/>
        </w:rPr>
        <w:t>laws and by</w:t>
      </w:r>
      <w:r w:rsidR="00BB52B6">
        <w:rPr>
          <w:rFonts w:cs="Times New Roman"/>
        </w:rPr>
        <w:t>-</w:t>
      </w:r>
      <w:r w:rsidR="00E36D56" w:rsidRPr="007C51E7">
        <w:rPr>
          <w:rFonts w:cs="Times New Roman"/>
        </w:rPr>
        <w:t>laws</w:t>
      </w:r>
      <w:r w:rsidR="007D3CED" w:rsidRPr="007C51E7">
        <w:rPr>
          <w:rFonts w:cs="Times New Roman"/>
        </w:rPr>
        <w:t xml:space="preserve"> which discriminate against</w:t>
      </w:r>
      <w:r w:rsidR="00965F52">
        <w:rPr>
          <w:rFonts w:cs="Times New Roman"/>
        </w:rPr>
        <w:t xml:space="preserve"> </w:t>
      </w:r>
      <w:r w:rsidR="0068147C">
        <w:rPr>
          <w:rFonts w:cs="Times New Roman"/>
        </w:rPr>
        <w:t xml:space="preserve">women and </w:t>
      </w:r>
      <w:r w:rsidR="00965F52">
        <w:rPr>
          <w:rFonts w:cs="Times New Roman"/>
        </w:rPr>
        <w:t xml:space="preserve">marginalized </w:t>
      </w:r>
      <w:r w:rsidR="00680F74">
        <w:rPr>
          <w:rFonts w:cs="Times New Roman"/>
        </w:rPr>
        <w:t xml:space="preserve">individuals and </w:t>
      </w:r>
      <w:r w:rsidR="00965F52">
        <w:rPr>
          <w:rFonts w:cs="Times New Roman"/>
        </w:rPr>
        <w:t>groups such as</w:t>
      </w:r>
      <w:r w:rsidR="007D3CED" w:rsidRPr="007C51E7">
        <w:rPr>
          <w:rFonts w:cs="Times New Roman"/>
        </w:rPr>
        <w:t xml:space="preserve"> </w:t>
      </w:r>
      <w:r w:rsidR="00E3010C">
        <w:rPr>
          <w:rFonts w:cs="Times New Roman"/>
        </w:rPr>
        <w:t>sex workers,</w:t>
      </w:r>
      <w:r w:rsidR="007D3CED" w:rsidRPr="007C51E7">
        <w:rPr>
          <w:rFonts w:cs="Times New Roman"/>
        </w:rPr>
        <w:t xml:space="preserve"> and </w:t>
      </w:r>
      <w:r w:rsidR="00965F52">
        <w:rPr>
          <w:rFonts w:cs="Times New Roman"/>
        </w:rPr>
        <w:t>lesbian, gay, bisexual and transgender persons</w:t>
      </w:r>
      <w:r w:rsidR="00E36D56" w:rsidRPr="007C51E7">
        <w:rPr>
          <w:rFonts w:cs="Times New Roman"/>
        </w:rPr>
        <w:t xml:space="preserve"> are in force in provinces</w:t>
      </w:r>
      <w:r w:rsidR="00897B65" w:rsidRPr="007C51E7">
        <w:rPr>
          <w:rFonts w:cs="Times New Roman"/>
        </w:rPr>
        <w:t>, districts and autonomous regions</w:t>
      </w:r>
      <w:r w:rsidR="00E36D56" w:rsidRPr="007C51E7">
        <w:rPr>
          <w:rFonts w:cs="Times New Roman"/>
        </w:rPr>
        <w:t>, in spite of the review mechanism in place in the State party</w:t>
      </w:r>
      <w:r w:rsidR="000A5855">
        <w:rPr>
          <w:rFonts w:cs="Times New Roman"/>
        </w:rPr>
        <w:t xml:space="preserve"> (art. </w:t>
      </w:r>
      <w:r w:rsidR="00E36D56" w:rsidRPr="007C51E7">
        <w:rPr>
          <w:rFonts w:cs="Times New Roman"/>
        </w:rPr>
        <w:t>2.1)</w:t>
      </w:r>
      <w:r w:rsidR="000A5855">
        <w:rPr>
          <w:rFonts w:cs="Times New Roman"/>
        </w:rPr>
        <w:t>.</w:t>
      </w:r>
    </w:p>
    <w:p w:rsidR="007D3CED" w:rsidRPr="007C51E7" w:rsidRDefault="007D3CED" w:rsidP="000A5855">
      <w:pPr>
        <w:pStyle w:val="SingleTxtG"/>
        <w:keepNext/>
        <w:tabs>
          <w:tab w:val="left" w:pos="1701"/>
        </w:tabs>
        <w:rPr>
          <w:rFonts w:cs="Times New Roman"/>
          <w:b/>
          <w:bCs/>
          <w:lang w:val="en-US"/>
        </w:rPr>
      </w:pPr>
      <w:r w:rsidRPr="007C51E7">
        <w:rPr>
          <w:rFonts w:cs="Times New Roman"/>
          <w:b/>
          <w:bCs/>
          <w:lang w:val="en-US"/>
        </w:rPr>
        <w:t>The Committee urges the State party to:</w:t>
      </w:r>
    </w:p>
    <w:p w:rsidR="007D3CED" w:rsidRPr="000A5855" w:rsidRDefault="000A5855" w:rsidP="000A5855">
      <w:pPr>
        <w:pStyle w:val="SingleTxtG"/>
        <w:rPr>
          <w:b/>
          <w:bCs/>
        </w:rPr>
      </w:pPr>
      <w:r>
        <w:rPr>
          <w:b/>
          <w:bCs/>
        </w:rPr>
        <w:tab/>
        <w:t>(a)</w:t>
      </w:r>
      <w:r>
        <w:rPr>
          <w:b/>
          <w:bCs/>
        </w:rPr>
        <w:tab/>
        <w:t>R</w:t>
      </w:r>
      <w:r w:rsidR="007D3CED" w:rsidRPr="000A5855">
        <w:rPr>
          <w:b/>
          <w:bCs/>
        </w:rPr>
        <w:t xml:space="preserve">eview and repeal </w:t>
      </w:r>
      <w:r w:rsidR="00897B65" w:rsidRPr="000A5855">
        <w:rPr>
          <w:b/>
          <w:bCs/>
        </w:rPr>
        <w:t xml:space="preserve">provisions in </w:t>
      </w:r>
      <w:r w:rsidR="00467C3E" w:rsidRPr="000A5855">
        <w:rPr>
          <w:b/>
          <w:bCs/>
        </w:rPr>
        <w:t xml:space="preserve">local </w:t>
      </w:r>
      <w:r w:rsidR="007D3CED" w:rsidRPr="000A5855">
        <w:rPr>
          <w:b/>
          <w:bCs/>
        </w:rPr>
        <w:t>laws and by</w:t>
      </w:r>
      <w:r w:rsidR="00BB52B6" w:rsidRPr="000A5855">
        <w:rPr>
          <w:b/>
          <w:bCs/>
        </w:rPr>
        <w:t>-</w:t>
      </w:r>
      <w:r w:rsidR="007D3CED" w:rsidRPr="000A5855">
        <w:rPr>
          <w:b/>
          <w:bCs/>
        </w:rPr>
        <w:t>laws which have been found to be discriminatory against women and marginalized groups, including those identified by the National Commission on Violence against Women;</w:t>
      </w:r>
    </w:p>
    <w:p w:rsidR="007D3CED" w:rsidRPr="000A5855" w:rsidRDefault="000A5855" w:rsidP="000A5855">
      <w:pPr>
        <w:pStyle w:val="SingleTxtG"/>
        <w:rPr>
          <w:b/>
          <w:bCs/>
        </w:rPr>
      </w:pPr>
      <w:r>
        <w:rPr>
          <w:b/>
          <w:bCs/>
        </w:rPr>
        <w:tab/>
        <w:t>(b)</w:t>
      </w:r>
      <w:r>
        <w:rPr>
          <w:b/>
          <w:bCs/>
        </w:rPr>
        <w:tab/>
        <w:t>R</w:t>
      </w:r>
      <w:r w:rsidR="007D3CED" w:rsidRPr="000A5855">
        <w:rPr>
          <w:b/>
          <w:bCs/>
        </w:rPr>
        <w:t xml:space="preserve">aise awareness of the State party’s legal obligations under international human rights treaties among lawmakers and </w:t>
      </w:r>
      <w:r w:rsidR="00003A63" w:rsidRPr="000A5855">
        <w:rPr>
          <w:b/>
          <w:bCs/>
        </w:rPr>
        <w:t>authorities</w:t>
      </w:r>
      <w:r w:rsidR="007D3CED" w:rsidRPr="000A5855">
        <w:rPr>
          <w:b/>
          <w:bCs/>
        </w:rPr>
        <w:t xml:space="preserve"> </w:t>
      </w:r>
      <w:r w:rsidR="00003A63" w:rsidRPr="000A5855">
        <w:rPr>
          <w:b/>
          <w:bCs/>
        </w:rPr>
        <w:t>in provinces</w:t>
      </w:r>
      <w:r w:rsidR="00897B65" w:rsidRPr="000A5855">
        <w:rPr>
          <w:b/>
          <w:bCs/>
        </w:rPr>
        <w:t>, districts</w:t>
      </w:r>
      <w:r w:rsidR="00003A63" w:rsidRPr="000A5855">
        <w:rPr>
          <w:b/>
          <w:bCs/>
        </w:rPr>
        <w:t xml:space="preserve"> and autonomous regions</w:t>
      </w:r>
      <w:r w:rsidR="007D3CED" w:rsidRPr="000A5855">
        <w:rPr>
          <w:b/>
          <w:bCs/>
        </w:rPr>
        <w:t>;</w:t>
      </w:r>
    </w:p>
    <w:p w:rsidR="00E36D56" w:rsidRPr="000A5855" w:rsidRDefault="000A5855" w:rsidP="000A5855">
      <w:pPr>
        <w:pStyle w:val="SingleTxtG"/>
        <w:rPr>
          <w:b/>
          <w:bCs/>
        </w:rPr>
      </w:pPr>
      <w:r>
        <w:rPr>
          <w:b/>
          <w:bCs/>
        </w:rPr>
        <w:tab/>
        <w:t>(c)</w:t>
      </w:r>
      <w:r>
        <w:rPr>
          <w:b/>
          <w:bCs/>
        </w:rPr>
        <w:tab/>
        <w:t>S</w:t>
      </w:r>
      <w:r w:rsidR="007D3CED" w:rsidRPr="000A5855">
        <w:rPr>
          <w:b/>
          <w:bCs/>
        </w:rPr>
        <w:t>trengthen the mechanisms for the review of draft laws and by</w:t>
      </w:r>
      <w:r w:rsidR="00BB52B6" w:rsidRPr="000A5855">
        <w:rPr>
          <w:b/>
          <w:bCs/>
        </w:rPr>
        <w:t>-</w:t>
      </w:r>
      <w:r w:rsidR="007D3CED" w:rsidRPr="000A5855">
        <w:rPr>
          <w:b/>
          <w:bCs/>
        </w:rPr>
        <w:t xml:space="preserve">laws </w:t>
      </w:r>
      <w:r w:rsidR="00003A63" w:rsidRPr="000A5855">
        <w:rPr>
          <w:b/>
          <w:bCs/>
        </w:rPr>
        <w:t>proposed</w:t>
      </w:r>
      <w:r w:rsidR="007D3CED" w:rsidRPr="000A5855">
        <w:rPr>
          <w:b/>
          <w:bCs/>
        </w:rPr>
        <w:t xml:space="preserve"> </w:t>
      </w:r>
      <w:r w:rsidR="00003A63" w:rsidRPr="000A5855">
        <w:rPr>
          <w:b/>
          <w:bCs/>
        </w:rPr>
        <w:t>by decentralized authorities</w:t>
      </w:r>
      <w:r w:rsidR="007D3CED" w:rsidRPr="000A5855">
        <w:rPr>
          <w:b/>
          <w:bCs/>
        </w:rPr>
        <w:t>.</w:t>
      </w:r>
    </w:p>
    <w:p w:rsidR="004B4777" w:rsidRPr="007C51E7" w:rsidRDefault="006E27D3" w:rsidP="000A5855">
      <w:pPr>
        <w:pStyle w:val="H1G"/>
        <w:rPr>
          <w:lang w:val="en-US"/>
        </w:rPr>
      </w:pPr>
      <w:r>
        <w:rPr>
          <w:lang w:val="en-US"/>
        </w:rPr>
        <w:tab/>
      </w:r>
      <w:r>
        <w:rPr>
          <w:lang w:val="en-US"/>
        </w:rPr>
        <w:tab/>
      </w:r>
      <w:r w:rsidR="004B4777" w:rsidRPr="007C51E7">
        <w:rPr>
          <w:lang w:val="en-US"/>
        </w:rPr>
        <w:t>National human rights institutions</w:t>
      </w:r>
    </w:p>
    <w:p w:rsidR="009F238B" w:rsidRPr="007C51E7" w:rsidRDefault="003528E8" w:rsidP="00D80E8B">
      <w:pPr>
        <w:pStyle w:val="SingleTxtG"/>
        <w:numPr>
          <w:ilvl w:val="0"/>
          <w:numId w:val="17"/>
        </w:numPr>
        <w:tabs>
          <w:tab w:val="left" w:pos="1701"/>
        </w:tabs>
        <w:ind w:left="1134" w:firstLine="0"/>
        <w:rPr>
          <w:rFonts w:cs="Times New Roman"/>
          <w:lang w:eastAsia="ko-KR"/>
        </w:rPr>
      </w:pPr>
      <w:r>
        <w:rPr>
          <w:rFonts w:cs="Times New Roman"/>
          <w:lang w:val="en-US"/>
        </w:rPr>
        <w:t>T</w:t>
      </w:r>
      <w:r w:rsidR="00F472CA" w:rsidRPr="007C51E7">
        <w:rPr>
          <w:rFonts w:cs="Times New Roman"/>
          <w:lang w:val="en-US"/>
        </w:rPr>
        <w:t xml:space="preserve">he Committee </w:t>
      </w:r>
      <w:r w:rsidR="00965F52">
        <w:rPr>
          <w:rFonts w:cs="Times New Roman"/>
          <w:lang w:eastAsia="ko-KR"/>
        </w:rPr>
        <w:t>is concerned that</w:t>
      </w:r>
      <w:r w:rsidR="001E48CB">
        <w:rPr>
          <w:rFonts w:cs="Times New Roman"/>
          <w:lang w:eastAsia="ko-KR"/>
        </w:rPr>
        <w:t xml:space="preserve">, without the obligation of public bodies to respond to </w:t>
      </w:r>
      <w:r w:rsidR="001E48CB" w:rsidRPr="00D80E8B">
        <w:rPr>
          <w:rFonts w:cs="Times New Roman"/>
          <w:lang w:eastAsia="ko-KR"/>
        </w:rPr>
        <w:t>cases submitted by</w:t>
      </w:r>
      <w:r w:rsidR="000574BE">
        <w:rPr>
          <w:rFonts w:cs="Times New Roman"/>
          <w:lang w:eastAsia="ko-KR"/>
        </w:rPr>
        <w:t xml:space="preserve"> the National Human Rights Commission</w:t>
      </w:r>
      <w:r w:rsidR="001E48CB" w:rsidRPr="00D80E8B">
        <w:rPr>
          <w:rFonts w:cs="Times New Roman"/>
          <w:lang w:eastAsia="ko-KR"/>
        </w:rPr>
        <w:t xml:space="preserve"> </w:t>
      </w:r>
      <w:r w:rsidR="000574BE">
        <w:rPr>
          <w:rFonts w:cs="Times New Roman"/>
          <w:lang w:eastAsia="ko-KR"/>
        </w:rPr>
        <w:t>(</w:t>
      </w:r>
      <w:proofErr w:type="spellStart"/>
      <w:r w:rsidR="009F238B" w:rsidRPr="00D80E8B">
        <w:rPr>
          <w:rFonts w:cs="Times New Roman"/>
          <w:i/>
          <w:iCs/>
          <w:lang w:eastAsia="ko-KR"/>
        </w:rPr>
        <w:t>Komnas</w:t>
      </w:r>
      <w:proofErr w:type="spellEnd"/>
      <w:r w:rsidR="009F238B" w:rsidRPr="00D80E8B">
        <w:rPr>
          <w:rFonts w:cs="Times New Roman"/>
          <w:i/>
          <w:iCs/>
          <w:lang w:eastAsia="ko-KR"/>
        </w:rPr>
        <w:t xml:space="preserve"> HAM</w:t>
      </w:r>
      <w:r w:rsidR="000574BE">
        <w:rPr>
          <w:rFonts w:cs="Times New Roman"/>
          <w:i/>
          <w:iCs/>
          <w:lang w:eastAsia="ko-KR"/>
        </w:rPr>
        <w:t>)</w:t>
      </w:r>
      <w:r w:rsidR="001E48CB" w:rsidRPr="00D80E8B">
        <w:rPr>
          <w:rFonts w:cs="Times New Roman"/>
          <w:lang w:eastAsia="ko-KR"/>
        </w:rPr>
        <w:t xml:space="preserve">, </w:t>
      </w:r>
      <w:r w:rsidR="00D80E8B" w:rsidRPr="00D80E8B">
        <w:rPr>
          <w:rFonts w:cs="Times New Roman"/>
          <w:lang w:eastAsia="ko-KR"/>
        </w:rPr>
        <w:t xml:space="preserve">the complaints mechanism established under the 1999 law </w:t>
      </w:r>
      <w:r w:rsidR="00D80E8B">
        <w:rPr>
          <w:rFonts w:cs="Times New Roman"/>
          <w:lang w:eastAsia="ko-KR"/>
        </w:rPr>
        <w:t xml:space="preserve">is </w:t>
      </w:r>
      <w:r w:rsidR="009F238B" w:rsidRPr="00D80E8B">
        <w:rPr>
          <w:rFonts w:cs="Times New Roman"/>
          <w:lang w:eastAsia="ko-KR"/>
        </w:rPr>
        <w:t xml:space="preserve">ineffective </w:t>
      </w:r>
      <w:r w:rsidR="00CD1980">
        <w:rPr>
          <w:rFonts w:cs="Times New Roman"/>
          <w:lang w:eastAsia="ko-KR"/>
        </w:rPr>
        <w:t>in</w:t>
      </w:r>
      <w:r w:rsidR="009F238B" w:rsidRPr="00D80E8B">
        <w:rPr>
          <w:rFonts w:cs="Times New Roman"/>
          <w:lang w:eastAsia="ko-KR"/>
        </w:rPr>
        <w:t xml:space="preserve"> providing non-judicial redress to victims of human rights violations</w:t>
      </w:r>
      <w:r w:rsidR="00AB2D79" w:rsidRPr="00D80E8B">
        <w:rPr>
          <w:rFonts w:cs="Times New Roman"/>
          <w:lang w:eastAsia="ko-KR"/>
        </w:rPr>
        <w:t>.</w:t>
      </w:r>
    </w:p>
    <w:p w:rsidR="00D649E8" w:rsidRDefault="003423AE" w:rsidP="001E48CB">
      <w:pPr>
        <w:pStyle w:val="SingleTxtG"/>
        <w:tabs>
          <w:tab w:val="left" w:pos="1701"/>
        </w:tabs>
        <w:rPr>
          <w:rFonts w:cs="Times New Roman"/>
          <w:b/>
          <w:bCs/>
          <w:lang w:val="en-US"/>
        </w:rPr>
      </w:pPr>
      <w:r>
        <w:rPr>
          <w:rFonts w:cs="Times New Roman"/>
          <w:b/>
          <w:bCs/>
        </w:rPr>
        <w:t xml:space="preserve">Taking note of the </w:t>
      </w:r>
      <w:r w:rsidR="003528E8">
        <w:rPr>
          <w:rFonts w:cs="Times New Roman"/>
          <w:b/>
          <w:bCs/>
        </w:rPr>
        <w:t xml:space="preserve">announcement </w:t>
      </w:r>
      <w:r>
        <w:rPr>
          <w:rFonts w:cs="Times New Roman"/>
          <w:b/>
          <w:bCs/>
        </w:rPr>
        <w:t>by the delegation of the State party o</w:t>
      </w:r>
      <w:r w:rsidR="003528E8">
        <w:rPr>
          <w:rFonts w:cs="Times New Roman"/>
          <w:b/>
          <w:bCs/>
        </w:rPr>
        <w:t>f</w:t>
      </w:r>
      <w:r>
        <w:rPr>
          <w:rFonts w:cs="Times New Roman"/>
          <w:b/>
          <w:bCs/>
        </w:rPr>
        <w:t xml:space="preserve"> a review of Law 39/1999 on human rights, t</w:t>
      </w:r>
      <w:r w:rsidR="00897B65" w:rsidRPr="007C51E7">
        <w:rPr>
          <w:rFonts w:cs="Times New Roman"/>
          <w:b/>
          <w:bCs/>
        </w:rPr>
        <w:t xml:space="preserve">he Committee </w:t>
      </w:r>
      <w:r w:rsidR="00D649E8">
        <w:rPr>
          <w:rFonts w:cs="Times New Roman"/>
          <w:b/>
          <w:bCs/>
        </w:rPr>
        <w:t>recommends that</w:t>
      </w:r>
      <w:r w:rsidR="00897B65" w:rsidRPr="007C51E7">
        <w:rPr>
          <w:rFonts w:cs="Times New Roman"/>
          <w:b/>
          <w:bCs/>
        </w:rPr>
        <w:t xml:space="preserve"> the State party </w:t>
      </w:r>
      <w:r w:rsidR="001E48CB" w:rsidRPr="001E48CB">
        <w:rPr>
          <w:rFonts w:cs="Times New Roman"/>
          <w:b/>
          <w:bCs/>
        </w:rPr>
        <w:t xml:space="preserve">introduce a mechanism requiring public bodies to respond to cases submitted thereto by </w:t>
      </w:r>
      <w:proofErr w:type="spellStart"/>
      <w:r w:rsidR="001E48CB" w:rsidRPr="001E48CB">
        <w:rPr>
          <w:rFonts w:cs="Times New Roman"/>
          <w:b/>
          <w:bCs/>
          <w:i/>
          <w:iCs/>
        </w:rPr>
        <w:t>Komnas</w:t>
      </w:r>
      <w:proofErr w:type="spellEnd"/>
      <w:r w:rsidR="001E48CB" w:rsidRPr="001E48CB">
        <w:rPr>
          <w:rFonts w:cs="Times New Roman"/>
          <w:b/>
          <w:bCs/>
          <w:i/>
          <w:iCs/>
        </w:rPr>
        <w:t xml:space="preserve"> HAM</w:t>
      </w:r>
      <w:r w:rsidR="001326CE">
        <w:rPr>
          <w:rFonts w:cs="Times New Roman"/>
          <w:b/>
          <w:bCs/>
          <w:i/>
          <w:iCs/>
        </w:rPr>
        <w:t>.</w:t>
      </w:r>
      <w:r w:rsidR="00AB2D79">
        <w:rPr>
          <w:rFonts w:cs="Times New Roman"/>
          <w:b/>
          <w:bCs/>
          <w:lang w:val="en-US"/>
        </w:rPr>
        <w:t xml:space="preserve"> </w:t>
      </w:r>
    </w:p>
    <w:p w:rsidR="00965F52" w:rsidRPr="007C51E7" w:rsidRDefault="00965F52" w:rsidP="004A3051">
      <w:pPr>
        <w:pStyle w:val="SingleTxtG"/>
        <w:numPr>
          <w:ilvl w:val="0"/>
          <w:numId w:val="17"/>
        </w:numPr>
        <w:tabs>
          <w:tab w:val="left" w:pos="1701"/>
        </w:tabs>
        <w:ind w:left="1134" w:firstLine="0"/>
        <w:rPr>
          <w:rFonts w:cs="Times New Roman"/>
        </w:rPr>
      </w:pPr>
      <w:r>
        <w:rPr>
          <w:rFonts w:cs="Times New Roman"/>
        </w:rPr>
        <w:t>The Committee is concerned that t</w:t>
      </w:r>
      <w:r w:rsidRPr="007C51E7">
        <w:rPr>
          <w:rFonts w:cs="Times New Roman"/>
        </w:rPr>
        <w:t>he</w:t>
      </w:r>
      <w:r>
        <w:rPr>
          <w:rFonts w:cs="Times New Roman"/>
        </w:rPr>
        <w:t xml:space="preserve"> current</w:t>
      </w:r>
      <w:r w:rsidRPr="007C51E7">
        <w:rPr>
          <w:rFonts w:cs="Times New Roman"/>
        </w:rPr>
        <w:t xml:space="preserve"> administrative arrangement whereby the financial resources of the National Commission on Violence against Women (</w:t>
      </w:r>
      <w:proofErr w:type="spellStart"/>
      <w:r w:rsidRPr="007C51E7">
        <w:rPr>
          <w:rFonts w:cs="Times New Roman"/>
          <w:i/>
          <w:iCs/>
        </w:rPr>
        <w:t>Komnas</w:t>
      </w:r>
      <w:proofErr w:type="spellEnd"/>
      <w:r w:rsidRPr="007C51E7">
        <w:rPr>
          <w:rFonts w:cs="Times New Roman"/>
          <w:i/>
          <w:iCs/>
        </w:rPr>
        <w:t xml:space="preserve"> </w:t>
      </w:r>
      <w:proofErr w:type="spellStart"/>
      <w:r w:rsidRPr="007C51E7">
        <w:rPr>
          <w:rFonts w:cs="Times New Roman"/>
          <w:i/>
          <w:iCs/>
        </w:rPr>
        <w:t>Perempuan</w:t>
      </w:r>
      <w:proofErr w:type="spellEnd"/>
      <w:r w:rsidRPr="007C51E7">
        <w:rPr>
          <w:rFonts w:cs="Times New Roman"/>
        </w:rPr>
        <w:t>) are managed by the executive power diminishes its independence and efficiency</w:t>
      </w:r>
      <w:r w:rsidR="000A5855">
        <w:rPr>
          <w:rFonts w:cs="Times New Roman"/>
        </w:rPr>
        <w:t xml:space="preserve"> (art. </w:t>
      </w:r>
      <w:r w:rsidRPr="007C51E7">
        <w:rPr>
          <w:rFonts w:cs="Times New Roman"/>
        </w:rPr>
        <w:t>2.1)</w:t>
      </w:r>
      <w:r w:rsidR="004C47A8">
        <w:rPr>
          <w:rFonts w:cs="Times New Roman"/>
        </w:rPr>
        <w:t>.</w:t>
      </w:r>
    </w:p>
    <w:p w:rsidR="00965F52" w:rsidRPr="007C51E7" w:rsidRDefault="00965F52" w:rsidP="00965F52">
      <w:pPr>
        <w:pStyle w:val="SingleTxtG"/>
        <w:tabs>
          <w:tab w:val="left" w:pos="1701"/>
        </w:tabs>
        <w:rPr>
          <w:rFonts w:cs="Times New Roman"/>
          <w:b/>
          <w:bCs/>
        </w:rPr>
      </w:pPr>
      <w:r>
        <w:rPr>
          <w:rFonts w:cs="Times New Roman"/>
          <w:b/>
          <w:bCs/>
          <w:lang w:val="en-US"/>
        </w:rPr>
        <w:t xml:space="preserve">The Committee recommends that the State party </w:t>
      </w:r>
      <w:r w:rsidRPr="007C51E7">
        <w:rPr>
          <w:rFonts w:cs="Times New Roman"/>
          <w:b/>
          <w:bCs/>
        </w:rPr>
        <w:t xml:space="preserve">grant </w:t>
      </w:r>
      <w:proofErr w:type="spellStart"/>
      <w:r>
        <w:rPr>
          <w:rFonts w:cs="Times New Roman"/>
          <w:b/>
          <w:bCs/>
          <w:i/>
          <w:iCs/>
        </w:rPr>
        <w:t>Komnas</w:t>
      </w:r>
      <w:proofErr w:type="spellEnd"/>
      <w:r>
        <w:rPr>
          <w:rFonts w:cs="Times New Roman"/>
          <w:b/>
          <w:bCs/>
          <w:i/>
          <w:iCs/>
        </w:rPr>
        <w:t xml:space="preserve"> </w:t>
      </w:r>
      <w:proofErr w:type="spellStart"/>
      <w:r>
        <w:rPr>
          <w:rFonts w:cs="Times New Roman"/>
          <w:b/>
          <w:bCs/>
          <w:i/>
          <w:iCs/>
        </w:rPr>
        <w:t>Perempuan</w:t>
      </w:r>
      <w:proofErr w:type="spellEnd"/>
      <w:r w:rsidRPr="007C51E7">
        <w:rPr>
          <w:rFonts w:cs="Times New Roman"/>
          <w:b/>
          <w:bCs/>
          <w:i/>
          <w:iCs/>
        </w:rPr>
        <w:t xml:space="preserve"> </w:t>
      </w:r>
      <w:r w:rsidRPr="007C51E7">
        <w:rPr>
          <w:rFonts w:cs="Times New Roman"/>
          <w:b/>
          <w:bCs/>
        </w:rPr>
        <w:t xml:space="preserve">independence in the administration of its resources, in line with the </w:t>
      </w:r>
      <w:smartTag w:uri="urn:schemas-microsoft-com:office:smarttags" w:element="place">
        <w:smartTag w:uri="urn:schemas-microsoft-com:office:smarttags" w:element="City">
          <w:r w:rsidRPr="007C51E7">
            <w:rPr>
              <w:rFonts w:cs="Times New Roman"/>
              <w:b/>
              <w:bCs/>
            </w:rPr>
            <w:t>Paris</w:t>
          </w:r>
        </w:smartTag>
      </w:smartTag>
      <w:r w:rsidRPr="007C51E7">
        <w:rPr>
          <w:rFonts w:cs="Times New Roman"/>
          <w:b/>
          <w:bCs/>
        </w:rPr>
        <w:t xml:space="preserve"> Principles.</w:t>
      </w:r>
    </w:p>
    <w:p w:rsidR="004B4777" w:rsidRPr="007C51E7" w:rsidRDefault="004E1049" w:rsidP="000A5855">
      <w:pPr>
        <w:pStyle w:val="H1G"/>
      </w:pPr>
      <w:r>
        <w:rPr>
          <w:lang w:val="en-US"/>
        </w:rPr>
        <w:tab/>
      </w:r>
      <w:r>
        <w:rPr>
          <w:lang w:val="en-US"/>
        </w:rPr>
        <w:tab/>
      </w:r>
      <w:r w:rsidR="004B4777" w:rsidRPr="006E27D3">
        <w:rPr>
          <w:lang w:val="en-US"/>
        </w:rPr>
        <w:t>Corruption</w:t>
      </w:r>
    </w:p>
    <w:p w:rsidR="00E36D56" w:rsidRPr="007C51E7" w:rsidRDefault="00236502" w:rsidP="002D317E">
      <w:pPr>
        <w:pStyle w:val="SingleTxtG"/>
        <w:numPr>
          <w:ilvl w:val="0"/>
          <w:numId w:val="17"/>
        </w:numPr>
        <w:tabs>
          <w:tab w:val="left" w:pos="1701"/>
        </w:tabs>
        <w:ind w:left="1134" w:firstLine="0"/>
        <w:rPr>
          <w:rFonts w:cs="Times New Roman"/>
        </w:rPr>
      </w:pPr>
      <w:r w:rsidRPr="007C51E7">
        <w:rPr>
          <w:rFonts w:cs="Times New Roman"/>
        </w:rPr>
        <w:t>The Committee expresses concern that</w:t>
      </w:r>
      <w:r w:rsidR="002D317E" w:rsidRPr="007C51E7">
        <w:rPr>
          <w:rFonts w:cs="Times New Roman"/>
        </w:rPr>
        <w:t xml:space="preserve"> corruption, which permeates all level</w:t>
      </w:r>
      <w:r w:rsidR="00CD1980">
        <w:rPr>
          <w:rFonts w:cs="Times New Roman"/>
        </w:rPr>
        <w:t>s</w:t>
      </w:r>
      <w:r w:rsidR="002D317E" w:rsidRPr="007C51E7">
        <w:rPr>
          <w:rFonts w:cs="Times New Roman"/>
        </w:rPr>
        <w:t xml:space="preserve"> of the State party’s administration, (a)</w:t>
      </w:r>
      <w:r w:rsidRPr="007C51E7">
        <w:rPr>
          <w:rFonts w:cs="Times New Roman"/>
        </w:rPr>
        <w:t xml:space="preserve"> </w:t>
      </w:r>
      <w:r w:rsidR="002D317E" w:rsidRPr="007C51E7">
        <w:rPr>
          <w:rFonts w:cs="Times New Roman"/>
        </w:rPr>
        <w:t xml:space="preserve">reduces the </w:t>
      </w:r>
      <w:r w:rsidRPr="007C51E7">
        <w:rPr>
          <w:rFonts w:cs="Times New Roman"/>
        </w:rPr>
        <w:t xml:space="preserve">resources </w:t>
      </w:r>
      <w:r w:rsidR="002D317E" w:rsidRPr="007C51E7">
        <w:rPr>
          <w:rFonts w:cs="Times New Roman"/>
        </w:rPr>
        <w:t>available for the promotion of economic, social and cultural rights; (b)</w:t>
      </w:r>
      <w:r w:rsidRPr="007C51E7">
        <w:rPr>
          <w:rFonts w:cs="Times New Roman"/>
        </w:rPr>
        <w:t xml:space="preserve"> </w:t>
      </w:r>
      <w:r w:rsidR="002D317E" w:rsidRPr="007C51E7">
        <w:rPr>
          <w:rFonts w:cs="Times New Roman"/>
        </w:rPr>
        <w:t xml:space="preserve">has </w:t>
      </w:r>
      <w:r w:rsidRPr="007C51E7">
        <w:rPr>
          <w:rFonts w:cs="Times New Roman"/>
        </w:rPr>
        <w:t>led to violations of</w:t>
      </w:r>
      <w:r w:rsidR="002D317E" w:rsidRPr="007C51E7">
        <w:rPr>
          <w:rFonts w:cs="Times New Roman"/>
        </w:rPr>
        <w:t xml:space="preserve"> human rights in several sectors, including in the extractive industry; and (c) denies redress to victims who face corruption in the judiciary</w:t>
      </w:r>
      <w:r w:rsidR="000A5855">
        <w:rPr>
          <w:rFonts w:cs="Times New Roman"/>
        </w:rPr>
        <w:t xml:space="preserve"> (art. </w:t>
      </w:r>
      <w:r w:rsidR="002D317E" w:rsidRPr="007C51E7">
        <w:rPr>
          <w:rFonts w:cs="Times New Roman"/>
        </w:rPr>
        <w:t>2.1)</w:t>
      </w:r>
      <w:r w:rsidR="004C47A8">
        <w:rPr>
          <w:rFonts w:cs="Times New Roman"/>
        </w:rPr>
        <w:t>.</w:t>
      </w:r>
    </w:p>
    <w:p w:rsidR="002D317E" w:rsidRPr="007C51E7" w:rsidRDefault="00965F52" w:rsidP="002D317E">
      <w:pPr>
        <w:pStyle w:val="SingleTxtG"/>
        <w:tabs>
          <w:tab w:val="left" w:pos="1701"/>
        </w:tabs>
        <w:rPr>
          <w:rFonts w:cs="Times New Roman"/>
          <w:b/>
          <w:bCs/>
          <w:lang w:val="en-US"/>
        </w:rPr>
      </w:pPr>
      <w:r>
        <w:rPr>
          <w:rFonts w:cs="Times New Roman"/>
          <w:b/>
          <w:bCs/>
          <w:lang w:val="en-US"/>
        </w:rPr>
        <w:t>The C</w:t>
      </w:r>
      <w:r w:rsidR="002D317E" w:rsidRPr="007C51E7">
        <w:rPr>
          <w:rFonts w:cs="Times New Roman"/>
          <w:b/>
          <w:bCs/>
          <w:lang w:val="en-US"/>
        </w:rPr>
        <w:t xml:space="preserve">ommittee </w:t>
      </w:r>
      <w:r w:rsidR="0079030E">
        <w:rPr>
          <w:rFonts w:cs="Times New Roman"/>
          <w:b/>
          <w:bCs/>
          <w:lang w:val="en-US"/>
        </w:rPr>
        <w:t>urges</w:t>
      </w:r>
      <w:r w:rsidR="002D317E" w:rsidRPr="007C51E7">
        <w:rPr>
          <w:rFonts w:cs="Times New Roman"/>
          <w:b/>
          <w:bCs/>
          <w:lang w:val="en-US"/>
        </w:rPr>
        <w:t xml:space="preserve"> the State party </w:t>
      </w:r>
      <w:r w:rsidR="0079030E">
        <w:rPr>
          <w:rFonts w:cs="Times New Roman"/>
          <w:b/>
          <w:bCs/>
          <w:lang w:val="en-US"/>
        </w:rPr>
        <w:t xml:space="preserve">to </w:t>
      </w:r>
      <w:r w:rsidR="002D317E" w:rsidRPr="007C51E7">
        <w:rPr>
          <w:rFonts w:cs="Times New Roman"/>
          <w:b/>
          <w:bCs/>
          <w:lang w:val="en-US"/>
        </w:rPr>
        <w:t>intensify its effort to combat corruption and related impunity and ensure that public affairs, in law and in practice, are conducted in a transparent manner. It also recommends that the State party raise awareness among politicians, members of</w:t>
      </w:r>
      <w:r w:rsidR="00230B3B">
        <w:rPr>
          <w:rFonts w:cs="Times New Roman"/>
          <w:b/>
          <w:bCs/>
          <w:lang w:val="en-US"/>
        </w:rPr>
        <w:t xml:space="preserve"> Parliament</w:t>
      </w:r>
      <w:r w:rsidR="002D317E" w:rsidRPr="007C51E7">
        <w:rPr>
          <w:rFonts w:cs="Times New Roman"/>
          <w:b/>
          <w:bCs/>
          <w:lang w:val="en-US"/>
        </w:rPr>
        <w:t xml:space="preserve"> and national and local</w:t>
      </w:r>
      <w:r w:rsidR="00230B3B">
        <w:rPr>
          <w:rFonts w:cs="Times New Roman"/>
          <w:b/>
          <w:bCs/>
          <w:lang w:val="en-US"/>
        </w:rPr>
        <w:t xml:space="preserve"> Government</w:t>
      </w:r>
      <w:r w:rsidR="002D317E" w:rsidRPr="007C51E7">
        <w:rPr>
          <w:rFonts w:cs="Times New Roman"/>
          <w:b/>
          <w:bCs/>
          <w:lang w:val="en-US"/>
        </w:rPr>
        <w:t xml:space="preserve"> officials of the economic and social costs of corruption, and among judges, prosecutors and the police of the need for strict enforcement of the law.</w:t>
      </w:r>
    </w:p>
    <w:p w:rsidR="004B4777" w:rsidRPr="007C51E7" w:rsidRDefault="004E1049" w:rsidP="000A5855">
      <w:pPr>
        <w:pStyle w:val="H1G"/>
        <w:rPr>
          <w:lang w:val="en-US"/>
        </w:rPr>
      </w:pPr>
      <w:r>
        <w:rPr>
          <w:lang w:val="en-US"/>
        </w:rPr>
        <w:tab/>
      </w:r>
      <w:r>
        <w:rPr>
          <w:lang w:val="en-US"/>
        </w:rPr>
        <w:tab/>
      </w:r>
      <w:r w:rsidR="004B4777" w:rsidRPr="007C51E7">
        <w:rPr>
          <w:lang w:val="en-US"/>
        </w:rPr>
        <w:t>Non-discrimination</w:t>
      </w:r>
    </w:p>
    <w:p w:rsidR="00E36D56" w:rsidRPr="007C51E7" w:rsidRDefault="002D317E" w:rsidP="00072079">
      <w:pPr>
        <w:pStyle w:val="SingleTxtG"/>
        <w:numPr>
          <w:ilvl w:val="0"/>
          <w:numId w:val="17"/>
        </w:numPr>
        <w:tabs>
          <w:tab w:val="left" w:pos="1701"/>
        </w:tabs>
        <w:ind w:left="1134" w:firstLine="0"/>
        <w:rPr>
          <w:rFonts w:cs="Times New Roman"/>
        </w:rPr>
      </w:pPr>
      <w:r w:rsidRPr="007C51E7">
        <w:rPr>
          <w:rFonts w:cs="Times New Roman"/>
        </w:rPr>
        <w:t xml:space="preserve">The Committee notes with concern that the </w:t>
      </w:r>
      <w:r w:rsidRPr="007C51E7">
        <w:rPr>
          <w:rFonts w:cs="Times New Roman"/>
          <w:lang w:val="en-US"/>
        </w:rPr>
        <w:t xml:space="preserve">grounds of discrimination prohibited under Law No. 39/1999 on human rights are not comprehensive. </w:t>
      </w:r>
      <w:r w:rsidR="005C4ACE">
        <w:rPr>
          <w:rFonts w:cs="Times New Roman"/>
          <w:lang w:val="en-US"/>
        </w:rPr>
        <w:t>It</w:t>
      </w:r>
      <w:r w:rsidRPr="007C51E7">
        <w:rPr>
          <w:rFonts w:cs="Times New Roman"/>
          <w:lang w:val="en-US"/>
        </w:rPr>
        <w:t xml:space="preserve"> </w:t>
      </w:r>
      <w:r w:rsidR="005C4ACE">
        <w:rPr>
          <w:rFonts w:cs="Times New Roman"/>
          <w:lang w:val="en-US"/>
        </w:rPr>
        <w:t>is also</w:t>
      </w:r>
      <w:r w:rsidR="00072079" w:rsidRPr="007C51E7">
        <w:rPr>
          <w:rFonts w:cs="Times New Roman"/>
          <w:lang w:val="en-US"/>
        </w:rPr>
        <w:t xml:space="preserve"> concern</w:t>
      </w:r>
      <w:r w:rsidR="005C4ACE">
        <w:rPr>
          <w:rFonts w:cs="Times New Roman"/>
          <w:lang w:val="en-US"/>
        </w:rPr>
        <w:t>ed</w:t>
      </w:r>
      <w:r w:rsidR="00072079" w:rsidRPr="007C51E7">
        <w:rPr>
          <w:rFonts w:cs="Times New Roman"/>
          <w:lang w:val="en-US"/>
        </w:rPr>
        <w:t xml:space="preserve"> that the law neither define</w:t>
      </w:r>
      <w:r w:rsidR="003423AE">
        <w:rPr>
          <w:rFonts w:cs="Times New Roman"/>
          <w:lang w:val="en-US"/>
        </w:rPr>
        <w:t>s</w:t>
      </w:r>
      <w:r w:rsidR="00072079" w:rsidRPr="007C51E7">
        <w:rPr>
          <w:rFonts w:cs="Times New Roman"/>
          <w:lang w:val="en-US"/>
        </w:rPr>
        <w:t xml:space="preserve"> indirect discrimination nor</w:t>
      </w:r>
      <w:r w:rsidR="003423AE">
        <w:rPr>
          <w:rFonts w:cs="Times New Roman"/>
          <w:lang w:val="en-US"/>
        </w:rPr>
        <w:t xml:space="preserve"> provides for sanctions in case of violation</w:t>
      </w:r>
      <w:r w:rsidR="00072079" w:rsidRPr="007C51E7">
        <w:rPr>
          <w:rFonts w:cs="Times New Roman"/>
          <w:lang w:val="en-US"/>
        </w:rPr>
        <w:t xml:space="preserve"> </w:t>
      </w:r>
      <w:r w:rsidR="000A5855">
        <w:rPr>
          <w:rFonts w:cs="Times New Roman"/>
        </w:rPr>
        <w:t>(art. </w:t>
      </w:r>
      <w:r w:rsidR="00072079" w:rsidRPr="007C51E7">
        <w:rPr>
          <w:rFonts w:cs="Times New Roman"/>
        </w:rPr>
        <w:t>2.2)</w:t>
      </w:r>
      <w:r w:rsidR="004C47A8">
        <w:rPr>
          <w:rFonts w:cs="Times New Roman"/>
        </w:rPr>
        <w:t>.</w:t>
      </w:r>
    </w:p>
    <w:p w:rsidR="00072079" w:rsidRDefault="00072079" w:rsidP="004864BA">
      <w:pPr>
        <w:pStyle w:val="SingleTxtG"/>
        <w:tabs>
          <w:tab w:val="left" w:pos="1701"/>
        </w:tabs>
        <w:rPr>
          <w:b/>
          <w:bCs/>
        </w:rPr>
      </w:pPr>
      <w:r w:rsidRPr="007C51E7">
        <w:rPr>
          <w:b/>
          <w:bCs/>
        </w:rPr>
        <w:t>The Committee calls on the State party to strengthen the legislative protection against discrimination</w:t>
      </w:r>
      <w:r w:rsidR="00E229B3">
        <w:rPr>
          <w:b/>
          <w:bCs/>
        </w:rPr>
        <w:t>, including through the adoption of a comprehensive framework law,</w:t>
      </w:r>
      <w:r w:rsidR="000A5855">
        <w:rPr>
          <w:b/>
          <w:bCs/>
        </w:rPr>
        <w:t xml:space="preserve"> by (a) </w:t>
      </w:r>
      <w:r w:rsidRPr="007C51E7">
        <w:rPr>
          <w:b/>
          <w:bCs/>
        </w:rPr>
        <w:t xml:space="preserve">prohibiting discrimination, including indirect discrimination, on all grounds; </w:t>
      </w:r>
      <w:r w:rsidR="0079030E">
        <w:rPr>
          <w:b/>
          <w:bCs/>
        </w:rPr>
        <w:t>(b</w:t>
      </w:r>
      <w:r w:rsidR="0079030E" w:rsidRPr="007C51E7">
        <w:rPr>
          <w:b/>
          <w:bCs/>
        </w:rPr>
        <w:t>)</w:t>
      </w:r>
      <w:r w:rsidR="000A5855">
        <w:rPr>
          <w:b/>
          <w:bCs/>
        </w:rPr>
        <w:t> </w:t>
      </w:r>
      <w:r w:rsidR="0079030E" w:rsidRPr="007C51E7">
        <w:rPr>
          <w:b/>
          <w:bCs/>
        </w:rPr>
        <w:t>providing for the application of special measures</w:t>
      </w:r>
      <w:r w:rsidR="0079030E">
        <w:rPr>
          <w:b/>
          <w:bCs/>
        </w:rPr>
        <w:t xml:space="preserve"> to achieve equality</w:t>
      </w:r>
      <w:r w:rsidR="0079030E" w:rsidRPr="007C51E7">
        <w:rPr>
          <w:b/>
          <w:bCs/>
        </w:rPr>
        <w:t>, when necessary</w:t>
      </w:r>
      <w:r w:rsidR="0079030E">
        <w:rPr>
          <w:b/>
          <w:bCs/>
        </w:rPr>
        <w:t>; and</w:t>
      </w:r>
      <w:r w:rsidR="0079030E" w:rsidRPr="007C51E7">
        <w:rPr>
          <w:b/>
          <w:bCs/>
        </w:rPr>
        <w:t xml:space="preserve"> </w:t>
      </w:r>
      <w:r w:rsidRPr="007C51E7">
        <w:rPr>
          <w:b/>
          <w:bCs/>
        </w:rPr>
        <w:t>(</w:t>
      </w:r>
      <w:r w:rsidR="0079030E">
        <w:rPr>
          <w:b/>
          <w:bCs/>
        </w:rPr>
        <w:t>c</w:t>
      </w:r>
      <w:r w:rsidRPr="007C51E7">
        <w:rPr>
          <w:b/>
          <w:bCs/>
        </w:rPr>
        <w:t xml:space="preserve">) providing for penalties in the case of violation of the legislation as well as </w:t>
      </w:r>
      <w:r w:rsidR="004864BA" w:rsidRPr="007C51E7">
        <w:rPr>
          <w:b/>
          <w:bCs/>
        </w:rPr>
        <w:t>accessible remedies and reparation</w:t>
      </w:r>
      <w:r w:rsidRPr="007C51E7">
        <w:rPr>
          <w:b/>
          <w:bCs/>
        </w:rPr>
        <w:t xml:space="preserve"> for victims</w:t>
      </w:r>
      <w:r w:rsidR="004864BA" w:rsidRPr="007C51E7">
        <w:rPr>
          <w:b/>
          <w:bCs/>
        </w:rPr>
        <w:t>. The Committee refers the State p</w:t>
      </w:r>
      <w:r w:rsidR="000A5855">
        <w:rPr>
          <w:b/>
          <w:bCs/>
        </w:rPr>
        <w:t>arty to its general comment No. </w:t>
      </w:r>
      <w:r w:rsidR="004864BA" w:rsidRPr="007C51E7">
        <w:rPr>
          <w:b/>
          <w:bCs/>
        </w:rPr>
        <w:t>20</w:t>
      </w:r>
      <w:r w:rsidR="0066474E">
        <w:rPr>
          <w:b/>
          <w:bCs/>
        </w:rPr>
        <w:t xml:space="preserve"> </w:t>
      </w:r>
      <w:r w:rsidR="00A7539A">
        <w:rPr>
          <w:b/>
          <w:bCs/>
        </w:rPr>
        <w:t>(</w:t>
      </w:r>
      <w:r w:rsidR="0066474E">
        <w:rPr>
          <w:b/>
          <w:bCs/>
        </w:rPr>
        <w:t>2009</w:t>
      </w:r>
      <w:r w:rsidR="00A7539A">
        <w:rPr>
          <w:b/>
          <w:bCs/>
        </w:rPr>
        <w:t xml:space="preserve">) </w:t>
      </w:r>
      <w:r w:rsidR="004864BA" w:rsidRPr="007C51E7">
        <w:rPr>
          <w:b/>
          <w:bCs/>
        </w:rPr>
        <w:t>on non-discrimination in economic, social and cultural rights.</w:t>
      </w:r>
    </w:p>
    <w:p w:rsidR="0015447C" w:rsidRDefault="004E1049" w:rsidP="000A5855">
      <w:pPr>
        <w:pStyle w:val="H1G"/>
        <w:rPr>
          <w:lang w:val="en-US"/>
        </w:rPr>
      </w:pPr>
      <w:r>
        <w:rPr>
          <w:lang w:val="en-US"/>
        </w:rPr>
        <w:tab/>
      </w:r>
      <w:r>
        <w:rPr>
          <w:lang w:val="en-US"/>
        </w:rPr>
        <w:tab/>
      </w:r>
      <w:r w:rsidR="0015447C">
        <w:rPr>
          <w:lang w:val="en-US"/>
        </w:rPr>
        <w:t>Persons with disabilities</w:t>
      </w:r>
    </w:p>
    <w:p w:rsidR="0015447C" w:rsidRDefault="0015447C" w:rsidP="0015447C">
      <w:pPr>
        <w:pStyle w:val="SingleTxtG"/>
        <w:numPr>
          <w:ilvl w:val="0"/>
          <w:numId w:val="17"/>
        </w:numPr>
        <w:tabs>
          <w:tab w:val="left" w:pos="1701"/>
        </w:tabs>
        <w:ind w:left="1134" w:firstLine="0"/>
        <w:rPr>
          <w:rFonts w:cs="Times New Roman"/>
        </w:rPr>
      </w:pPr>
      <w:r>
        <w:rPr>
          <w:rFonts w:cs="Times New Roman"/>
        </w:rPr>
        <w:t>The Committee is concerned that the definition of perso</w:t>
      </w:r>
      <w:r w:rsidR="000A5855">
        <w:rPr>
          <w:rFonts w:cs="Times New Roman"/>
        </w:rPr>
        <w:t>ns with disabilities in Law No. </w:t>
      </w:r>
      <w:r>
        <w:rPr>
          <w:rFonts w:cs="Times New Roman"/>
        </w:rPr>
        <w:t xml:space="preserve">4 of 1997 </w:t>
      </w:r>
      <w:r w:rsidR="003528E8">
        <w:rPr>
          <w:rFonts w:cs="Times New Roman"/>
        </w:rPr>
        <w:t>does not follow a</w:t>
      </w:r>
      <w:r>
        <w:rPr>
          <w:rFonts w:cs="Times New Roman"/>
        </w:rPr>
        <w:t xml:space="preserve"> human rights approach and that the Law does not </w:t>
      </w:r>
      <w:r w:rsidR="006748CC">
        <w:rPr>
          <w:rFonts w:cs="Times New Roman"/>
        </w:rPr>
        <w:t>stipulate</w:t>
      </w:r>
      <w:r>
        <w:rPr>
          <w:rFonts w:cs="Times New Roman"/>
        </w:rPr>
        <w:t xml:space="preserve"> the obligation </w:t>
      </w:r>
      <w:r w:rsidR="00165A7D">
        <w:rPr>
          <w:rFonts w:cs="Times New Roman"/>
        </w:rPr>
        <w:t>to</w:t>
      </w:r>
      <w:r>
        <w:rPr>
          <w:rFonts w:cs="Times New Roman"/>
        </w:rPr>
        <w:t xml:space="preserve"> provi</w:t>
      </w:r>
      <w:r w:rsidR="00165A7D">
        <w:rPr>
          <w:rFonts w:cs="Times New Roman"/>
        </w:rPr>
        <w:t>de</w:t>
      </w:r>
      <w:r>
        <w:rPr>
          <w:rFonts w:cs="Times New Roman"/>
        </w:rPr>
        <w:t xml:space="preserve"> reasonable accommodation. It is also concerned at the little progress made in making public services and facilities accessible for persons with disabilities in spite of the numerous laws and regulations enacted by the State party to that end, thereby maintaining their marginalization in the society</w:t>
      </w:r>
      <w:r w:rsidR="000A5855">
        <w:rPr>
          <w:rFonts w:cs="Times New Roman"/>
        </w:rPr>
        <w:t xml:space="preserve"> (art. </w:t>
      </w:r>
      <w:r>
        <w:rPr>
          <w:rFonts w:cs="Times New Roman"/>
        </w:rPr>
        <w:t>2.2)</w:t>
      </w:r>
      <w:r w:rsidR="004C47A8">
        <w:rPr>
          <w:rFonts w:cs="Times New Roman"/>
        </w:rPr>
        <w:t>.</w:t>
      </w:r>
    </w:p>
    <w:p w:rsidR="0015447C" w:rsidRDefault="0015447C" w:rsidP="0015447C">
      <w:pPr>
        <w:pStyle w:val="SingleTxtG"/>
        <w:tabs>
          <w:tab w:val="left" w:pos="1701"/>
        </w:tabs>
        <w:rPr>
          <w:rFonts w:cs="Times New Roman"/>
          <w:b/>
          <w:bCs/>
          <w:lang w:val="en-US"/>
        </w:rPr>
      </w:pPr>
      <w:r>
        <w:rPr>
          <w:rFonts w:cs="Times New Roman"/>
          <w:b/>
          <w:bCs/>
        </w:rPr>
        <w:t xml:space="preserve">The Committee calls on the State party to bring Law No. 4 of 1997 into line with </w:t>
      </w:r>
      <w:r w:rsidR="003528E8">
        <w:rPr>
          <w:rFonts w:cs="Times New Roman"/>
          <w:b/>
          <w:bCs/>
        </w:rPr>
        <w:t>international human rights standards</w:t>
      </w:r>
      <w:r>
        <w:rPr>
          <w:rFonts w:cs="Times New Roman"/>
          <w:b/>
          <w:bCs/>
        </w:rPr>
        <w:t xml:space="preserve"> and </w:t>
      </w:r>
      <w:r>
        <w:rPr>
          <w:rFonts w:cs="Times New Roman"/>
          <w:b/>
          <w:bCs/>
          <w:lang w:val="en-US"/>
        </w:rPr>
        <w:t>define the denial of reasonable accommodation as a form of discrimination. The Committee also calls on the State party to amend all legislative provisions which discriminate or lead to discrimination against persons with disabilities.</w:t>
      </w:r>
    </w:p>
    <w:p w:rsidR="0015447C" w:rsidRDefault="0015447C" w:rsidP="0015447C">
      <w:pPr>
        <w:pStyle w:val="SingleTxtG"/>
        <w:tabs>
          <w:tab w:val="left" w:pos="1701"/>
        </w:tabs>
        <w:rPr>
          <w:rFonts w:cs="Times New Roman"/>
          <w:b/>
          <w:bCs/>
          <w:lang w:val="en-US"/>
        </w:rPr>
      </w:pPr>
      <w:r>
        <w:rPr>
          <w:rFonts w:cs="Times New Roman"/>
          <w:b/>
          <w:bCs/>
          <w:lang w:val="en-US"/>
        </w:rPr>
        <w:t>Moreover, the Committee recommends that the State party adopt a human rights-based policy for the promotion of the rights of persons with disabilities which includes, among others:</w:t>
      </w:r>
    </w:p>
    <w:p w:rsidR="0015447C" w:rsidRPr="000A5855" w:rsidRDefault="000A5855" w:rsidP="000A5855">
      <w:pPr>
        <w:pStyle w:val="SingleTxtG"/>
        <w:rPr>
          <w:b/>
          <w:bCs/>
        </w:rPr>
      </w:pPr>
      <w:r>
        <w:rPr>
          <w:b/>
          <w:bCs/>
        </w:rPr>
        <w:tab/>
        <w:t>(a)</w:t>
      </w:r>
      <w:r>
        <w:rPr>
          <w:b/>
          <w:bCs/>
        </w:rPr>
        <w:tab/>
      </w:r>
      <w:r w:rsidR="0015447C" w:rsidRPr="000A5855">
        <w:rPr>
          <w:b/>
          <w:bCs/>
        </w:rPr>
        <w:t>Awareness-raising campaigns to eliminate stigma, negative stereotypes and other cultural barriers to their full participation in society;</w:t>
      </w:r>
    </w:p>
    <w:p w:rsidR="0015447C" w:rsidRPr="000A5855" w:rsidRDefault="000A5855" w:rsidP="000A5855">
      <w:pPr>
        <w:pStyle w:val="SingleTxtG"/>
        <w:rPr>
          <w:b/>
          <w:bCs/>
        </w:rPr>
      </w:pPr>
      <w:r>
        <w:rPr>
          <w:b/>
          <w:bCs/>
        </w:rPr>
        <w:tab/>
        <w:t>(b)</w:t>
      </w:r>
      <w:r>
        <w:rPr>
          <w:b/>
          <w:bCs/>
        </w:rPr>
        <w:tab/>
      </w:r>
      <w:r w:rsidR="0015447C" w:rsidRPr="000A5855">
        <w:rPr>
          <w:b/>
          <w:bCs/>
        </w:rPr>
        <w:t>A timeline for rendering public services and facilities accessible to persons with disabilities;</w:t>
      </w:r>
    </w:p>
    <w:p w:rsidR="0015447C" w:rsidRPr="000A5855" w:rsidRDefault="000A5855" w:rsidP="000A5855">
      <w:pPr>
        <w:pStyle w:val="SingleTxtG"/>
        <w:rPr>
          <w:b/>
          <w:bCs/>
        </w:rPr>
      </w:pPr>
      <w:r>
        <w:rPr>
          <w:b/>
          <w:bCs/>
        </w:rPr>
        <w:tab/>
        <w:t>(c)</w:t>
      </w:r>
      <w:r>
        <w:rPr>
          <w:b/>
          <w:bCs/>
        </w:rPr>
        <w:tab/>
      </w:r>
      <w:r w:rsidR="0015447C" w:rsidRPr="000A5855">
        <w:rPr>
          <w:b/>
          <w:bCs/>
        </w:rPr>
        <w:t xml:space="preserve">The introduction of </w:t>
      </w:r>
      <w:r w:rsidR="00E229B3" w:rsidRPr="000A5855">
        <w:rPr>
          <w:b/>
          <w:bCs/>
        </w:rPr>
        <w:t xml:space="preserve">temporary special </w:t>
      </w:r>
      <w:r w:rsidR="0015447C" w:rsidRPr="000A5855">
        <w:rPr>
          <w:b/>
          <w:bCs/>
        </w:rPr>
        <w:t xml:space="preserve">measures in the fields of education and employment; </w:t>
      </w:r>
    </w:p>
    <w:p w:rsidR="0015447C" w:rsidRPr="000A5855" w:rsidRDefault="000A5855" w:rsidP="000A5855">
      <w:pPr>
        <w:pStyle w:val="SingleTxtG"/>
        <w:rPr>
          <w:b/>
          <w:bCs/>
        </w:rPr>
      </w:pPr>
      <w:r>
        <w:rPr>
          <w:b/>
          <w:bCs/>
        </w:rPr>
        <w:tab/>
        <w:t>(d)</w:t>
      </w:r>
      <w:r>
        <w:rPr>
          <w:b/>
          <w:bCs/>
        </w:rPr>
        <w:tab/>
      </w:r>
      <w:r w:rsidR="0015447C" w:rsidRPr="000A5855">
        <w:rPr>
          <w:b/>
          <w:bCs/>
        </w:rPr>
        <w:t xml:space="preserve">The enjoyment of </w:t>
      </w:r>
      <w:r w:rsidR="00E229B3" w:rsidRPr="000A5855">
        <w:rPr>
          <w:b/>
          <w:bCs/>
        </w:rPr>
        <w:t xml:space="preserve">economic, social and cultural rights by all </w:t>
      </w:r>
      <w:r w:rsidR="0015447C" w:rsidRPr="000A5855">
        <w:rPr>
          <w:b/>
          <w:bCs/>
        </w:rPr>
        <w:t>persons with disabilities.</w:t>
      </w:r>
    </w:p>
    <w:p w:rsidR="00240874" w:rsidRPr="003528E8" w:rsidRDefault="000A5855" w:rsidP="000A5855">
      <w:pPr>
        <w:pStyle w:val="H1G"/>
        <w:rPr>
          <w:lang w:val="en-US"/>
        </w:rPr>
      </w:pPr>
      <w:r>
        <w:rPr>
          <w:lang w:val="en-US"/>
        </w:rPr>
        <w:tab/>
      </w:r>
      <w:r>
        <w:rPr>
          <w:lang w:val="en-US"/>
        </w:rPr>
        <w:tab/>
      </w:r>
      <w:r w:rsidR="005276AC" w:rsidRPr="003528E8">
        <w:rPr>
          <w:lang w:val="en-US"/>
        </w:rPr>
        <w:t>E</w:t>
      </w:r>
      <w:r w:rsidR="005276AC">
        <w:rPr>
          <w:lang w:val="en-US"/>
        </w:rPr>
        <w:t>conomic, social and cultural rights</w:t>
      </w:r>
      <w:r w:rsidR="005276AC" w:rsidRPr="003528E8">
        <w:rPr>
          <w:lang w:val="en-US"/>
        </w:rPr>
        <w:t xml:space="preserve"> </w:t>
      </w:r>
      <w:r w:rsidR="00240874" w:rsidRPr="003528E8">
        <w:rPr>
          <w:lang w:val="en-US"/>
        </w:rPr>
        <w:t xml:space="preserve">in remote </w:t>
      </w:r>
      <w:r w:rsidR="00240874" w:rsidRPr="006E27D3">
        <w:rPr>
          <w:lang w:val="en-US"/>
        </w:rPr>
        <w:t>areas</w:t>
      </w:r>
    </w:p>
    <w:p w:rsidR="00240874" w:rsidRDefault="00D47C13" w:rsidP="00965F52">
      <w:pPr>
        <w:pStyle w:val="SingleTxtG"/>
        <w:numPr>
          <w:ilvl w:val="0"/>
          <w:numId w:val="17"/>
        </w:numPr>
        <w:tabs>
          <w:tab w:val="left" w:pos="1701"/>
        </w:tabs>
        <w:ind w:left="1134" w:firstLine="0"/>
        <w:rPr>
          <w:rFonts w:cs="Times New Roman"/>
        </w:rPr>
      </w:pPr>
      <w:r>
        <w:rPr>
          <w:rFonts w:cs="Times New Roman"/>
          <w:lang w:val="en-US"/>
        </w:rPr>
        <w:t xml:space="preserve">Acknowledging the challenges posed by the geographical </w:t>
      </w:r>
      <w:r w:rsidR="00965F52">
        <w:rPr>
          <w:rFonts w:cs="Times New Roman"/>
          <w:lang w:val="en-US"/>
        </w:rPr>
        <w:t>configuration</w:t>
      </w:r>
      <w:r>
        <w:rPr>
          <w:rFonts w:cs="Times New Roman"/>
          <w:lang w:val="en-US"/>
        </w:rPr>
        <w:t xml:space="preserve"> of the State party,</w:t>
      </w:r>
      <w:r w:rsidR="00162B54">
        <w:rPr>
          <w:rFonts w:cs="Times New Roman"/>
          <w:lang w:val="en-US"/>
        </w:rPr>
        <w:t xml:space="preserve"> the Committee is concerned </w:t>
      </w:r>
      <w:r w:rsidR="00935580">
        <w:rPr>
          <w:rFonts w:cs="Times New Roman"/>
          <w:lang w:val="en-US"/>
        </w:rPr>
        <w:t>that the minimum essential levels of economic, social and cultural rights are not guaranteed</w:t>
      </w:r>
      <w:r w:rsidR="00162B54">
        <w:rPr>
          <w:rFonts w:cs="Times New Roman"/>
          <w:lang w:val="en-US"/>
        </w:rPr>
        <w:t xml:space="preserve"> in remote</w:t>
      </w:r>
      <w:r w:rsidR="00965F52">
        <w:rPr>
          <w:rFonts w:cs="Times New Roman"/>
          <w:lang w:val="en-US"/>
        </w:rPr>
        <w:t xml:space="preserve"> </w:t>
      </w:r>
      <w:r w:rsidR="00162B54">
        <w:rPr>
          <w:rFonts w:cs="Times New Roman"/>
          <w:lang w:val="en-US"/>
        </w:rPr>
        <w:t>islands and areas</w:t>
      </w:r>
      <w:r w:rsidR="007236FE">
        <w:rPr>
          <w:rFonts w:cs="Times New Roman"/>
          <w:lang w:val="en-US"/>
        </w:rPr>
        <w:t xml:space="preserve"> </w:t>
      </w:r>
      <w:r w:rsidR="00AE4975">
        <w:rPr>
          <w:rFonts w:cs="Times New Roman"/>
          <w:lang w:val="en-US"/>
        </w:rPr>
        <w:t>in Papua</w:t>
      </w:r>
      <w:r w:rsidR="00424560">
        <w:rPr>
          <w:rFonts w:cs="Times New Roman"/>
          <w:lang w:val="en-US"/>
        </w:rPr>
        <w:t xml:space="preserve"> and other parts of the country</w:t>
      </w:r>
      <w:r w:rsidR="00AE4975">
        <w:rPr>
          <w:rFonts w:cs="Times New Roman"/>
          <w:lang w:val="en-US"/>
        </w:rPr>
        <w:t>,</w:t>
      </w:r>
      <w:r w:rsidR="00162B54">
        <w:rPr>
          <w:rFonts w:cs="Times New Roman"/>
          <w:lang w:val="en-US"/>
        </w:rPr>
        <w:t xml:space="preserve"> primarily due to unavailability and poor quality of public services</w:t>
      </w:r>
      <w:r w:rsidR="007D09DA">
        <w:rPr>
          <w:rFonts w:cs="Times New Roman"/>
          <w:lang w:val="en-US"/>
        </w:rPr>
        <w:t>,</w:t>
      </w:r>
      <w:r w:rsidR="001836C4">
        <w:rPr>
          <w:rFonts w:cs="Times New Roman"/>
          <w:lang w:val="en-US"/>
        </w:rPr>
        <w:t xml:space="preserve"> in</w:t>
      </w:r>
      <w:r w:rsidR="00935580">
        <w:rPr>
          <w:rFonts w:cs="Times New Roman"/>
          <w:lang w:val="en-US"/>
        </w:rPr>
        <w:t>cluding in</w:t>
      </w:r>
      <w:r w:rsidR="001836C4">
        <w:rPr>
          <w:rFonts w:cs="Times New Roman"/>
          <w:lang w:val="en-US"/>
        </w:rPr>
        <w:t xml:space="preserve"> education and health</w:t>
      </w:r>
      <w:r w:rsidR="00162B54">
        <w:rPr>
          <w:rFonts w:cs="Times New Roman"/>
          <w:lang w:val="en-US"/>
        </w:rPr>
        <w:t xml:space="preserve">. </w:t>
      </w:r>
      <w:r w:rsidR="008E6BC9">
        <w:rPr>
          <w:rFonts w:cs="Times New Roman"/>
          <w:lang w:val="en-US"/>
        </w:rPr>
        <w:t>Furthermore, t</w:t>
      </w:r>
      <w:r w:rsidR="00162B54">
        <w:rPr>
          <w:rFonts w:cs="Times New Roman"/>
          <w:lang w:val="en-US"/>
        </w:rPr>
        <w:t xml:space="preserve">he Committee expresses concern at the lack of access to remedies </w:t>
      </w:r>
      <w:r w:rsidR="00B874C9">
        <w:rPr>
          <w:rFonts w:cs="Times New Roman"/>
          <w:lang w:val="en-US"/>
        </w:rPr>
        <w:t>for</w:t>
      </w:r>
      <w:r w:rsidR="00162B54">
        <w:rPr>
          <w:rFonts w:cs="Times New Roman"/>
          <w:lang w:val="en-US"/>
        </w:rPr>
        <w:t xml:space="preserve"> violations of human rights </w:t>
      </w:r>
      <w:r w:rsidR="008E6BC9">
        <w:rPr>
          <w:rFonts w:cs="Times New Roman"/>
          <w:lang w:val="en-US"/>
        </w:rPr>
        <w:t xml:space="preserve">and </w:t>
      </w:r>
      <w:r w:rsidR="000966FE">
        <w:rPr>
          <w:rFonts w:cs="Times New Roman"/>
          <w:lang w:val="en-US"/>
        </w:rPr>
        <w:t xml:space="preserve">at </w:t>
      </w:r>
      <w:r w:rsidR="008E6BC9">
        <w:rPr>
          <w:rFonts w:cs="Times New Roman"/>
          <w:lang w:val="en-US"/>
        </w:rPr>
        <w:t>the lack of comprehensive</w:t>
      </w:r>
      <w:r w:rsidR="00162B54">
        <w:rPr>
          <w:rFonts w:cs="Times New Roman"/>
          <w:lang w:val="en-US"/>
        </w:rPr>
        <w:t xml:space="preserve"> knowledge of the </w:t>
      </w:r>
      <w:r w:rsidR="000966FE">
        <w:rPr>
          <w:rFonts w:cs="Times New Roman"/>
          <w:lang w:val="en-US"/>
        </w:rPr>
        <w:t xml:space="preserve">human rights </w:t>
      </w:r>
      <w:r w:rsidR="00162B54">
        <w:rPr>
          <w:rFonts w:cs="Times New Roman"/>
          <w:lang w:val="en-US"/>
        </w:rPr>
        <w:t>situation in those areas</w:t>
      </w:r>
      <w:r>
        <w:rPr>
          <w:rFonts w:cs="Times New Roman"/>
          <w:lang w:val="en-US"/>
        </w:rPr>
        <w:t xml:space="preserve"> </w:t>
      </w:r>
      <w:r w:rsidR="001836C4">
        <w:rPr>
          <w:rFonts w:cs="Times New Roman"/>
        </w:rPr>
        <w:t>(a</w:t>
      </w:r>
      <w:r w:rsidR="000A5855">
        <w:rPr>
          <w:rFonts w:cs="Times New Roman"/>
        </w:rPr>
        <w:t>rt. </w:t>
      </w:r>
      <w:r w:rsidR="001836C4">
        <w:rPr>
          <w:rFonts w:cs="Times New Roman"/>
        </w:rPr>
        <w:t>2.2)</w:t>
      </w:r>
      <w:r w:rsidR="004C47A8">
        <w:rPr>
          <w:rFonts w:cs="Times New Roman"/>
        </w:rPr>
        <w:t>.</w:t>
      </w:r>
    </w:p>
    <w:p w:rsidR="007F7A0B" w:rsidRDefault="00D47C13" w:rsidP="00E62BA3">
      <w:pPr>
        <w:pStyle w:val="SingleTxtG"/>
        <w:tabs>
          <w:tab w:val="left" w:pos="1701"/>
        </w:tabs>
        <w:rPr>
          <w:rFonts w:cs="Times New Roman"/>
          <w:b/>
          <w:bCs/>
        </w:rPr>
      </w:pPr>
      <w:r>
        <w:rPr>
          <w:rFonts w:cs="Times New Roman"/>
          <w:b/>
          <w:bCs/>
        </w:rPr>
        <w:t>Recalling that the exercise of Covenant rights should not be conditional on, or determined by</w:t>
      </w:r>
      <w:r w:rsidR="00E229B3">
        <w:rPr>
          <w:rFonts w:cs="Times New Roman"/>
          <w:b/>
          <w:bCs/>
        </w:rPr>
        <w:t>,</w:t>
      </w:r>
      <w:r>
        <w:rPr>
          <w:rFonts w:cs="Times New Roman"/>
          <w:b/>
          <w:bCs/>
        </w:rPr>
        <w:t xml:space="preserve"> the place of residence, </w:t>
      </w:r>
      <w:r w:rsidR="002433E9">
        <w:rPr>
          <w:rFonts w:cs="Times New Roman"/>
          <w:b/>
          <w:bCs/>
        </w:rPr>
        <w:t xml:space="preserve">and referring to Law No. 25/2009 on Public Service, </w:t>
      </w:r>
      <w:r>
        <w:rPr>
          <w:rFonts w:cs="Times New Roman"/>
          <w:b/>
          <w:bCs/>
        </w:rPr>
        <w:t>the Commit</w:t>
      </w:r>
      <w:r w:rsidR="00162B54">
        <w:rPr>
          <w:rFonts w:cs="Times New Roman"/>
          <w:b/>
          <w:bCs/>
        </w:rPr>
        <w:t>tee calls on the State party to</w:t>
      </w:r>
      <w:r w:rsidR="00E62BA3">
        <w:rPr>
          <w:rFonts w:cs="Times New Roman"/>
          <w:b/>
          <w:bCs/>
        </w:rPr>
        <w:t xml:space="preserve"> adopt a human rights-based approach in the implementation of the National Medium</w:t>
      </w:r>
      <w:r w:rsidR="007D09DA">
        <w:rPr>
          <w:rFonts w:cs="Times New Roman"/>
          <w:b/>
          <w:bCs/>
        </w:rPr>
        <w:t>-</w:t>
      </w:r>
      <w:r w:rsidR="00E62BA3">
        <w:rPr>
          <w:rFonts w:cs="Times New Roman"/>
          <w:b/>
          <w:bCs/>
        </w:rPr>
        <w:t>Term Development</w:t>
      </w:r>
      <w:r w:rsidR="000A5855">
        <w:rPr>
          <w:rFonts w:cs="Times New Roman"/>
          <w:b/>
          <w:bCs/>
        </w:rPr>
        <w:t xml:space="preserve"> Plan (RPJMN) for 2015-2019 and </w:t>
      </w:r>
      <w:r w:rsidR="00E62BA3">
        <w:rPr>
          <w:rFonts w:cs="Times New Roman"/>
          <w:b/>
          <w:bCs/>
        </w:rPr>
        <w:t>to</w:t>
      </w:r>
      <w:r w:rsidR="007F7A0B">
        <w:rPr>
          <w:rFonts w:cs="Times New Roman"/>
          <w:b/>
          <w:bCs/>
        </w:rPr>
        <w:t>:</w:t>
      </w:r>
    </w:p>
    <w:p w:rsidR="00D47C13" w:rsidRPr="000A5855" w:rsidRDefault="000A5855" w:rsidP="000A5855">
      <w:pPr>
        <w:pStyle w:val="SingleTxtG"/>
        <w:rPr>
          <w:b/>
          <w:bCs/>
        </w:rPr>
      </w:pPr>
      <w:r>
        <w:rPr>
          <w:b/>
          <w:bCs/>
        </w:rPr>
        <w:tab/>
        <w:t>(a)</w:t>
      </w:r>
      <w:r>
        <w:rPr>
          <w:b/>
          <w:bCs/>
        </w:rPr>
        <w:tab/>
        <w:t>A</w:t>
      </w:r>
      <w:r w:rsidR="007F7A0B" w:rsidRPr="000A5855">
        <w:rPr>
          <w:b/>
          <w:bCs/>
        </w:rPr>
        <w:t xml:space="preserve">ccelerate the delivery of </w:t>
      </w:r>
      <w:r w:rsidR="003528E8" w:rsidRPr="000A5855">
        <w:rPr>
          <w:b/>
          <w:bCs/>
        </w:rPr>
        <w:t xml:space="preserve">quality </w:t>
      </w:r>
      <w:r w:rsidR="007F7A0B" w:rsidRPr="000A5855">
        <w:rPr>
          <w:b/>
          <w:bCs/>
        </w:rPr>
        <w:t>public services in remote islands and areas</w:t>
      </w:r>
      <w:r w:rsidR="007236FE" w:rsidRPr="000A5855">
        <w:rPr>
          <w:b/>
          <w:bCs/>
        </w:rPr>
        <w:t xml:space="preserve"> </w:t>
      </w:r>
      <w:r w:rsidR="00AE4975" w:rsidRPr="000A5855">
        <w:rPr>
          <w:b/>
          <w:bCs/>
        </w:rPr>
        <w:t>in Papua</w:t>
      </w:r>
      <w:r w:rsidR="00424560" w:rsidRPr="000A5855">
        <w:rPr>
          <w:b/>
          <w:bCs/>
        </w:rPr>
        <w:t xml:space="preserve"> and other parts of the country</w:t>
      </w:r>
      <w:r w:rsidR="00AE4975" w:rsidRPr="000A5855">
        <w:rPr>
          <w:b/>
          <w:bCs/>
        </w:rPr>
        <w:t>,</w:t>
      </w:r>
      <w:r w:rsidR="007F7A0B" w:rsidRPr="000A5855">
        <w:rPr>
          <w:b/>
          <w:bCs/>
        </w:rPr>
        <w:t xml:space="preserve"> by allocating the necessary human and financial resources</w:t>
      </w:r>
      <w:r w:rsidR="003528E8" w:rsidRPr="000A5855">
        <w:rPr>
          <w:b/>
          <w:bCs/>
        </w:rPr>
        <w:t>,</w:t>
      </w:r>
      <w:r w:rsidR="007F7A0B" w:rsidRPr="000A5855">
        <w:rPr>
          <w:b/>
          <w:bCs/>
        </w:rPr>
        <w:t xml:space="preserve"> by monitoring that they reach the </w:t>
      </w:r>
      <w:r w:rsidR="00935580" w:rsidRPr="000A5855">
        <w:rPr>
          <w:b/>
          <w:bCs/>
        </w:rPr>
        <w:t xml:space="preserve">intended </w:t>
      </w:r>
      <w:r w:rsidR="007F7A0B" w:rsidRPr="000A5855">
        <w:rPr>
          <w:b/>
          <w:bCs/>
        </w:rPr>
        <w:t>beneficiaries</w:t>
      </w:r>
      <w:r w:rsidR="00D45F63" w:rsidRPr="000A5855">
        <w:rPr>
          <w:b/>
          <w:bCs/>
        </w:rPr>
        <w:t xml:space="preserve">, and by clearly defining the responsibilities of the various levels of </w:t>
      </w:r>
      <w:r w:rsidR="007D09DA">
        <w:rPr>
          <w:b/>
          <w:bCs/>
        </w:rPr>
        <w:t>G</w:t>
      </w:r>
      <w:r w:rsidR="007D09DA" w:rsidRPr="000A5855">
        <w:rPr>
          <w:b/>
          <w:bCs/>
        </w:rPr>
        <w:t>overnment</w:t>
      </w:r>
      <w:r w:rsidR="007F7A0B" w:rsidRPr="000A5855">
        <w:rPr>
          <w:b/>
          <w:bCs/>
        </w:rPr>
        <w:t>;</w:t>
      </w:r>
    </w:p>
    <w:p w:rsidR="007F7A0B" w:rsidRPr="000A5855" w:rsidRDefault="000A5855" w:rsidP="000A5855">
      <w:pPr>
        <w:pStyle w:val="SingleTxtG"/>
        <w:rPr>
          <w:b/>
          <w:bCs/>
        </w:rPr>
      </w:pPr>
      <w:r>
        <w:rPr>
          <w:b/>
          <w:bCs/>
        </w:rPr>
        <w:tab/>
        <w:t>(b)</w:t>
      </w:r>
      <w:r>
        <w:rPr>
          <w:b/>
          <w:bCs/>
        </w:rPr>
        <w:tab/>
        <w:t>E</w:t>
      </w:r>
      <w:r w:rsidR="007F7A0B" w:rsidRPr="000A5855">
        <w:rPr>
          <w:b/>
          <w:bCs/>
        </w:rPr>
        <w:t xml:space="preserve">nsure that judicial </w:t>
      </w:r>
      <w:r w:rsidR="00DA5C07" w:rsidRPr="000A5855">
        <w:rPr>
          <w:b/>
          <w:bCs/>
        </w:rPr>
        <w:t xml:space="preserve">remedies </w:t>
      </w:r>
      <w:r w:rsidR="007F7A0B" w:rsidRPr="000A5855">
        <w:rPr>
          <w:b/>
          <w:bCs/>
        </w:rPr>
        <w:t xml:space="preserve">and non-judicial </w:t>
      </w:r>
      <w:r w:rsidR="008E6BC9" w:rsidRPr="000A5855">
        <w:rPr>
          <w:b/>
          <w:bCs/>
        </w:rPr>
        <w:t>institutions, such as the</w:t>
      </w:r>
      <w:r w:rsidR="00DA5C07" w:rsidRPr="000A5855">
        <w:rPr>
          <w:b/>
          <w:bCs/>
        </w:rPr>
        <w:t xml:space="preserve"> State party’s national human rights institutions</w:t>
      </w:r>
      <w:r w:rsidR="008E6BC9" w:rsidRPr="000A5855">
        <w:rPr>
          <w:b/>
          <w:bCs/>
        </w:rPr>
        <w:t>,</w:t>
      </w:r>
      <w:r w:rsidR="00DA5C07" w:rsidRPr="000A5855">
        <w:rPr>
          <w:b/>
          <w:bCs/>
        </w:rPr>
        <w:t xml:space="preserve"> </w:t>
      </w:r>
      <w:r w:rsidR="007F7A0B" w:rsidRPr="000A5855">
        <w:rPr>
          <w:b/>
          <w:bCs/>
        </w:rPr>
        <w:t>are accessible in those areas;</w:t>
      </w:r>
    </w:p>
    <w:p w:rsidR="007F7A0B" w:rsidRPr="000A5855" w:rsidRDefault="000A5855" w:rsidP="000A5855">
      <w:pPr>
        <w:pStyle w:val="SingleTxtG"/>
        <w:rPr>
          <w:b/>
          <w:bCs/>
        </w:rPr>
      </w:pPr>
      <w:r>
        <w:rPr>
          <w:b/>
          <w:bCs/>
        </w:rPr>
        <w:tab/>
        <w:t>(c)</w:t>
      </w:r>
      <w:r>
        <w:rPr>
          <w:b/>
          <w:bCs/>
        </w:rPr>
        <w:tab/>
        <w:t>U</w:t>
      </w:r>
      <w:r w:rsidR="007F7A0B" w:rsidRPr="000A5855">
        <w:rPr>
          <w:b/>
          <w:bCs/>
        </w:rPr>
        <w:t xml:space="preserve">ndertake to collect information on the situation of economic, social and cultural rights </w:t>
      </w:r>
      <w:r w:rsidR="00965F52" w:rsidRPr="000A5855">
        <w:rPr>
          <w:b/>
          <w:bCs/>
        </w:rPr>
        <w:t xml:space="preserve">of ethnic groups </w:t>
      </w:r>
      <w:r w:rsidR="007F7A0B" w:rsidRPr="000A5855">
        <w:rPr>
          <w:b/>
          <w:bCs/>
        </w:rPr>
        <w:t>in highlands, remote</w:t>
      </w:r>
      <w:r w:rsidR="00965F52" w:rsidRPr="000A5855">
        <w:rPr>
          <w:b/>
          <w:bCs/>
        </w:rPr>
        <w:t xml:space="preserve"> and border</w:t>
      </w:r>
      <w:r w:rsidR="007F7A0B" w:rsidRPr="000A5855">
        <w:rPr>
          <w:b/>
          <w:bCs/>
        </w:rPr>
        <w:t xml:space="preserve"> islands and areas, in collaboration with the national hu</w:t>
      </w:r>
      <w:r w:rsidR="009F6B5E" w:rsidRPr="000A5855">
        <w:rPr>
          <w:b/>
          <w:bCs/>
        </w:rPr>
        <w:t xml:space="preserve">man rights institutions and </w:t>
      </w:r>
      <w:r w:rsidR="007F7A0B" w:rsidRPr="000A5855">
        <w:rPr>
          <w:b/>
          <w:bCs/>
        </w:rPr>
        <w:t>civil society</w:t>
      </w:r>
      <w:r w:rsidR="009F6B5E" w:rsidRPr="000A5855">
        <w:rPr>
          <w:b/>
          <w:bCs/>
        </w:rPr>
        <w:t xml:space="preserve"> organizations</w:t>
      </w:r>
      <w:r w:rsidR="007F7A0B" w:rsidRPr="000A5855">
        <w:rPr>
          <w:b/>
          <w:bCs/>
        </w:rPr>
        <w:t>.</w:t>
      </w:r>
    </w:p>
    <w:p w:rsidR="00935580" w:rsidRPr="00935580" w:rsidRDefault="00935580" w:rsidP="00935580">
      <w:pPr>
        <w:pStyle w:val="SingleTxtG"/>
        <w:tabs>
          <w:tab w:val="left" w:pos="1701"/>
        </w:tabs>
        <w:rPr>
          <w:rFonts w:cs="Times New Roman"/>
          <w:b/>
          <w:bCs/>
          <w:lang w:val="en-US"/>
        </w:rPr>
      </w:pPr>
      <w:r>
        <w:rPr>
          <w:rFonts w:cs="Times New Roman"/>
          <w:b/>
          <w:bCs/>
        </w:rPr>
        <w:t xml:space="preserve">The Committee refers </w:t>
      </w:r>
      <w:r w:rsidR="004A3051">
        <w:rPr>
          <w:rFonts w:cs="Times New Roman"/>
          <w:b/>
          <w:bCs/>
        </w:rPr>
        <w:t xml:space="preserve">to </w:t>
      </w:r>
      <w:r>
        <w:rPr>
          <w:rFonts w:cs="Times New Roman"/>
          <w:b/>
          <w:bCs/>
        </w:rPr>
        <w:t xml:space="preserve">the State party to its statement on poverty and the Covenant, </w:t>
      </w:r>
      <w:r w:rsidRPr="00935580">
        <w:rPr>
          <w:rFonts w:cs="Times New Roman"/>
          <w:b/>
          <w:bCs/>
        </w:rPr>
        <w:t xml:space="preserve">adopted on 4 </w:t>
      </w:r>
      <w:r w:rsidR="007D09DA">
        <w:rPr>
          <w:rFonts w:cs="Times New Roman"/>
          <w:b/>
          <w:bCs/>
        </w:rPr>
        <w:t>M</w:t>
      </w:r>
      <w:r w:rsidR="007D09DA" w:rsidRPr="00935580">
        <w:rPr>
          <w:rFonts w:cs="Times New Roman"/>
          <w:b/>
          <w:bCs/>
        </w:rPr>
        <w:t xml:space="preserve">ay </w:t>
      </w:r>
      <w:r w:rsidRPr="00935580">
        <w:rPr>
          <w:rFonts w:cs="Times New Roman"/>
          <w:b/>
          <w:bCs/>
        </w:rPr>
        <w:t>2001 (</w:t>
      </w:r>
      <w:r w:rsidR="007D09DA">
        <w:rPr>
          <w:rFonts w:cs="Times New Roman"/>
          <w:b/>
          <w:bCs/>
        </w:rPr>
        <w:t>E</w:t>
      </w:r>
      <w:r w:rsidR="002C145B">
        <w:rPr>
          <w:rFonts w:cs="Times New Roman"/>
          <w:b/>
          <w:bCs/>
        </w:rPr>
        <w:t>/2002/22-</w:t>
      </w:r>
      <w:r w:rsidR="007D09DA">
        <w:rPr>
          <w:rFonts w:cs="Times New Roman"/>
          <w:b/>
          <w:bCs/>
        </w:rPr>
        <w:t>E</w:t>
      </w:r>
      <w:r w:rsidR="002C145B">
        <w:rPr>
          <w:rFonts w:cs="Times New Roman"/>
          <w:b/>
          <w:bCs/>
        </w:rPr>
        <w:t>/</w:t>
      </w:r>
      <w:r w:rsidR="007D09DA">
        <w:rPr>
          <w:rFonts w:cs="Times New Roman"/>
          <w:b/>
          <w:bCs/>
        </w:rPr>
        <w:t>C</w:t>
      </w:r>
      <w:r w:rsidR="002C145B">
        <w:rPr>
          <w:rFonts w:cs="Times New Roman"/>
          <w:b/>
          <w:bCs/>
        </w:rPr>
        <w:t>.12/2001/17, annex </w:t>
      </w:r>
      <w:r w:rsidRPr="00935580">
        <w:rPr>
          <w:rFonts w:cs="Times New Roman"/>
          <w:b/>
          <w:bCs/>
        </w:rPr>
        <w:t>vii</w:t>
      </w:r>
      <w:r>
        <w:rPr>
          <w:rFonts w:cs="Times New Roman"/>
          <w:b/>
          <w:bCs/>
        </w:rPr>
        <w:t>).</w:t>
      </w:r>
    </w:p>
    <w:p w:rsidR="00CD2030" w:rsidRPr="00B847E9" w:rsidRDefault="004E1049" w:rsidP="000A5855">
      <w:pPr>
        <w:pStyle w:val="H1G"/>
        <w:rPr>
          <w:rFonts w:cs="Times New Roman"/>
          <w:bCs/>
        </w:rPr>
      </w:pPr>
      <w:r>
        <w:tab/>
      </w:r>
      <w:r>
        <w:tab/>
      </w:r>
      <w:r w:rsidR="00CD2030" w:rsidRPr="00CD2030">
        <w:t>Multiple</w:t>
      </w:r>
      <w:r w:rsidR="00CD2030">
        <w:rPr>
          <w:rFonts w:cs="Times New Roman"/>
          <w:bCs/>
        </w:rPr>
        <w:t xml:space="preserve"> discriminations</w:t>
      </w:r>
    </w:p>
    <w:p w:rsidR="00CD2030" w:rsidRDefault="007D09DA" w:rsidP="00CD2030">
      <w:pPr>
        <w:pStyle w:val="SingleTxtG"/>
        <w:numPr>
          <w:ilvl w:val="0"/>
          <w:numId w:val="17"/>
        </w:numPr>
        <w:tabs>
          <w:tab w:val="left" w:pos="1701"/>
        </w:tabs>
        <w:ind w:left="1134" w:firstLine="0"/>
        <w:rPr>
          <w:lang w:val="en-US"/>
        </w:rPr>
      </w:pPr>
      <w:r>
        <w:rPr>
          <w:lang w:val="en-US"/>
        </w:rPr>
        <w:t xml:space="preserve">The </w:t>
      </w:r>
      <w:r w:rsidR="00CD2030">
        <w:rPr>
          <w:lang w:val="en-US"/>
        </w:rPr>
        <w:t xml:space="preserve">Committee is concerned at the </w:t>
      </w:r>
      <w:r w:rsidR="00CD2030" w:rsidRPr="0015447C">
        <w:rPr>
          <w:rFonts w:cs="Times New Roman"/>
          <w:lang w:val="en-US"/>
        </w:rPr>
        <w:t>situation</w:t>
      </w:r>
      <w:r w:rsidR="00CD2030">
        <w:rPr>
          <w:lang w:val="en-US"/>
        </w:rPr>
        <w:t xml:space="preserve"> of several groups who suffer multiple </w:t>
      </w:r>
      <w:r w:rsidR="00CD2030" w:rsidRPr="00B847E9">
        <w:rPr>
          <w:rFonts w:cs="Times New Roman"/>
        </w:rPr>
        <w:t>discriminations</w:t>
      </w:r>
      <w:r w:rsidR="00901149">
        <w:rPr>
          <w:rFonts w:cs="Times New Roman"/>
        </w:rPr>
        <w:t xml:space="preserve">, including </w:t>
      </w:r>
      <w:r w:rsidR="00901149" w:rsidRPr="00901149">
        <w:rPr>
          <w:rFonts w:cs="Times New Roman"/>
          <w:bCs/>
        </w:rPr>
        <w:t>stateless</w:t>
      </w:r>
      <w:r w:rsidR="00901149" w:rsidRPr="00901149">
        <w:rPr>
          <w:lang w:val="en-US"/>
        </w:rPr>
        <w:t xml:space="preserve"> persons and persons without identity documentation, religious communities and other persons displaced by conflicts and natural disasters</w:t>
      </w:r>
      <w:r w:rsidR="002C145B">
        <w:rPr>
          <w:lang w:val="en-US"/>
        </w:rPr>
        <w:t xml:space="preserve"> (art. </w:t>
      </w:r>
      <w:r w:rsidR="00CD2030">
        <w:rPr>
          <w:lang w:val="en-US"/>
        </w:rPr>
        <w:t>2.2)</w:t>
      </w:r>
      <w:r w:rsidR="004C47A8">
        <w:rPr>
          <w:lang w:val="en-US"/>
        </w:rPr>
        <w:t>.</w:t>
      </w:r>
    </w:p>
    <w:p w:rsidR="00CD2030" w:rsidRPr="00B847E9" w:rsidRDefault="00CD2030" w:rsidP="00CD2030">
      <w:pPr>
        <w:pStyle w:val="SingleTxtG"/>
        <w:tabs>
          <w:tab w:val="left" w:pos="1701"/>
        </w:tabs>
        <w:rPr>
          <w:b/>
          <w:lang w:val="en-US"/>
        </w:rPr>
      </w:pPr>
      <w:r>
        <w:rPr>
          <w:b/>
          <w:lang w:val="en-US"/>
        </w:rPr>
        <w:t>The Committee recommends that the State party adop</w:t>
      </w:r>
      <w:r w:rsidR="002C145B">
        <w:rPr>
          <w:b/>
          <w:lang w:val="en-US"/>
        </w:rPr>
        <w:t>t targeted policies in the 2015-</w:t>
      </w:r>
      <w:r>
        <w:rPr>
          <w:b/>
          <w:lang w:val="en-US"/>
        </w:rPr>
        <w:t>2019 National Medium Term Development Plan for groups</w:t>
      </w:r>
      <w:r w:rsidRPr="003C1DAF">
        <w:rPr>
          <w:b/>
          <w:lang w:val="en-US"/>
        </w:rPr>
        <w:t xml:space="preserve"> </w:t>
      </w:r>
      <w:r w:rsidR="00AF3A0B">
        <w:rPr>
          <w:b/>
          <w:lang w:val="en-US"/>
        </w:rPr>
        <w:t xml:space="preserve">who experience multiple discriminations </w:t>
      </w:r>
      <w:r w:rsidRPr="003C1DAF">
        <w:rPr>
          <w:b/>
          <w:lang w:val="en-US"/>
        </w:rPr>
        <w:t xml:space="preserve">such as </w:t>
      </w:r>
      <w:r w:rsidRPr="00B847E9">
        <w:rPr>
          <w:rFonts w:cs="Times New Roman"/>
          <w:b/>
          <w:bCs/>
        </w:rPr>
        <w:t>stateless</w:t>
      </w:r>
      <w:r w:rsidRPr="003C1DAF">
        <w:rPr>
          <w:b/>
          <w:lang w:val="en-US"/>
        </w:rPr>
        <w:t xml:space="preserve"> persons and persons without identity documentation, religious communities and other persons displaced by conflicts and natural disasters,</w:t>
      </w:r>
      <w:r>
        <w:rPr>
          <w:b/>
          <w:lang w:val="en-US"/>
        </w:rPr>
        <w:t xml:space="preserve"> which include (a) the</w:t>
      </w:r>
      <w:r w:rsidR="00AF3A0B">
        <w:rPr>
          <w:b/>
          <w:lang w:val="en-US"/>
        </w:rPr>
        <w:t xml:space="preserve"> facilitation of the</w:t>
      </w:r>
      <w:r>
        <w:rPr>
          <w:b/>
          <w:lang w:val="en-US"/>
        </w:rPr>
        <w:t xml:space="preserve"> issuance of identity documents</w:t>
      </w:r>
      <w:r w:rsidR="00AF3A0B">
        <w:rPr>
          <w:b/>
          <w:lang w:val="en-US"/>
        </w:rPr>
        <w:t xml:space="preserve"> and birth and civil registration</w:t>
      </w:r>
      <w:r>
        <w:rPr>
          <w:b/>
          <w:lang w:val="en-US"/>
        </w:rPr>
        <w:t xml:space="preserve">; (b) the provision of services and assistance </w:t>
      </w:r>
      <w:r w:rsidR="00AF3A0B">
        <w:rPr>
          <w:b/>
          <w:lang w:val="en-US"/>
        </w:rPr>
        <w:t>to displaced persons and</w:t>
      </w:r>
      <w:r>
        <w:rPr>
          <w:b/>
          <w:lang w:val="en-US"/>
        </w:rPr>
        <w:t xml:space="preserve"> returnees; and (c) the provision of the necessary mental health services in post-conflict areas.</w:t>
      </w:r>
    </w:p>
    <w:p w:rsidR="00A816F9" w:rsidRPr="00FA778F" w:rsidRDefault="00CD2030" w:rsidP="000A5855">
      <w:pPr>
        <w:pStyle w:val="H1G"/>
      </w:pPr>
      <w:r>
        <w:tab/>
      </w:r>
      <w:r>
        <w:tab/>
      </w:r>
      <w:r w:rsidR="00A816F9">
        <w:t>Gender pay gap</w:t>
      </w:r>
    </w:p>
    <w:p w:rsidR="00E36D56" w:rsidRDefault="00347403" w:rsidP="00347403">
      <w:pPr>
        <w:pStyle w:val="SingleTxtG"/>
        <w:numPr>
          <w:ilvl w:val="0"/>
          <w:numId w:val="17"/>
        </w:numPr>
        <w:tabs>
          <w:tab w:val="left" w:pos="1701"/>
        </w:tabs>
        <w:ind w:left="1134" w:firstLine="0"/>
        <w:rPr>
          <w:rFonts w:cs="Times New Roman"/>
        </w:rPr>
      </w:pPr>
      <w:r>
        <w:rPr>
          <w:rFonts w:cs="Times New Roman"/>
        </w:rPr>
        <w:t>The Committee is concerned a</w:t>
      </w:r>
      <w:r w:rsidR="00EF36ED">
        <w:rPr>
          <w:rFonts w:cs="Times New Roman"/>
        </w:rPr>
        <w:t>bou</w:t>
      </w:r>
      <w:r>
        <w:rPr>
          <w:rFonts w:cs="Times New Roman"/>
        </w:rPr>
        <w:t>t the considerable gender pay gap in the State party due to the concentration of women in lower-paying employment sectors and their underrepresentation in high level positions in the public and private sectors</w:t>
      </w:r>
      <w:r w:rsidR="002C145B">
        <w:rPr>
          <w:rFonts w:cs="Times New Roman"/>
        </w:rPr>
        <w:t xml:space="preserve"> (art. </w:t>
      </w:r>
      <w:r>
        <w:rPr>
          <w:rFonts w:cs="Times New Roman"/>
        </w:rPr>
        <w:t>3)</w:t>
      </w:r>
      <w:r w:rsidR="004C47A8">
        <w:rPr>
          <w:rFonts w:cs="Times New Roman"/>
        </w:rPr>
        <w:t>.</w:t>
      </w:r>
    </w:p>
    <w:p w:rsidR="00347403" w:rsidRDefault="00347403" w:rsidP="002C145B">
      <w:pPr>
        <w:pStyle w:val="SingleTxtG"/>
        <w:keepNext/>
        <w:tabs>
          <w:tab w:val="left" w:pos="1701"/>
        </w:tabs>
        <w:rPr>
          <w:rFonts w:cs="Times New Roman"/>
          <w:b/>
          <w:bCs/>
        </w:rPr>
      </w:pPr>
      <w:r>
        <w:rPr>
          <w:rFonts w:cs="Times New Roman"/>
          <w:b/>
          <w:bCs/>
        </w:rPr>
        <w:t>The Committee recommends that the State party:</w:t>
      </w:r>
    </w:p>
    <w:p w:rsidR="00A816F9" w:rsidRPr="002C145B" w:rsidRDefault="002C145B" w:rsidP="002C145B">
      <w:pPr>
        <w:pStyle w:val="SingleTxtG"/>
        <w:rPr>
          <w:b/>
          <w:bCs/>
        </w:rPr>
      </w:pPr>
      <w:r>
        <w:rPr>
          <w:b/>
          <w:bCs/>
        </w:rPr>
        <w:tab/>
        <w:t>(a)</w:t>
      </w:r>
      <w:r>
        <w:rPr>
          <w:b/>
          <w:bCs/>
        </w:rPr>
        <w:tab/>
        <w:t>E</w:t>
      </w:r>
      <w:r w:rsidR="00A816F9" w:rsidRPr="002C145B">
        <w:rPr>
          <w:b/>
          <w:bCs/>
        </w:rPr>
        <w:t>ducate men and women about equal career opportunities with a view to promoting their pursuance of education and training in fields other than those traditionally dominated by either sex;</w:t>
      </w:r>
    </w:p>
    <w:p w:rsidR="00347403" w:rsidRPr="002C145B" w:rsidRDefault="002C145B" w:rsidP="002C145B">
      <w:pPr>
        <w:pStyle w:val="SingleTxtG"/>
        <w:rPr>
          <w:b/>
          <w:bCs/>
        </w:rPr>
      </w:pPr>
      <w:r>
        <w:rPr>
          <w:b/>
          <w:bCs/>
        </w:rPr>
        <w:tab/>
        <w:t>(b)</w:t>
      </w:r>
      <w:r>
        <w:rPr>
          <w:b/>
          <w:bCs/>
        </w:rPr>
        <w:tab/>
        <w:t>U</w:t>
      </w:r>
      <w:r w:rsidR="00A816F9" w:rsidRPr="002C145B">
        <w:rPr>
          <w:b/>
          <w:bCs/>
        </w:rPr>
        <w:t>ndertake a survey and classification of work considered as being of equal value;</w:t>
      </w:r>
    </w:p>
    <w:p w:rsidR="00A816F9" w:rsidRPr="002C145B" w:rsidRDefault="002C145B" w:rsidP="002C145B">
      <w:pPr>
        <w:pStyle w:val="SingleTxtG"/>
        <w:rPr>
          <w:b/>
          <w:bCs/>
        </w:rPr>
      </w:pPr>
      <w:r>
        <w:rPr>
          <w:b/>
          <w:bCs/>
        </w:rPr>
        <w:tab/>
        <w:t>(c)</w:t>
      </w:r>
      <w:r>
        <w:rPr>
          <w:b/>
          <w:bCs/>
        </w:rPr>
        <w:tab/>
        <w:t>P</w:t>
      </w:r>
      <w:r w:rsidR="00A816F9" w:rsidRPr="002C145B">
        <w:rPr>
          <w:b/>
          <w:bCs/>
        </w:rPr>
        <w:t xml:space="preserve">romote women’s access to high level positions in the public and private sectors, including </w:t>
      </w:r>
      <w:r w:rsidR="00CD2030" w:rsidRPr="002C145B">
        <w:rPr>
          <w:b/>
          <w:bCs/>
        </w:rPr>
        <w:t>by implementing</w:t>
      </w:r>
      <w:r w:rsidR="00A816F9" w:rsidRPr="002C145B">
        <w:rPr>
          <w:b/>
          <w:bCs/>
        </w:rPr>
        <w:t xml:space="preserve"> temporary special measures, and address</w:t>
      </w:r>
      <w:r w:rsidR="00CD2030" w:rsidRPr="002C145B">
        <w:rPr>
          <w:b/>
          <w:bCs/>
        </w:rPr>
        <w:t>ing</w:t>
      </w:r>
      <w:r w:rsidR="00A816F9" w:rsidRPr="002C145B">
        <w:rPr>
          <w:b/>
          <w:bCs/>
        </w:rPr>
        <w:t xml:space="preserve"> obstacles to their career advancement, such as sexual harassment</w:t>
      </w:r>
      <w:r w:rsidR="007C51E7" w:rsidRPr="002C145B">
        <w:rPr>
          <w:b/>
          <w:bCs/>
        </w:rPr>
        <w:t xml:space="preserve"> in the workplace and traditional gender role stereotypes</w:t>
      </w:r>
      <w:r w:rsidR="00A816F9" w:rsidRPr="002C145B">
        <w:rPr>
          <w:b/>
          <w:bCs/>
        </w:rPr>
        <w:t>.</w:t>
      </w:r>
    </w:p>
    <w:p w:rsidR="00A816F9" w:rsidRPr="00347403" w:rsidRDefault="00B847E9" w:rsidP="000A5855">
      <w:pPr>
        <w:pStyle w:val="H1G"/>
      </w:pPr>
      <w:r>
        <w:tab/>
      </w:r>
      <w:r>
        <w:tab/>
      </w:r>
      <w:r w:rsidR="00A816F9">
        <w:t>Employment in the formal sector</w:t>
      </w:r>
    </w:p>
    <w:p w:rsidR="00E36D56" w:rsidRPr="00FC0156" w:rsidRDefault="00FC0156" w:rsidP="00553D18">
      <w:pPr>
        <w:pStyle w:val="SingleTxtG"/>
        <w:numPr>
          <w:ilvl w:val="0"/>
          <w:numId w:val="17"/>
        </w:numPr>
        <w:tabs>
          <w:tab w:val="left" w:pos="1701"/>
        </w:tabs>
        <w:ind w:left="1134" w:firstLine="0"/>
        <w:rPr>
          <w:rFonts w:cs="Times New Roman"/>
        </w:rPr>
      </w:pPr>
      <w:r>
        <w:rPr>
          <w:rFonts w:cs="Times New Roman"/>
        </w:rPr>
        <w:t xml:space="preserve">The Committee is concerned at the provisions of </w:t>
      </w:r>
      <w:r w:rsidR="005339E9">
        <w:rPr>
          <w:rFonts w:cs="Times New Roman"/>
          <w:lang w:val="en-US"/>
        </w:rPr>
        <w:t xml:space="preserve">Manpower </w:t>
      </w:r>
      <w:r w:rsidR="002C145B">
        <w:rPr>
          <w:rFonts w:cs="Times New Roman"/>
          <w:lang w:val="en-US"/>
        </w:rPr>
        <w:t>Law No. </w:t>
      </w:r>
      <w:r>
        <w:rPr>
          <w:rFonts w:cs="Times New Roman"/>
          <w:lang w:val="en-US"/>
        </w:rPr>
        <w:t>13 of 2003 which allow the conclusion of employment agreements to be made orally.</w:t>
      </w:r>
      <w:r w:rsidR="000E09D1">
        <w:rPr>
          <w:rFonts w:cs="Times New Roman"/>
          <w:lang w:val="en-US"/>
        </w:rPr>
        <w:t xml:space="preserve"> </w:t>
      </w:r>
      <w:r w:rsidR="00553D18">
        <w:rPr>
          <w:rFonts w:cs="Times New Roman"/>
          <w:lang w:val="en-US"/>
        </w:rPr>
        <w:t>T</w:t>
      </w:r>
      <w:r w:rsidR="000E09D1">
        <w:rPr>
          <w:rFonts w:cs="Times New Roman"/>
          <w:lang w:val="en-US"/>
        </w:rPr>
        <w:t xml:space="preserve">he Committee is </w:t>
      </w:r>
      <w:r w:rsidR="00553D18">
        <w:rPr>
          <w:rFonts w:cs="Times New Roman"/>
          <w:lang w:val="en-US"/>
        </w:rPr>
        <w:t xml:space="preserve">also </w:t>
      </w:r>
      <w:r w:rsidR="000E09D1">
        <w:rPr>
          <w:rFonts w:cs="Times New Roman"/>
          <w:lang w:val="en-US"/>
        </w:rPr>
        <w:t xml:space="preserve">concerned that the minimum wage </w:t>
      </w:r>
      <w:r w:rsidR="007E1429">
        <w:rPr>
          <w:rFonts w:cs="Times New Roman"/>
          <w:lang w:val="en-US"/>
        </w:rPr>
        <w:t xml:space="preserve">is </w:t>
      </w:r>
      <w:r w:rsidR="000E09D1">
        <w:rPr>
          <w:rFonts w:cs="Times New Roman"/>
          <w:lang w:val="en-US"/>
        </w:rPr>
        <w:t xml:space="preserve">set at a level which enables a decent living </w:t>
      </w:r>
      <w:r w:rsidR="00553D18">
        <w:rPr>
          <w:rFonts w:cs="Times New Roman"/>
          <w:lang w:val="en-US"/>
        </w:rPr>
        <w:t xml:space="preserve">only </w:t>
      </w:r>
      <w:r w:rsidR="000E09D1">
        <w:rPr>
          <w:rFonts w:cs="Times New Roman"/>
          <w:lang w:val="en-US"/>
        </w:rPr>
        <w:t xml:space="preserve">for the workers. </w:t>
      </w:r>
      <w:r w:rsidR="00553D18">
        <w:rPr>
          <w:rFonts w:cs="Times New Roman"/>
          <w:lang w:val="en-US"/>
        </w:rPr>
        <w:t>Moreover, t</w:t>
      </w:r>
      <w:r w:rsidR="000E09D1">
        <w:rPr>
          <w:rFonts w:cs="Times New Roman"/>
          <w:lang w:val="en-US"/>
        </w:rPr>
        <w:t xml:space="preserve">he Committee is concerned at the shortage of </w:t>
      </w:r>
      <w:proofErr w:type="spellStart"/>
      <w:r w:rsidR="000E09D1">
        <w:rPr>
          <w:rFonts w:cs="Times New Roman"/>
          <w:lang w:val="en-US"/>
        </w:rPr>
        <w:t>labour</w:t>
      </w:r>
      <w:proofErr w:type="spellEnd"/>
      <w:r w:rsidR="000E09D1">
        <w:rPr>
          <w:rFonts w:cs="Times New Roman"/>
          <w:lang w:val="en-US"/>
        </w:rPr>
        <w:t xml:space="preserve"> inspectors in the State party </w:t>
      </w:r>
      <w:r w:rsidR="002C145B">
        <w:rPr>
          <w:rFonts w:cs="Times New Roman"/>
          <w:lang w:val="en-US"/>
        </w:rPr>
        <w:t>(art. </w:t>
      </w:r>
      <w:r>
        <w:rPr>
          <w:rFonts w:cs="Times New Roman"/>
          <w:lang w:val="en-US"/>
        </w:rPr>
        <w:t>7)</w:t>
      </w:r>
      <w:r w:rsidR="004C47A8">
        <w:rPr>
          <w:rFonts w:cs="Times New Roman"/>
          <w:lang w:val="en-US"/>
        </w:rPr>
        <w:t>.</w:t>
      </w:r>
    </w:p>
    <w:p w:rsidR="000E09D1" w:rsidRDefault="00FC0156" w:rsidP="002C145B">
      <w:pPr>
        <w:pStyle w:val="SingleTxtG"/>
        <w:keepNext/>
        <w:tabs>
          <w:tab w:val="left" w:pos="1701"/>
        </w:tabs>
        <w:rPr>
          <w:rFonts w:cs="Times New Roman"/>
          <w:b/>
          <w:bCs/>
          <w:lang w:val="en-US"/>
        </w:rPr>
      </w:pPr>
      <w:r>
        <w:rPr>
          <w:rFonts w:cs="Times New Roman"/>
          <w:b/>
          <w:bCs/>
          <w:lang w:val="en-US"/>
        </w:rPr>
        <w:t xml:space="preserve">The Committee </w:t>
      </w:r>
      <w:r w:rsidR="00354854">
        <w:rPr>
          <w:rFonts w:cs="Times New Roman"/>
          <w:b/>
          <w:bCs/>
          <w:lang w:val="en-US"/>
        </w:rPr>
        <w:t>recommends that the State party</w:t>
      </w:r>
      <w:r w:rsidR="000E09D1">
        <w:rPr>
          <w:rFonts w:cs="Times New Roman"/>
          <w:b/>
          <w:bCs/>
          <w:lang w:val="en-US"/>
        </w:rPr>
        <w:t>:</w:t>
      </w:r>
    </w:p>
    <w:p w:rsidR="00FC0156" w:rsidRPr="002C145B" w:rsidRDefault="002C145B" w:rsidP="002C145B">
      <w:pPr>
        <w:pStyle w:val="SingleTxtG"/>
        <w:rPr>
          <w:b/>
          <w:bCs/>
        </w:rPr>
      </w:pPr>
      <w:r>
        <w:rPr>
          <w:b/>
          <w:bCs/>
        </w:rPr>
        <w:tab/>
        <w:t>(a)</w:t>
      </w:r>
      <w:r>
        <w:rPr>
          <w:b/>
          <w:bCs/>
        </w:rPr>
        <w:tab/>
        <w:t>A</w:t>
      </w:r>
      <w:r w:rsidR="00FC0156" w:rsidRPr="002C145B">
        <w:rPr>
          <w:b/>
          <w:bCs/>
        </w:rPr>
        <w:t xml:space="preserve">mend the provisions of </w:t>
      </w:r>
      <w:r w:rsidR="005339E9" w:rsidRPr="002C145B">
        <w:rPr>
          <w:b/>
          <w:bCs/>
        </w:rPr>
        <w:t xml:space="preserve">Manpower </w:t>
      </w:r>
      <w:r>
        <w:rPr>
          <w:b/>
          <w:bCs/>
        </w:rPr>
        <w:t>Law No. </w:t>
      </w:r>
      <w:r w:rsidR="005339E9" w:rsidRPr="002C145B">
        <w:rPr>
          <w:b/>
          <w:bCs/>
        </w:rPr>
        <w:t>1</w:t>
      </w:r>
      <w:r w:rsidR="00FC0156" w:rsidRPr="002C145B">
        <w:rPr>
          <w:b/>
          <w:bCs/>
        </w:rPr>
        <w:t xml:space="preserve">3 of 2003 so as to make written </w:t>
      </w:r>
      <w:r w:rsidR="000E09D1" w:rsidRPr="002C145B">
        <w:rPr>
          <w:b/>
          <w:bCs/>
        </w:rPr>
        <w:t>employment agreement</w:t>
      </w:r>
      <w:r w:rsidR="007E1429" w:rsidRPr="002C145B">
        <w:rPr>
          <w:b/>
          <w:bCs/>
        </w:rPr>
        <w:t>s</w:t>
      </w:r>
      <w:r w:rsidR="000E09D1" w:rsidRPr="002C145B">
        <w:rPr>
          <w:b/>
          <w:bCs/>
        </w:rPr>
        <w:t xml:space="preserve"> compulsory;</w:t>
      </w:r>
    </w:p>
    <w:p w:rsidR="000E09D1" w:rsidRPr="002C145B" w:rsidRDefault="002C145B" w:rsidP="002C145B">
      <w:pPr>
        <w:pStyle w:val="SingleTxtG"/>
        <w:rPr>
          <w:b/>
          <w:bCs/>
        </w:rPr>
      </w:pPr>
      <w:r>
        <w:rPr>
          <w:b/>
          <w:bCs/>
        </w:rPr>
        <w:tab/>
        <w:t>(b)</w:t>
      </w:r>
      <w:r>
        <w:rPr>
          <w:b/>
          <w:bCs/>
        </w:rPr>
        <w:tab/>
        <w:t>R</w:t>
      </w:r>
      <w:r w:rsidR="000E09D1" w:rsidRPr="002C145B">
        <w:rPr>
          <w:b/>
          <w:bCs/>
        </w:rPr>
        <w:t xml:space="preserve">eview the method </w:t>
      </w:r>
      <w:r w:rsidR="0079030E" w:rsidRPr="002C145B">
        <w:rPr>
          <w:b/>
          <w:bCs/>
        </w:rPr>
        <w:t>for the establishment</w:t>
      </w:r>
      <w:r w:rsidR="000E09D1" w:rsidRPr="002C145B">
        <w:rPr>
          <w:b/>
          <w:bCs/>
        </w:rPr>
        <w:t xml:space="preserve"> of the level of the minimum wage so that it enables a decent living for the workers and their families, in accordance with the provisions of art.</w:t>
      </w:r>
      <w:r>
        <w:rPr>
          <w:b/>
          <w:bCs/>
        </w:rPr>
        <w:t> </w:t>
      </w:r>
      <w:r w:rsidR="000E09D1" w:rsidRPr="002C145B">
        <w:rPr>
          <w:b/>
          <w:bCs/>
        </w:rPr>
        <w:t xml:space="preserve">7 of the Covenant; </w:t>
      </w:r>
    </w:p>
    <w:p w:rsidR="000E09D1" w:rsidRPr="002C145B" w:rsidRDefault="002C145B" w:rsidP="002C145B">
      <w:pPr>
        <w:pStyle w:val="SingleTxtG"/>
        <w:rPr>
          <w:b/>
          <w:bCs/>
        </w:rPr>
      </w:pPr>
      <w:r>
        <w:rPr>
          <w:b/>
          <w:bCs/>
        </w:rPr>
        <w:tab/>
        <w:t>(c)</w:t>
      </w:r>
      <w:r>
        <w:rPr>
          <w:b/>
          <w:bCs/>
        </w:rPr>
        <w:tab/>
        <w:t>I</w:t>
      </w:r>
      <w:r w:rsidR="000E09D1" w:rsidRPr="002C145B">
        <w:rPr>
          <w:b/>
          <w:bCs/>
        </w:rPr>
        <w:t>ncrease the number of the labour inspectors and strengthen their capacity to act independently and effectively to combat violations of labour rights.</w:t>
      </w:r>
    </w:p>
    <w:p w:rsidR="007C51E7" w:rsidRPr="00FC0156" w:rsidRDefault="004E1049" w:rsidP="000A5855">
      <w:pPr>
        <w:pStyle w:val="H1G"/>
      </w:pPr>
      <w:r>
        <w:tab/>
      </w:r>
      <w:r>
        <w:tab/>
      </w:r>
      <w:r w:rsidR="007C51E7">
        <w:t>Conditions of work in the informal economy</w:t>
      </w:r>
    </w:p>
    <w:p w:rsidR="00E36D56" w:rsidRDefault="007C51E7" w:rsidP="00F2557D">
      <w:pPr>
        <w:pStyle w:val="SingleTxtG"/>
        <w:numPr>
          <w:ilvl w:val="0"/>
          <w:numId w:val="17"/>
        </w:numPr>
        <w:tabs>
          <w:tab w:val="left" w:pos="1701"/>
        </w:tabs>
        <w:ind w:left="1134" w:firstLine="0"/>
        <w:rPr>
          <w:rFonts w:cs="Times New Roman"/>
        </w:rPr>
      </w:pPr>
      <w:r>
        <w:rPr>
          <w:rFonts w:cs="Times New Roman"/>
        </w:rPr>
        <w:t>The Committee is concerned a</w:t>
      </w:r>
      <w:r w:rsidR="00EF36ED">
        <w:rPr>
          <w:rFonts w:cs="Times New Roman"/>
        </w:rPr>
        <w:t>bou</w:t>
      </w:r>
      <w:r>
        <w:rPr>
          <w:rFonts w:cs="Times New Roman"/>
        </w:rPr>
        <w:t xml:space="preserve">t the lack of </w:t>
      </w:r>
      <w:r w:rsidR="00F2557D">
        <w:rPr>
          <w:rFonts w:cs="Times New Roman"/>
        </w:rPr>
        <w:t xml:space="preserve">just and favourable conditions of work </w:t>
      </w:r>
      <w:r w:rsidR="00B34438">
        <w:rPr>
          <w:rFonts w:cs="Times New Roman"/>
        </w:rPr>
        <w:t>for</w:t>
      </w:r>
      <w:r>
        <w:rPr>
          <w:rFonts w:cs="Times New Roman"/>
        </w:rPr>
        <w:t xml:space="preserve"> </w:t>
      </w:r>
      <w:r w:rsidR="00F2557D">
        <w:rPr>
          <w:rFonts w:cs="Times New Roman"/>
        </w:rPr>
        <w:t xml:space="preserve">the </w:t>
      </w:r>
      <w:r w:rsidR="005849CA">
        <w:rPr>
          <w:rFonts w:cs="Times New Roman"/>
        </w:rPr>
        <w:t>two-third</w:t>
      </w:r>
      <w:r w:rsidR="002C1ADF">
        <w:rPr>
          <w:rFonts w:cs="Times New Roman"/>
        </w:rPr>
        <w:t>s</w:t>
      </w:r>
      <w:r w:rsidR="005849CA">
        <w:rPr>
          <w:rFonts w:cs="Times New Roman"/>
        </w:rPr>
        <w:t xml:space="preserve"> </w:t>
      </w:r>
      <w:r w:rsidR="00F2557D">
        <w:rPr>
          <w:rFonts w:cs="Times New Roman"/>
        </w:rPr>
        <w:t xml:space="preserve">of the State party’s workforce who are employed </w:t>
      </w:r>
      <w:r>
        <w:rPr>
          <w:rFonts w:cs="Times New Roman"/>
        </w:rPr>
        <w:t xml:space="preserve">in the informal economy </w:t>
      </w:r>
      <w:r w:rsidR="002C145B">
        <w:rPr>
          <w:rFonts w:cs="Times New Roman"/>
        </w:rPr>
        <w:t>(art. </w:t>
      </w:r>
      <w:r w:rsidR="00F2557D">
        <w:rPr>
          <w:rFonts w:cs="Times New Roman"/>
        </w:rPr>
        <w:t>7)</w:t>
      </w:r>
      <w:r w:rsidR="004C47A8">
        <w:rPr>
          <w:rFonts w:cs="Times New Roman"/>
        </w:rPr>
        <w:t>.</w:t>
      </w:r>
    </w:p>
    <w:p w:rsidR="00F2557D" w:rsidRPr="00F2557D" w:rsidRDefault="00F2557D" w:rsidP="00F51ECD">
      <w:pPr>
        <w:pStyle w:val="SingleTxtG"/>
        <w:tabs>
          <w:tab w:val="left" w:pos="1701"/>
        </w:tabs>
        <w:rPr>
          <w:rFonts w:cs="Times New Roman"/>
          <w:b/>
          <w:bCs/>
          <w:lang w:val="en-US"/>
        </w:rPr>
      </w:pPr>
      <w:r>
        <w:rPr>
          <w:rFonts w:cs="Times New Roman"/>
          <w:b/>
          <w:bCs/>
          <w:lang w:val="en-US"/>
        </w:rPr>
        <w:t>T</w:t>
      </w:r>
      <w:r w:rsidRPr="00F2557D">
        <w:rPr>
          <w:rFonts w:cs="Times New Roman"/>
          <w:b/>
          <w:bCs/>
          <w:lang w:val="en-US"/>
        </w:rPr>
        <w:t>he</w:t>
      </w:r>
      <w:r>
        <w:rPr>
          <w:rFonts w:cs="Times New Roman"/>
          <w:b/>
          <w:bCs/>
          <w:lang w:val="en-US"/>
        </w:rPr>
        <w:t xml:space="preserve"> committee recommends that the S</w:t>
      </w:r>
      <w:r w:rsidRPr="00F2557D">
        <w:rPr>
          <w:rFonts w:cs="Times New Roman"/>
          <w:b/>
          <w:bCs/>
          <w:lang w:val="en-US"/>
        </w:rPr>
        <w:t xml:space="preserve">tate party adopt a long-term strategy that involves measures to </w:t>
      </w:r>
      <w:r w:rsidR="00CD1980">
        <w:rPr>
          <w:rFonts w:cs="Times New Roman"/>
          <w:b/>
          <w:bCs/>
          <w:lang w:val="en-US"/>
        </w:rPr>
        <w:t>ensure</w:t>
      </w:r>
      <w:r w:rsidR="00CD1980" w:rsidRPr="00F2557D">
        <w:rPr>
          <w:rFonts w:cs="Times New Roman"/>
          <w:b/>
          <w:bCs/>
          <w:lang w:val="en-US"/>
        </w:rPr>
        <w:t xml:space="preserve"> </w:t>
      </w:r>
      <w:r w:rsidRPr="00F2557D">
        <w:rPr>
          <w:rFonts w:cs="Times New Roman"/>
          <w:b/>
          <w:bCs/>
          <w:lang w:val="en-US"/>
        </w:rPr>
        <w:t xml:space="preserve">the </w:t>
      </w:r>
      <w:r>
        <w:rPr>
          <w:rFonts w:cs="Times New Roman"/>
          <w:b/>
          <w:bCs/>
          <w:lang w:val="en-US"/>
        </w:rPr>
        <w:t xml:space="preserve">just and </w:t>
      </w:r>
      <w:proofErr w:type="spellStart"/>
      <w:r>
        <w:rPr>
          <w:rFonts w:cs="Times New Roman"/>
          <w:b/>
          <w:bCs/>
          <w:lang w:val="en-US"/>
        </w:rPr>
        <w:t>favourable</w:t>
      </w:r>
      <w:proofErr w:type="spellEnd"/>
      <w:r>
        <w:rPr>
          <w:rFonts w:cs="Times New Roman"/>
          <w:b/>
          <w:bCs/>
          <w:lang w:val="en-US"/>
        </w:rPr>
        <w:t xml:space="preserve"> conditions of workers</w:t>
      </w:r>
      <w:r w:rsidRPr="00F2557D">
        <w:rPr>
          <w:rFonts w:cs="Times New Roman"/>
          <w:b/>
          <w:bCs/>
          <w:lang w:val="en-US"/>
        </w:rPr>
        <w:t xml:space="preserve"> </w:t>
      </w:r>
      <w:r>
        <w:rPr>
          <w:rFonts w:cs="Times New Roman"/>
          <w:b/>
          <w:bCs/>
          <w:lang w:val="en-US"/>
        </w:rPr>
        <w:t>employed</w:t>
      </w:r>
      <w:r w:rsidRPr="00F2557D">
        <w:rPr>
          <w:rFonts w:cs="Times New Roman"/>
          <w:b/>
          <w:bCs/>
          <w:lang w:val="en-US"/>
        </w:rPr>
        <w:t xml:space="preserve"> in the informal economy, in accorda</w:t>
      </w:r>
      <w:r>
        <w:rPr>
          <w:rFonts w:cs="Times New Roman"/>
          <w:b/>
          <w:bCs/>
          <w:lang w:val="en-US"/>
        </w:rPr>
        <w:t>nce with the provisions of the C</w:t>
      </w:r>
      <w:r w:rsidR="00F51ECD">
        <w:rPr>
          <w:rFonts w:cs="Times New Roman"/>
          <w:b/>
          <w:bCs/>
          <w:lang w:val="en-US"/>
        </w:rPr>
        <w:t xml:space="preserve">ovenant, </w:t>
      </w:r>
      <w:r w:rsidR="00CD2030">
        <w:rPr>
          <w:rFonts w:cs="Times New Roman"/>
          <w:b/>
          <w:bCs/>
          <w:lang w:val="en-US"/>
        </w:rPr>
        <w:t>which</w:t>
      </w:r>
      <w:r w:rsidR="00F51ECD">
        <w:rPr>
          <w:rFonts w:cs="Times New Roman"/>
          <w:b/>
          <w:bCs/>
          <w:lang w:val="en-US"/>
        </w:rPr>
        <w:t xml:space="preserve"> </w:t>
      </w:r>
      <w:r w:rsidR="00354854">
        <w:rPr>
          <w:rFonts w:cs="Times New Roman"/>
          <w:b/>
          <w:bCs/>
          <w:lang w:val="en-US"/>
        </w:rPr>
        <w:t>(a</w:t>
      </w:r>
      <w:r w:rsidR="002C145B">
        <w:rPr>
          <w:rFonts w:cs="Times New Roman"/>
          <w:b/>
          <w:bCs/>
          <w:lang w:val="en-US"/>
        </w:rPr>
        <w:t>) </w:t>
      </w:r>
      <w:r w:rsidR="00CD2030">
        <w:rPr>
          <w:rFonts w:cs="Times New Roman"/>
          <w:b/>
          <w:bCs/>
          <w:lang w:val="en-US"/>
        </w:rPr>
        <w:t>addresses</w:t>
      </w:r>
      <w:r w:rsidRPr="00F2557D">
        <w:rPr>
          <w:rFonts w:cs="Times New Roman"/>
          <w:b/>
          <w:bCs/>
          <w:lang w:val="en-US"/>
        </w:rPr>
        <w:t xml:space="preserve"> the regulatory obstacles </w:t>
      </w:r>
      <w:r w:rsidR="00F51ECD">
        <w:rPr>
          <w:rFonts w:cs="Times New Roman"/>
          <w:b/>
          <w:bCs/>
          <w:lang w:val="en-US"/>
        </w:rPr>
        <w:t>to the creation of companies and employment</w:t>
      </w:r>
      <w:r w:rsidRPr="00F2557D">
        <w:rPr>
          <w:rFonts w:cs="Times New Roman"/>
          <w:b/>
          <w:bCs/>
          <w:lang w:val="en-US"/>
        </w:rPr>
        <w:t xml:space="preserve">s in the formal economy; </w:t>
      </w:r>
      <w:r w:rsidR="00F51ECD">
        <w:rPr>
          <w:rFonts w:cs="Times New Roman"/>
          <w:b/>
          <w:bCs/>
          <w:lang w:val="en-US"/>
        </w:rPr>
        <w:t>(</w:t>
      </w:r>
      <w:r w:rsidR="00354854">
        <w:rPr>
          <w:rFonts w:cs="Times New Roman"/>
          <w:b/>
          <w:bCs/>
          <w:lang w:val="en-US"/>
        </w:rPr>
        <w:t>b</w:t>
      </w:r>
      <w:r w:rsidR="00F51ECD">
        <w:rPr>
          <w:rFonts w:cs="Times New Roman"/>
          <w:b/>
          <w:bCs/>
          <w:lang w:val="en-US"/>
        </w:rPr>
        <w:t xml:space="preserve">) </w:t>
      </w:r>
      <w:r w:rsidRPr="00F2557D">
        <w:rPr>
          <w:rFonts w:cs="Times New Roman"/>
          <w:b/>
          <w:bCs/>
          <w:lang w:val="en-US"/>
        </w:rPr>
        <w:t>facilitat</w:t>
      </w:r>
      <w:r w:rsidR="00CD2030">
        <w:rPr>
          <w:rFonts w:cs="Times New Roman"/>
          <w:b/>
          <w:bCs/>
          <w:lang w:val="en-US"/>
        </w:rPr>
        <w:t>es</w:t>
      </w:r>
      <w:r w:rsidRPr="00F2557D">
        <w:rPr>
          <w:rFonts w:cs="Times New Roman"/>
          <w:b/>
          <w:bCs/>
          <w:lang w:val="en-US"/>
        </w:rPr>
        <w:t xml:space="preserve"> the regularization of workers</w:t>
      </w:r>
      <w:r w:rsidR="00F51ECD">
        <w:rPr>
          <w:rFonts w:cs="Times New Roman"/>
          <w:b/>
          <w:bCs/>
          <w:lang w:val="en-US"/>
        </w:rPr>
        <w:t xml:space="preserve"> employed</w:t>
      </w:r>
      <w:r w:rsidRPr="00F2557D">
        <w:rPr>
          <w:rFonts w:cs="Times New Roman"/>
          <w:b/>
          <w:bCs/>
          <w:lang w:val="en-US"/>
        </w:rPr>
        <w:t xml:space="preserve"> in the informal economy</w:t>
      </w:r>
      <w:r w:rsidR="00354854">
        <w:rPr>
          <w:rFonts w:cs="Times New Roman"/>
          <w:b/>
          <w:bCs/>
          <w:lang w:val="en-US"/>
        </w:rPr>
        <w:t xml:space="preserve">; (c) </w:t>
      </w:r>
      <w:r w:rsidR="00354854" w:rsidRPr="00F2557D">
        <w:rPr>
          <w:rFonts w:cs="Times New Roman"/>
          <w:b/>
          <w:bCs/>
          <w:lang w:val="en-US"/>
        </w:rPr>
        <w:t>expand</w:t>
      </w:r>
      <w:r w:rsidR="00CD2030">
        <w:rPr>
          <w:rFonts w:cs="Times New Roman"/>
          <w:b/>
          <w:bCs/>
          <w:lang w:val="en-US"/>
        </w:rPr>
        <w:t>s</w:t>
      </w:r>
      <w:r w:rsidR="00354854" w:rsidRPr="00F2557D">
        <w:rPr>
          <w:rFonts w:cs="Times New Roman"/>
          <w:b/>
          <w:bCs/>
          <w:lang w:val="en-US"/>
        </w:rPr>
        <w:t xml:space="preserve"> the scope of</w:t>
      </w:r>
      <w:r w:rsidR="00354854">
        <w:rPr>
          <w:rFonts w:cs="Times New Roman"/>
          <w:b/>
          <w:bCs/>
          <w:lang w:val="en-US"/>
        </w:rPr>
        <w:t xml:space="preserve"> application of</w:t>
      </w:r>
      <w:r w:rsidR="00354854" w:rsidRPr="00F2557D">
        <w:rPr>
          <w:rFonts w:cs="Times New Roman"/>
          <w:b/>
          <w:bCs/>
          <w:lang w:val="en-US"/>
        </w:rPr>
        <w:t xml:space="preserve"> the </w:t>
      </w:r>
      <w:r w:rsidR="00354854">
        <w:rPr>
          <w:rFonts w:cs="Times New Roman"/>
          <w:b/>
          <w:bCs/>
          <w:lang w:val="en-US"/>
        </w:rPr>
        <w:t xml:space="preserve">2003 </w:t>
      </w:r>
      <w:r w:rsidR="005339E9">
        <w:rPr>
          <w:rFonts w:cs="Times New Roman"/>
          <w:b/>
          <w:bCs/>
          <w:lang w:val="en-US"/>
        </w:rPr>
        <w:t xml:space="preserve">Manpower </w:t>
      </w:r>
      <w:r w:rsidR="00354854">
        <w:rPr>
          <w:rFonts w:cs="Times New Roman"/>
          <w:b/>
          <w:bCs/>
          <w:lang w:val="en-US"/>
        </w:rPr>
        <w:t xml:space="preserve">Law and </w:t>
      </w:r>
      <w:proofErr w:type="spellStart"/>
      <w:r w:rsidR="00354854">
        <w:rPr>
          <w:rFonts w:cs="Times New Roman"/>
          <w:b/>
          <w:bCs/>
          <w:lang w:val="en-US"/>
        </w:rPr>
        <w:t>labour</w:t>
      </w:r>
      <w:proofErr w:type="spellEnd"/>
      <w:r w:rsidR="00354854">
        <w:rPr>
          <w:rFonts w:cs="Times New Roman"/>
          <w:b/>
          <w:bCs/>
          <w:lang w:val="en-US"/>
        </w:rPr>
        <w:t xml:space="preserve"> inspection to the informal economy</w:t>
      </w:r>
      <w:r w:rsidRPr="00F2557D">
        <w:rPr>
          <w:rFonts w:cs="Times New Roman"/>
          <w:b/>
          <w:bCs/>
          <w:lang w:val="en-US"/>
        </w:rPr>
        <w:t xml:space="preserve">. </w:t>
      </w:r>
    </w:p>
    <w:p w:rsidR="007C51E7" w:rsidRDefault="004E1049" w:rsidP="000A5855">
      <w:pPr>
        <w:pStyle w:val="H1G"/>
      </w:pPr>
      <w:r>
        <w:tab/>
      </w:r>
      <w:r>
        <w:tab/>
      </w:r>
      <w:r w:rsidR="007C51E7">
        <w:t xml:space="preserve">Domestic </w:t>
      </w:r>
      <w:r w:rsidR="007C51E7" w:rsidRPr="006E27D3">
        <w:rPr>
          <w:lang w:val="en-US"/>
        </w:rPr>
        <w:t>workers</w:t>
      </w:r>
    </w:p>
    <w:p w:rsidR="00E36D56" w:rsidRDefault="00F51ECD" w:rsidP="00F51ECD">
      <w:pPr>
        <w:pStyle w:val="SingleTxtG"/>
        <w:numPr>
          <w:ilvl w:val="0"/>
          <w:numId w:val="17"/>
        </w:numPr>
        <w:tabs>
          <w:tab w:val="left" w:pos="1701"/>
        </w:tabs>
        <w:ind w:left="1134" w:firstLine="0"/>
        <w:rPr>
          <w:rFonts w:cs="Times New Roman"/>
        </w:rPr>
      </w:pPr>
      <w:r>
        <w:rPr>
          <w:rFonts w:cs="Times New Roman"/>
        </w:rPr>
        <w:t xml:space="preserve">The Committee is concerned that the 2003 </w:t>
      </w:r>
      <w:r w:rsidR="005339E9">
        <w:rPr>
          <w:rFonts w:cs="Times New Roman"/>
        </w:rPr>
        <w:t xml:space="preserve">Manpower </w:t>
      </w:r>
      <w:r>
        <w:rPr>
          <w:rFonts w:cs="Times New Roman"/>
        </w:rPr>
        <w:t>Law excludes d</w:t>
      </w:r>
      <w:r w:rsidR="00E36D56">
        <w:rPr>
          <w:rFonts w:cs="Times New Roman"/>
        </w:rPr>
        <w:t>omestic work</w:t>
      </w:r>
      <w:r>
        <w:rPr>
          <w:rFonts w:cs="Times New Roman"/>
        </w:rPr>
        <w:t xml:space="preserve">ers, denying them legal protection of their </w:t>
      </w:r>
      <w:r w:rsidR="00CD2030">
        <w:rPr>
          <w:rFonts w:cs="Times New Roman"/>
        </w:rPr>
        <w:t xml:space="preserve">labour </w:t>
      </w:r>
      <w:r>
        <w:rPr>
          <w:rFonts w:cs="Times New Roman"/>
        </w:rPr>
        <w:t xml:space="preserve">rights and that the draft law on domestic workers </w:t>
      </w:r>
      <w:r w:rsidR="002C1ADF">
        <w:rPr>
          <w:rFonts w:cs="Times New Roman"/>
        </w:rPr>
        <w:t>has been</w:t>
      </w:r>
      <w:r>
        <w:rPr>
          <w:rFonts w:cs="Times New Roman"/>
        </w:rPr>
        <w:t xml:space="preserve"> pending for adoption at the Parliament since 1994. </w:t>
      </w:r>
      <w:r w:rsidRPr="00EC650E">
        <w:rPr>
          <w:rFonts w:cs="Times New Roman"/>
        </w:rPr>
        <w:t>The Committee is further concerned at conditions of work</w:t>
      </w:r>
      <w:r w:rsidR="00EC650E">
        <w:rPr>
          <w:rFonts w:cs="Times New Roman"/>
        </w:rPr>
        <w:t xml:space="preserve"> of domestic workers who</w:t>
      </w:r>
      <w:r w:rsidR="00B34438">
        <w:rPr>
          <w:rFonts w:cs="Times New Roman"/>
        </w:rPr>
        <w:t xml:space="preserve"> </w:t>
      </w:r>
      <w:r w:rsidR="00CD2030">
        <w:rPr>
          <w:rFonts w:cs="Times New Roman"/>
        </w:rPr>
        <w:t>work long hours, are paid under the minimum wage, and</w:t>
      </w:r>
      <w:r w:rsidR="00EC650E">
        <w:rPr>
          <w:rFonts w:cs="Times New Roman"/>
        </w:rPr>
        <w:t xml:space="preserve"> are</w:t>
      </w:r>
      <w:r w:rsidR="00354854">
        <w:rPr>
          <w:rFonts w:cs="Times New Roman"/>
        </w:rPr>
        <w:t xml:space="preserve"> often victims of </w:t>
      </w:r>
      <w:r w:rsidR="00B34438">
        <w:rPr>
          <w:rFonts w:cs="Times New Roman"/>
        </w:rPr>
        <w:t xml:space="preserve">violence and </w:t>
      </w:r>
      <w:r w:rsidR="00354854">
        <w:rPr>
          <w:rFonts w:cs="Times New Roman"/>
        </w:rPr>
        <w:t>sexual harassment</w:t>
      </w:r>
      <w:r w:rsidR="002C145B">
        <w:rPr>
          <w:rFonts w:cs="Times New Roman"/>
        </w:rPr>
        <w:t xml:space="preserve"> (art. </w:t>
      </w:r>
      <w:r>
        <w:rPr>
          <w:rFonts w:cs="Times New Roman"/>
        </w:rPr>
        <w:t>7)</w:t>
      </w:r>
      <w:r w:rsidR="004C47A8">
        <w:rPr>
          <w:rFonts w:cs="Times New Roman"/>
        </w:rPr>
        <w:t>.</w:t>
      </w:r>
    </w:p>
    <w:p w:rsidR="00F51ECD" w:rsidRPr="00F51ECD" w:rsidRDefault="00F51ECD" w:rsidP="00F51ECD">
      <w:pPr>
        <w:pStyle w:val="SingleTxtG"/>
        <w:tabs>
          <w:tab w:val="left" w:pos="1701"/>
        </w:tabs>
        <w:rPr>
          <w:rFonts w:cs="Times New Roman"/>
          <w:b/>
          <w:bCs/>
          <w:lang w:val="en-US"/>
        </w:rPr>
      </w:pPr>
      <w:r>
        <w:rPr>
          <w:rFonts w:cs="Times New Roman"/>
          <w:b/>
          <w:bCs/>
          <w:lang w:val="en-US"/>
        </w:rPr>
        <w:t>The Committee calls on the State party to expedite the adoption of the draft law on domestic workers and to ensure that it provides for:</w:t>
      </w:r>
    </w:p>
    <w:p w:rsidR="00347403" w:rsidRPr="002C145B" w:rsidRDefault="002C145B" w:rsidP="002C145B">
      <w:pPr>
        <w:pStyle w:val="SingleTxtG"/>
        <w:rPr>
          <w:b/>
          <w:bCs/>
        </w:rPr>
      </w:pPr>
      <w:r>
        <w:rPr>
          <w:b/>
          <w:bCs/>
        </w:rPr>
        <w:tab/>
        <w:t>(a)</w:t>
      </w:r>
      <w:r>
        <w:rPr>
          <w:b/>
          <w:bCs/>
        </w:rPr>
        <w:tab/>
        <w:t>T</w:t>
      </w:r>
      <w:r w:rsidR="00347403" w:rsidRPr="002C145B">
        <w:rPr>
          <w:b/>
          <w:bCs/>
        </w:rPr>
        <w:t xml:space="preserve">he same </w:t>
      </w:r>
      <w:r w:rsidR="00F51ECD" w:rsidRPr="002C145B">
        <w:rPr>
          <w:b/>
          <w:bCs/>
        </w:rPr>
        <w:t xml:space="preserve">working </w:t>
      </w:r>
      <w:r w:rsidR="00347403" w:rsidRPr="002C145B">
        <w:rPr>
          <w:b/>
          <w:bCs/>
        </w:rPr>
        <w:t xml:space="preserve">conditions as other workers covered by the </w:t>
      </w:r>
      <w:r w:rsidR="00F51ECD" w:rsidRPr="002C145B">
        <w:rPr>
          <w:b/>
          <w:bCs/>
        </w:rPr>
        <w:t xml:space="preserve">2003 </w:t>
      </w:r>
      <w:r w:rsidR="005339E9" w:rsidRPr="002C145B">
        <w:rPr>
          <w:b/>
          <w:bCs/>
        </w:rPr>
        <w:t xml:space="preserve">Manpower </w:t>
      </w:r>
      <w:r w:rsidR="00F51ECD" w:rsidRPr="002C145B">
        <w:rPr>
          <w:b/>
          <w:bCs/>
        </w:rPr>
        <w:t>L</w:t>
      </w:r>
      <w:r w:rsidR="00347403" w:rsidRPr="002C145B">
        <w:rPr>
          <w:b/>
          <w:bCs/>
        </w:rPr>
        <w:t>aw as regards</w:t>
      </w:r>
      <w:r w:rsidR="00F51ECD" w:rsidRPr="002C145B">
        <w:rPr>
          <w:b/>
          <w:bCs/>
        </w:rPr>
        <w:t xml:space="preserve"> </w:t>
      </w:r>
      <w:r w:rsidR="00347403" w:rsidRPr="002C145B">
        <w:rPr>
          <w:b/>
          <w:bCs/>
        </w:rPr>
        <w:t>remuneration, protection against unfair dismissal, occupational health and safety, rest and leisure, limitation of working hours,</w:t>
      </w:r>
      <w:r w:rsidR="00B34438" w:rsidRPr="002C145B">
        <w:rPr>
          <w:b/>
          <w:bCs/>
        </w:rPr>
        <w:t xml:space="preserve"> and</w:t>
      </w:r>
      <w:r w:rsidR="00347403" w:rsidRPr="002C145B">
        <w:rPr>
          <w:b/>
          <w:bCs/>
        </w:rPr>
        <w:t xml:space="preserve"> social security, </w:t>
      </w:r>
      <w:r w:rsidR="00F51ECD" w:rsidRPr="002C145B">
        <w:rPr>
          <w:b/>
          <w:bCs/>
        </w:rPr>
        <w:t>among others</w:t>
      </w:r>
      <w:r w:rsidR="00347403" w:rsidRPr="002C145B">
        <w:rPr>
          <w:b/>
          <w:bCs/>
        </w:rPr>
        <w:t>;</w:t>
      </w:r>
    </w:p>
    <w:p w:rsidR="00347403" w:rsidRPr="002C145B" w:rsidRDefault="002C145B" w:rsidP="002C145B">
      <w:pPr>
        <w:pStyle w:val="SingleTxtG"/>
        <w:rPr>
          <w:b/>
          <w:bCs/>
        </w:rPr>
      </w:pPr>
      <w:r>
        <w:rPr>
          <w:b/>
          <w:bCs/>
        </w:rPr>
        <w:tab/>
        <w:t>(b)</w:t>
      </w:r>
      <w:r>
        <w:rPr>
          <w:b/>
          <w:bCs/>
        </w:rPr>
        <w:tab/>
        <w:t>A</w:t>
      </w:r>
      <w:r w:rsidR="00F51ECD" w:rsidRPr="002C145B">
        <w:rPr>
          <w:b/>
          <w:bCs/>
        </w:rPr>
        <w:t>dditional protection in relation to</w:t>
      </w:r>
      <w:r w:rsidR="00347403" w:rsidRPr="002C145B">
        <w:rPr>
          <w:b/>
          <w:bCs/>
        </w:rPr>
        <w:t xml:space="preserve"> conditions, such as </w:t>
      </w:r>
      <w:r w:rsidR="00CD2030" w:rsidRPr="002C145B">
        <w:rPr>
          <w:b/>
          <w:bCs/>
        </w:rPr>
        <w:t xml:space="preserve">residence </w:t>
      </w:r>
      <w:r w:rsidR="00347403" w:rsidRPr="002C145B">
        <w:rPr>
          <w:b/>
          <w:bCs/>
        </w:rPr>
        <w:t xml:space="preserve">with the employer, that render domestic workers vulnerable to </w:t>
      </w:r>
      <w:r w:rsidR="00F51ECD" w:rsidRPr="002C145B">
        <w:rPr>
          <w:b/>
          <w:bCs/>
        </w:rPr>
        <w:t>forced</w:t>
      </w:r>
      <w:r w:rsidR="00347403" w:rsidRPr="002C145B">
        <w:rPr>
          <w:b/>
          <w:bCs/>
        </w:rPr>
        <w:t xml:space="preserve"> labour</w:t>
      </w:r>
      <w:r w:rsidR="004E4684" w:rsidRPr="002C145B">
        <w:rPr>
          <w:b/>
          <w:bCs/>
        </w:rPr>
        <w:t>, violence</w:t>
      </w:r>
      <w:r w:rsidR="00347403" w:rsidRPr="002C145B">
        <w:rPr>
          <w:b/>
          <w:bCs/>
        </w:rPr>
        <w:t xml:space="preserve"> and sexual </w:t>
      </w:r>
      <w:r w:rsidR="00EC650E" w:rsidRPr="002C145B">
        <w:rPr>
          <w:b/>
          <w:bCs/>
        </w:rPr>
        <w:t>harassment</w:t>
      </w:r>
      <w:r w:rsidR="00347403" w:rsidRPr="002C145B">
        <w:rPr>
          <w:b/>
          <w:bCs/>
        </w:rPr>
        <w:t>;</w:t>
      </w:r>
    </w:p>
    <w:p w:rsidR="00EC650E" w:rsidRPr="002C145B" w:rsidRDefault="002C145B" w:rsidP="002C145B">
      <w:pPr>
        <w:pStyle w:val="SingleTxtG"/>
        <w:rPr>
          <w:b/>
          <w:bCs/>
        </w:rPr>
      </w:pPr>
      <w:r>
        <w:rPr>
          <w:b/>
          <w:bCs/>
        </w:rPr>
        <w:tab/>
        <w:t>(c)</w:t>
      </w:r>
      <w:r>
        <w:rPr>
          <w:b/>
          <w:bCs/>
        </w:rPr>
        <w:tab/>
        <w:t>E</w:t>
      </w:r>
      <w:r w:rsidR="00347403" w:rsidRPr="002C145B">
        <w:rPr>
          <w:b/>
          <w:bCs/>
        </w:rPr>
        <w:t>ffective</w:t>
      </w:r>
      <w:r w:rsidR="00F51ECD" w:rsidRPr="002C145B">
        <w:rPr>
          <w:b/>
          <w:bCs/>
        </w:rPr>
        <w:t xml:space="preserve"> </w:t>
      </w:r>
      <w:r w:rsidR="00347403" w:rsidRPr="002C145B">
        <w:rPr>
          <w:b/>
          <w:bCs/>
        </w:rPr>
        <w:t xml:space="preserve">mechanisms for reporting abuse and exploitation </w:t>
      </w:r>
      <w:r w:rsidR="00F51ECD" w:rsidRPr="002C145B">
        <w:rPr>
          <w:b/>
          <w:bCs/>
        </w:rPr>
        <w:t>which take account of</w:t>
      </w:r>
      <w:r w:rsidR="00347403" w:rsidRPr="002C145B">
        <w:rPr>
          <w:b/>
          <w:bCs/>
        </w:rPr>
        <w:t xml:space="preserve"> the difficulty for some domestic workers to access telecommunication means;</w:t>
      </w:r>
    </w:p>
    <w:p w:rsidR="00F2557D" w:rsidRPr="002C145B" w:rsidRDefault="002C145B" w:rsidP="002C145B">
      <w:pPr>
        <w:pStyle w:val="SingleTxtG"/>
        <w:rPr>
          <w:b/>
          <w:bCs/>
        </w:rPr>
      </w:pPr>
      <w:r>
        <w:rPr>
          <w:b/>
          <w:bCs/>
        </w:rPr>
        <w:tab/>
        <w:t>(d)</w:t>
      </w:r>
      <w:r>
        <w:rPr>
          <w:b/>
          <w:bCs/>
        </w:rPr>
        <w:tab/>
        <w:t>A</w:t>
      </w:r>
      <w:r w:rsidR="00347403" w:rsidRPr="002C145B">
        <w:rPr>
          <w:b/>
          <w:bCs/>
        </w:rPr>
        <w:t>n inspection mechanism for monitoring the conditi</w:t>
      </w:r>
      <w:r w:rsidR="00F51ECD" w:rsidRPr="002C145B">
        <w:rPr>
          <w:b/>
          <w:bCs/>
        </w:rPr>
        <w:t>ons of work of domestic workers.</w:t>
      </w:r>
    </w:p>
    <w:p w:rsidR="00347403" w:rsidRDefault="00347403" w:rsidP="002C145B">
      <w:pPr>
        <w:pStyle w:val="SingleTxtG"/>
        <w:tabs>
          <w:tab w:val="left" w:pos="1701"/>
        </w:tabs>
        <w:rPr>
          <w:rFonts w:cs="Times New Roman"/>
          <w:b/>
          <w:bCs/>
          <w:lang w:val="en-US"/>
        </w:rPr>
      </w:pPr>
      <w:r>
        <w:rPr>
          <w:rFonts w:cs="Times New Roman"/>
          <w:b/>
          <w:bCs/>
          <w:lang w:val="en-US"/>
        </w:rPr>
        <w:t>T</w:t>
      </w:r>
      <w:r w:rsidR="00F51ECD">
        <w:rPr>
          <w:rFonts w:cs="Times New Roman"/>
          <w:b/>
          <w:bCs/>
          <w:lang w:val="en-US"/>
        </w:rPr>
        <w:t>he C</w:t>
      </w:r>
      <w:r w:rsidRPr="00347403">
        <w:rPr>
          <w:rFonts w:cs="Times New Roman"/>
          <w:b/>
          <w:bCs/>
          <w:lang w:val="en-US"/>
        </w:rPr>
        <w:t>omm</w:t>
      </w:r>
      <w:r w:rsidR="00F51ECD">
        <w:rPr>
          <w:rFonts w:cs="Times New Roman"/>
          <w:b/>
          <w:bCs/>
          <w:lang w:val="en-US"/>
        </w:rPr>
        <w:t>ittee also recommends that the S</w:t>
      </w:r>
      <w:r w:rsidRPr="00347403">
        <w:rPr>
          <w:rFonts w:cs="Times New Roman"/>
          <w:b/>
          <w:bCs/>
          <w:lang w:val="en-US"/>
        </w:rPr>
        <w:t xml:space="preserve">tate party raise awareness </w:t>
      </w:r>
      <w:r w:rsidR="00EC650E" w:rsidRPr="00347403">
        <w:rPr>
          <w:rFonts w:cs="Times New Roman"/>
          <w:b/>
          <w:bCs/>
          <w:lang w:val="en-US"/>
        </w:rPr>
        <w:t>among the population in general of the need to respect the hum</w:t>
      </w:r>
      <w:r w:rsidR="00EC650E">
        <w:rPr>
          <w:rFonts w:cs="Times New Roman"/>
          <w:b/>
          <w:bCs/>
          <w:lang w:val="en-US"/>
        </w:rPr>
        <w:t xml:space="preserve">an rights of domestic workers and among law enforcement </w:t>
      </w:r>
      <w:r w:rsidR="00B34438">
        <w:rPr>
          <w:rFonts w:cs="Times New Roman"/>
          <w:b/>
          <w:bCs/>
          <w:lang w:val="en-US"/>
        </w:rPr>
        <w:t xml:space="preserve">officials </w:t>
      </w:r>
      <w:r w:rsidR="00EC650E">
        <w:rPr>
          <w:rFonts w:cs="Times New Roman"/>
          <w:b/>
          <w:bCs/>
          <w:lang w:val="en-US"/>
        </w:rPr>
        <w:t xml:space="preserve">of the applicability of the provisions of Law 23/2004 on </w:t>
      </w:r>
      <w:r w:rsidR="005339E9">
        <w:rPr>
          <w:rFonts w:cs="Times New Roman"/>
          <w:b/>
          <w:bCs/>
          <w:lang w:val="en-US"/>
        </w:rPr>
        <w:t>Domestic</w:t>
      </w:r>
      <w:r w:rsidR="00EC650E">
        <w:rPr>
          <w:rFonts w:cs="Times New Roman"/>
          <w:b/>
          <w:bCs/>
          <w:lang w:val="en-US"/>
        </w:rPr>
        <w:t xml:space="preserve"> Violence for the prosecution of cases of violence against domestic workers. </w:t>
      </w:r>
      <w:r w:rsidR="00F2557D">
        <w:rPr>
          <w:rFonts w:cs="Times New Roman"/>
          <w:b/>
          <w:bCs/>
          <w:lang w:val="en-US"/>
        </w:rPr>
        <w:t>T</w:t>
      </w:r>
      <w:r w:rsidRPr="00347403">
        <w:rPr>
          <w:rFonts w:cs="Times New Roman"/>
          <w:b/>
          <w:bCs/>
          <w:lang w:val="en-US"/>
        </w:rPr>
        <w:t>he</w:t>
      </w:r>
      <w:r w:rsidR="00F2557D">
        <w:rPr>
          <w:rFonts w:cs="Times New Roman"/>
          <w:b/>
          <w:bCs/>
          <w:lang w:val="en-US"/>
        </w:rPr>
        <w:t xml:space="preserve"> </w:t>
      </w:r>
      <w:r w:rsidR="007E1429">
        <w:rPr>
          <w:rFonts w:cs="Times New Roman"/>
          <w:b/>
          <w:bCs/>
          <w:lang w:val="en-US"/>
        </w:rPr>
        <w:t>C</w:t>
      </w:r>
      <w:r w:rsidR="00F2557D">
        <w:rPr>
          <w:rFonts w:cs="Times New Roman"/>
          <w:b/>
          <w:bCs/>
          <w:lang w:val="en-US"/>
        </w:rPr>
        <w:t>ommittee recommends that the S</w:t>
      </w:r>
      <w:r w:rsidRPr="00347403">
        <w:rPr>
          <w:rFonts w:cs="Times New Roman"/>
          <w:b/>
          <w:bCs/>
          <w:lang w:val="en-US"/>
        </w:rPr>
        <w:t xml:space="preserve">tate party </w:t>
      </w:r>
      <w:r w:rsidR="00B34438">
        <w:rPr>
          <w:rFonts w:cs="Times New Roman"/>
          <w:b/>
          <w:bCs/>
          <w:lang w:val="en-US"/>
        </w:rPr>
        <w:t>ratify</w:t>
      </w:r>
      <w:r w:rsidRPr="00347403">
        <w:rPr>
          <w:rFonts w:cs="Times New Roman"/>
          <w:b/>
          <w:bCs/>
          <w:lang w:val="en-US"/>
        </w:rPr>
        <w:t xml:space="preserve"> </w:t>
      </w:r>
      <w:r w:rsidR="00354854">
        <w:rPr>
          <w:rFonts w:cs="Times New Roman"/>
          <w:b/>
          <w:bCs/>
          <w:lang w:val="en-US"/>
        </w:rPr>
        <w:t xml:space="preserve">the </w:t>
      </w:r>
      <w:r w:rsidR="002C1ADF">
        <w:rPr>
          <w:rFonts w:cs="Times New Roman"/>
          <w:b/>
          <w:bCs/>
          <w:lang w:val="en-US"/>
        </w:rPr>
        <w:t xml:space="preserve">International </w:t>
      </w:r>
      <w:proofErr w:type="spellStart"/>
      <w:r w:rsidR="002C1ADF">
        <w:rPr>
          <w:rFonts w:cs="Times New Roman"/>
          <w:b/>
          <w:bCs/>
          <w:lang w:val="en-US"/>
        </w:rPr>
        <w:t>Labour</w:t>
      </w:r>
      <w:proofErr w:type="spellEnd"/>
      <w:r w:rsidR="002C1ADF">
        <w:rPr>
          <w:rFonts w:cs="Times New Roman"/>
          <w:b/>
          <w:bCs/>
          <w:lang w:val="en-US"/>
        </w:rPr>
        <w:t xml:space="preserve"> Organization (</w:t>
      </w:r>
      <w:r w:rsidR="00F2557D">
        <w:rPr>
          <w:rFonts w:cs="Times New Roman"/>
          <w:b/>
          <w:bCs/>
          <w:lang w:val="en-US"/>
        </w:rPr>
        <w:t>ILO</w:t>
      </w:r>
      <w:r w:rsidR="002C1ADF">
        <w:rPr>
          <w:rFonts w:cs="Times New Roman"/>
          <w:b/>
          <w:bCs/>
          <w:lang w:val="en-US"/>
        </w:rPr>
        <w:t>)</w:t>
      </w:r>
      <w:r w:rsidRPr="00347403">
        <w:rPr>
          <w:rFonts w:cs="Times New Roman"/>
          <w:b/>
          <w:bCs/>
          <w:lang w:val="en-US"/>
        </w:rPr>
        <w:t xml:space="preserve"> </w:t>
      </w:r>
      <w:r w:rsidR="00F2557D" w:rsidRPr="00347403">
        <w:rPr>
          <w:rFonts w:cs="Times New Roman"/>
          <w:b/>
          <w:bCs/>
          <w:lang w:val="en-US"/>
        </w:rPr>
        <w:t>Domestic Workers Convention</w:t>
      </w:r>
      <w:r w:rsidR="002C145B">
        <w:rPr>
          <w:rFonts w:cs="Times New Roman"/>
          <w:b/>
          <w:bCs/>
          <w:lang w:val="en-US"/>
        </w:rPr>
        <w:t>, 2011 (N</w:t>
      </w:r>
      <w:r w:rsidRPr="00347403">
        <w:rPr>
          <w:rFonts w:cs="Times New Roman"/>
          <w:b/>
          <w:bCs/>
          <w:lang w:val="en-US"/>
        </w:rPr>
        <w:t>o.</w:t>
      </w:r>
      <w:r w:rsidR="002C145B">
        <w:rPr>
          <w:rFonts w:cs="Times New Roman"/>
          <w:b/>
          <w:bCs/>
          <w:lang w:val="en-US"/>
        </w:rPr>
        <w:t> </w:t>
      </w:r>
      <w:r w:rsidRPr="00347403">
        <w:rPr>
          <w:rFonts w:cs="Times New Roman"/>
          <w:b/>
          <w:bCs/>
          <w:lang w:val="en-US"/>
        </w:rPr>
        <w:t>189).</w:t>
      </w:r>
    </w:p>
    <w:p w:rsidR="007C51E7" w:rsidRPr="00347403" w:rsidRDefault="004E1049" w:rsidP="000A5855">
      <w:pPr>
        <w:pStyle w:val="H1G"/>
        <w:rPr>
          <w:lang w:val="en-US"/>
        </w:rPr>
      </w:pPr>
      <w:r>
        <w:rPr>
          <w:lang w:val="en-US"/>
        </w:rPr>
        <w:tab/>
      </w:r>
      <w:r>
        <w:rPr>
          <w:lang w:val="en-US"/>
        </w:rPr>
        <w:tab/>
      </w:r>
      <w:r w:rsidR="007C51E7">
        <w:rPr>
          <w:lang w:val="en-US"/>
        </w:rPr>
        <w:t>Domestic workers abroad</w:t>
      </w:r>
    </w:p>
    <w:p w:rsidR="00E36D56" w:rsidRDefault="00EF3CE6" w:rsidP="007E1429">
      <w:pPr>
        <w:pStyle w:val="SingleTxtG"/>
        <w:numPr>
          <w:ilvl w:val="0"/>
          <w:numId w:val="17"/>
        </w:numPr>
        <w:tabs>
          <w:tab w:val="left" w:pos="1701"/>
        </w:tabs>
        <w:ind w:left="1134" w:firstLine="0"/>
        <w:rPr>
          <w:rFonts w:cs="Times New Roman"/>
        </w:rPr>
      </w:pPr>
      <w:r>
        <w:rPr>
          <w:rFonts w:cs="Times New Roman"/>
        </w:rPr>
        <w:t>While noting that the State party has concluded bilateral agreements</w:t>
      </w:r>
      <w:r w:rsidR="0079030E">
        <w:rPr>
          <w:rFonts w:cs="Times New Roman"/>
        </w:rPr>
        <w:t xml:space="preserve"> on benefits for migrant domestic workers</w:t>
      </w:r>
      <w:r>
        <w:rPr>
          <w:rFonts w:cs="Times New Roman"/>
        </w:rPr>
        <w:t xml:space="preserve"> with several countries, t</w:t>
      </w:r>
      <w:r w:rsidR="00F51ECD">
        <w:rPr>
          <w:rFonts w:cs="Times New Roman"/>
        </w:rPr>
        <w:t>he Committee raises concern about the continuing reports of exploitation and abuse of nationals of the State party employed as d</w:t>
      </w:r>
      <w:r w:rsidR="00E36D56">
        <w:rPr>
          <w:rFonts w:cs="Times New Roman"/>
        </w:rPr>
        <w:t>omestic work</w:t>
      </w:r>
      <w:r w:rsidR="00F51ECD">
        <w:rPr>
          <w:rFonts w:cs="Times New Roman"/>
        </w:rPr>
        <w:t>ers abroad. The Committee is also concern</w:t>
      </w:r>
      <w:r w:rsidR="00354854">
        <w:rPr>
          <w:rFonts w:cs="Times New Roman"/>
        </w:rPr>
        <w:t>ed</w:t>
      </w:r>
      <w:r w:rsidR="00F51ECD">
        <w:rPr>
          <w:rFonts w:cs="Times New Roman"/>
        </w:rPr>
        <w:t xml:space="preserve"> at </w:t>
      </w:r>
      <w:r w:rsidR="007E1429">
        <w:rPr>
          <w:rFonts w:cs="Times New Roman"/>
        </w:rPr>
        <w:t>placement</w:t>
      </w:r>
      <w:r>
        <w:rPr>
          <w:rFonts w:cs="Times New Roman"/>
        </w:rPr>
        <w:t xml:space="preserve"> </w:t>
      </w:r>
      <w:r w:rsidR="000A727B">
        <w:rPr>
          <w:rFonts w:cs="Times New Roman"/>
        </w:rPr>
        <w:t xml:space="preserve">fees which are either disproportionally </w:t>
      </w:r>
      <w:r>
        <w:rPr>
          <w:rFonts w:cs="Times New Roman"/>
        </w:rPr>
        <w:t>charged against</w:t>
      </w:r>
      <w:r w:rsidR="000A727B">
        <w:rPr>
          <w:rFonts w:cs="Times New Roman"/>
        </w:rPr>
        <w:t xml:space="preserve"> the salary of domestic workers</w:t>
      </w:r>
      <w:r>
        <w:rPr>
          <w:rFonts w:cs="Times New Roman"/>
        </w:rPr>
        <w:t xml:space="preserve"> or</w:t>
      </w:r>
      <w:r w:rsidR="000A727B">
        <w:rPr>
          <w:rFonts w:cs="Times New Roman"/>
        </w:rPr>
        <w:t>,</w:t>
      </w:r>
      <w:r>
        <w:rPr>
          <w:rFonts w:cs="Times New Roman"/>
        </w:rPr>
        <w:t xml:space="preserve"> </w:t>
      </w:r>
      <w:r w:rsidR="000A727B">
        <w:rPr>
          <w:rFonts w:cs="Times New Roman"/>
        </w:rPr>
        <w:t xml:space="preserve">when paid </w:t>
      </w:r>
      <w:r>
        <w:rPr>
          <w:rFonts w:cs="Times New Roman"/>
        </w:rPr>
        <w:t>by employers</w:t>
      </w:r>
      <w:r w:rsidR="000A727B">
        <w:rPr>
          <w:rFonts w:cs="Times New Roman"/>
        </w:rPr>
        <w:t>,</w:t>
      </w:r>
      <w:r>
        <w:rPr>
          <w:rFonts w:cs="Times New Roman"/>
        </w:rPr>
        <w:t xml:space="preserve"> </w:t>
      </w:r>
      <w:r w:rsidR="000A727B">
        <w:rPr>
          <w:rFonts w:cs="Times New Roman"/>
        </w:rPr>
        <w:t>have led to conditions akin to slavery</w:t>
      </w:r>
      <w:r w:rsidR="00B34438">
        <w:rPr>
          <w:rFonts w:cs="Times New Roman"/>
        </w:rPr>
        <w:t xml:space="preserve"> for domestic workers</w:t>
      </w:r>
      <w:r w:rsidR="002C145B">
        <w:rPr>
          <w:rFonts w:cs="Times New Roman"/>
        </w:rPr>
        <w:t xml:space="preserve"> (art. </w:t>
      </w:r>
      <w:r>
        <w:rPr>
          <w:rFonts w:cs="Times New Roman"/>
        </w:rPr>
        <w:t>7)</w:t>
      </w:r>
      <w:r w:rsidR="004C47A8">
        <w:rPr>
          <w:rFonts w:cs="Times New Roman"/>
        </w:rPr>
        <w:t>.</w:t>
      </w:r>
    </w:p>
    <w:p w:rsidR="003D675F" w:rsidRDefault="00EF3CE6" w:rsidP="002C145B">
      <w:pPr>
        <w:pStyle w:val="SingleTxtG"/>
        <w:keepNext/>
        <w:tabs>
          <w:tab w:val="left" w:pos="1701"/>
        </w:tabs>
        <w:rPr>
          <w:rFonts w:cs="Times New Roman"/>
          <w:b/>
          <w:bCs/>
        </w:rPr>
      </w:pPr>
      <w:r>
        <w:rPr>
          <w:rFonts w:cs="Times New Roman"/>
          <w:b/>
          <w:bCs/>
        </w:rPr>
        <w:t>The Committee urges the State party to</w:t>
      </w:r>
      <w:r w:rsidR="003D675F">
        <w:rPr>
          <w:rFonts w:cs="Times New Roman"/>
          <w:b/>
          <w:bCs/>
        </w:rPr>
        <w:t>:</w:t>
      </w:r>
    </w:p>
    <w:p w:rsidR="003D675F" w:rsidRPr="002C145B" w:rsidRDefault="002C145B" w:rsidP="002C145B">
      <w:pPr>
        <w:pStyle w:val="SingleTxtG"/>
        <w:rPr>
          <w:b/>
          <w:bCs/>
        </w:rPr>
      </w:pPr>
      <w:r>
        <w:rPr>
          <w:b/>
          <w:bCs/>
        </w:rPr>
        <w:tab/>
        <w:t>(a)</w:t>
      </w:r>
      <w:r>
        <w:rPr>
          <w:b/>
          <w:bCs/>
        </w:rPr>
        <w:tab/>
        <w:t>R</w:t>
      </w:r>
      <w:r w:rsidR="003D675F" w:rsidRPr="002C145B">
        <w:rPr>
          <w:b/>
          <w:bCs/>
        </w:rPr>
        <w:t xml:space="preserve">egulate the operations of placement agencies, including the </w:t>
      </w:r>
      <w:r w:rsidR="0079030E" w:rsidRPr="002C145B">
        <w:rPr>
          <w:b/>
          <w:bCs/>
        </w:rPr>
        <w:t xml:space="preserve">imposition </w:t>
      </w:r>
      <w:r w:rsidR="003D675F" w:rsidRPr="002C145B">
        <w:rPr>
          <w:b/>
          <w:bCs/>
        </w:rPr>
        <w:t xml:space="preserve">of </w:t>
      </w:r>
      <w:r w:rsidR="0079030E" w:rsidRPr="002C145B">
        <w:rPr>
          <w:b/>
          <w:bCs/>
        </w:rPr>
        <w:t xml:space="preserve">placement </w:t>
      </w:r>
      <w:r w:rsidR="003D675F" w:rsidRPr="002C145B">
        <w:rPr>
          <w:b/>
          <w:bCs/>
        </w:rPr>
        <w:t xml:space="preserve">fees, so that they do not lead to human rights violations, such as </w:t>
      </w:r>
      <w:r w:rsidR="00032DEC" w:rsidRPr="002C145B">
        <w:rPr>
          <w:b/>
          <w:bCs/>
        </w:rPr>
        <w:t xml:space="preserve">non-payment of wages </w:t>
      </w:r>
      <w:r w:rsidR="003D675F" w:rsidRPr="002C145B">
        <w:rPr>
          <w:b/>
          <w:bCs/>
        </w:rPr>
        <w:t xml:space="preserve">or </w:t>
      </w:r>
      <w:r w:rsidR="000A727B" w:rsidRPr="002C145B">
        <w:rPr>
          <w:b/>
          <w:bCs/>
        </w:rPr>
        <w:t>contemporary forms of slavery;</w:t>
      </w:r>
    </w:p>
    <w:p w:rsidR="000A727B" w:rsidRPr="002C145B" w:rsidRDefault="002C145B" w:rsidP="002C145B">
      <w:pPr>
        <w:pStyle w:val="SingleTxtG"/>
        <w:rPr>
          <w:b/>
          <w:bCs/>
        </w:rPr>
      </w:pPr>
      <w:r>
        <w:rPr>
          <w:b/>
          <w:bCs/>
        </w:rPr>
        <w:tab/>
        <w:t>(b)</w:t>
      </w:r>
      <w:r>
        <w:rPr>
          <w:b/>
          <w:bCs/>
        </w:rPr>
        <w:tab/>
        <w:t>C</w:t>
      </w:r>
      <w:r w:rsidR="000A727B" w:rsidRPr="002C145B">
        <w:rPr>
          <w:b/>
          <w:bCs/>
        </w:rPr>
        <w:t xml:space="preserve">ontinue to establish agreements with recipient countries with the aim of protection not only of the economic and social rights of domestic workers but also against </w:t>
      </w:r>
      <w:r w:rsidR="00CD2030" w:rsidRPr="002C145B">
        <w:rPr>
          <w:b/>
          <w:bCs/>
        </w:rPr>
        <w:t xml:space="preserve">their </w:t>
      </w:r>
      <w:r w:rsidR="000A727B" w:rsidRPr="002C145B">
        <w:rPr>
          <w:b/>
          <w:bCs/>
        </w:rPr>
        <w:t>exploitation and abuse;</w:t>
      </w:r>
    </w:p>
    <w:p w:rsidR="00CD1980" w:rsidRPr="002C145B" w:rsidRDefault="002C145B" w:rsidP="002C145B">
      <w:pPr>
        <w:pStyle w:val="SingleTxtG"/>
        <w:rPr>
          <w:b/>
          <w:bCs/>
        </w:rPr>
      </w:pPr>
      <w:r>
        <w:rPr>
          <w:b/>
          <w:bCs/>
        </w:rPr>
        <w:tab/>
        <w:t>(c)</w:t>
      </w:r>
      <w:r>
        <w:rPr>
          <w:b/>
          <w:bCs/>
        </w:rPr>
        <w:tab/>
        <w:t>P</w:t>
      </w:r>
      <w:r w:rsidR="000A727B" w:rsidRPr="002C145B">
        <w:rPr>
          <w:b/>
          <w:bCs/>
        </w:rPr>
        <w:t xml:space="preserve">rovide support </w:t>
      </w:r>
      <w:r w:rsidR="00561C31" w:rsidRPr="002C145B">
        <w:rPr>
          <w:b/>
          <w:bCs/>
        </w:rPr>
        <w:t xml:space="preserve">to </w:t>
      </w:r>
      <w:r w:rsidR="000A727B" w:rsidRPr="002C145B">
        <w:rPr>
          <w:b/>
          <w:bCs/>
        </w:rPr>
        <w:t>victims of exploitation and abuse</w:t>
      </w:r>
      <w:r w:rsidR="00561C31" w:rsidRPr="002C145B">
        <w:rPr>
          <w:b/>
          <w:bCs/>
        </w:rPr>
        <w:t xml:space="preserve"> as well as for the reintegration of returnees</w:t>
      </w:r>
      <w:r w:rsidR="00CD1980" w:rsidRPr="002C145B">
        <w:rPr>
          <w:b/>
          <w:bCs/>
        </w:rPr>
        <w:t xml:space="preserve">; </w:t>
      </w:r>
    </w:p>
    <w:p w:rsidR="000A727B" w:rsidRPr="002C145B" w:rsidRDefault="002C145B" w:rsidP="002C145B">
      <w:pPr>
        <w:pStyle w:val="SingleTxtG"/>
        <w:rPr>
          <w:b/>
          <w:bCs/>
        </w:rPr>
      </w:pPr>
      <w:r>
        <w:rPr>
          <w:b/>
          <w:bCs/>
        </w:rPr>
        <w:tab/>
        <w:t>(d)</w:t>
      </w:r>
      <w:r>
        <w:rPr>
          <w:b/>
          <w:bCs/>
        </w:rPr>
        <w:tab/>
        <w:t>A</w:t>
      </w:r>
      <w:r w:rsidR="00CD1980" w:rsidRPr="002C145B">
        <w:rPr>
          <w:b/>
          <w:bCs/>
        </w:rPr>
        <w:t>ddress the root causes of migration of domestic workers.</w:t>
      </w:r>
    </w:p>
    <w:p w:rsidR="007C51E7" w:rsidRDefault="004E1049" w:rsidP="000A5855">
      <w:pPr>
        <w:pStyle w:val="H1G"/>
      </w:pPr>
      <w:r>
        <w:tab/>
      </w:r>
      <w:r>
        <w:tab/>
      </w:r>
      <w:r w:rsidR="007C51E7">
        <w:t>Right to strike for civil servants</w:t>
      </w:r>
    </w:p>
    <w:p w:rsidR="00E36D56" w:rsidRDefault="000A727B" w:rsidP="006A7BBB">
      <w:pPr>
        <w:pStyle w:val="SingleTxtG"/>
        <w:numPr>
          <w:ilvl w:val="0"/>
          <w:numId w:val="17"/>
        </w:numPr>
        <w:tabs>
          <w:tab w:val="left" w:pos="1701"/>
        </w:tabs>
        <w:ind w:left="1134" w:firstLine="0"/>
        <w:rPr>
          <w:rFonts w:cs="Times New Roman"/>
        </w:rPr>
      </w:pPr>
      <w:r>
        <w:rPr>
          <w:rFonts w:cs="Times New Roman"/>
        </w:rPr>
        <w:t>The Committee is concerned that the r</w:t>
      </w:r>
      <w:r w:rsidR="00E36D56">
        <w:rPr>
          <w:rFonts w:cs="Times New Roman"/>
        </w:rPr>
        <w:t>ight to strike</w:t>
      </w:r>
      <w:r w:rsidR="006A7BBB">
        <w:rPr>
          <w:rFonts w:cs="Times New Roman"/>
        </w:rPr>
        <w:t xml:space="preserve"> and the right to organize</w:t>
      </w:r>
      <w:r w:rsidR="00E36D56">
        <w:rPr>
          <w:rFonts w:cs="Times New Roman"/>
        </w:rPr>
        <w:t xml:space="preserve"> </w:t>
      </w:r>
      <w:r w:rsidR="006A7BBB">
        <w:rPr>
          <w:rFonts w:cs="Times New Roman"/>
        </w:rPr>
        <w:t>are</w:t>
      </w:r>
      <w:r>
        <w:rPr>
          <w:rFonts w:cs="Times New Roman"/>
        </w:rPr>
        <w:t xml:space="preserve"> not recognized </w:t>
      </w:r>
      <w:r w:rsidR="00E36D56">
        <w:rPr>
          <w:rFonts w:cs="Times New Roman"/>
        </w:rPr>
        <w:t>for</w:t>
      </w:r>
      <w:r>
        <w:rPr>
          <w:rFonts w:cs="Times New Roman"/>
        </w:rPr>
        <w:t xml:space="preserve"> </w:t>
      </w:r>
      <w:r w:rsidR="00E36D56">
        <w:rPr>
          <w:rFonts w:cs="Times New Roman"/>
        </w:rPr>
        <w:t>civil servants</w:t>
      </w:r>
      <w:r w:rsidR="002C145B">
        <w:rPr>
          <w:rFonts w:cs="Times New Roman"/>
        </w:rPr>
        <w:t xml:space="preserve"> (art. </w:t>
      </w:r>
      <w:r>
        <w:rPr>
          <w:rFonts w:cs="Times New Roman"/>
        </w:rPr>
        <w:t>8)</w:t>
      </w:r>
      <w:r w:rsidR="004C47A8">
        <w:rPr>
          <w:rFonts w:cs="Times New Roman"/>
        </w:rPr>
        <w:t>.</w:t>
      </w:r>
    </w:p>
    <w:p w:rsidR="000A727B" w:rsidRPr="000A727B" w:rsidRDefault="000A727B" w:rsidP="000A727B">
      <w:pPr>
        <w:pStyle w:val="SingleTxtG"/>
        <w:tabs>
          <w:tab w:val="left" w:pos="1701"/>
        </w:tabs>
        <w:rPr>
          <w:rFonts w:cs="Times New Roman"/>
          <w:b/>
          <w:bCs/>
        </w:rPr>
      </w:pPr>
      <w:r>
        <w:rPr>
          <w:rFonts w:cs="Times New Roman"/>
          <w:b/>
          <w:bCs/>
        </w:rPr>
        <w:t xml:space="preserve">The Committee calls on the State party to recognize in law the right </w:t>
      </w:r>
      <w:r w:rsidR="008B796F">
        <w:rPr>
          <w:rFonts w:cs="Times New Roman"/>
          <w:b/>
          <w:bCs/>
        </w:rPr>
        <w:t xml:space="preserve">to </w:t>
      </w:r>
      <w:r>
        <w:rPr>
          <w:rFonts w:cs="Times New Roman"/>
          <w:b/>
          <w:bCs/>
        </w:rPr>
        <w:t xml:space="preserve">strike </w:t>
      </w:r>
      <w:r w:rsidR="008B796F">
        <w:rPr>
          <w:rFonts w:cs="Times New Roman"/>
          <w:b/>
          <w:bCs/>
        </w:rPr>
        <w:t xml:space="preserve">of </w:t>
      </w:r>
      <w:r>
        <w:rPr>
          <w:rFonts w:cs="Times New Roman"/>
          <w:b/>
          <w:bCs/>
        </w:rPr>
        <w:t>civil servants not performing essential services</w:t>
      </w:r>
      <w:r w:rsidR="006A7BBB">
        <w:rPr>
          <w:rFonts w:cs="Times New Roman"/>
          <w:b/>
          <w:bCs/>
        </w:rPr>
        <w:t xml:space="preserve"> as well as their right to organize</w:t>
      </w:r>
      <w:r>
        <w:rPr>
          <w:rFonts w:cs="Times New Roman"/>
          <w:b/>
          <w:bCs/>
        </w:rPr>
        <w:t>, in line with the provisions of article 8 of the Covenant.</w:t>
      </w:r>
    </w:p>
    <w:p w:rsidR="007C51E7" w:rsidRPr="00561C31" w:rsidRDefault="004E1049" w:rsidP="000A5855">
      <w:pPr>
        <w:pStyle w:val="H1G"/>
        <w:rPr>
          <w:lang w:val="en-US"/>
        </w:rPr>
      </w:pPr>
      <w:r>
        <w:tab/>
      </w:r>
      <w:r>
        <w:tab/>
      </w:r>
      <w:r w:rsidR="007C51E7">
        <w:t xml:space="preserve">Repression of </w:t>
      </w:r>
      <w:r w:rsidR="00F32E56">
        <w:t xml:space="preserve">trade </w:t>
      </w:r>
      <w:r w:rsidR="007C51E7">
        <w:t>union activities</w:t>
      </w:r>
    </w:p>
    <w:p w:rsidR="00E36D56" w:rsidRPr="004F62C7" w:rsidRDefault="004F62C7" w:rsidP="00AD33E2">
      <w:pPr>
        <w:pStyle w:val="SingleTxtG"/>
        <w:numPr>
          <w:ilvl w:val="0"/>
          <w:numId w:val="17"/>
        </w:numPr>
        <w:tabs>
          <w:tab w:val="left" w:pos="1701"/>
        </w:tabs>
        <w:ind w:left="1134" w:firstLine="0"/>
        <w:rPr>
          <w:rFonts w:cs="Times New Roman"/>
        </w:rPr>
      </w:pPr>
      <w:r>
        <w:rPr>
          <w:rFonts w:cs="Times New Roman"/>
        </w:rPr>
        <w:t>The Committee is concerned at reports of repression of</w:t>
      </w:r>
      <w:r w:rsidR="00F32E56">
        <w:rPr>
          <w:rFonts w:cs="Times New Roman"/>
        </w:rPr>
        <w:t xml:space="preserve"> trade</w:t>
      </w:r>
      <w:r>
        <w:rPr>
          <w:rFonts w:cs="Times New Roman"/>
        </w:rPr>
        <w:t xml:space="preserve"> union activities, including by the authorities</w:t>
      </w:r>
      <w:r w:rsidR="00AD33E2">
        <w:rPr>
          <w:rFonts w:cs="Times New Roman"/>
        </w:rPr>
        <w:t xml:space="preserve">, and </w:t>
      </w:r>
      <w:r w:rsidR="006A7BBB">
        <w:rPr>
          <w:rFonts w:cs="Times New Roman"/>
        </w:rPr>
        <w:t>at the lack of effective remedies</w:t>
      </w:r>
      <w:r w:rsidR="00AD33E2">
        <w:rPr>
          <w:rFonts w:cs="Times New Roman"/>
        </w:rPr>
        <w:t xml:space="preserve"> for violations of </w:t>
      </w:r>
      <w:r w:rsidR="00F32E56">
        <w:rPr>
          <w:rFonts w:cs="Times New Roman"/>
        </w:rPr>
        <w:t xml:space="preserve">trade </w:t>
      </w:r>
      <w:r w:rsidR="00AD33E2">
        <w:rPr>
          <w:rFonts w:cs="Times New Roman"/>
        </w:rPr>
        <w:t>union rights, in spite of the protection of union rights under</w:t>
      </w:r>
      <w:r w:rsidR="006A7BBB">
        <w:rPr>
          <w:rFonts w:cs="Times New Roman"/>
        </w:rPr>
        <w:t xml:space="preserve"> Law 21/2000 on Trade Unions</w:t>
      </w:r>
      <w:r w:rsidR="002C145B">
        <w:rPr>
          <w:rFonts w:cs="Times New Roman"/>
        </w:rPr>
        <w:t xml:space="preserve"> (art. </w:t>
      </w:r>
      <w:r>
        <w:rPr>
          <w:rFonts w:cs="Times New Roman"/>
        </w:rPr>
        <w:t>8</w:t>
      </w:r>
      <w:r w:rsidR="00AD33E2">
        <w:rPr>
          <w:rFonts w:cs="Times New Roman"/>
        </w:rPr>
        <w:t>)</w:t>
      </w:r>
      <w:r w:rsidR="004C47A8">
        <w:rPr>
          <w:rFonts w:cs="Times New Roman"/>
        </w:rPr>
        <w:t>.</w:t>
      </w:r>
    </w:p>
    <w:p w:rsidR="006A7BBB" w:rsidRPr="004F62C7" w:rsidRDefault="004F62C7" w:rsidP="00AD33E2">
      <w:pPr>
        <w:pStyle w:val="SingleTxtG"/>
        <w:tabs>
          <w:tab w:val="num" w:pos="1701"/>
        </w:tabs>
        <w:ind w:left="1162"/>
        <w:rPr>
          <w:rFonts w:eastAsia="SimSun"/>
          <w:b/>
          <w:lang w:val="en-US" w:eastAsia="zh-CN"/>
        </w:rPr>
      </w:pPr>
      <w:r w:rsidRPr="00AD33E2">
        <w:rPr>
          <w:rFonts w:eastAsia="SimSun"/>
          <w:b/>
          <w:lang w:val="en-US" w:eastAsia="zh-CN"/>
        </w:rPr>
        <w:t xml:space="preserve">The Committee </w:t>
      </w:r>
      <w:r w:rsidR="00CD2030">
        <w:rPr>
          <w:rFonts w:eastAsia="SimSun"/>
          <w:b/>
          <w:lang w:val="en-US" w:eastAsia="zh-CN"/>
        </w:rPr>
        <w:t>recommends that</w:t>
      </w:r>
      <w:r w:rsidRPr="00AD33E2">
        <w:rPr>
          <w:rFonts w:eastAsia="SimSun"/>
          <w:b/>
          <w:lang w:val="en-US" w:eastAsia="zh-CN"/>
        </w:rPr>
        <w:t xml:space="preserve"> the State party protect trade union rights and effectively investigate all allegations of violations brought to its attention.</w:t>
      </w:r>
      <w:r w:rsidR="00AD33E2" w:rsidRPr="00AD33E2">
        <w:rPr>
          <w:rFonts w:eastAsia="SimSun"/>
          <w:b/>
          <w:lang w:val="en-US" w:eastAsia="zh-CN"/>
        </w:rPr>
        <w:t xml:space="preserve"> In this regard, the Committee recommends that the State party develop the capacity of law enforcement and </w:t>
      </w:r>
      <w:proofErr w:type="spellStart"/>
      <w:r w:rsidR="00AD33E2" w:rsidRPr="00AD33E2">
        <w:rPr>
          <w:rFonts w:eastAsia="SimSun"/>
          <w:b/>
          <w:lang w:val="en-US" w:eastAsia="zh-CN"/>
        </w:rPr>
        <w:t>labour</w:t>
      </w:r>
      <w:proofErr w:type="spellEnd"/>
      <w:r w:rsidR="00AD33E2" w:rsidRPr="00AD33E2">
        <w:rPr>
          <w:rFonts w:eastAsia="SimSun"/>
          <w:b/>
          <w:lang w:val="en-US" w:eastAsia="zh-CN"/>
        </w:rPr>
        <w:t xml:space="preserve"> inspection to investigate allegations of repression of union activities</w:t>
      </w:r>
      <w:r w:rsidR="00E804D4">
        <w:rPr>
          <w:rFonts w:eastAsia="SimSun"/>
          <w:b/>
          <w:lang w:val="en-US" w:eastAsia="zh-CN"/>
        </w:rPr>
        <w:t>, so that they are not</w:t>
      </w:r>
      <w:r w:rsidR="00AD33E2" w:rsidRPr="00AD33E2">
        <w:rPr>
          <w:rFonts w:eastAsia="SimSun"/>
          <w:b/>
          <w:lang w:val="en-US" w:eastAsia="zh-CN"/>
        </w:rPr>
        <w:t xml:space="preserve"> construed as a form of defamation</w:t>
      </w:r>
      <w:r w:rsidR="00CD2030">
        <w:rPr>
          <w:rFonts w:eastAsia="SimSun"/>
          <w:b/>
          <w:lang w:val="en-US" w:eastAsia="zh-CN"/>
        </w:rPr>
        <w:t xml:space="preserve"> </w:t>
      </w:r>
      <w:r w:rsidR="00680F74">
        <w:rPr>
          <w:rFonts w:eastAsia="SimSun"/>
          <w:b/>
          <w:lang w:val="en-US" w:eastAsia="zh-CN"/>
        </w:rPr>
        <w:t xml:space="preserve">of </w:t>
      </w:r>
      <w:r w:rsidR="00CD2030">
        <w:rPr>
          <w:rFonts w:eastAsia="SimSun"/>
          <w:b/>
          <w:lang w:val="en-US" w:eastAsia="zh-CN"/>
        </w:rPr>
        <w:t>employers</w:t>
      </w:r>
      <w:r w:rsidR="006A7BBB" w:rsidRPr="00AD33E2">
        <w:rPr>
          <w:rFonts w:eastAsia="SimSun"/>
          <w:b/>
          <w:lang w:val="en-US" w:eastAsia="zh-CN"/>
        </w:rPr>
        <w:t>.</w:t>
      </w:r>
      <w:r w:rsidR="006A7BBB">
        <w:rPr>
          <w:rFonts w:eastAsia="SimSun"/>
          <w:b/>
          <w:lang w:val="en-US" w:eastAsia="zh-CN"/>
        </w:rPr>
        <w:t xml:space="preserve"> </w:t>
      </w:r>
    </w:p>
    <w:p w:rsidR="007C51E7" w:rsidRDefault="004E1049" w:rsidP="000A5855">
      <w:pPr>
        <w:pStyle w:val="H1G"/>
      </w:pPr>
      <w:r>
        <w:tab/>
      </w:r>
      <w:r>
        <w:tab/>
      </w:r>
      <w:r w:rsidR="007C51E7">
        <w:t xml:space="preserve">Social </w:t>
      </w:r>
      <w:r w:rsidR="007C51E7" w:rsidRPr="006E27D3">
        <w:rPr>
          <w:lang w:val="en-US"/>
        </w:rPr>
        <w:t>security</w:t>
      </w:r>
    </w:p>
    <w:p w:rsidR="00E36D56" w:rsidRDefault="00477210" w:rsidP="00477210">
      <w:pPr>
        <w:pStyle w:val="SingleTxtG"/>
        <w:numPr>
          <w:ilvl w:val="0"/>
          <w:numId w:val="17"/>
        </w:numPr>
        <w:tabs>
          <w:tab w:val="left" w:pos="1701"/>
        </w:tabs>
        <w:ind w:left="1134" w:firstLine="0"/>
        <w:rPr>
          <w:rFonts w:cs="Times New Roman"/>
        </w:rPr>
      </w:pPr>
      <w:r>
        <w:rPr>
          <w:rFonts w:cs="Times New Roman"/>
        </w:rPr>
        <w:t>The Committee is concerned that</w:t>
      </w:r>
      <w:r w:rsidR="008B796F">
        <w:rPr>
          <w:rFonts w:cs="Times New Roman"/>
        </w:rPr>
        <w:t>,</w:t>
      </w:r>
      <w:r>
        <w:rPr>
          <w:rFonts w:cs="Times New Roman"/>
        </w:rPr>
        <w:t xml:space="preserve"> while plans for the expansion of the coverage of health insurance are in place, coverage </w:t>
      </w:r>
      <w:r w:rsidR="000A345F">
        <w:rPr>
          <w:rFonts w:cs="Times New Roman"/>
        </w:rPr>
        <w:t>by</w:t>
      </w:r>
      <w:r w:rsidR="00CD1980">
        <w:rPr>
          <w:rFonts w:cs="Times New Roman"/>
        </w:rPr>
        <w:t xml:space="preserve"> </w:t>
      </w:r>
      <w:r w:rsidR="00E804D4">
        <w:rPr>
          <w:rFonts w:cs="Times New Roman"/>
        </w:rPr>
        <w:t>other existing</w:t>
      </w:r>
      <w:r>
        <w:rPr>
          <w:rFonts w:cs="Times New Roman"/>
        </w:rPr>
        <w:t xml:space="preserve"> scheme</w:t>
      </w:r>
      <w:r w:rsidR="00E804D4">
        <w:rPr>
          <w:rFonts w:cs="Times New Roman"/>
        </w:rPr>
        <w:t>s</w:t>
      </w:r>
      <w:r>
        <w:rPr>
          <w:rFonts w:cs="Times New Roman"/>
        </w:rPr>
        <w:t xml:space="preserve"> is primarily limited to those employed in the formal economy. </w:t>
      </w:r>
      <w:r w:rsidR="000A345F">
        <w:rPr>
          <w:rFonts w:cs="Times New Roman"/>
        </w:rPr>
        <w:t xml:space="preserve">The Committee is concerned that a very small number of workers in the informal economy are covered by the social security programmes, such as JAMSOSTEK. </w:t>
      </w:r>
      <w:r>
        <w:rPr>
          <w:rFonts w:cs="Times New Roman"/>
        </w:rPr>
        <w:t xml:space="preserve">The Committee is </w:t>
      </w:r>
      <w:r w:rsidR="000A345F">
        <w:rPr>
          <w:rFonts w:cs="Times New Roman"/>
        </w:rPr>
        <w:t xml:space="preserve">further </w:t>
      </w:r>
      <w:r>
        <w:rPr>
          <w:rFonts w:cs="Times New Roman"/>
        </w:rPr>
        <w:t>concerned that the State party does not have an unemployment insurance scheme</w:t>
      </w:r>
      <w:r w:rsidR="002C145B">
        <w:rPr>
          <w:rFonts w:cs="Times New Roman"/>
        </w:rPr>
        <w:t xml:space="preserve"> (art. </w:t>
      </w:r>
      <w:r>
        <w:rPr>
          <w:rFonts w:cs="Times New Roman"/>
        </w:rPr>
        <w:t>9)</w:t>
      </w:r>
      <w:r w:rsidR="004C47A8">
        <w:rPr>
          <w:rFonts w:cs="Times New Roman"/>
        </w:rPr>
        <w:t>.</w:t>
      </w:r>
    </w:p>
    <w:p w:rsidR="00622AA7" w:rsidRDefault="00477210" w:rsidP="000A5855">
      <w:pPr>
        <w:pStyle w:val="SingleTxtG"/>
        <w:keepNext/>
        <w:tabs>
          <w:tab w:val="num" w:pos="1701"/>
        </w:tabs>
        <w:ind w:left="1162"/>
        <w:rPr>
          <w:rFonts w:cs="Times New Roman"/>
          <w:b/>
          <w:bCs/>
          <w:lang w:val="en-US"/>
        </w:rPr>
      </w:pPr>
      <w:r>
        <w:rPr>
          <w:rFonts w:cs="Times New Roman"/>
          <w:b/>
          <w:bCs/>
        </w:rPr>
        <w:t>The Committee recommends that the State party</w:t>
      </w:r>
      <w:r w:rsidR="004D2A5D">
        <w:rPr>
          <w:rFonts w:cs="Times New Roman"/>
          <w:b/>
          <w:bCs/>
          <w:lang w:val="en-US"/>
        </w:rPr>
        <w:t>:</w:t>
      </w:r>
    </w:p>
    <w:p w:rsidR="000A345F" w:rsidRPr="002C145B" w:rsidRDefault="002C145B" w:rsidP="002C145B">
      <w:pPr>
        <w:pStyle w:val="SingleTxtG"/>
        <w:rPr>
          <w:b/>
          <w:bCs/>
        </w:rPr>
      </w:pPr>
      <w:r>
        <w:rPr>
          <w:b/>
          <w:bCs/>
        </w:rPr>
        <w:tab/>
        <w:t>(a)</w:t>
      </w:r>
      <w:r>
        <w:rPr>
          <w:b/>
          <w:bCs/>
        </w:rPr>
        <w:tab/>
        <w:t>P</w:t>
      </w:r>
      <w:r w:rsidR="00EA53E5" w:rsidRPr="002C145B">
        <w:rPr>
          <w:b/>
          <w:bCs/>
        </w:rPr>
        <w:t>romote</w:t>
      </w:r>
      <w:r w:rsidR="000A345F" w:rsidRPr="002C145B">
        <w:rPr>
          <w:b/>
          <w:bCs/>
        </w:rPr>
        <w:t xml:space="preserve"> the expansion of the coverage by existing social security schemes, including by reviewing eligibility criteria, such as those specified in Presidential Decree No. 111/2013 amending Decree 12/2013 on Health Insurance, so that disadvantaged individuals and groups are not excluded;</w:t>
      </w:r>
    </w:p>
    <w:p w:rsidR="00622AA7" w:rsidRPr="002C145B" w:rsidRDefault="002C145B" w:rsidP="002C145B">
      <w:pPr>
        <w:pStyle w:val="SingleTxtG"/>
        <w:rPr>
          <w:b/>
          <w:bCs/>
        </w:rPr>
      </w:pPr>
      <w:r>
        <w:rPr>
          <w:b/>
          <w:bCs/>
        </w:rPr>
        <w:tab/>
        <w:t>(b)</w:t>
      </w:r>
      <w:r>
        <w:rPr>
          <w:b/>
          <w:bCs/>
        </w:rPr>
        <w:tab/>
        <w:t>C</w:t>
      </w:r>
      <w:r w:rsidR="000A345F" w:rsidRPr="002C145B">
        <w:rPr>
          <w:b/>
          <w:bCs/>
        </w:rPr>
        <w:t>onsider the establishment of a social protection floor</w:t>
      </w:r>
      <w:r w:rsidR="008B753C" w:rsidRPr="002C145B">
        <w:rPr>
          <w:b/>
          <w:bCs/>
        </w:rPr>
        <w:t xml:space="preserve"> as envisaged in the ILO recommendation No. 202 (2012) in order to ensure basic benefits </w:t>
      </w:r>
      <w:r w:rsidR="00622AA7" w:rsidRPr="002C145B">
        <w:rPr>
          <w:b/>
          <w:bCs/>
        </w:rPr>
        <w:t>for children</w:t>
      </w:r>
      <w:r w:rsidR="008B753C" w:rsidRPr="002C145B">
        <w:rPr>
          <w:b/>
          <w:bCs/>
        </w:rPr>
        <w:t>,</w:t>
      </w:r>
      <w:r w:rsidR="00622AA7" w:rsidRPr="002C145B">
        <w:rPr>
          <w:b/>
          <w:bCs/>
        </w:rPr>
        <w:t xml:space="preserve"> persons in active age who are unable to earn sufficient income</w:t>
      </w:r>
      <w:r w:rsidR="008B753C" w:rsidRPr="002C145B">
        <w:rPr>
          <w:b/>
          <w:bCs/>
        </w:rPr>
        <w:t>, persons with disabilities, and other individuals in a disadvantaged situation that would also include existing programmes for workers in the informal economy, such as JAMSOSTEK</w:t>
      </w:r>
      <w:r w:rsidR="00622AA7" w:rsidRPr="002C145B">
        <w:rPr>
          <w:b/>
          <w:bCs/>
        </w:rPr>
        <w:t>;</w:t>
      </w:r>
    </w:p>
    <w:p w:rsidR="008B753C" w:rsidRPr="002C145B" w:rsidRDefault="002C145B" w:rsidP="002C145B">
      <w:pPr>
        <w:pStyle w:val="SingleTxtG"/>
        <w:rPr>
          <w:b/>
          <w:bCs/>
        </w:rPr>
      </w:pPr>
      <w:r>
        <w:rPr>
          <w:b/>
          <w:bCs/>
        </w:rPr>
        <w:tab/>
        <w:t>(c)</w:t>
      </w:r>
      <w:r>
        <w:rPr>
          <w:b/>
          <w:bCs/>
        </w:rPr>
        <w:tab/>
        <w:t>P</w:t>
      </w:r>
      <w:r w:rsidR="008B753C" w:rsidRPr="002C145B">
        <w:rPr>
          <w:b/>
          <w:bCs/>
        </w:rPr>
        <w:t>ursue its efforts towards the establishment of an unemployment insurance scheme.</w:t>
      </w:r>
      <w:r w:rsidR="001474D1" w:rsidRPr="002C145B">
        <w:rPr>
          <w:b/>
          <w:bCs/>
        </w:rPr>
        <w:t xml:space="preserve"> </w:t>
      </w:r>
    </w:p>
    <w:p w:rsidR="00F40C15" w:rsidRDefault="00F40C15" w:rsidP="008B753C">
      <w:pPr>
        <w:pStyle w:val="SingleTxtG"/>
        <w:rPr>
          <w:rFonts w:cs="Times New Roman"/>
          <w:b/>
          <w:bCs/>
          <w:lang w:val="en-US"/>
        </w:rPr>
      </w:pPr>
      <w:r>
        <w:rPr>
          <w:rFonts w:cs="Times New Roman"/>
          <w:b/>
          <w:bCs/>
          <w:lang w:val="en-US"/>
        </w:rPr>
        <w:t xml:space="preserve">The Committee refers the State party to its general comment No. </w:t>
      </w:r>
      <w:r w:rsidR="0066474E">
        <w:rPr>
          <w:rFonts w:cs="Times New Roman"/>
          <w:b/>
          <w:bCs/>
          <w:lang w:val="en-US"/>
        </w:rPr>
        <w:t>19 (2007) on the right to social security.</w:t>
      </w:r>
    </w:p>
    <w:p w:rsidR="007C51E7" w:rsidRDefault="004E1049" w:rsidP="000A5855">
      <w:pPr>
        <w:pStyle w:val="H1G"/>
      </w:pPr>
      <w:r>
        <w:tab/>
      </w:r>
      <w:r>
        <w:tab/>
      </w:r>
      <w:r w:rsidR="007C51E7">
        <w:t xml:space="preserve">Child </w:t>
      </w:r>
      <w:r w:rsidR="007C51E7" w:rsidRPr="006E27D3">
        <w:rPr>
          <w:lang w:val="en-US"/>
        </w:rPr>
        <w:t>marriage</w:t>
      </w:r>
    </w:p>
    <w:p w:rsidR="00E36D56" w:rsidRDefault="002267E3" w:rsidP="00F02CB2">
      <w:pPr>
        <w:pStyle w:val="SingleTxtG"/>
        <w:numPr>
          <w:ilvl w:val="0"/>
          <w:numId w:val="17"/>
        </w:numPr>
        <w:tabs>
          <w:tab w:val="left" w:pos="1701"/>
        </w:tabs>
        <w:ind w:left="1134" w:firstLine="0"/>
        <w:rPr>
          <w:rFonts w:cs="Times New Roman"/>
        </w:rPr>
      </w:pPr>
      <w:r>
        <w:rPr>
          <w:rFonts w:cs="Times New Roman"/>
        </w:rPr>
        <w:t>The Committee is concerned that c</w:t>
      </w:r>
      <w:r w:rsidR="00E36D56">
        <w:rPr>
          <w:rFonts w:cs="Times New Roman"/>
        </w:rPr>
        <w:t>hild marriage</w:t>
      </w:r>
      <w:r w:rsidR="0056745C">
        <w:rPr>
          <w:rFonts w:cs="Times New Roman"/>
        </w:rPr>
        <w:t xml:space="preserve"> </w:t>
      </w:r>
      <w:r>
        <w:rPr>
          <w:rFonts w:cs="Times New Roman"/>
        </w:rPr>
        <w:t xml:space="preserve">is </w:t>
      </w:r>
      <w:r w:rsidR="00F02CB2">
        <w:rPr>
          <w:rFonts w:cs="Times New Roman"/>
        </w:rPr>
        <w:t>still practiced in the State party</w:t>
      </w:r>
      <w:r>
        <w:rPr>
          <w:rFonts w:cs="Times New Roman"/>
        </w:rPr>
        <w:t>. The Committee also regrets the lack of information on</w:t>
      </w:r>
      <w:r w:rsidR="00F02CB2">
        <w:rPr>
          <w:rFonts w:cs="Times New Roman"/>
        </w:rPr>
        <w:t xml:space="preserve"> relevant</w:t>
      </w:r>
      <w:r>
        <w:rPr>
          <w:rFonts w:cs="Times New Roman"/>
        </w:rPr>
        <w:t xml:space="preserve"> legal control</w:t>
      </w:r>
      <w:r w:rsidR="002C145B">
        <w:rPr>
          <w:rFonts w:cs="Times New Roman"/>
        </w:rPr>
        <w:t xml:space="preserve"> (art. </w:t>
      </w:r>
      <w:r w:rsidR="00F76581">
        <w:rPr>
          <w:rFonts w:cs="Times New Roman"/>
        </w:rPr>
        <w:t>10)</w:t>
      </w:r>
      <w:r w:rsidR="004C47A8">
        <w:rPr>
          <w:rFonts w:cs="Times New Roman"/>
        </w:rPr>
        <w:t>.</w:t>
      </w:r>
    </w:p>
    <w:p w:rsidR="00F02CB2" w:rsidRPr="00F02CB2" w:rsidRDefault="00F02CB2" w:rsidP="00F76581">
      <w:pPr>
        <w:pStyle w:val="SingleTxtG"/>
        <w:tabs>
          <w:tab w:val="left" w:pos="1701"/>
        </w:tabs>
        <w:rPr>
          <w:rFonts w:cs="Times New Roman"/>
          <w:b/>
          <w:bCs/>
        </w:rPr>
      </w:pPr>
      <w:r>
        <w:rPr>
          <w:rFonts w:cs="Times New Roman"/>
          <w:b/>
          <w:bCs/>
        </w:rPr>
        <w:t xml:space="preserve">The Committee </w:t>
      </w:r>
      <w:r w:rsidR="007236FE">
        <w:rPr>
          <w:rFonts w:cs="Times New Roman"/>
          <w:b/>
          <w:bCs/>
        </w:rPr>
        <w:t>urges</w:t>
      </w:r>
      <w:r>
        <w:rPr>
          <w:rFonts w:cs="Times New Roman"/>
          <w:b/>
          <w:bCs/>
        </w:rPr>
        <w:t xml:space="preserve"> the State party </w:t>
      </w:r>
      <w:r w:rsidR="007236FE">
        <w:rPr>
          <w:rFonts w:cs="Times New Roman"/>
          <w:b/>
          <w:bCs/>
        </w:rPr>
        <w:t xml:space="preserve">to </w:t>
      </w:r>
      <w:r>
        <w:rPr>
          <w:rFonts w:cs="Times New Roman"/>
          <w:b/>
          <w:bCs/>
        </w:rPr>
        <w:t>prevent</w:t>
      </w:r>
      <w:r w:rsidR="00F76581">
        <w:rPr>
          <w:rFonts w:cs="Times New Roman"/>
          <w:b/>
          <w:bCs/>
        </w:rPr>
        <w:t xml:space="preserve"> </w:t>
      </w:r>
      <w:r w:rsidR="007236FE">
        <w:rPr>
          <w:rFonts w:cs="Times New Roman"/>
          <w:b/>
          <w:bCs/>
        </w:rPr>
        <w:t xml:space="preserve">child </w:t>
      </w:r>
      <w:r w:rsidR="00F76581">
        <w:rPr>
          <w:rFonts w:cs="Times New Roman"/>
          <w:b/>
          <w:bCs/>
        </w:rPr>
        <w:t>marriages</w:t>
      </w:r>
      <w:r>
        <w:rPr>
          <w:rFonts w:cs="Times New Roman"/>
          <w:b/>
          <w:bCs/>
        </w:rPr>
        <w:t>, in law and in pr</w:t>
      </w:r>
      <w:r w:rsidR="00F76581">
        <w:rPr>
          <w:rFonts w:cs="Times New Roman"/>
          <w:b/>
          <w:bCs/>
        </w:rPr>
        <w:t>actice</w:t>
      </w:r>
      <w:r w:rsidR="00354854">
        <w:rPr>
          <w:rFonts w:cs="Times New Roman"/>
          <w:b/>
          <w:bCs/>
        </w:rPr>
        <w:t>, and</w:t>
      </w:r>
      <w:r w:rsidR="007236FE">
        <w:rPr>
          <w:rFonts w:cs="Times New Roman"/>
          <w:b/>
          <w:bCs/>
        </w:rPr>
        <w:t xml:space="preserve"> to</w:t>
      </w:r>
      <w:r w:rsidR="00354854">
        <w:rPr>
          <w:rFonts w:cs="Times New Roman"/>
          <w:b/>
          <w:bCs/>
        </w:rPr>
        <w:t xml:space="preserve"> ensure the effectiveness of</w:t>
      </w:r>
      <w:r w:rsidR="00F76581">
        <w:rPr>
          <w:rFonts w:cs="Times New Roman"/>
          <w:b/>
          <w:bCs/>
        </w:rPr>
        <w:t xml:space="preserve"> legal control of child marriage </w:t>
      </w:r>
      <w:r w:rsidR="00354854">
        <w:rPr>
          <w:rFonts w:cs="Times New Roman"/>
          <w:b/>
          <w:bCs/>
        </w:rPr>
        <w:t xml:space="preserve">with a view to </w:t>
      </w:r>
      <w:r w:rsidR="00CD1980">
        <w:rPr>
          <w:rFonts w:cs="Times New Roman"/>
          <w:b/>
          <w:bCs/>
        </w:rPr>
        <w:t xml:space="preserve">punishing </w:t>
      </w:r>
      <w:r w:rsidR="00F76581">
        <w:rPr>
          <w:rFonts w:cs="Times New Roman"/>
          <w:b/>
          <w:bCs/>
        </w:rPr>
        <w:t>individuals</w:t>
      </w:r>
      <w:r>
        <w:rPr>
          <w:rFonts w:cs="Times New Roman"/>
          <w:b/>
          <w:bCs/>
        </w:rPr>
        <w:t xml:space="preserve"> </w:t>
      </w:r>
      <w:r w:rsidRPr="00F02CB2">
        <w:rPr>
          <w:rFonts w:cs="Times New Roman"/>
          <w:b/>
          <w:bCs/>
        </w:rPr>
        <w:t xml:space="preserve">performing and facilitating </w:t>
      </w:r>
      <w:r w:rsidRPr="00F76581">
        <w:rPr>
          <w:rFonts w:cs="Times New Roman"/>
          <w:b/>
          <w:bCs/>
        </w:rPr>
        <w:t>child marriages</w:t>
      </w:r>
      <w:r w:rsidR="00F76581">
        <w:rPr>
          <w:rFonts w:cs="Times New Roman"/>
          <w:b/>
          <w:bCs/>
        </w:rPr>
        <w:t>.</w:t>
      </w:r>
    </w:p>
    <w:p w:rsidR="007C51E7" w:rsidRDefault="004E1049" w:rsidP="000A5855">
      <w:pPr>
        <w:pStyle w:val="H1G"/>
      </w:pPr>
      <w:r>
        <w:tab/>
      </w:r>
      <w:r>
        <w:tab/>
      </w:r>
      <w:r w:rsidR="007C51E7">
        <w:t xml:space="preserve">Child </w:t>
      </w:r>
      <w:proofErr w:type="spellStart"/>
      <w:r w:rsidR="007C51E7" w:rsidRPr="006E27D3">
        <w:rPr>
          <w:lang w:val="en-US"/>
        </w:rPr>
        <w:t>labour</w:t>
      </w:r>
      <w:proofErr w:type="spellEnd"/>
    </w:p>
    <w:p w:rsidR="00E36D56" w:rsidRDefault="007E2738" w:rsidP="007E2738">
      <w:pPr>
        <w:pStyle w:val="SingleTxtG"/>
        <w:numPr>
          <w:ilvl w:val="0"/>
          <w:numId w:val="17"/>
        </w:numPr>
        <w:tabs>
          <w:tab w:val="left" w:pos="1701"/>
        </w:tabs>
        <w:ind w:left="1134" w:firstLine="0"/>
        <w:rPr>
          <w:rFonts w:cs="Times New Roman"/>
        </w:rPr>
      </w:pPr>
      <w:r>
        <w:rPr>
          <w:rFonts w:cs="Times New Roman"/>
        </w:rPr>
        <w:t>The Committee is concerned a</w:t>
      </w:r>
      <w:r w:rsidR="00EF36ED">
        <w:rPr>
          <w:rFonts w:cs="Times New Roman"/>
        </w:rPr>
        <w:t>bou</w:t>
      </w:r>
      <w:r>
        <w:rPr>
          <w:rFonts w:cs="Times New Roman"/>
        </w:rPr>
        <w:t xml:space="preserve">t the large number of children involved in labour, including in hazardous work. The Committee is also concerned that measures taken, which in 2014 for instance </w:t>
      </w:r>
      <w:r w:rsidR="00C31E8A">
        <w:rPr>
          <w:rFonts w:cs="Times New Roman"/>
        </w:rPr>
        <w:t xml:space="preserve">seek to </w:t>
      </w:r>
      <w:r>
        <w:rPr>
          <w:rFonts w:cs="Times New Roman"/>
        </w:rPr>
        <w:t>reach out to 15,000 children, are not commensurate with the extent of the problem which concern</w:t>
      </w:r>
      <w:r w:rsidR="00772A6F">
        <w:rPr>
          <w:rFonts w:cs="Times New Roman"/>
        </w:rPr>
        <w:t>s</w:t>
      </w:r>
      <w:r>
        <w:rPr>
          <w:rFonts w:cs="Times New Roman"/>
        </w:rPr>
        <w:t xml:space="preserve"> millions of children</w:t>
      </w:r>
      <w:r w:rsidR="002C145B">
        <w:rPr>
          <w:rFonts w:cs="Times New Roman"/>
        </w:rPr>
        <w:t xml:space="preserve"> (art. </w:t>
      </w:r>
      <w:r>
        <w:rPr>
          <w:rFonts w:cs="Times New Roman"/>
        </w:rPr>
        <w:t>10)</w:t>
      </w:r>
      <w:r w:rsidR="004C47A8">
        <w:rPr>
          <w:rFonts w:cs="Times New Roman"/>
        </w:rPr>
        <w:t>.</w:t>
      </w:r>
    </w:p>
    <w:p w:rsidR="007E2738" w:rsidRPr="00414C2D" w:rsidRDefault="00414C2D" w:rsidP="0066575D">
      <w:pPr>
        <w:pStyle w:val="SingleTxtG"/>
        <w:tabs>
          <w:tab w:val="left" w:pos="1701"/>
        </w:tabs>
        <w:rPr>
          <w:rFonts w:cs="Times New Roman"/>
          <w:b/>
          <w:bCs/>
        </w:rPr>
      </w:pPr>
      <w:r>
        <w:rPr>
          <w:rFonts w:cs="Times New Roman"/>
          <w:b/>
          <w:bCs/>
        </w:rPr>
        <w:t xml:space="preserve">The Committee urges the State party </w:t>
      </w:r>
      <w:r w:rsidR="0066575D" w:rsidRPr="0066575D">
        <w:rPr>
          <w:rFonts w:cs="Times New Roman"/>
          <w:b/>
          <w:bCs/>
          <w:lang w:val="en-US"/>
        </w:rPr>
        <w:t xml:space="preserve">to pursue its efforts aimed at </w:t>
      </w:r>
      <w:r w:rsidR="0066575D">
        <w:rPr>
          <w:rFonts w:cs="Times New Roman"/>
          <w:b/>
          <w:bCs/>
          <w:lang w:val="en-US"/>
        </w:rPr>
        <w:t xml:space="preserve">combating child </w:t>
      </w:r>
      <w:proofErr w:type="spellStart"/>
      <w:r w:rsidR="0066575D">
        <w:rPr>
          <w:rFonts w:cs="Times New Roman"/>
          <w:b/>
          <w:bCs/>
          <w:lang w:val="en-US"/>
        </w:rPr>
        <w:t>labour</w:t>
      </w:r>
      <w:proofErr w:type="spellEnd"/>
      <w:r w:rsidR="0066575D" w:rsidRPr="0066575D">
        <w:rPr>
          <w:rFonts w:cs="Times New Roman"/>
          <w:b/>
          <w:bCs/>
          <w:lang w:val="en-US"/>
        </w:rPr>
        <w:t>,</w:t>
      </w:r>
      <w:r w:rsidR="0066575D">
        <w:rPr>
          <w:rFonts w:cs="Times New Roman"/>
          <w:b/>
          <w:bCs/>
          <w:lang w:val="en-US"/>
        </w:rPr>
        <w:t xml:space="preserve"> including by (a) taking measures and investing</w:t>
      </w:r>
      <w:r w:rsidR="0066575D" w:rsidRPr="0066575D">
        <w:rPr>
          <w:rFonts w:cs="Times New Roman"/>
          <w:b/>
          <w:bCs/>
          <w:lang w:val="en-US"/>
        </w:rPr>
        <w:t xml:space="preserve"> resources commensurate with the </w:t>
      </w:r>
      <w:r w:rsidR="00B34438">
        <w:rPr>
          <w:rFonts w:cs="Times New Roman"/>
          <w:b/>
          <w:bCs/>
          <w:lang w:val="en-US"/>
        </w:rPr>
        <w:t>extent</w:t>
      </w:r>
      <w:r w:rsidR="00B34438" w:rsidRPr="0066575D">
        <w:rPr>
          <w:rFonts w:cs="Times New Roman"/>
          <w:b/>
          <w:bCs/>
          <w:lang w:val="en-US"/>
        </w:rPr>
        <w:t xml:space="preserve"> </w:t>
      </w:r>
      <w:r w:rsidR="0066575D" w:rsidRPr="0066575D">
        <w:rPr>
          <w:rFonts w:cs="Times New Roman"/>
          <w:b/>
          <w:bCs/>
          <w:lang w:val="en-US"/>
        </w:rPr>
        <w:t xml:space="preserve">of </w:t>
      </w:r>
      <w:r w:rsidR="0066575D">
        <w:rPr>
          <w:rFonts w:cs="Times New Roman"/>
          <w:b/>
          <w:bCs/>
          <w:lang w:val="en-US"/>
        </w:rPr>
        <w:t>the problem; (b) ensuring effective</w:t>
      </w:r>
      <w:r w:rsidR="0066575D" w:rsidRPr="0066575D">
        <w:rPr>
          <w:rFonts w:cs="Times New Roman"/>
          <w:b/>
          <w:bCs/>
          <w:lang w:val="en-US"/>
        </w:rPr>
        <w:t xml:space="preserve"> </w:t>
      </w:r>
      <w:proofErr w:type="spellStart"/>
      <w:r w:rsidR="0066575D" w:rsidRPr="0066575D">
        <w:rPr>
          <w:rFonts w:cs="Times New Roman"/>
          <w:b/>
          <w:bCs/>
          <w:lang w:val="en-US"/>
        </w:rPr>
        <w:t>labour</w:t>
      </w:r>
      <w:proofErr w:type="spellEnd"/>
      <w:r w:rsidR="0066575D" w:rsidRPr="0066575D">
        <w:rPr>
          <w:rFonts w:cs="Times New Roman"/>
          <w:b/>
          <w:bCs/>
          <w:lang w:val="en-US"/>
        </w:rPr>
        <w:t xml:space="preserve"> inspections</w:t>
      </w:r>
      <w:r w:rsidR="00E804D4">
        <w:rPr>
          <w:rFonts w:cs="Times New Roman"/>
          <w:b/>
          <w:bCs/>
          <w:lang w:val="en-US"/>
        </w:rPr>
        <w:t xml:space="preserve"> in</w:t>
      </w:r>
      <w:r w:rsidR="0066575D" w:rsidRPr="0066575D">
        <w:rPr>
          <w:rFonts w:cs="Times New Roman"/>
          <w:b/>
          <w:bCs/>
          <w:lang w:val="en-US"/>
        </w:rPr>
        <w:t xml:space="preserve"> </w:t>
      </w:r>
      <w:r w:rsidR="00E3010C">
        <w:rPr>
          <w:rFonts w:cs="Times New Roman"/>
          <w:b/>
          <w:bCs/>
          <w:lang w:val="en-US"/>
        </w:rPr>
        <w:t>the domestic work as well as in agriculture, forestry, hunting and fishery sectors</w:t>
      </w:r>
      <w:r w:rsidR="0066575D" w:rsidRPr="0066575D">
        <w:rPr>
          <w:rFonts w:cs="Times New Roman"/>
          <w:b/>
          <w:bCs/>
          <w:lang w:val="en-US"/>
        </w:rPr>
        <w:t xml:space="preserve">, </w:t>
      </w:r>
      <w:r w:rsidR="0066575D">
        <w:rPr>
          <w:rFonts w:cs="Times New Roman"/>
          <w:b/>
          <w:bCs/>
          <w:lang w:val="en-US"/>
        </w:rPr>
        <w:t xml:space="preserve">and holding </w:t>
      </w:r>
      <w:r w:rsidR="0066575D" w:rsidRPr="0066575D">
        <w:rPr>
          <w:rFonts w:cs="Times New Roman"/>
          <w:b/>
          <w:bCs/>
          <w:lang w:val="en-US"/>
        </w:rPr>
        <w:t xml:space="preserve">employers exploiting child </w:t>
      </w:r>
      <w:proofErr w:type="spellStart"/>
      <w:r w:rsidR="0066575D" w:rsidRPr="0066575D">
        <w:rPr>
          <w:rFonts w:cs="Times New Roman"/>
          <w:b/>
          <w:bCs/>
          <w:lang w:val="en-US"/>
        </w:rPr>
        <w:t>labour</w:t>
      </w:r>
      <w:proofErr w:type="spellEnd"/>
      <w:r w:rsidR="0066575D" w:rsidRPr="0066575D">
        <w:rPr>
          <w:rFonts w:cs="Times New Roman"/>
          <w:b/>
          <w:bCs/>
          <w:lang w:val="en-US"/>
        </w:rPr>
        <w:t xml:space="preserve"> </w:t>
      </w:r>
      <w:r w:rsidR="0066575D">
        <w:rPr>
          <w:rFonts w:cs="Times New Roman"/>
          <w:b/>
          <w:bCs/>
          <w:lang w:val="en-US"/>
        </w:rPr>
        <w:t>accountable; (c) providing</w:t>
      </w:r>
      <w:r w:rsidR="0066575D" w:rsidRPr="0066575D">
        <w:rPr>
          <w:rFonts w:cs="Times New Roman"/>
          <w:b/>
          <w:bCs/>
          <w:lang w:val="en-US"/>
        </w:rPr>
        <w:t xml:space="preserve"> </w:t>
      </w:r>
      <w:r w:rsidR="0066575D">
        <w:rPr>
          <w:rFonts w:cs="Times New Roman"/>
          <w:b/>
          <w:bCs/>
          <w:lang w:val="en-US"/>
        </w:rPr>
        <w:t xml:space="preserve">rehabilitation to </w:t>
      </w:r>
      <w:r w:rsidR="0066575D" w:rsidRPr="0066575D">
        <w:rPr>
          <w:rFonts w:cs="Times New Roman"/>
          <w:b/>
          <w:bCs/>
          <w:lang w:val="en-US"/>
        </w:rPr>
        <w:t xml:space="preserve">victims of child </w:t>
      </w:r>
      <w:proofErr w:type="spellStart"/>
      <w:r w:rsidR="0066575D" w:rsidRPr="0066575D">
        <w:rPr>
          <w:rFonts w:cs="Times New Roman"/>
          <w:b/>
          <w:bCs/>
          <w:lang w:val="en-US"/>
        </w:rPr>
        <w:t>labour</w:t>
      </w:r>
      <w:proofErr w:type="spellEnd"/>
      <w:r w:rsidR="0066575D">
        <w:rPr>
          <w:rFonts w:cs="Times New Roman"/>
          <w:b/>
          <w:bCs/>
          <w:lang w:val="en-US"/>
        </w:rPr>
        <w:t>;</w:t>
      </w:r>
      <w:r w:rsidR="00272ED2">
        <w:rPr>
          <w:rFonts w:cs="Times New Roman"/>
          <w:b/>
          <w:bCs/>
          <w:lang w:val="en-US"/>
        </w:rPr>
        <w:t xml:space="preserve"> and</w:t>
      </w:r>
      <w:r w:rsidR="0066575D">
        <w:rPr>
          <w:rFonts w:cs="Times New Roman"/>
          <w:b/>
          <w:bCs/>
          <w:lang w:val="en-US"/>
        </w:rPr>
        <w:t xml:space="preserve"> (d) u</w:t>
      </w:r>
      <w:r w:rsidR="0066575D" w:rsidRPr="0066575D">
        <w:rPr>
          <w:rFonts w:cs="Times New Roman"/>
          <w:b/>
          <w:bCs/>
          <w:lang w:val="en-US"/>
        </w:rPr>
        <w:t>nde</w:t>
      </w:r>
      <w:r w:rsidR="0066575D">
        <w:rPr>
          <w:rFonts w:cs="Times New Roman"/>
          <w:b/>
          <w:bCs/>
          <w:lang w:val="en-US"/>
        </w:rPr>
        <w:t>rtaking</w:t>
      </w:r>
      <w:r w:rsidR="0066575D" w:rsidRPr="0066575D">
        <w:rPr>
          <w:rFonts w:cs="Times New Roman"/>
          <w:b/>
          <w:bCs/>
          <w:lang w:val="en-US"/>
        </w:rPr>
        <w:t xml:space="preserve"> awareness-raising campaigns with a view to </w:t>
      </w:r>
      <w:r w:rsidR="00354854">
        <w:rPr>
          <w:rFonts w:cs="Times New Roman"/>
          <w:b/>
          <w:bCs/>
          <w:lang w:val="en-US"/>
        </w:rPr>
        <w:t xml:space="preserve">addressing the social acceptance of the worst forms of child </w:t>
      </w:r>
      <w:proofErr w:type="spellStart"/>
      <w:r w:rsidR="00354854">
        <w:rPr>
          <w:rFonts w:cs="Times New Roman"/>
          <w:b/>
          <w:bCs/>
          <w:lang w:val="en-US"/>
        </w:rPr>
        <w:t>l</w:t>
      </w:r>
      <w:r w:rsidR="0066575D" w:rsidRPr="0066575D">
        <w:rPr>
          <w:rFonts w:cs="Times New Roman"/>
          <w:b/>
          <w:bCs/>
          <w:lang w:val="en-US"/>
        </w:rPr>
        <w:t>abour</w:t>
      </w:r>
      <w:proofErr w:type="spellEnd"/>
      <w:r w:rsidR="0066575D">
        <w:rPr>
          <w:rFonts w:cs="Times New Roman"/>
          <w:b/>
          <w:bCs/>
        </w:rPr>
        <w:t>.</w:t>
      </w:r>
    </w:p>
    <w:p w:rsidR="003B1581" w:rsidRDefault="004E1049" w:rsidP="000A5855">
      <w:pPr>
        <w:pStyle w:val="H1G"/>
        <w:rPr>
          <w:lang w:val="en-US"/>
        </w:rPr>
      </w:pPr>
      <w:r>
        <w:tab/>
      </w:r>
      <w:r>
        <w:tab/>
      </w:r>
      <w:r w:rsidR="003B1581">
        <w:t xml:space="preserve">Violence </w:t>
      </w:r>
      <w:r w:rsidR="003B1581" w:rsidRPr="006E27D3">
        <w:rPr>
          <w:lang w:val="en-US"/>
        </w:rPr>
        <w:t>against</w:t>
      </w:r>
      <w:r w:rsidR="003B1581">
        <w:t xml:space="preserve"> women</w:t>
      </w:r>
    </w:p>
    <w:p w:rsidR="003B1581" w:rsidRDefault="003B1581" w:rsidP="006F38A8">
      <w:pPr>
        <w:pStyle w:val="SingleTxtG"/>
        <w:numPr>
          <w:ilvl w:val="0"/>
          <w:numId w:val="17"/>
        </w:numPr>
        <w:tabs>
          <w:tab w:val="left" w:pos="1701"/>
        </w:tabs>
        <w:ind w:left="1134" w:firstLine="0"/>
        <w:rPr>
          <w:rFonts w:cs="Times New Roman"/>
          <w:lang w:val="en-US"/>
        </w:rPr>
      </w:pPr>
      <w:r>
        <w:rPr>
          <w:rFonts w:cs="Times New Roman"/>
          <w:lang w:val="en-US"/>
        </w:rPr>
        <w:t xml:space="preserve">The Committee is concerned </w:t>
      </w:r>
      <w:r w:rsidR="00697F2A">
        <w:rPr>
          <w:rFonts w:cs="Times New Roman"/>
          <w:lang w:val="en-US"/>
        </w:rPr>
        <w:t>at the impunity associated with violence against women</w:t>
      </w:r>
      <w:r w:rsidR="00E804D4">
        <w:rPr>
          <w:rFonts w:cs="Times New Roman"/>
          <w:lang w:val="en-US"/>
        </w:rPr>
        <w:t xml:space="preserve"> in the State party</w:t>
      </w:r>
      <w:r w:rsidR="00697F2A">
        <w:rPr>
          <w:rFonts w:cs="Times New Roman"/>
          <w:lang w:val="en-US"/>
        </w:rPr>
        <w:t xml:space="preserve">. It is also concerned </w:t>
      </w:r>
      <w:r w:rsidR="000F1234">
        <w:rPr>
          <w:rFonts w:cs="Times New Roman"/>
          <w:lang w:val="en-US"/>
        </w:rPr>
        <w:t>that the</w:t>
      </w:r>
      <w:r w:rsidR="009C4D99">
        <w:rPr>
          <w:rFonts w:cs="Times New Roman"/>
          <w:lang w:val="en-US"/>
        </w:rPr>
        <w:t xml:space="preserve"> Minimum Standards of Ser</w:t>
      </w:r>
      <w:r w:rsidR="00F35C13">
        <w:rPr>
          <w:rFonts w:cs="Times New Roman"/>
          <w:lang w:val="en-US"/>
        </w:rPr>
        <w:t>vices (MS</w:t>
      </w:r>
      <w:r w:rsidR="009C4D99">
        <w:rPr>
          <w:rFonts w:cs="Times New Roman"/>
          <w:lang w:val="en-US"/>
        </w:rPr>
        <w:t xml:space="preserve">S) for survivors of violence are not effectively </w:t>
      </w:r>
      <w:r w:rsidR="000F1234">
        <w:rPr>
          <w:rFonts w:cs="Times New Roman"/>
          <w:lang w:val="en-US"/>
        </w:rPr>
        <w:t>delivered in the State party</w:t>
      </w:r>
      <w:r w:rsidR="009C4D99">
        <w:rPr>
          <w:rFonts w:cs="Times New Roman"/>
          <w:lang w:val="en-US"/>
        </w:rPr>
        <w:t xml:space="preserve"> (ar</w:t>
      </w:r>
      <w:r w:rsidR="002C145B">
        <w:rPr>
          <w:rFonts w:cs="Times New Roman"/>
          <w:lang w:val="en-US"/>
        </w:rPr>
        <w:t>t. </w:t>
      </w:r>
      <w:r w:rsidR="009C4D99">
        <w:rPr>
          <w:rFonts w:cs="Times New Roman"/>
          <w:lang w:val="en-US"/>
        </w:rPr>
        <w:t>10)</w:t>
      </w:r>
      <w:r w:rsidR="004C47A8">
        <w:rPr>
          <w:rFonts w:cs="Times New Roman"/>
          <w:lang w:val="en-US"/>
        </w:rPr>
        <w:t>.</w:t>
      </w:r>
    </w:p>
    <w:p w:rsidR="00CD1980" w:rsidRDefault="009C4D99" w:rsidP="002C145B">
      <w:pPr>
        <w:pStyle w:val="SingleTxtG"/>
        <w:keepNext/>
        <w:tabs>
          <w:tab w:val="left" w:pos="1701"/>
        </w:tabs>
        <w:rPr>
          <w:rFonts w:cs="Times New Roman"/>
          <w:b/>
          <w:bCs/>
          <w:lang w:val="en-US"/>
        </w:rPr>
      </w:pPr>
      <w:r>
        <w:rPr>
          <w:rFonts w:cs="Times New Roman"/>
          <w:b/>
          <w:bCs/>
          <w:lang w:val="en-US"/>
        </w:rPr>
        <w:t>The Committee calls on the State party to</w:t>
      </w:r>
      <w:r w:rsidR="00CD1980">
        <w:rPr>
          <w:rFonts w:cs="Times New Roman"/>
          <w:b/>
          <w:bCs/>
          <w:lang w:val="en-US"/>
        </w:rPr>
        <w:t>:</w:t>
      </w:r>
    </w:p>
    <w:p w:rsidR="00CD1980" w:rsidRPr="002C145B" w:rsidRDefault="002C145B" w:rsidP="002C145B">
      <w:pPr>
        <w:pStyle w:val="SingleTxtG"/>
        <w:rPr>
          <w:b/>
          <w:bCs/>
        </w:rPr>
      </w:pPr>
      <w:r>
        <w:rPr>
          <w:b/>
          <w:bCs/>
        </w:rPr>
        <w:tab/>
        <w:t>(a)</w:t>
      </w:r>
      <w:r>
        <w:rPr>
          <w:b/>
          <w:bCs/>
        </w:rPr>
        <w:tab/>
        <w:t>R</w:t>
      </w:r>
      <w:r w:rsidR="00697F2A" w:rsidRPr="002C145B">
        <w:rPr>
          <w:b/>
          <w:bCs/>
        </w:rPr>
        <w:t>aise awareness among law enforcement officials and relevant professionals on the criminal nature of violence against women and for the public at large</w:t>
      </w:r>
      <w:r w:rsidR="008B796F">
        <w:rPr>
          <w:b/>
          <w:bCs/>
        </w:rPr>
        <w:t>,</w:t>
      </w:r>
      <w:r w:rsidR="00697F2A" w:rsidRPr="002C145B">
        <w:rPr>
          <w:b/>
          <w:bCs/>
        </w:rPr>
        <w:t xml:space="preserve"> including </w:t>
      </w:r>
      <w:r w:rsidR="00E804D4" w:rsidRPr="002C145B">
        <w:rPr>
          <w:b/>
          <w:bCs/>
        </w:rPr>
        <w:t xml:space="preserve">through </w:t>
      </w:r>
      <w:r w:rsidR="00697F2A" w:rsidRPr="002C145B">
        <w:rPr>
          <w:b/>
          <w:bCs/>
        </w:rPr>
        <w:t xml:space="preserve">a campaign of zero tolerance </w:t>
      </w:r>
      <w:r w:rsidR="00B34438" w:rsidRPr="002C145B">
        <w:rPr>
          <w:b/>
          <w:bCs/>
        </w:rPr>
        <w:t>to</w:t>
      </w:r>
      <w:r w:rsidR="00697F2A" w:rsidRPr="002C145B">
        <w:rPr>
          <w:b/>
          <w:bCs/>
        </w:rPr>
        <w:t xml:space="preserve"> such violence</w:t>
      </w:r>
      <w:r>
        <w:rPr>
          <w:b/>
          <w:bCs/>
        </w:rPr>
        <w:t>;</w:t>
      </w:r>
    </w:p>
    <w:p w:rsidR="00CD1980" w:rsidRPr="002C145B" w:rsidRDefault="002C145B" w:rsidP="002C145B">
      <w:pPr>
        <w:pStyle w:val="SingleTxtG"/>
        <w:rPr>
          <w:b/>
          <w:bCs/>
        </w:rPr>
      </w:pPr>
      <w:r>
        <w:rPr>
          <w:b/>
          <w:bCs/>
        </w:rPr>
        <w:tab/>
        <w:t>(b)</w:t>
      </w:r>
      <w:r>
        <w:rPr>
          <w:b/>
          <w:bCs/>
        </w:rPr>
        <w:tab/>
        <w:t>S</w:t>
      </w:r>
      <w:r w:rsidR="00697F2A" w:rsidRPr="002C145B">
        <w:rPr>
          <w:b/>
          <w:bCs/>
        </w:rPr>
        <w:t xml:space="preserve">trengthen the legislation on violence against women including by penalizing all forms of sexual violence; </w:t>
      </w:r>
    </w:p>
    <w:p w:rsidR="00CD1980" w:rsidRPr="002C145B" w:rsidRDefault="002C145B" w:rsidP="002C145B">
      <w:pPr>
        <w:pStyle w:val="SingleTxtG"/>
        <w:rPr>
          <w:b/>
          <w:bCs/>
        </w:rPr>
      </w:pPr>
      <w:r>
        <w:rPr>
          <w:b/>
          <w:bCs/>
        </w:rPr>
        <w:tab/>
        <w:t>(c)</w:t>
      </w:r>
      <w:r>
        <w:rPr>
          <w:b/>
          <w:bCs/>
        </w:rPr>
        <w:tab/>
        <w:t>T</w:t>
      </w:r>
      <w:r w:rsidR="00244066" w:rsidRPr="002C145B">
        <w:rPr>
          <w:b/>
          <w:bCs/>
        </w:rPr>
        <w:t xml:space="preserve">ake the necessary measures for ensuring access to remedies for victims, including in remote areas; </w:t>
      </w:r>
    </w:p>
    <w:p w:rsidR="00CD1980" w:rsidRPr="002C145B" w:rsidRDefault="002C145B" w:rsidP="002C145B">
      <w:pPr>
        <w:pStyle w:val="SingleTxtG"/>
        <w:rPr>
          <w:b/>
          <w:bCs/>
        </w:rPr>
      </w:pPr>
      <w:r>
        <w:rPr>
          <w:b/>
          <w:bCs/>
        </w:rPr>
        <w:tab/>
        <w:t>(d)</w:t>
      </w:r>
      <w:r>
        <w:rPr>
          <w:b/>
          <w:bCs/>
        </w:rPr>
        <w:tab/>
        <w:t>A</w:t>
      </w:r>
      <w:r w:rsidR="009C4D99" w:rsidRPr="002C145B">
        <w:rPr>
          <w:b/>
          <w:bCs/>
        </w:rPr>
        <w:t xml:space="preserve">llocate the necessary financial resources </w:t>
      </w:r>
      <w:r w:rsidR="00F35C13" w:rsidRPr="002C145B">
        <w:rPr>
          <w:b/>
          <w:bCs/>
        </w:rPr>
        <w:t xml:space="preserve">at the provincial and district levels </w:t>
      </w:r>
      <w:r w:rsidR="009C4D99" w:rsidRPr="002C145B">
        <w:rPr>
          <w:b/>
          <w:bCs/>
        </w:rPr>
        <w:t>for the effective delivery of the Minimum Standards of Services, and expedite the establishment of shel</w:t>
      </w:r>
      <w:r w:rsidR="00697F2A" w:rsidRPr="002C145B">
        <w:rPr>
          <w:b/>
          <w:bCs/>
        </w:rPr>
        <w:t xml:space="preserve">ters for victims of violence; </w:t>
      </w:r>
    </w:p>
    <w:p w:rsidR="009C4D99" w:rsidRPr="002C145B" w:rsidRDefault="002C145B" w:rsidP="002C145B">
      <w:pPr>
        <w:pStyle w:val="SingleTxtG"/>
        <w:rPr>
          <w:b/>
          <w:bCs/>
        </w:rPr>
      </w:pPr>
      <w:r>
        <w:rPr>
          <w:b/>
          <w:bCs/>
        </w:rPr>
        <w:tab/>
        <w:t>(e)</w:t>
      </w:r>
      <w:r>
        <w:rPr>
          <w:b/>
          <w:bCs/>
        </w:rPr>
        <w:tab/>
        <w:t>I</w:t>
      </w:r>
      <w:r w:rsidR="009C4D99" w:rsidRPr="002C145B">
        <w:rPr>
          <w:b/>
          <w:bCs/>
        </w:rPr>
        <w:t xml:space="preserve">mprove the </w:t>
      </w:r>
      <w:r w:rsidR="00940336" w:rsidRPr="002C145B">
        <w:rPr>
          <w:b/>
          <w:bCs/>
        </w:rPr>
        <w:t xml:space="preserve">institutional </w:t>
      </w:r>
      <w:r w:rsidR="009C4D99" w:rsidRPr="002C145B">
        <w:rPr>
          <w:b/>
          <w:bCs/>
        </w:rPr>
        <w:t>coord</w:t>
      </w:r>
      <w:r w:rsidR="00F35C13" w:rsidRPr="002C145B">
        <w:rPr>
          <w:b/>
          <w:bCs/>
        </w:rPr>
        <w:t>ination and the monitoring of MS</w:t>
      </w:r>
      <w:r w:rsidR="009C4D99" w:rsidRPr="002C145B">
        <w:rPr>
          <w:b/>
          <w:bCs/>
        </w:rPr>
        <w:t>S implementation plans</w:t>
      </w:r>
      <w:r w:rsidR="00697F2A" w:rsidRPr="002C145B">
        <w:rPr>
          <w:b/>
          <w:bCs/>
        </w:rPr>
        <w:t>.</w:t>
      </w:r>
    </w:p>
    <w:p w:rsidR="007C51E7" w:rsidRDefault="004E1049" w:rsidP="000A5855">
      <w:pPr>
        <w:pStyle w:val="H1G"/>
      </w:pPr>
      <w:r>
        <w:rPr>
          <w:lang w:val="en-US"/>
        </w:rPr>
        <w:tab/>
      </w:r>
      <w:r>
        <w:rPr>
          <w:lang w:val="en-US"/>
        </w:rPr>
        <w:tab/>
      </w:r>
      <w:r w:rsidR="008B796F">
        <w:rPr>
          <w:rFonts w:cs="Times New Roman"/>
          <w:lang w:val="en-US"/>
        </w:rPr>
        <w:t>Female genital mutilation</w:t>
      </w:r>
    </w:p>
    <w:p w:rsidR="00E36D56" w:rsidRPr="003E7D32" w:rsidRDefault="003E7D32" w:rsidP="003E7D32">
      <w:pPr>
        <w:pStyle w:val="SingleTxtG"/>
        <w:numPr>
          <w:ilvl w:val="0"/>
          <w:numId w:val="17"/>
        </w:numPr>
        <w:tabs>
          <w:tab w:val="left" w:pos="1701"/>
        </w:tabs>
        <w:ind w:left="1134" w:firstLine="0"/>
        <w:rPr>
          <w:rFonts w:cs="Times New Roman"/>
        </w:rPr>
      </w:pPr>
      <w:r>
        <w:rPr>
          <w:rFonts w:cs="Times New Roman"/>
          <w:lang w:val="en-US"/>
        </w:rPr>
        <w:t>The Committee is concerned that female genital mutilation (FGM)</w:t>
      </w:r>
      <w:r w:rsidR="00272ED2">
        <w:rPr>
          <w:rFonts w:cs="Times New Roman"/>
          <w:lang w:val="en-US"/>
        </w:rPr>
        <w:t xml:space="preserve"> </w:t>
      </w:r>
      <w:r>
        <w:rPr>
          <w:rFonts w:cs="Times New Roman"/>
          <w:lang w:val="en-US"/>
        </w:rPr>
        <w:t>is practiced in the State party. Moreover, while noting the information provided by the State party that a law prohibiting FGM was enacted in 2014, t</w:t>
      </w:r>
      <w:r w:rsidR="00272ED2">
        <w:rPr>
          <w:rFonts w:cs="Times New Roman"/>
          <w:lang w:val="en-US"/>
        </w:rPr>
        <w:t xml:space="preserve">he Committee is </w:t>
      </w:r>
      <w:r>
        <w:rPr>
          <w:rFonts w:cs="Times New Roman"/>
          <w:lang w:val="en-US"/>
        </w:rPr>
        <w:t xml:space="preserve">concerned that an earlier prohibition of the performance of FGM by medical personnel </w:t>
      </w:r>
      <w:r w:rsidR="009E63AD">
        <w:rPr>
          <w:rFonts w:cs="Times New Roman"/>
          <w:lang w:val="en-US"/>
        </w:rPr>
        <w:t>was</w:t>
      </w:r>
      <w:r>
        <w:rPr>
          <w:rFonts w:cs="Times New Roman"/>
          <w:lang w:val="en-US"/>
        </w:rPr>
        <w:t xml:space="preserve"> reversed by regulation No. 1636/MENKES/PER/XI/2010</w:t>
      </w:r>
      <w:r w:rsidR="002C145B">
        <w:rPr>
          <w:rFonts w:cs="Times New Roman"/>
        </w:rPr>
        <w:t xml:space="preserve"> (art. </w:t>
      </w:r>
      <w:r w:rsidR="009F238B">
        <w:rPr>
          <w:rFonts w:cs="Times New Roman"/>
        </w:rPr>
        <w:t>10)</w:t>
      </w:r>
      <w:r w:rsidR="004C47A8">
        <w:rPr>
          <w:rFonts w:cs="Times New Roman"/>
        </w:rPr>
        <w:t>.</w:t>
      </w:r>
    </w:p>
    <w:p w:rsidR="00272ED2" w:rsidRPr="003E7D32" w:rsidRDefault="00272ED2" w:rsidP="009F238B">
      <w:pPr>
        <w:pStyle w:val="SingleTxtG"/>
        <w:tabs>
          <w:tab w:val="left" w:pos="1701"/>
        </w:tabs>
        <w:rPr>
          <w:rFonts w:cs="Times New Roman"/>
          <w:b/>
          <w:bCs/>
          <w:lang w:val="en-US"/>
        </w:rPr>
      </w:pPr>
      <w:r>
        <w:rPr>
          <w:rFonts w:cs="Times New Roman"/>
          <w:b/>
          <w:bCs/>
          <w:lang w:val="en-US"/>
        </w:rPr>
        <w:t xml:space="preserve">The Committee urges the State party to </w:t>
      </w:r>
      <w:r w:rsidR="003E7D32">
        <w:rPr>
          <w:rFonts w:cs="Times New Roman"/>
          <w:b/>
          <w:bCs/>
          <w:lang w:val="en-US"/>
        </w:rPr>
        <w:t>effectively enforce the prohibition of FGM</w:t>
      </w:r>
      <w:r w:rsidR="009F238B">
        <w:rPr>
          <w:rFonts w:cs="Times New Roman"/>
          <w:b/>
          <w:bCs/>
          <w:lang w:val="en-US"/>
        </w:rPr>
        <w:t xml:space="preserve">. The Committee also calls on the State party to raise awareness of the prohibition of FGM and </w:t>
      </w:r>
      <w:r w:rsidR="009E63AD">
        <w:rPr>
          <w:rFonts w:cs="Times New Roman"/>
          <w:b/>
          <w:bCs/>
          <w:lang w:val="en-US"/>
        </w:rPr>
        <w:t xml:space="preserve">to </w:t>
      </w:r>
      <w:r w:rsidR="009F238B">
        <w:rPr>
          <w:rFonts w:cs="Times New Roman"/>
          <w:b/>
          <w:bCs/>
          <w:lang w:val="en-US"/>
        </w:rPr>
        <w:t xml:space="preserve">conduct culturally sensitive education campaigns against FGM. </w:t>
      </w:r>
    </w:p>
    <w:p w:rsidR="007C51E7" w:rsidRDefault="004E1049" w:rsidP="000A5855">
      <w:pPr>
        <w:pStyle w:val="H1G"/>
      </w:pPr>
      <w:r>
        <w:tab/>
      </w:r>
      <w:r>
        <w:tab/>
      </w:r>
      <w:r w:rsidR="002433E9">
        <w:t xml:space="preserve">Water and </w:t>
      </w:r>
      <w:r w:rsidR="002433E9" w:rsidRPr="006E27D3">
        <w:rPr>
          <w:lang w:val="en-US"/>
        </w:rPr>
        <w:t>s</w:t>
      </w:r>
      <w:r w:rsidR="007C51E7" w:rsidRPr="006E27D3">
        <w:rPr>
          <w:lang w:val="en-US"/>
        </w:rPr>
        <w:t>anitation</w:t>
      </w:r>
    </w:p>
    <w:p w:rsidR="00E36D56" w:rsidRDefault="000B595D" w:rsidP="00527FBC">
      <w:pPr>
        <w:pStyle w:val="SingleTxtG"/>
        <w:numPr>
          <w:ilvl w:val="0"/>
          <w:numId w:val="17"/>
        </w:numPr>
        <w:tabs>
          <w:tab w:val="left" w:pos="1701"/>
        </w:tabs>
        <w:ind w:left="1134" w:firstLine="0"/>
        <w:rPr>
          <w:rFonts w:cs="Times New Roman"/>
        </w:rPr>
      </w:pPr>
      <w:r>
        <w:rPr>
          <w:rFonts w:cs="Times New Roman"/>
        </w:rPr>
        <w:t>T</w:t>
      </w:r>
      <w:r w:rsidR="002433E9">
        <w:rPr>
          <w:rFonts w:cs="Times New Roman"/>
        </w:rPr>
        <w:t>he Committee is concerned that</w:t>
      </w:r>
      <w:r w:rsidR="00E804D4">
        <w:rPr>
          <w:rFonts w:cs="Times New Roman"/>
        </w:rPr>
        <w:t>, in rural areas,</w:t>
      </w:r>
      <w:r w:rsidR="002433E9">
        <w:rPr>
          <w:rFonts w:cs="Times New Roman"/>
        </w:rPr>
        <w:t xml:space="preserve"> </w:t>
      </w:r>
      <w:r w:rsidR="00354854">
        <w:rPr>
          <w:rFonts w:cs="Times New Roman"/>
        </w:rPr>
        <w:t>approximately</w:t>
      </w:r>
      <w:r w:rsidR="002433E9">
        <w:rPr>
          <w:rFonts w:cs="Times New Roman"/>
        </w:rPr>
        <w:t xml:space="preserve"> one quarter of the population does not have access to safe drinking water</w:t>
      </w:r>
      <w:r w:rsidR="00E36D56">
        <w:rPr>
          <w:rFonts w:cs="Times New Roman"/>
        </w:rPr>
        <w:t xml:space="preserve"> and</w:t>
      </w:r>
      <w:r w:rsidR="002433E9">
        <w:rPr>
          <w:rFonts w:cs="Times New Roman"/>
        </w:rPr>
        <w:t xml:space="preserve"> that open defecation is still widely practiced</w:t>
      </w:r>
      <w:r>
        <w:rPr>
          <w:rFonts w:cs="Times New Roman"/>
        </w:rPr>
        <w:t>, in spite of</w:t>
      </w:r>
      <w:r w:rsidRPr="000B595D">
        <w:rPr>
          <w:rFonts w:cs="Times New Roman"/>
        </w:rPr>
        <w:t xml:space="preserve"> </w:t>
      </w:r>
      <w:r>
        <w:rPr>
          <w:rFonts w:cs="Times New Roman"/>
        </w:rPr>
        <w:t>the implementation of the National Policy for Community-Based Water Supp</w:t>
      </w:r>
      <w:r w:rsidR="009E4EA4">
        <w:rPr>
          <w:rFonts w:cs="Times New Roman"/>
        </w:rPr>
        <w:t>ly and Environmental Sanitation</w:t>
      </w:r>
      <w:r w:rsidR="002C145B">
        <w:rPr>
          <w:rFonts w:cs="Times New Roman"/>
        </w:rPr>
        <w:t xml:space="preserve"> (arts. 11</w:t>
      </w:r>
      <w:r w:rsidR="00BA5630">
        <w:rPr>
          <w:rFonts w:cs="Times New Roman"/>
        </w:rPr>
        <w:t xml:space="preserve"> and</w:t>
      </w:r>
      <w:r w:rsidR="002C145B">
        <w:rPr>
          <w:rFonts w:cs="Times New Roman"/>
        </w:rPr>
        <w:t> </w:t>
      </w:r>
      <w:r w:rsidR="002433E9">
        <w:rPr>
          <w:rFonts w:cs="Times New Roman"/>
        </w:rPr>
        <w:t>12)</w:t>
      </w:r>
      <w:r w:rsidR="004C47A8">
        <w:rPr>
          <w:rFonts w:cs="Times New Roman"/>
        </w:rPr>
        <w:t>.</w:t>
      </w:r>
    </w:p>
    <w:p w:rsidR="002433E9" w:rsidRPr="002433E9" w:rsidRDefault="002433E9" w:rsidP="002D6604">
      <w:pPr>
        <w:pStyle w:val="SingleTxtG"/>
        <w:tabs>
          <w:tab w:val="left" w:pos="1701"/>
        </w:tabs>
        <w:rPr>
          <w:rFonts w:cs="Times New Roman"/>
          <w:b/>
          <w:bCs/>
        </w:rPr>
      </w:pPr>
      <w:r>
        <w:rPr>
          <w:rFonts w:cs="Times New Roman"/>
          <w:b/>
          <w:bCs/>
        </w:rPr>
        <w:t xml:space="preserve">The Committee calls on the State party to </w:t>
      </w:r>
      <w:r w:rsidR="002D6604">
        <w:rPr>
          <w:rFonts w:cs="Times New Roman"/>
          <w:b/>
          <w:bCs/>
          <w:lang w:val="en-US"/>
        </w:rPr>
        <w:t xml:space="preserve">strengthen efforts </w:t>
      </w:r>
      <w:r w:rsidR="002D6604" w:rsidRPr="002D6604">
        <w:rPr>
          <w:rFonts w:cs="Times New Roman"/>
          <w:b/>
          <w:bCs/>
        </w:rPr>
        <w:t>for the improvement of access to safe</w:t>
      </w:r>
      <w:r w:rsidR="00E804D4">
        <w:rPr>
          <w:rFonts w:cs="Times New Roman"/>
          <w:b/>
          <w:bCs/>
        </w:rPr>
        <w:t xml:space="preserve"> and clean</w:t>
      </w:r>
      <w:r w:rsidR="002D6604" w:rsidRPr="002D6604">
        <w:rPr>
          <w:rFonts w:cs="Times New Roman"/>
          <w:b/>
          <w:bCs/>
        </w:rPr>
        <w:t xml:space="preserve"> drinking water </w:t>
      </w:r>
      <w:r w:rsidR="002D6604">
        <w:rPr>
          <w:rFonts w:cs="Times New Roman"/>
          <w:b/>
          <w:bCs/>
        </w:rPr>
        <w:t>and to improved</w:t>
      </w:r>
      <w:r w:rsidR="002D6604" w:rsidRPr="002D6604">
        <w:rPr>
          <w:rFonts w:cs="Times New Roman"/>
          <w:b/>
          <w:bCs/>
        </w:rPr>
        <w:t xml:space="preserve"> sanitation, particularly in rural areas</w:t>
      </w:r>
      <w:r w:rsidR="00697F2A">
        <w:rPr>
          <w:rFonts w:cs="Times New Roman"/>
          <w:b/>
          <w:bCs/>
        </w:rPr>
        <w:t>. The Committee refers the State p</w:t>
      </w:r>
      <w:r w:rsidR="002C145B">
        <w:rPr>
          <w:rFonts w:cs="Times New Roman"/>
          <w:b/>
          <w:bCs/>
        </w:rPr>
        <w:t>arty to its general comment No. </w:t>
      </w:r>
      <w:r w:rsidR="00697F2A">
        <w:rPr>
          <w:rFonts w:cs="Times New Roman"/>
          <w:b/>
          <w:bCs/>
        </w:rPr>
        <w:t>15 (2002) on the right to water and</w:t>
      </w:r>
      <w:r w:rsidR="002D6604">
        <w:rPr>
          <w:rFonts w:cs="Times New Roman"/>
          <w:b/>
          <w:bCs/>
        </w:rPr>
        <w:t xml:space="preserve"> to</w:t>
      </w:r>
      <w:r w:rsidR="00697F2A">
        <w:rPr>
          <w:rFonts w:cs="Times New Roman"/>
          <w:b/>
          <w:bCs/>
        </w:rPr>
        <w:t xml:space="preserve"> </w:t>
      </w:r>
      <w:r w:rsidR="002D6604">
        <w:rPr>
          <w:rFonts w:cs="Times New Roman"/>
          <w:b/>
          <w:bCs/>
        </w:rPr>
        <w:t>its</w:t>
      </w:r>
      <w:r w:rsidR="009E4EA4">
        <w:rPr>
          <w:rFonts w:cs="Times New Roman"/>
          <w:b/>
          <w:bCs/>
        </w:rPr>
        <w:t xml:space="preserve"> statement on the right to sanitation (E/C.12.2010/1).</w:t>
      </w:r>
    </w:p>
    <w:p w:rsidR="00B847E9" w:rsidRPr="00B847E9" w:rsidRDefault="00B847E9" w:rsidP="000A5855">
      <w:pPr>
        <w:pStyle w:val="H1G"/>
      </w:pPr>
      <w:r>
        <w:tab/>
      </w:r>
      <w:r>
        <w:tab/>
      </w:r>
      <w:r w:rsidRPr="00B847E9">
        <w:t>Mining and plantations sectors</w:t>
      </w:r>
    </w:p>
    <w:p w:rsidR="000A5855" w:rsidRDefault="00B847E9" w:rsidP="000A5855">
      <w:pPr>
        <w:pStyle w:val="SingleTxtG"/>
        <w:numPr>
          <w:ilvl w:val="0"/>
          <w:numId w:val="17"/>
        </w:numPr>
        <w:tabs>
          <w:tab w:val="left" w:pos="1701"/>
        </w:tabs>
        <w:ind w:left="1134" w:firstLine="0"/>
        <w:rPr>
          <w:rFonts w:cs="Times New Roman"/>
        </w:rPr>
      </w:pPr>
      <w:r>
        <w:rPr>
          <w:rFonts w:cs="Times New Roman"/>
        </w:rPr>
        <w:t xml:space="preserve">The Committee expresses concern at violations of human rights in the mining and plantations sectors, including </w:t>
      </w:r>
      <w:r w:rsidRPr="00DA5C07">
        <w:rPr>
          <w:rFonts w:cs="Times New Roman"/>
        </w:rPr>
        <w:t>the right to livelihood,</w:t>
      </w:r>
      <w:r>
        <w:rPr>
          <w:rFonts w:cs="Times New Roman"/>
        </w:rPr>
        <w:t xml:space="preserve"> the right to food, the right to water, </w:t>
      </w:r>
      <w:r w:rsidR="00E804D4">
        <w:rPr>
          <w:rFonts w:cs="Times New Roman"/>
        </w:rPr>
        <w:t xml:space="preserve">labour </w:t>
      </w:r>
      <w:r>
        <w:rPr>
          <w:rFonts w:cs="Times New Roman"/>
        </w:rPr>
        <w:t>rights and cultural rights. It is also concerned that the free, prior and informed consent of affected communities is not always sought in these projects, including under Law 25/2007 on Investment.  Moreover, even in cases where consultations of affected communities have taken place, their informed deci</w:t>
      </w:r>
      <w:r w:rsidR="000A5855">
        <w:rPr>
          <w:rFonts w:cs="Times New Roman"/>
        </w:rPr>
        <w:t>sions have not been guaranteed.</w:t>
      </w:r>
    </w:p>
    <w:p w:rsidR="00B847E9" w:rsidRDefault="00B847E9" w:rsidP="002C145B">
      <w:pPr>
        <w:pStyle w:val="SingleTxtG"/>
        <w:numPr>
          <w:ilvl w:val="0"/>
          <w:numId w:val="17"/>
        </w:numPr>
        <w:tabs>
          <w:tab w:val="left" w:pos="1701"/>
        </w:tabs>
        <w:ind w:left="1134" w:firstLine="0"/>
        <w:rPr>
          <w:rFonts w:cs="Times New Roman"/>
        </w:rPr>
      </w:pPr>
      <w:r>
        <w:rPr>
          <w:rFonts w:cs="Times New Roman"/>
        </w:rPr>
        <w:t xml:space="preserve">The Committee is concerned at the lack of an adequate monitoring of the human rights and environmental impact of </w:t>
      </w:r>
      <w:r>
        <w:rPr>
          <w:rFonts w:cs="Times New Roman"/>
          <w:lang w:val="en-US"/>
        </w:rPr>
        <w:t xml:space="preserve">extractive projects during their implementation. In many cases, affected communities </w:t>
      </w:r>
      <w:r w:rsidRPr="004A3051">
        <w:rPr>
          <w:rFonts w:cs="Times New Roman"/>
        </w:rPr>
        <w:t>have</w:t>
      </w:r>
      <w:r>
        <w:rPr>
          <w:rFonts w:cs="Times New Roman"/>
          <w:lang w:val="en-US"/>
        </w:rPr>
        <w:t xml:space="preserve"> not </w:t>
      </w:r>
      <w:r w:rsidR="000E3672">
        <w:rPr>
          <w:rFonts w:cs="Times New Roman"/>
          <w:lang w:val="en-US"/>
        </w:rPr>
        <w:t xml:space="preserve">been </w:t>
      </w:r>
      <w:r>
        <w:rPr>
          <w:rFonts w:cs="Times New Roman"/>
        </w:rPr>
        <w:t>afforded effective remedies and</w:t>
      </w:r>
      <w:r w:rsidR="00424560">
        <w:rPr>
          <w:rFonts w:cs="Times New Roman"/>
        </w:rPr>
        <w:t xml:space="preserve"> have, along with</w:t>
      </w:r>
      <w:r>
        <w:rPr>
          <w:rFonts w:cs="Times New Roman"/>
        </w:rPr>
        <w:t xml:space="preserve"> human rights defenders working on these cases</w:t>
      </w:r>
      <w:r w:rsidR="00424560">
        <w:rPr>
          <w:rFonts w:cs="Times New Roman"/>
        </w:rPr>
        <w:t>,</w:t>
      </w:r>
      <w:r>
        <w:rPr>
          <w:rFonts w:cs="Times New Roman"/>
        </w:rPr>
        <w:t xml:space="preserve"> been subject to </w:t>
      </w:r>
      <w:r w:rsidR="00424560">
        <w:rPr>
          <w:rFonts w:cs="Times New Roman"/>
        </w:rPr>
        <w:t xml:space="preserve">violence and </w:t>
      </w:r>
      <w:r>
        <w:rPr>
          <w:rFonts w:cs="Times New Roman"/>
        </w:rPr>
        <w:t>persecution. Furthermore, it is concerned that these projects have not brought about tangible benefits for local communities</w:t>
      </w:r>
      <w:r w:rsidR="002C145B">
        <w:rPr>
          <w:rFonts w:cs="Times New Roman"/>
        </w:rPr>
        <w:t xml:space="preserve"> (art. </w:t>
      </w:r>
      <w:r>
        <w:rPr>
          <w:rFonts w:cs="Times New Roman"/>
        </w:rPr>
        <w:t>1.2, 2.2,</w:t>
      </w:r>
      <w:r w:rsidR="002C145B">
        <w:rPr>
          <w:rFonts w:cs="Times New Roman"/>
        </w:rPr>
        <w:t> </w:t>
      </w:r>
      <w:r>
        <w:rPr>
          <w:rFonts w:cs="Times New Roman"/>
        </w:rPr>
        <w:t>11)</w:t>
      </w:r>
      <w:r w:rsidR="004C47A8">
        <w:rPr>
          <w:rFonts w:cs="Times New Roman"/>
        </w:rPr>
        <w:t>.</w:t>
      </w:r>
    </w:p>
    <w:p w:rsidR="00B847E9" w:rsidRDefault="00B847E9" w:rsidP="00B847E9">
      <w:pPr>
        <w:pStyle w:val="SingleTxtG"/>
        <w:tabs>
          <w:tab w:val="left" w:pos="1701"/>
        </w:tabs>
        <w:rPr>
          <w:rFonts w:cs="Times New Roman"/>
          <w:b/>
          <w:bCs/>
        </w:rPr>
      </w:pPr>
      <w:r>
        <w:rPr>
          <w:rFonts w:cs="Times New Roman"/>
          <w:b/>
          <w:bCs/>
        </w:rPr>
        <w:t>The Committee calls on the State party to review legislation, regulations and practices in the mining and plantations sectors and:</w:t>
      </w:r>
    </w:p>
    <w:p w:rsidR="00B847E9" w:rsidRPr="002C145B" w:rsidRDefault="002C145B" w:rsidP="002C145B">
      <w:pPr>
        <w:pStyle w:val="SingleTxtG"/>
        <w:rPr>
          <w:b/>
          <w:bCs/>
        </w:rPr>
      </w:pPr>
      <w:r>
        <w:rPr>
          <w:b/>
          <w:bCs/>
        </w:rPr>
        <w:tab/>
        <w:t>(a)</w:t>
      </w:r>
      <w:r>
        <w:rPr>
          <w:b/>
          <w:bCs/>
        </w:rPr>
        <w:tab/>
      </w:r>
      <w:r w:rsidR="00B847E9" w:rsidRPr="002C145B">
        <w:rPr>
          <w:b/>
          <w:bCs/>
        </w:rPr>
        <w:t>Guarantee legal assistance to communities during consultations on extractive projects affecting them and their resources with a view to ensuring their free, prior and informed consent;</w:t>
      </w:r>
    </w:p>
    <w:p w:rsidR="00B847E9" w:rsidRPr="002C145B" w:rsidRDefault="002C145B" w:rsidP="002C145B">
      <w:pPr>
        <w:pStyle w:val="SingleTxtG"/>
        <w:rPr>
          <w:b/>
          <w:bCs/>
        </w:rPr>
      </w:pPr>
      <w:r>
        <w:rPr>
          <w:b/>
          <w:bCs/>
        </w:rPr>
        <w:tab/>
        <w:t>(b)</w:t>
      </w:r>
      <w:r>
        <w:rPr>
          <w:b/>
          <w:bCs/>
        </w:rPr>
        <w:tab/>
      </w:r>
      <w:r w:rsidR="00B847E9" w:rsidRPr="002C145B">
        <w:rPr>
          <w:b/>
          <w:bCs/>
        </w:rPr>
        <w:t>Ensure that license agreements are subject to monitoring of human rights and environmental impact during the implementation of extractive projects;</w:t>
      </w:r>
    </w:p>
    <w:p w:rsidR="00B847E9" w:rsidRPr="002C145B" w:rsidRDefault="002C145B" w:rsidP="002C145B">
      <w:pPr>
        <w:pStyle w:val="SingleTxtG"/>
        <w:rPr>
          <w:b/>
          <w:bCs/>
        </w:rPr>
      </w:pPr>
      <w:r>
        <w:rPr>
          <w:b/>
          <w:bCs/>
        </w:rPr>
        <w:tab/>
        <w:t>(c)</w:t>
      </w:r>
      <w:r>
        <w:rPr>
          <w:b/>
          <w:bCs/>
        </w:rPr>
        <w:tab/>
      </w:r>
      <w:r w:rsidR="00B847E9" w:rsidRPr="002C145B">
        <w:rPr>
          <w:b/>
          <w:bCs/>
        </w:rPr>
        <w:t>Guarantee legal assistance to communities lodging complaints about allegations of human rights violations, thoroughly investigate all allegations of breach of license agreements, and revoke licenses, as appropriate;</w:t>
      </w:r>
    </w:p>
    <w:p w:rsidR="00B847E9" w:rsidRPr="002C145B" w:rsidRDefault="002C145B" w:rsidP="002C145B">
      <w:pPr>
        <w:pStyle w:val="SingleTxtG"/>
        <w:rPr>
          <w:b/>
          <w:bCs/>
        </w:rPr>
      </w:pPr>
      <w:r>
        <w:rPr>
          <w:b/>
          <w:bCs/>
        </w:rPr>
        <w:tab/>
        <w:t>(d)</w:t>
      </w:r>
      <w:r>
        <w:rPr>
          <w:b/>
          <w:bCs/>
        </w:rPr>
        <w:tab/>
      </w:r>
      <w:r w:rsidR="00B847E9" w:rsidRPr="002C145B">
        <w:rPr>
          <w:b/>
          <w:bCs/>
        </w:rPr>
        <w:t>Ensure that tangible benefits</w:t>
      </w:r>
      <w:r w:rsidR="00B83CB4" w:rsidRPr="002C145B">
        <w:rPr>
          <w:b/>
          <w:bCs/>
        </w:rPr>
        <w:t xml:space="preserve"> and their distribution</w:t>
      </w:r>
      <w:r w:rsidR="00B847E9" w:rsidRPr="002C145B">
        <w:rPr>
          <w:b/>
          <w:bCs/>
        </w:rPr>
        <w:t xml:space="preserve"> are not left solely to the voluntary policy of corporate social responsibilities of companies</w:t>
      </w:r>
      <w:r w:rsidR="00532E7D">
        <w:rPr>
          <w:b/>
          <w:bCs/>
        </w:rPr>
        <w:t>,</w:t>
      </w:r>
      <w:r w:rsidR="00B847E9" w:rsidRPr="002C145B">
        <w:rPr>
          <w:b/>
          <w:bCs/>
        </w:rPr>
        <w:t xml:space="preserve"> but are also defined in license agreements, in the form of employment creation and improvement of public services for local communities, among others;</w:t>
      </w:r>
    </w:p>
    <w:p w:rsidR="00B847E9" w:rsidRPr="002C145B" w:rsidRDefault="002C145B" w:rsidP="002C145B">
      <w:pPr>
        <w:pStyle w:val="SingleTxtG"/>
        <w:rPr>
          <w:b/>
          <w:bCs/>
        </w:rPr>
      </w:pPr>
      <w:r>
        <w:rPr>
          <w:b/>
          <w:bCs/>
        </w:rPr>
        <w:tab/>
        <w:t>(e)</w:t>
      </w:r>
      <w:r>
        <w:rPr>
          <w:b/>
          <w:bCs/>
        </w:rPr>
        <w:tab/>
      </w:r>
      <w:r w:rsidR="00B847E9" w:rsidRPr="002C145B">
        <w:rPr>
          <w:b/>
          <w:bCs/>
        </w:rPr>
        <w:t xml:space="preserve">Engage in constant dialogue with human rights defenders, protect them from acts of </w:t>
      </w:r>
      <w:r w:rsidR="00424560" w:rsidRPr="002C145B">
        <w:rPr>
          <w:b/>
          <w:bCs/>
        </w:rPr>
        <w:t xml:space="preserve">violence, </w:t>
      </w:r>
      <w:r w:rsidR="00B847E9" w:rsidRPr="002C145B">
        <w:rPr>
          <w:b/>
          <w:bCs/>
        </w:rPr>
        <w:t>intimidation and harassment, and thoroughly investigate all allegations of reprisals and abuse so as to bring perpetrators to justice.</w:t>
      </w:r>
    </w:p>
    <w:p w:rsidR="00B847E9" w:rsidRPr="001B194C" w:rsidRDefault="00B847E9" w:rsidP="000A5855">
      <w:pPr>
        <w:pStyle w:val="H1G"/>
        <w:rPr>
          <w:lang w:val="en-US"/>
        </w:rPr>
      </w:pPr>
      <w:r>
        <w:rPr>
          <w:lang w:val="en-US"/>
        </w:rPr>
        <w:tab/>
      </w:r>
      <w:r>
        <w:rPr>
          <w:lang w:val="en-US"/>
        </w:rPr>
        <w:tab/>
        <w:t>Land tenure</w:t>
      </w:r>
    </w:p>
    <w:p w:rsidR="00B847E9" w:rsidRDefault="00B847E9" w:rsidP="00111B70">
      <w:pPr>
        <w:pStyle w:val="SingleTxtG"/>
        <w:numPr>
          <w:ilvl w:val="0"/>
          <w:numId w:val="17"/>
        </w:numPr>
        <w:tabs>
          <w:tab w:val="left" w:pos="1701"/>
        </w:tabs>
        <w:ind w:left="1134" w:firstLine="0"/>
        <w:rPr>
          <w:rFonts w:cs="Times New Roman"/>
        </w:rPr>
      </w:pPr>
      <w:r>
        <w:rPr>
          <w:rFonts w:cs="Times New Roman"/>
        </w:rPr>
        <w:t>The Committee expresses concern a</w:t>
      </w:r>
      <w:r w:rsidR="00EF36ED">
        <w:rPr>
          <w:rFonts w:cs="Times New Roman"/>
        </w:rPr>
        <w:t>bou</w:t>
      </w:r>
      <w:r>
        <w:rPr>
          <w:rFonts w:cs="Times New Roman"/>
        </w:rPr>
        <w:t xml:space="preserve">t the large number of land disputes and cases of land-grabbing in the State party. It is also concerned that regulations such as Presidential Regulation 65/2006 on </w:t>
      </w:r>
      <w:r w:rsidR="005339E9">
        <w:rPr>
          <w:rFonts w:cs="Times New Roman"/>
        </w:rPr>
        <w:t>Procurement of Land for Realizing Development for Public Interest</w:t>
      </w:r>
      <w:r>
        <w:rPr>
          <w:rFonts w:cs="Times New Roman"/>
        </w:rPr>
        <w:t xml:space="preserve"> render individuals and communities vulnerable to land-grabbing</w:t>
      </w:r>
      <w:r w:rsidRPr="00671223">
        <w:rPr>
          <w:rFonts w:cs="Times New Roman"/>
        </w:rPr>
        <w:t xml:space="preserve"> </w:t>
      </w:r>
      <w:r w:rsidR="00111B70">
        <w:rPr>
          <w:rFonts w:cs="Times New Roman"/>
        </w:rPr>
        <w:t>as only 34 </w:t>
      </w:r>
      <w:r>
        <w:rPr>
          <w:rFonts w:cs="Times New Roman"/>
        </w:rPr>
        <w:t>per cent of land in the State party is certified. Similarly, the Committee is concerned that court decisions on land cases have been primarily made on the basis of the existence of titles. Furthermore, the Committee expresses concern at the prohibitive cost of titling that has accompanied the settlement of land disputes</w:t>
      </w:r>
      <w:r w:rsidR="00111B70">
        <w:rPr>
          <w:rFonts w:cs="Times New Roman"/>
        </w:rPr>
        <w:t xml:space="preserve"> (arts. </w:t>
      </w:r>
      <w:r>
        <w:rPr>
          <w:rFonts w:cs="Times New Roman"/>
        </w:rPr>
        <w:t>1.2, 2.2</w:t>
      </w:r>
      <w:r w:rsidR="00BA5630">
        <w:rPr>
          <w:rFonts w:cs="Times New Roman"/>
        </w:rPr>
        <w:t xml:space="preserve"> and</w:t>
      </w:r>
      <w:r w:rsidR="00111B70">
        <w:rPr>
          <w:rFonts w:cs="Times New Roman"/>
        </w:rPr>
        <w:t> </w:t>
      </w:r>
      <w:r>
        <w:rPr>
          <w:rFonts w:cs="Times New Roman"/>
        </w:rPr>
        <w:t>11)</w:t>
      </w:r>
      <w:r w:rsidR="004C47A8">
        <w:rPr>
          <w:rFonts w:cs="Times New Roman"/>
        </w:rPr>
        <w:t>.</w:t>
      </w:r>
    </w:p>
    <w:p w:rsidR="00B847E9" w:rsidRDefault="00B847E9" w:rsidP="00111B70">
      <w:pPr>
        <w:pStyle w:val="SingleTxtG"/>
        <w:tabs>
          <w:tab w:val="left" w:pos="1701"/>
        </w:tabs>
        <w:rPr>
          <w:rFonts w:cs="Times New Roman"/>
          <w:b/>
          <w:bCs/>
        </w:rPr>
      </w:pPr>
      <w:r>
        <w:rPr>
          <w:rFonts w:cs="Times New Roman"/>
          <w:b/>
          <w:bCs/>
        </w:rPr>
        <w:t xml:space="preserve">The Committee urges the State party to </w:t>
      </w:r>
      <w:r w:rsidR="00932FE9">
        <w:rPr>
          <w:rFonts w:cs="Times New Roman"/>
          <w:b/>
          <w:bCs/>
        </w:rPr>
        <w:t>adopt a land policy</w:t>
      </w:r>
      <w:r w:rsidR="00111B70">
        <w:rPr>
          <w:rFonts w:cs="Times New Roman"/>
          <w:b/>
          <w:bCs/>
        </w:rPr>
        <w:t xml:space="preserve"> which (a) </w:t>
      </w:r>
      <w:r>
        <w:rPr>
          <w:rFonts w:cs="Times New Roman"/>
          <w:b/>
          <w:bCs/>
        </w:rPr>
        <w:t>establishes an institution tasked with the oversight of settlement of land disputes; (</w:t>
      </w:r>
      <w:r w:rsidR="00932FE9">
        <w:rPr>
          <w:rFonts w:cs="Times New Roman"/>
          <w:b/>
          <w:bCs/>
        </w:rPr>
        <w:t>b</w:t>
      </w:r>
      <w:r>
        <w:rPr>
          <w:rFonts w:cs="Times New Roman"/>
          <w:b/>
          <w:bCs/>
        </w:rPr>
        <w:t>)</w:t>
      </w:r>
      <w:r w:rsidR="00111B70">
        <w:rPr>
          <w:rFonts w:cs="Times New Roman"/>
          <w:b/>
          <w:bCs/>
        </w:rPr>
        <w:t> </w:t>
      </w:r>
      <w:r w:rsidR="00932FE9">
        <w:rPr>
          <w:rFonts w:cs="Times New Roman"/>
          <w:b/>
          <w:bCs/>
        </w:rPr>
        <w:t>promote</w:t>
      </w:r>
      <w:r w:rsidR="000A345F">
        <w:rPr>
          <w:rFonts w:cs="Times New Roman"/>
          <w:b/>
          <w:bCs/>
        </w:rPr>
        <w:t>s</w:t>
      </w:r>
      <w:r w:rsidR="00932FE9">
        <w:rPr>
          <w:rFonts w:cs="Times New Roman"/>
          <w:b/>
          <w:bCs/>
        </w:rPr>
        <w:t xml:space="preserve"> settlement approaches that </w:t>
      </w:r>
      <w:r>
        <w:rPr>
          <w:rFonts w:cs="Times New Roman"/>
          <w:b/>
          <w:bCs/>
        </w:rPr>
        <w:t>tak</w:t>
      </w:r>
      <w:r w:rsidR="00932FE9">
        <w:rPr>
          <w:rFonts w:cs="Times New Roman"/>
          <w:b/>
          <w:bCs/>
        </w:rPr>
        <w:t>e</w:t>
      </w:r>
      <w:r>
        <w:rPr>
          <w:rFonts w:cs="Times New Roman"/>
          <w:b/>
          <w:bCs/>
        </w:rPr>
        <w:t xml:space="preserve"> into account the fact that land titles are not always available; (</w:t>
      </w:r>
      <w:r w:rsidR="00932FE9">
        <w:rPr>
          <w:rFonts w:cs="Times New Roman"/>
          <w:b/>
          <w:bCs/>
        </w:rPr>
        <w:t>c) reviews relevant laws and regulations which make individuals and communities vulnerable to land-grabbing; (d</w:t>
      </w:r>
      <w:r>
        <w:rPr>
          <w:rFonts w:cs="Times New Roman"/>
          <w:b/>
          <w:bCs/>
        </w:rPr>
        <w:t xml:space="preserve">) facilitates the titling of land without prohibitive </w:t>
      </w:r>
      <w:r w:rsidR="00E804D4">
        <w:rPr>
          <w:rFonts w:cs="Times New Roman"/>
          <w:b/>
          <w:bCs/>
        </w:rPr>
        <w:t xml:space="preserve">procedural </w:t>
      </w:r>
      <w:r>
        <w:rPr>
          <w:rFonts w:cs="Times New Roman"/>
          <w:b/>
          <w:bCs/>
        </w:rPr>
        <w:t>costs</w:t>
      </w:r>
      <w:r w:rsidR="00932FE9">
        <w:rPr>
          <w:rFonts w:cs="Times New Roman"/>
          <w:b/>
          <w:bCs/>
        </w:rPr>
        <w:t>; (e) secures the involvement of the national human rights institutions and the civil society</w:t>
      </w:r>
      <w:r>
        <w:rPr>
          <w:rFonts w:cs="Times New Roman"/>
          <w:b/>
          <w:bCs/>
        </w:rPr>
        <w:t>.</w:t>
      </w:r>
    </w:p>
    <w:p w:rsidR="007C51E7" w:rsidRDefault="00B847E9" w:rsidP="000A5855">
      <w:pPr>
        <w:pStyle w:val="H1G"/>
      </w:pPr>
      <w:r>
        <w:tab/>
      </w:r>
      <w:r>
        <w:tab/>
      </w:r>
      <w:r w:rsidR="007C51E7">
        <w:t xml:space="preserve">Forced </w:t>
      </w:r>
      <w:r w:rsidR="007C51E7" w:rsidRPr="006E27D3">
        <w:rPr>
          <w:lang w:val="en-US"/>
        </w:rPr>
        <w:t>evictions</w:t>
      </w:r>
    </w:p>
    <w:p w:rsidR="00E36D56" w:rsidRDefault="00E121F1" w:rsidP="00E121F1">
      <w:pPr>
        <w:pStyle w:val="SingleTxtG"/>
        <w:numPr>
          <w:ilvl w:val="0"/>
          <w:numId w:val="17"/>
        </w:numPr>
        <w:tabs>
          <w:tab w:val="left" w:pos="1701"/>
        </w:tabs>
        <w:ind w:left="1134" w:firstLine="0"/>
        <w:rPr>
          <w:rFonts w:cs="Times New Roman"/>
        </w:rPr>
      </w:pPr>
      <w:r>
        <w:rPr>
          <w:rFonts w:cs="Times New Roman"/>
        </w:rPr>
        <w:t xml:space="preserve">The Committee is concerned at reports of forced evictions without adequate reparation nor alternative housing, including in the context of development projects. </w:t>
      </w:r>
      <w:r w:rsidR="005C4ACE">
        <w:rPr>
          <w:rFonts w:cs="Times New Roman"/>
        </w:rPr>
        <w:t>It</w:t>
      </w:r>
      <w:r>
        <w:rPr>
          <w:rFonts w:cs="Times New Roman"/>
        </w:rPr>
        <w:t xml:space="preserve"> is also concerned that</w:t>
      </w:r>
      <w:r w:rsidR="00F32E56">
        <w:rPr>
          <w:rFonts w:cs="Times New Roman"/>
        </w:rPr>
        <w:t>,</w:t>
      </w:r>
      <w:r>
        <w:rPr>
          <w:rFonts w:cs="Times New Roman"/>
        </w:rPr>
        <w:t xml:space="preserve"> under the State party’s legislation, evictions may be carried </w:t>
      </w:r>
      <w:r w:rsidR="00354854">
        <w:rPr>
          <w:rFonts w:cs="Times New Roman"/>
        </w:rPr>
        <w:t xml:space="preserve">out </w:t>
      </w:r>
      <w:r>
        <w:rPr>
          <w:rFonts w:cs="Times New Roman"/>
        </w:rPr>
        <w:t>even if they render tenants homeless</w:t>
      </w:r>
      <w:r w:rsidR="00111B70">
        <w:rPr>
          <w:rFonts w:cs="Times New Roman"/>
        </w:rPr>
        <w:t xml:space="preserve"> (art. </w:t>
      </w:r>
      <w:r>
        <w:rPr>
          <w:rFonts w:cs="Times New Roman"/>
        </w:rPr>
        <w:t>11)</w:t>
      </w:r>
      <w:r w:rsidR="004C47A8">
        <w:rPr>
          <w:rFonts w:cs="Times New Roman"/>
        </w:rPr>
        <w:t>.</w:t>
      </w:r>
    </w:p>
    <w:p w:rsidR="00E121F1" w:rsidRDefault="00E121F1" w:rsidP="00111B70">
      <w:pPr>
        <w:pStyle w:val="SingleTxtG"/>
        <w:tabs>
          <w:tab w:val="left" w:pos="1701"/>
        </w:tabs>
        <w:rPr>
          <w:rFonts w:cs="Times New Roman"/>
          <w:b/>
          <w:bCs/>
          <w:lang w:val="en-US"/>
        </w:rPr>
      </w:pPr>
      <w:r>
        <w:rPr>
          <w:rFonts w:cs="Times New Roman"/>
          <w:b/>
          <w:bCs/>
        </w:rPr>
        <w:t>The Committee calls on the State party to bring its legislation on forced evictions into line with international standards, including by (a) ensuring</w:t>
      </w:r>
      <w:r w:rsidRPr="00E121F1">
        <w:rPr>
          <w:rFonts w:cs="Times New Roman"/>
          <w:b/>
          <w:bCs/>
        </w:rPr>
        <w:t xml:space="preserve"> that evictions are only used as a last resort</w:t>
      </w:r>
      <w:r>
        <w:rPr>
          <w:rFonts w:cs="Times New Roman"/>
          <w:b/>
          <w:bCs/>
        </w:rPr>
        <w:t xml:space="preserve">; (b) </w:t>
      </w:r>
      <w:r w:rsidRPr="00E121F1">
        <w:rPr>
          <w:rFonts w:cs="Times New Roman"/>
          <w:b/>
          <w:bCs/>
        </w:rPr>
        <w:t>strictly defining the circumstances and safeguards under which evictions</w:t>
      </w:r>
      <w:r>
        <w:rPr>
          <w:rFonts w:cs="Times New Roman"/>
          <w:b/>
          <w:bCs/>
        </w:rPr>
        <w:t xml:space="preserve"> </w:t>
      </w:r>
      <w:r w:rsidR="000A345F">
        <w:rPr>
          <w:rFonts w:cs="Times New Roman"/>
          <w:b/>
          <w:bCs/>
        </w:rPr>
        <w:t xml:space="preserve">can </w:t>
      </w:r>
      <w:r>
        <w:rPr>
          <w:rFonts w:cs="Times New Roman"/>
          <w:b/>
          <w:bCs/>
        </w:rPr>
        <w:t xml:space="preserve">take place; </w:t>
      </w:r>
      <w:r w:rsidR="00A7539A">
        <w:rPr>
          <w:rFonts w:cs="Times New Roman"/>
          <w:b/>
          <w:bCs/>
        </w:rPr>
        <w:t xml:space="preserve">and </w:t>
      </w:r>
      <w:r>
        <w:rPr>
          <w:rFonts w:cs="Times New Roman"/>
          <w:b/>
          <w:bCs/>
        </w:rPr>
        <w:t>(c) ensuring that victims of forced evictions are</w:t>
      </w:r>
      <w:r w:rsidRPr="00E121F1">
        <w:rPr>
          <w:rFonts w:cs="Times New Roman"/>
          <w:b/>
          <w:bCs/>
        </w:rPr>
        <w:t xml:space="preserve"> provided with adequate alternative </w:t>
      </w:r>
      <w:r>
        <w:rPr>
          <w:rFonts w:cs="Times New Roman"/>
          <w:b/>
          <w:bCs/>
        </w:rPr>
        <w:t>housing or compensation and have</w:t>
      </w:r>
      <w:r w:rsidRPr="00E121F1">
        <w:rPr>
          <w:rFonts w:cs="Times New Roman"/>
          <w:b/>
          <w:bCs/>
        </w:rPr>
        <w:t xml:space="preserve"> access to </w:t>
      </w:r>
      <w:r>
        <w:rPr>
          <w:rFonts w:cs="Times New Roman"/>
          <w:b/>
          <w:bCs/>
        </w:rPr>
        <w:t xml:space="preserve">effective remedies. The Committee refers the State party to its </w:t>
      </w:r>
      <w:r w:rsidR="00111B70">
        <w:rPr>
          <w:rFonts w:cs="Times New Roman"/>
          <w:b/>
          <w:bCs/>
        </w:rPr>
        <w:t>general comment N</w:t>
      </w:r>
      <w:r w:rsidRPr="00E121F1">
        <w:rPr>
          <w:rFonts w:cs="Times New Roman"/>
          <w:b/>
          <w:bCs/>
        </w:rPr>
        <w:t>o.</w:t>
      </w:r>
      <w:r w:rsidR="00111B70">
        <w:rPr>
          <w:rFonts w:cs="Times New Roman"/>
          <w:b/>
          <w:bCs/>
        </w:rPr>
        <w:t> </w:t>
      </w:r>
      <w:r w:rsidRPr="00E121F1">
        <w:rPr>
          <w:rFonts w:cs="Times New Roman"/>
          <w:b/>
          <w:bCs/>
        </w:rPr>
        <w:t>7 (1997) on forced evictions</w:t>
      </w:r>
      <w:r>
        <w:rPr>
          <w:rFonts w:cs="Times New Roman"/>
          <w:b/>
          <w:bCs/>
        </w:rPr>
        <w:t xml:space="preserve"> and to </w:t>
      </w:r>
      <w:r w:rsidR="00DC6FE4">
        <w:rPr>
          <w:rFonts w:cs="Times New Roman"/>
          <w:b/>
          <w:bCs/>
          <w:lang w:val="en-US"/>
        </w:rPr>
        <w:t xml:space="preserve">the Basic Principles and Guidelines on Development-based </w:t>
      </w:r>
      <w:r w:rsidR="00566DC2">
        <w:rPr>
          <w:rFonts w:cs="Times New Roman"/>
          <w:b/>
          <w:bCs/>
          <w:lang w:val="en-US"/>
        </w:rPr>
        <w:t>Evictions and Displacement (A/HRC/4/18).</w:t>
      </w:r>
    </w:p>
    <w:p w:rsidR="00F72C61" w:rsidRDefault="004E1049" w:rsidP="000A5855">
      <w:pPr>
        <w:pStyle w:val="H1G"/>
        <w:rPr>
          <w:lang w:val="en-US"/>
        </w:rPr>
      </w:pPr>
      <w:r>
        <w:rPr>
          <w:lang w:val="en-US"/>
        </w:rPr>
        <w:tab/>
      </w:r>
      <w:r>
        <w:rPr>
          <w:lang w:val="en-US"/>
        </w:rPr>
        <w:tab/>
      </w:r>
      <w:r w:rsidR="00F72C61">
        <w:rPr>
          <w:lang w:val="en-US"/>
        </w:rPr>
        <w:t>Right to food</w:t>
      </w:r>
    </w:p>
    <w:p w:rsidR="00F72C61" w:rsidRPr="005C489E" w:rsidRDefault="00F72C61" w:rsidP="005C489E">
      <w:pPr>
        <w:pStyle w:val="SingleTxtG"/>
        <w:numPr>
          <w:ilvl w:val="0"/>
          <w:numId w:val="17"/>
        </w:numPr>
        <w:tabs>
          <w:tab w:val="left" w:pos="1701"/>
        </w:tabs>
        <w:ind w:left="1134" w:firstLine="0"/>
        <w:rPr>
          <w:b/>
          <w:lang w:val="en-US"/>
        </w:rPr>
      </w:pPr>
      <w:r>
        <w:rPr>
          <w:lang w:val="en-US"/>
        </w:rPr>
        <w:t>The Committee is concerned a</w:t>
      </w:r>
      <w:r w:rsidR="00EF36ED">
        <w:rPr>
          <w:lang w:val="en-US"/>
        </w:rPr>
        <w:t>bou</w:t>
      </w:r>
      <w:r>
        <w:rPr>
          <w:lang w:val="en-US"/>
        </w:rPr>
        <w:t>t the significant increase in the price of staple food which has become less and less affordable for the State party’s disadvantaged individuals and groups and which aggravates malnutrition in the State party</w:t>
      </w:r>
      <w:r w:rsidR="00111B70">
        <w:rPr>
          <w:lang w:val="en-US"/>
        </w:rPr>
        <w:t xml:space="preserve"> (art. </w:t>
      </w:r>
      <w:r>
        <w:rPr>
          <w:lang w:val="en-US"/>
        </w:rPr>
        <w:t>11)</w:t>
      </w:r>
      <w:r w:rsidR="004C47A8">
        <w:rPr>
          <w:lang w:val="en-US"/>
        </w:rPr>
        <w:t>.</w:t>
      </w:r>
    </w:p>
    <w:p w:rsidR="00F72C61" w:rsidRDefault="00F72C61" w:rsidP="005C489E">
      <w:pPr>
        <w:pStyle w:val="SingleTxtG"/>
        <w:tabs>
          <w:tab w:val="left" w:pos="1701"/>
        </w:tabs>
        <w:rPr>
          <w:b/>
          <w:lang w:val="en-US"/>
        </w:rPr>
      </w:pPr>
      <w:r>
        <w:rPr>
          <w:b/>
          <w:lang w:val="en-US"/>
        </w:rPr>
        <w:t xml:space="preserve">The Committee recommends that the State party </w:t>
      </w:r>
      <w:r w:rsidR="008B43B0">
        <w:rPr>
          <w:b/>
          <w:lang w:val="en-US"/>
        </w:rPr>
        <w:t>adopt a human rights-based approach to its food policy</w:t>
      </w:r>
      <w:r>
        <w:rPr>
          <w:b/>
          <w:lang w:val="en-US"/>
        </w:rPr>
        <w:t>, including by:</w:t>
      </w:r>
    </w:p>
    <w:p w:rsidR="00F72C61" w:rsidRPr="00111B70" w:rsidRDefault="00111B70" w:rsidP="00111B70">
      <w:pPr>
        <w:pStyle w:val="SingleTxtG"/>
        <w:rPr>
          <w:b/>
          <w:bCs/>
        </w:rPr>
      </w:pPr>
      <w:r>
        <w:rPr>
          <w:b/>
          <w:bCs/>
        </w:rPr>
        <w:tab/>
        <w:t>(a)</w:t>
      </w:r>
      <w:r>
        <w:rPr>
          <w:b/>
          <w:bCs/>
        </w:rPr>
        <w:tab/>
      </w:r>
      <w:r w:rsidR="00F72C61" w:rsidRPr="00111B70">
        <w:rPr>
          <w:b/>
          <w:bCs/>
        </w:rPr>
        <w:t>Addressing critical issues to all aspects of the food system, including  the production, processing, distribution and consumption of safe food, a</w:t>
      </w:r>
      <w:r w:rsidR="008B43B0" w:rsidRPr="00111B70">
        <w:rPr>
          <w:b/>
          <w:bCs/>
        </w:rPr>
        <w:t>s</w:t>
      </w:r>
      <w:r w:rsidR="00F72C61" w:rsidRPr="00111B70">
        <w:rPr>
          <w:b/>
          <w:bCs/>
        </w:rPr>
        <w:t xml:space="preserve"> well as parallel measures in the fields of health and education</w:t>
      </w:r>
      <w:r w:rsidR="008B43B0" w:rsidRPr="00111B70">
        <w:rPr>
          <w:b/>
          <w:bCs/>
        </w:rPr>
        <w:t>, especially in disadvantaged areas</w:t>
      </w:r>
      <w:r w:rsidR="00F72C61" w:rsidRPr="00111B70">
        <w:rPr>
          <w:b/>
          <w:bCs/>
        </w:rPr>
        <w:t>;</w:t>
      </w:r>
      <w:r w:rsidR="005932BC">
        <w:rPr>
          <w:b/>
          <w:bCs/>
        </w:rPr>
        <w:t xml:space="preserve"> and</w:t>
      </w:r>
    </w:p>
    <w:p w:rsidR="00F72C61" w:rsidRPr="00111B70" w:rsidRDefault="00111B70" w:rsidP="00111B70">
      <w:pPr>
        <w:pStyle w:val="SingleTxtG"/>
        <w:rPr>
          <w:b/>
          <w:bCs/>
        </w:rPr>
      </w:pPr>
      <w:r>
        <w:rPr>
          <w:b/>
          <w:bCs/>
        </w:rPr>
        <w:tab/>
        <w:t>(b)</w:t>
      </w:r>
      <w:r>
        <w:rPr>
          <w:b/>
          <w:bCs/>
        </w:rPr>
        <w:tab/>
      </w:r>
      <w:r w:rsidR="008B43B0" w:rsidRPr="00111B70">
        <w:rPr>
          <w:b/>
          <w:bCs/>
        </w:rPr>
        <w:t>Ensuring that activities of the private business sector are in conformity with the right to food.</w:t>
      </w:r>
    </w:p>
    <w:p w:rsidR="008B43B0" w:rsidRPr="005C489E" w:rsidRDefault="008B43B0" w:rsidP="005C489E">
      <w:pPr>
        <w:pStyle w:val="SingleTxtG"/>
        <w:tabs>
          <w:tab w:val="left" w:pos="-2977"/>
        </w:tabs>
        <w:rPr>
          <w:b/>
          <w:lang w:val="en-US"/>
        </w:rPr>
      </w:pPr>
      <w:r>
        <w:rPr>
          <w:rFonts w:cs="Times New Roman"/>
          <w:b/>
          <w:bCs/>
          <w:lang w:val="en-US"/>
        </w:rPr>
        <w:t>The Committee draws the attention of the State p</w:t>
      </w:r>
      <w:r w:rsidR="00111B70">
        <w:rPr>
          <w:rFonts w:cs="Times New Roman"/>
          <w:b/>
          <w:bCs/>
          <w:lang w:val="en-US"/>
        </w:rPr>
        <w:t>arty to its general comment No. </w:t>
      </w:r>
      <w:r>
        <w:rPr>
          <w:rFonts w:cs="Times New Roman"/>
          <w:b/>
          <w:bCs/>
          <w:lang w:val="en-US"/>
        </w:rPr>
        <w:t>12 (1999) on the right to adequate food.</w:t>
      </w:r>
    </w:p>
    <w:p w:rsidR="00354854" w:rsidRPr="00FF74F7" w:rsidRDefault="00F72C61" w:rsidP="000A5855">
      <w:pPr>
        <w:pStyle w:val="H1G"/>
        <w:rPr>
          <w:lang w:val="en-US"/>
        </w:rPr>
      </w:pPr>
      <w:r>
        <w:rPr>
          <w:lang w:val="en-US"/>
        </w:rPr>
        <w:tab/>
      </w:r>
      <w:r>
        <w:rPr>
          <w:lang w:val="en-US"/>
        </w:rPr>
        <w:tab/>
      </w:r>
      <w:r w:rsidR="00354854" w:rsidRPr="00FF74F7">
        <w:rPr>
          <w:lang w:val="en-US"/>
        </w:rPr>
        <w:t xml:space="preserve">Health </w:t>
      </w:r>
      <w:r w:rsidR="00354854" w:rsidRPr="006E27D3">
        <w:rPr>
          <w:lang w:val="en-US"/>
        </w:rPr>
        <w:t>care</w:t>
      </w:r>
      <w:r w:rsidR="00354854" w:rsidRPr="00FF74F7">
        <w:rPr>
          <w:lang w:val="en-US"/>
        </w:rPr>
        <w:t xml:space="preserve"> system</w:t>
      </w:r>
    </w:p>
    <w:p w:rsidR="00F94A9C" w:rsidRPr="00FF74F7" w:rsidRDefault="006F38A8" w:rsidP="00F94A9C">
      <w:pPr>
        <w:pStyle w:val="SingleTxtG"/>
        <w:numPr>
          <w:ilvl w:val="0"/>
          <w:numId w:val="17"/>
        </w:numPr>
        <w:tabs>
          <w:tab w:val="left" w:pos="1701"/>
        </w:tabs>
        <w:ind w:left="1134" w:firstLine="0"/>
        <w:rPr>
          <w:rFonts w:cs="Times New Roman"/>
        </w:rPr>
      </w:pPr>
      <w:r w:rsidRPr="00FF74F7">
        <w:rPr>
          <w:rFonts w:cs="Times New Roman"/>
        </w:rPr>
        <w:t xml:space="preserve">The Committee is concerned </w:t>
      </w:r>
      <w:r w:rsidR="000A345F">
        <w:rPr>
          <w:rFonts w:cs="Times New Roman"/>
        </w:rPr>
        <w:t>that</w:t>
      </w:r>
      <w:r w:rsidRPr="00FF74F7">
        <w:rPr>
          <w:rFonts w:cs="Times New Roman"/>
        </w:rPr>
        <w:t xml:space="preserve"> the State party’s health care system</w:t>
      </w:r>
      <w:r w:rsidR="000A345F">
        <w:rPr>
          <w:rFonts w:cs="Times New Roman"/>
        </w:rPr>
        <w:t xml:space="preserve"> is not able</w:t>
      </w:r>
      <w:r w:rsidRPr="00FF74F7">
        <w:rPr>
          <w:rFonts w:cs="Times New Roman"/>
        </w:rPr>
        <w:t xml:space="preserve"> to meet the demand for health services following the introduction of the Universal Health Insurance.</w:t>
      </w:r>
      <w:r w:rsidR="00F94A9C" w:rsidRPr="00FF74F7">
        <w:rPr>
          <w:rFonts w:cs="Times New Roman"/>
        </w:rPr>
        <w:t xml:space="preserve"> </w:t>
      </w:r>
      <w:r w:rsidR="00F94A9C" w:rsidRPr="00FF74F7">
        <w:rPr>
          <w:rFonts w:cs="Times New Roman"/>
          <w:lang w:val="en-US"/>
        </w:rPr>
        <w:t xml:space="preserve">The Committee is also </w:t>
      </w:r>
      <w:r w:rsidR="00F94A9C" w:rsidRPr="004A3051">
        <w:rPr>
          <w:rFonts w:cs="Times New Roman"/>
        </w:rPr>
        <w:t>concerned</w:t>
      </w:r>
      <w:r w:rsidR="00F94A9C" w:rsidRPr="00FF74F7">
        <w:rPr>
          <w:rFonts w:cs="Times New Roman"/>
          <w:lang w:val="en-US"/>
        </w:rPr>
        <w:t xml:space="preserve"> at the disparity in the availability and quality of health care services</w:t>
      </w:r>
      <w:r w:rsidR="000E3672">
        <w:rPr>
          <w:rFonts w:cs="Times New Roman"/>
          <w:lang w:val="en-US"/>
        </w:rPr>
        <w:t xml:space="preserve"> across provinces and regions</w:t>
      </w:r>
      <w:r w:rsidR="00F94A9C" w:rsidRPr="00FF74F7">
        <w:rPr>
          <w:rFonts w:cs="Times New Roman"/>
          <w:lang w:val="en-US"/>
        </w:rPr>
        <w:t xml:space="preserve"> in the State party, and is particularly concerned that</w:t>
      </w:r>
      <w:r w:rsidR="00E804D4">
        <w:rPr>
          <w:rFonts w:cs="Times New Roman"/>
          <w:lang w:val="en-US"/>
        </w:rPr>
        <w:t>, in some areas,</w:t>
      </w:r>
      <w:r w:rsidR="00F94A9C" w:rsidRPr="00FF74F7">
        <w:rPr>
          <w:rFonts w:cs="Times New Roman"/>
          <w:lang w:val="en-US"/>
        </w:rPr>
        <w:t xml:space="preserve"> the </w:t>
      </w:r>
      <w:r w:rsidR="00F94A9C" w:rsidRPr="00FF74F7">
        <w:rPr>
          <w:rFonts w:cs="Times New Roman"/>
        </w:rPr>
        <w:t>lack of HIV preventive and treatment services leads to the spread of HIV</w:t>
      </w:r>
      <w:r w:rsidR="00111B70">
        <w:rPr>
          <w:rFonts w:cs="Times New Roman"/>
        </w:rPr>
        <w:t xml:space="preserve"> (art. </w:t>
      </w:r>
      <w:r w:rsidR="00FF74F7">
        <w:rPr>
          <w:rFonts w:cs="Times New Roman"/>
        </w:rPr>
        <w:t>12)</w:t>
      </w:r>
      <w:r w:rsidR="004C47A8">
        <w:rPr>
          <w:rFonts w:cs="Times New Roman"/>
        </w:rPr>
        <w:t>.</w:t>
      </w:r>
    </w:p>
    <w:p w:rsidR="00F94A9C" w:rsidRPr="00FF74F7" w:rsidRDefault="00F94A9C" w:rsidP="00FF74F7">
      <w:pPr>
        <w:pStyle w:val="SingleTxtG"/>
        <w:rPr>
          <w:rFonts w:cs="Times New Roman"/>
          <w:b/>
          <w:bCs/>
        </w:rPr>
      </w:pPr>
      <w:r w:rsidRPr="00FF74F7">
        <w:rPr>
          <w:rFonts w:cs="Times New Roman"/>
          <w:b/>
          <w:bCs/>
        </w:rPr>
        <w:t xml:space="preserve">The Committee calls on the State party to expand the capacity of the health care system and improve its quality especially in underserved regions, so as to ensure that the introduction of the Universal Health Insurance leads to </w:t>
      </w:r>
      <w:r w:rsidR="00BB52B6">
        <w:rPr>
          <w:rFonts w:cs="Times New Roman"/>
          <w:b/>
          <w:bCs/>
        </w:rPr>
        <w:t xml:space="preserve">the </w:t>
      </w:r>
      <w:r w:rsidRPr="00FF74F7">
        <w:rPr>
          <w:rFonts w:cs="Times New Roman"/>
          <w:b/>
          <w:bCs/>
        </w:rPr>
        <w:t xml:space="preserve">effective realization of the right to health. The Committee also urges the State party to ensure that HIV prevention and treatment are </w:t>
      </w:r>
      <w:r w:rsidR="00FF74F7" w:rsidRPr="00FF74F7">
        <w:rPr>
          <w:rFonts w:cs="Times New Roman"/>
          <w:b/>
          <w:bCs/>
        </w:rPr>
        <w:t>included in the minimum package provided by the primary health care system.</w:t>
      </w:r>
    </w:p>
    <w:p w:rsidR="00F94A9C" w:rsidRDefault="004E1049" w:rsidP="000A5855">
      <w:pPr>
        <w:pStyle w:val="H1G"/>
      </w:pPr>
      <w:r>
        <w:tab/>
      </w:r>
      <w:r>
        <w:tab/>
      </w:r>
      <w:r w:rsidR="00F94A9C">
        <w:t xml:space="preserve">Maternal </w:t>
      </w:r>
      <w:r w:rsidR="00F94A9C" w:rsidRPr="006E27D3">
        <w:rPr>
          <w:lang w:val="en-US"/>
        </w:rPr>
        <w:t>mortality</w:t>
      </w:r>
    </w:p>
    <w:p w:rsidR="00F94A9C" w:rsidRDefault="00F94A9C" w:rsidP="00F94A9C">
      <w:pPr>
        <w:pStyle w:val="SingleTxtG"/>
        <w:numPr>
          <w:ilvl w:val="0"/>
          <w:numId w:val="17"/>
        </w:numPr>
        <w:tabs>
          <w:tab w:val="left" w:pos="1701"/>
        </w:tabs>
        <w:ind w:left="1134" w:firstLine="0"/>
        <w:rPr>
          <w:rFonts w:cs="Times New Roman"/>
        </w:rPr>
      </w:pPr>
      <w:r>
        <w:rPr>
          <w:rFonts w:cs="Times New Roman"/>
        </w:rPr>
        <w:t>The Committee expresses concern at the increase in the maternal mortality rate in the State party due, among others, to insufficient sexual and reproductive health services as well as legal and cultural barriers to their access</w:t>
      </w:r>
      <w:r w:rsidR="00111B70">
        <w:rPr>
          <w:rFonts w:cs="Times New Roman"/>
        </w:rPr>
        <w:t xml:space="preserve"> (art. </w:t>
      </w:r>
      <w:r>
        <w:rPr>
          <w:rFonts w:cs="Times New Roman"/>
        </w:rPr>
        <w:t>12)</w:t>
      </w:r>
      <w:r w:rsidR="004C47A8">
        <w:rPr>
          <w:rFonts w:cs="Times New Roman"/>
        </w:rPr>
        <w:t>.</w:t>
      </w:r>
    </w:p>
    <w:p w:rsidR="00F94A9C" w:rsidRDefault="00F94A9C" w:rsidP="00F94A9C">
      <w:pPr>
        <w:pStyle w:val="SingleTxtG"/>
        <w:tabs>
          <w:tab w:val="left" w:pos="1701"/>
        </w:tabs>
        <w:rPr>
          <w:rFonts w:cs="Times New Roman"/>
          <w:b/>
          <w:bCs/>
        </w:rPr>
      </w:pPr>
      <w:r>
        <w:rPr>
          <w:rFonts w:cs="Times New Roman"/>
          <w:b/>
          <w:bCs/>
        </w:rPr>
        <w:t xml:space="preserve">The Committee calls on the State party to address disparities in the availability and quality of maternal health care services, including by putting into place pre-service training, in-service training, supervision and accreditation of facilities. The Committee also calls on the State party to ensure access to sexual and reproductive health services to unmarried women and teenagers as well as to married women without the consent of spouses. </w:t>
      </w:r>
    </w:p>
    <w:p w:rsidR="007C51E7" w:rsidRDefault="004E1049" w:rsidP="000A5855">
      <w:pPr>
        <w:pStyle w:val="H1G"/>
      </w:pPr>
      <w:r>
        <w:tab/>
      </w:r>
      <w:r>
        <w:tab/>
      </w:r>
      <w:r w:rsidR="007C51E7">
        <w:t>Mental health</w:t>
      </w:r>
    </w:p>
    <w:p w:rsidR="00E36D56" w:rsidRDefault="00E06901" w:rsidP="00D177AB">
      <w:pPr>
        <w:pStyle w:val="SingleTxtG"/>
        <w:numPr>
          <w:ilvl w:val="0"/>
          <w:numId w:val="17"/>
        </w:numPr>
        <w:tabs>
          <w:tab w:val="left" w:pos="1701"/>
        </w:tabs>
        <w:ind w:left="1134" w:firstLine="0"/>
        <w:rPr>
          <w:rFonts w:cs="Times New Roman"/>
        </w:rPr>
      </w:pPr>
      <w:r>
        <w:rPr>
          <w:rFonts w:cs="Times New Roman"/>
        </w:rPr>
        <w:t xml:space="preserve">The Committee is concerned </w:t>
      </w:r>
      <w:r w:rsidR="00D177AB">
        <w:rPr>
          <w:rFonts w:cs="Times New Roman"/>
        </w:rPr>
        <w:t>that</w:t>
      </w:r>
      <w:r>
        <w:rPr>
          <w:rFonts w:cs="Times New Roman"/>
        </w:rPr>
        <w:t xml:space="preserve"> m</w:t>
      </w:r>
      <w:r w:rsidR="00E36D56">
        <w:rPr>
          <w:rFonts w:cs="Times New Roman"/>
        </w:rPr>
        <w:t>ental health</w:t>
      </w:r>
      <w:r>
        <w:rPr>
          <w:rFonts w:cs="Times New Roman"/>
        </w:rPr>
        <w:t xml:space="preserve"> services</w:t>
      </w:r>
      <w:r w:rsidR="00D177AB">
        <w:rPr>
          <w:rFonts w:cs="Times New Roman"/>
        </w:rPr>
        <w:t xml:space="preserve"> are available only in a few medical institutions in large cities</w:t>
      </w:r>
      <w:r w:rsidR="0039474F">
        <w:rPr>
          <w:rFonts w:cs="Times New Roman"/>
        </w:rPr>
        <w:t xml:space="preserve"> of</w:t>
      </w:r>
      <w:r>
        <w:rPr>
          <w:rFonts w:cs="Times New Roman"/>
        </w:rPr>
        <w:t xml:space="preserve"> the State party </w:t>
      </w:r>
      <w:r w:rsidR="00111B70">
        <w:rPr>
          <w:rFonts w:cs="Times New Roman"/>
        </w:rPr>
        <w:t>(art. </w:t>
      </w:r>
      <w:r w:rsidR="00D177AB">
        <w:rPr>
          <w:rFonts w:cs="Times New Roman"/>
        </w:rPr>
        <w:t>12)</w:t>
      </w:r>
      <w:r w:rsidR="004C47A8">
        <w:rPr>
          <w:rFonts w:cs="Times New Roman"/>
        </w:rPr>
        <w:t>.</w:t>
      </w:r>
    </w:p>
    <w:p w:rsidR="00E06901" w:rsidRPr="00E06901" w:rsidRDefault="00E06901" w:rsidP="00111B70">
      <w:pPr>
        <w:pStyle w:val="SingleTxtG"/>
        <w:tabs>
          <w:tab w:val="left" w:pos="1701"/>
        </w:tabs>
        <w:rPr>
          <w:rFonts w:cs="Times New Roman"/>
          <w:b/>
          <w:bCs/>
          <w:lang w:val="en-US"/>
        </w:rPr>
      </w:pPr>
      <w:r>
        <w:rPr>
          <w:rFonts w:cs="Times New Roman"/>
          <w:b/>
          <w:bCs/>
        </w:rPr>
        <w:t xml:space="preserve">The Committee calls on the State party </w:t>
      </w:r>
      <w:r>
        <w:rPr>
          <w:b/>
          <w:bCs/>
          <w:lang w:val="en-US"/>
        </w:rPr>
        <w:t xml:space="preserve">to adopt a national mental health policy aimed at making mental health services available and accessible including by </w:t>
      </w:r>
      <w:r w:rsidRPr="004552AF">
        <w:rPr>
          <w:b/>
          <w:bCs/>
          <w:lang w:val="en-US"/>
        </w:rPr>
        <w:t>(a)</w:t>
      </w:r>
      <w:r w:rsidR="00111B70">
        <w:rPr>
          <w:b/>
          <w:bCs/>
          <w:lang w:val="en-US"/>
        </w:rPr>
        <w:t> </w:t>
      </w:r>
      <w:r w:rsidR="0037157F">
        <w:rPr>
          <w:b/>
          <w:bCs/>
          <w:lang w:val="en-US"/>
        </w:rPr>
        <w:t>adopting</w:t>
      </w:r>
      <w:r>
        <w:rPr>
          <w:b/>
          <w:bCs/>
          <w:lang w:val="en-US"/>
        </w:rPr>
        <w:t xml:space="preserve"> legislation that is in line with international standards; (b)</w:t>
      </w:r>
      <w:r w:rsidRPr="004552AF">
        <w:rPr>
          <w:b/>
          <w:bCs/>
          <w:lang w:val="en-US"/>
        </w:rPr>
        <w:t xml:space="preserve"> train</w:t>
      </w:r>
      <w:r>
        <w:rPr>
          <w:b/>
          <w:bCs/>
          <w:lang w:val="en-US"/>
        </w:rPr>
        <w:t>ing</w:t>
      </w:r>
      <w:r w:rsidRPr="004552AF">
        <w:rPr>
          <w:b/>
          <w:bCs/>
          <w:lang w:val="en-US"/>
        </w:rPr>
        <w:t xml:space="preserve"> professionals</w:t>
      </w:r>
      <w:r>
        <w:rPr>
          <w:b/>
          <w:bCs/>
          <w:lang w:val="en-US"/>
        </w:rPr>
        <w:t>, including</w:t>
      </w:r>
      <w:r w:rsidRPr="004552AF">
        <w:rPr>
          <w:b/>
          <w:bCs/>
          <w:lang w:val="en-US"/>
        </w:rPr>
        <w:t xml:space="preserve"> in the application of international principles </w:t>
      </w:r>
      <w:r w:rsidR="00D177AB">
        <w:rPr>
          <w:b/>
          <w:bCs/>
          <w:lang w:val="en-US"/>
        </w:rPr>
        <w:t>of mental health assessments; (c</w:t>
      </w:r>
      <w:r w:rsidRPr="004552AF">
        <w:rPr>
          <w:b/>
          <w:bCs/>
          <w:lang w:val="en-US"/>
        </w:rPr>
        <w:t>)</w:t>
      </w:r>
      <w:r w:rsidR="00111B70">
        <w:rPr>
          <w:b/>
          <w:bCs/>
          <w:lang w:val="en-US"/>
        </w:rPr>
        <w:t> </w:t>
      </w:r>
      <w:r w:rsidR="00D177AB">
        <w:rPr>
          <w:b/>
          <w:bCs/>
          <w:lang w:val="en-US"/>
        </w:rPr>
        <w:t xml:space="preserve">prioritizing the </w:t>
      </w:r>
      <w:r w:rsidRPr="004552AF">
        <w:rPr>
          <w:b/>
          <w:bCs/>
          <w:lang w:val="en-US"/>
        </w:rPr>
        <w:t>develop</w:t>
      </w:r>
      <w:r w:rsidR="00D177AB">
        <w:rPr>
          <w:b/>
          <w:bCs/>
          <w:lang w:val="en-US"/>
        </w:rPr>
        <w:t>ment of</w:t>
      </w:r>
      <w:r w:rsidRPr="004552AF">
        <w:rPr>
          <w:b/>
          <w:bCs/>
          <w:lang w:val="en-US"/>
        </w:rPr>
        <w:t xml:space="preserve"> </w:t>
      </w:r>
      <w:r w:rsidR="0037157F">
        <w:rPr>
          <w:b/>
          <w:bCs/>
          <w:lang w:val="en-US"/>
        </w:rPr>
        <w:t xml:space="preserve">culturally appropriate </w:t>
      </w:r>
      <w:r w:rsidRPr="004552AF">
        <w:rPr>
          <w:b/>
          <w:bCs/>
          <w:lang w:val="en-US"/>
        </w:rPr>
        <w:t>communit</w:t>
      </w:r>
      <w:r w:rsidR="00D177AB">
        <w:rPr>
          <w:b/>
          <w:bCs/>
          <w:lang w:val="en-US"/>
        </w:rPr>
        <w:t xml:space="preserve">y-based </w:t>
      </w:r>
      <w:r w:rsidR="00F32E56">
        <w:rPr>
          <w:b/>
          <w:bCs/>
          <w:lang w:val="en-US"/>
        </w:rPr>
        <w:t>care of persons with psychosocial disabilities</w:t>
      </w:r>
      <w:r w:rsidR="00D177AB">
        <w:rPr>
          <w:b/>
          <w:bCs/>
          <w:lang w:val="en-US"/>
        </w:rPr>
        <w:t>; and (d</w:t>
      </w:r>
      <w:r>
        <w:rPr>
          <w:b/>
          <w:bCs/>
          <w:lang w:val="en-US"/>
        </w:rPr>
        <w:t>) ensuring</w:t>
      </w:r>
      <w:r w:rsidRPr="004552AF">
        <w:rPr>
          <w:b/>
          <w:bCs/>
          <w:lang w:val="en-US"/>
        </w:rPr>
        <w:t xml:space="preserve"> that mental health is included in the health insurance </w:t>
      </w:r>
      <w:proofErr w:type="spellStart"/>
      <w:r w:rsidRPr="004552AF">
        <w:rPr>
          <w:b/>
          <w:bCs/>
          <w:lang w:val="en-US"/>
        </w:rPr>
        <w:t>programme</w:t>
      </w:r>
      <w:proofErr w:type="spellEnd"/>
      <w:r w:rsidRPr="004552AF">
        <w:rPr>
          <w:b/>
          <w:bCs/>
          <w:lang w:val="en-US"/>
        </w:rPr>
        <w:t xml:space="preserve"> of the State party.</w:t>
      </w:r>
    </w:p>
    <w:p w:rsidR="00D177AB" w:rsidRDefault="00D177AB" w:rsidP="00D177AB">
      <w:pPr>
        <w:pStyle w:val="SingleTxtG"/>
        <w:numPr>
          <w:ilvl w:val="0"/>
          <w:numId w:val="17"/>
        </w:numPr>
        <w:tabs>
          <w:tab w:val="left" w:pos="1701"/>
        </w:tabs>
        <w:ind w:left="1134" w:firstLine="0"/>
        <w:rPr>
          <w:rFonts w:cs="Times New Roman"/>
        </w:rPr>
      </w:pPr>
      <w:r>
        <w:rPr>
          <w:rFonts w:cs="Times New Roman"/>
        </w:rPr>
        <w:t xml:space="preserve">The Committee is concerned at tobacco </w:t>
      </w:r>
      <w:r w:rsidRPr="000671D0">
        <w:rPr>
          <w:rFonts w:cs="Times New Roman"/>
        </w:rPr>
        <w:t>addiction</w:t>
      </w:r>
      <w:r w:rsidR="005932BC">
        <w:rPr>
          <w:rFonts w:cs="Times New Roman"/>
        </w:rPr>
        <w:t>,</w:t>
      </w:r>
      <w:r>
        <w:rPr>
          <w:rFonts w:cs="Times New Roman"/>
        </w:rPr>
        <w:t xml:space="preserve"> which affects almost one third of the State party’s population. The Committee also expresses concern at the provisions of Law 35/2009 on Narco</w:t>
      </w:r>
      <w:r w:rsidR="006F38A8">
        <w:rPr>
          <w:rFonts w:cs="Times New Roman"/>
        </w:rPr>
        <w:t>tics which among others provide</w:t>
      </w:r>
      <w:r>
        <w:rPr>
          <w:rFonts w:cs="Times New Roman"/>
        </w:rPr>
        <w:t xml:space="preserve"> for the compulsory treatment of drug users</w:t>
      </w:r>
      <w:r w:rsidR="00111B70">
        <w:rPr>
          <w:rFonts w:cs="Times New Roman"/>
        </w:rPr>
        <w:t xml:space="preserve"> (art. </w:t>
      </w:r>
      <w:r w:rsidR="00F97A23">
        <w:rPr>
          <w:rFonts w:cs="Times New Roman"/>
        </w:rPr>
        <w:t>12)</w:t>
      </w:r>
      <w:r w:rsidR="004C47A8">
        <w:rPr>
          <w:rFonts w:cs="Times New Roman"/>
        </w:rPr>
        <w:t>.</w:t>
      </w:r>
    </w:p>
    <w:p w:rsidR="00D177AB" w:rsidRDefault="00D177AB" w:rsidP="00D177AB">
      <w:pPr>
        <w:pStyle w:val="SingleTxtG"/>
        <w:tabs>
          <w:tab w:val="left" w:pos="1701"/>
        </w:tabs>
        <w:rPr>
          <w:rFonts w:cs="Times New Roman"/>
          <w:b/>
          <w:bCs/>
        </w:rPr>
      </w:pPr>
      <w:r>
        <w:rPr>
          <w:rFonts w:cs="Times New Roman"/>
          <w:b/>
          <w:bCs/>
        </w:rPr>
        <w:t>The Committee recommends that the State party:</w:t>
      </w:r>
    </w:p>
    <w:p w:rsidR="00D177AB" w:rsidRPr="00111B70" w:rsidRDefault="00111B70" w:rsidP="00111B70">
      <w:pPr>
        <w:pStyle w:val="SingleTxtG"/>
        <w:rPr>
          <w:b/>
          <w:bCs/>
        </w:rPr>
      </w:pPr>
      <w:r>
        <w:rPr>
          <w:b/>
          <w:bCs/>
        </w:rPr>
        <w:tab/>
        <w:t>(a)</w:t>
      </w:r>
      <w:r>
        <w:rPr>
          <w:b/>
          <w:bCs/>
        </w:rPr>
        <w:tab/>
        <w:t>C</w:t>
      </w:r>
      <w:r w:rsidR="00D177AB" w:rsidRPr="00111B70">
        <w:rPr>
          <w:b/>
          <w:bCs/>
        </w:rPr>
        <w:t xml:space="preserve">onduct preventive awareness-raising on the serious health risks associated with smoking and </w:t>
      </w:r>
      <w:r w:rsidR="00BB1851" w:rsidRPr="00111B70">
        <w:rPr>
          <w:b/>
          <w:bCs/>
        </w:rPr>
        <w:t>illicit substance ab</w:t>
      </w:r>
      <w:r w:rsidR="00D177AB" w:rsidRPr="00111B70">
        <w:rPr>
          <w:b/>
          <w:bCs/>
        </w:rPr>
        <w:t>use, targeting primarily youth and women, including in rural areas;</w:t>
      </w:r>
    </w:p>
    <w:p w:rsidR="00D177AB" w:rsidRPr="00111B70" w:rsidRDefault="00111B70" w:rsidP="00111B70">
      <w:pPr>
        <w:pStyle w:val="SingleTxtG"/>
        <w:rPr>
          <w:b/>
          <w:bCs/>
        </w:rPr>
      </w:pPr>
      <w:r>
        <w:rPr>
          <w:b/>
          <w:bCs/>
        </w:rPr>
        <w:tab/>
        <w:t>(b)</w:t>
      </w:r>
      <w:r>
        <w:rPr>
          <w:b/>
          <w:bCs/>
        </w:rPr>
        <w:tab/>
        <w:t>E</w:t>
      </w:r>
      <w:r w:rsidR="00F97A23" w:rsidRPr="00111B70">
        <w:rPr>
          <w:b/>
          <w:bCs/>
        </w:rPr>
        <w:t>nact anti-tobacco legislation which prohibits</w:t>
      </w:r>
      <w:r w:rsidR="00D177AB" w:rsidRPr="00111B70">
        <w:rPr>
          <w:b/>
          <w:bCs/>
        </w:rPr>
        <w:t xml:space="preserve"> indoor smoking in public </w:t>
      </w:r>
      <w:r w:rsidR="00F97A23" w:rsidRPr="00111B70">
        <w:rPr>
          <w:b/>
          <w:bCs/>
        </w:rPr>
        <w:t>buildings and in the workplace and enforces a comprehensive ban on tobacco advertising, promotion and sponsorship;</w:t>
      </w:r>
    </w:p>
    <w:p w:rsidR="00F97A23" w:rsidRPr="00111B70" w:rsidRDefault="00111B70" w:rsidP="00111B70">
      <w:pPr>
        <w:pStyle w:val="SingleTxtG"/>
        <w:rPr>
          <w:b/>
          <w:bCs/>
        </w:rPr>
      </w:pPr>
      <w:r>
        <w:rPr>
          <w:b/>
          <w:bCs/>
        </w:rPr>
        <w:tab/>
        <w:t>(c)</w:t>
      </w:r>
      <w:r>
        <w:rPr>
          <w:b/>
          <w:bCs/>
        </w:rPr>
        <w:tab/>
        <w:t>B</w:t>
      </w:r>
      <w:r w:rsidR="00F97A23" w:rsidRPr="00111B70">
        <w:rPr>
          <w:b/>
          <w:bCs/>
        </w:rPr>
        <w:t>ring Law 35/2009 on Narcotics into line with international human rights standards;</w:t>
      </w:r>
    </w:p>
    <w:p w:rsidR="00D177AB" w:rsidRDefault="00111B70" w:rsidP="00111B70">
      <w:pPr>
        <w:pStyle w:val="SingleTxtG"/>
        <w:rPr>
          <w:b/>
          <w:bCs/>
        </w:rPr>
      </w:pPr>
      <w:r>
        <w:rPr>
          <w:b/>
          <w:bCs/>
        </w:rPr>
        <w:tab/>
        <w:t>(d)</w:t>
      </w:r>
      <w:r>
        <w:rPr>
          <w:b/>
          <w:bCs/>
        </w:rPr>
        <w:tab/>
        <w:t>A</w:t>
      </w:r>
      <w:r w:rsidR="00D177AB" w:rsidRPr="00111B70">
        <w:rPr>
          <w:b/>
          <w:bCs/>
        </w:rPr>
        <w:t xml:space="preserve">pply a human rights-based approach to the treatment of </w:t>
      </w:r>
      <w:r w:rsidR="00F97A23" w:rsidRPr="00111B70">
        <w:rPr>
          <w:b/>
          <w:bCs/>
        </w:rPr>
        <w:t>tobacco and drug addiction</w:t>
      </w:r>
      <w:r w:rsidR="00D177AB" w:rsidRPr="00111B70">
        <w:rPr>
          <w:b/>
          <w:bCs/>
        </w:rPr>
        <w:t xml:space="preserve">, and provide appropriate health care, </w:t>
      </w:r>
      <w:r w:rsidR="002540DC" w:rsidRPr="00111B70">
        <w:rPr>
          <w:b/>
          <w:bCs/>
        </w:rPr>
        <w:t xml:space="preserve">culturally sensitive </w:t>
      </w:r>
      <w:r w:rsidR="00D177AB" w:rsidRPr="00111B70">
        <w:rPr>
          <w:b/>
          <w:bCs/>
        </w:rPr>
        <w:t xml:space="preserve">psychological support services and rehabilitation to such persons, including effective drug dependence treatment such as </w:t>
      </w:r>
      <w:proofErr w:type="spellStart"/>
      <w:r w:rsidR="00D177AB" w:rsidRPr="00111B70">
        <w:rPr>
          <w:b/>
          <w:bCs/>
        </w:rPr>
        <w:t>opioid</w:t>
      </w:r>
      <w:proofErr w:type="spellEnd"/>
      <w:r w:rsidR="00D177AB" w:rsidRPr="00111B70">
        <w:rPr>
          <w:b/>
          <w:bCs/>
        </w:rPr>
        <w:t xml:space="preserve"> substitution therapy</w:t>
      </w:r>
      <w:r w:rsidR="00F97A23" w:rsidRPr="00111B70">
        <w:rPr>
          <w:b/>
          <w:bCs/>
        </w:rPr>
        <w:t>.</w:t>
      </w:r>
    </w:p>
    <w:p w:rsidR="00D177AB" w:rsidRPr="00F97A23" w:rsidRDefault="00F97A23" w:rsidP="00F97A23">
      <w:pPr>
        <w:pStyle w:val="SingleTxtG"/>
        <w:tabs>
          <w:tab w:val="left" w:pos="1701"/>
        </w:tabs>
        <w:rPr>
          <w:rFonts w:cs="Times New Roman"/>
          <w:b/>
          <w:bCs/>
          <w:lang w:val="en-US"/>
        </w:rPr>
      </w:pPr>
      <w:r>
        <w:rPr>
          <w:rFonts w:cs="Times New Roman"/>
          <w:b/>
          <w:bCs/>
        </w:rPr>
        <w:t>The Committee also encourages the State party to r</w:t>
      </w:r>
      <w:r w:rsidR="00D177AB" w:rsidRPr="00D177AB">
        <w:rPr>
          <w:rFonts w:cs="Times New Roman"/>
          <w:b/>
          <w:bCs/>
        </w:rPr>
        <w:t xml:space="preserve">atify the </w:t>
      </w:r>
      <w:r w:rsidR="005932BC">
        <w:rPr>
          <w:rFonts w:cs="Times New Roman"/>
          <w:b/>
          <w:bCs/>
        </w:rPr>
        <w:t xml:space="preserve">World </w:t>
      </w:r>
      <w:r w:rsidR="002B0354">
        <w:rPr>
          <w:rFonts w:cs="Times New Roman"/>
          <w:b/>
          <w:bCs/>
        </w:rPr>
        <w:t>H</w:t>
      </w:r>
      <w:r w:rsidR="005932BC">
        <w:rPr>
          <w:rFonts w:cs="Times New Roman"/>
          <w:b/>
          <w:bCs/>
        </w:rPr>
        <w:t>ealt</w:t>
      </w:r>
      <w:r w:rsidR="002B0354">
        <w:rPr>
          <w:rFonts w:cs="Times New Roman"/>
          <w:b/>
          <w:bCs/>
        </w:rPr>
        <w:t>h O</w:t>
      </w:r>
      <w:r w:rsidR="00BA5630">
        <w:rPr>
          <w:rFonts w:cs="Times New Roman"/>
          <w:b/>
          <w:bCs/>
        </w:rPr>
        <w:t>r</w:t>
      </w:r>
      <w:r w:rsidR="002B0354">
        <w:rPr>
          <w:rFonts w:cs="Times New Roman"/>
          <w:b/>
          <w:bCs/>
        </w:rPr>
        <w:t xml:space="preserve">ganization </w:t>
      </w:r>
      <w:r w:rsidR="00D177AB" w:rsidRPr="00D177AB">
        <w:rPr>
          <w:rFonts w:cs="Times New Roman"/>
          <w:b/>
          <w:bCs/>
        </w:rPr>
        <w:t>Framework Convention on Tobac</w:t>
      </w:r>
      <w:r>
        <w:rPr>
          <w:rFonts w:cs="Times New Roman"/>
          <w:b/>
          <w:bCs/>
        </w:rPr>
        <w:t>co Control.</w:t>
      </w:r>
    </w:p>
    <w:p w:rsidR="00FF74F7" w:rsidRDefault="004E1049" w:rsidP="000A5855">
      <w:pPr>
        <w:pStyle w:val="H1G"/>
      </w:pPr>
      <w:r>
        <w:tab/>
      </w:r>
      <w:r>
        <w:tab/>
      </w:r>
      <w:r w:rsidR="00FF74F7">
        <w:t>Primary education, literacy rate and dropout rates among girls</w:t>
      </w:r>
    </w:p>
    <w:p w:rsidR="00965F52" w:rsidRPr="00436A52" w:rsidRDefault="00436A52" w:rsidP="00D90FE1">
      <w:pPr>
        <w:pStyle w:val="SingleTxtG"/>
        <w:numPr>
          <w:ilvl w:val="0"/>
          <w:numId w:val="17"/>
        </w:numPr>
        <w:tabs>
          <w:tab w:val="left" w:pos="1701"/>
        </w:tabs>
        <w:ind w:left="1134" w:firstLine="0"/>
        <w:rPr>
          <w:rFonts w:cs="Times New Roman"/>
          <w:lang w:val="en-US"/>
        </w:rPr>
      </w:pPr>
      <w:r w:rsidRPr="00436A52">
        <w:rPr>
          <w:rFonts w:cs="Times New Roman"/>
          <w:lang w:val="en-US"/>
        </w:rPr>
        <w:t xml:space="preserve">The </w:t>
      </w:r>
      <w:r w:rsidRPr="00D90FE1">
        <w:rPr>
          <w:rFonts w:cs="Times New Roman"/>
        </w:rPr>
        <w:t>Committee</w:t>
      </w:r>
      <w:r w:rsidRPr="00436A52">
        <w:rPr>
          <w:rFonts w:cs="Times New Roman"/>
          <w:lang w:val="en-US"/>
        </w:rPr>
        <w:t xml:space="preserve"> is concerned that the lack of education services or their poor quality in </w:t>
      </w:r>
      <w:r>
        <w:rPr>
          <w:rFonts w:cs="Times New Roman"/>
          <w:lang w:val="en-US"/>
        </w:rPr>
        <w:t>some</w:t>
      </w:r>
      <w:r w:rsidRPr="00436A52">
        <w:rPr>
          <w:rFonts w:cs="Times New Roman"/>
          <w:lang w:val="en-US"/>
        </w:rPr>
        <w:t xml:space="preserve"> areas, including cases where teachers do not report to duty, leave the State party with a large number of illiterate persons. It</w:t>
      </w:r>
      <w:r w:rsidR="00965F52" w:rsidRPr="00436A52">
        <w:rPr>
          <w:rFonts w:cs="Times New Roman"/>
          <w:lang w:val="en-US"/>
        </w:rPr>
        <w:t xml:space="preserve"> is</w:t>
      </w:r>
      <w:r w:rsidRPr="00436A52">
        <w:rPr>
          <w:rFonts w:cs="Times New Roman"/>
          <w:lang w:val="en-US"/>
        </w:rPr>
        <w:t xml:space="preserve"> also</w:t>
      </w:r>
      <w:r w:rsidR="00965F52" w:rsidRPr="00436A52">
        <w:rPr>
          <w:rFonts w:cs="Times New Roman"/>
          <w:lang w:val="en-US"/>
        </w:rPr>
        <w:t xml:space="preserve"> concerned that measures taken by the State party</w:t>
      </w:r>
      <w:r w:rsidRPr="00436A52">
        <w:rPr>
          <w:rFonts w:cs="Times New Roman"/>
          <w:lang w:val="en-US"/>
        </w:rPr>
        <w:t xml:space="preserve">, such as the deployment of </w:t>
      </w:r>
      <w:r w:rsidRPr="004A3051">
        <w:rPr>
          <w:rFonts w:cs="Times New Roman"/>
        </w:rPr>
        <w:t>less</w:t>
      </w:r>
      <w:r w:rsidRPr="00436A52">
        <w:rPr>
          <w:rFonts w:cs="Times New Roman"/>
          <w:lang w:val="en-US"/>
        </w:rPr>
        <w:t xml:space="preserve"> qualified teachers in remote areas,</w:t>
      </w:r>
      <w:r w:rsidR="00965F52" w:rsidRPr="00436A52">
        <w:rPr>
          <w:rFonts w:cs="Times New Roman"/>
          <w:lang w:val="en-US"/>
        </w:rPr>
        <w:t xml:space="preserve"> </w:t>
      </w:r>
      <w:r w:rsidRPr="00436A52">
        <w:rPr>
          <w:rFonts w:cs="Times New Roman"/>
          <w:lang w:val="en-US"/>
        </w:rPr>
        <w:t>perpetuate</w:t>
      </w:r>
      <w:r w:rsidR="00965F52" w:rsidRPr="00436A52">
        <w:rPr>
          <w:rFonts w:cs="Times New Roman"/>
          <w:lang w:val="en-US"/>
        </w:rPr>
        <w:t xml:space="preserve"> the discriminatory situation.</w:t>
      </w:r>
      <w:r w:rsidRPr="00436A52">
        <w:rPr>
          <w:rFonts w:cs="Times New Roman"/>
          <w:lang w:val="en-US"/>
        </w:rPr>
        <w:t xml:space="preserve"> Moreover, the Committee is </w:t>
      </w:r>
      <w:r w:rsidR="005833D9">
        <w:rPr>
          <w:rFonts w:cs="Times New Roman"/>
          <w:lang w:val="en-US"/>
        </w:rPr>
        <w:t>concerned at indirect costs borne by parents and at</w:t>
      </w:r>
      <w:r w:rsidRPr="00436A52">
        <w:rPr>
          <w:rFonts w:cs="Times New Roman"/>
          <w:lang w:val="en-US"/>
        </w:rPr>
        <w:t xml:space="preserve"> </w:t>
      </w:r>
      <w:r w:rsidR="005833D9">
        <w:rPr>
          <w:rFonts w:cs="Times New Roman"/>
          <w:lang w:val="en-US"/>
        </w:rPr>
        <w:t>higher</w:t>
      </w:r>
      <w:r w:rsidRPr="00436A52">
        <w:rPr>
          <w:rFonts w:cs="Times New Roman"/>
          <w:lang w:val="en-US"/>
        </w:rPr>
        <w:t xml:space="preserve"> drop-out rates among girls</w:t>
      </w:r>
      <w:r w:rsidR="00965F52" w:rsidRPr="00436A52">
        <w:rPr>
          <w:rFonts w:cs="Times New Roman"/>
          <w:lang w:val="en-US"/>
        </w:rPr>
        <w:t xml:space="preserve"> </w:t>
      </w:r>
      <w:r w:rsidRPr="00436A52">
        <w:rPr>
          <w:rFonts w:cs="Times New Roman"/>
          <w:lang w:val="en-US"/>
        </w:rPr>
        <w:t>(art. 13)</w:t>
      </w:r>
      <w:r w:rsidR="004C47A8">
        <w:rPr>
          <w:rFonts w:cs="Times New Roman"/>
          <w:lang w:val="en-US"/>
        </w:rPr>
        <w:t>.</w:t>
      </w:r>
    </w:p>
    <w:p w:rsidR="00436A52" w:rsidRPr="005833D9" w:rsidRDefault="00436A52" w:rsidP="00965F52">
      <w:pPr>
        <w:pStyle w:val="SingleTxtG"/>
        <w:tabs>
          <w:tab w:val="left" w:pos="1701"/>
        </w:tabs>
        <w:rPr>
          <w:rFonts w:cs="Times New Roman"/>
          <w:b/>
          <w:lang w:val="en-US"/>
        </w:rPr>
      </w:pPr>
      <w:r w:rsidRPr="005833D9">
        <w:rPr>
          <w:rFonts w:cs="Times New Roman"/>
          <w:b/>
          <w:lang w:val="en-US"/>
        </w:rPr>
        <w:t xml:space="preserve">The Committee urges the State party to ensure quality and culturally adequate education, </w:t>
      </w:r>
      <w:r w:rsidR="00891F3F">
        <w:rPr>
          <w:rFonts w:cs="Times New Roman"/>
          <w:b/>
          <w:lang w:val="en-US"/>
        </w:rPr>
        <w:t>especially</w:t>
      </w:r>
      <w:r w:rsidR="00891F3F" w:rsidRPr="005833D9">
        <w:rPr>
          <w:rFonts w:cs="Times New Roman"/>
          <w:b/>
          <w:lang w:val="en-US"/>
        </w:rPr>
        <w:t xml:space="preserve"> </w:t>
      </w:r>
      <w:r w:rsidRPr="005833D9">
        <w:rPr>
          <w:rFonts w:cs="Times New Roman"/>
          <w:b/>
          <w:lang w:val="en-US"/>
        </w:rPr>
        <w:t>in remote areas</w:t>
      </w:r>
      <w:r w:rsidR="00891F3F">
        <w:rPr>
          <w:rFonts w:cs="Times New Roman"/>
          <w:b/>
          <w:lang w:val="en-US"/>
        </w:rPr>
        <w:t>, including by ensuring that resources invested and programmes such as the operational assistance for schools lead to effective enjoyment of the right to education</w:t>
      </w:r>
      <w:r w:rsidRPr="005833D9">
        <w:rPr>
          <w:rFonts w:cs="Times New Roman"/>
          <w:b/>
          <w:lang w:val="en-US"/>
        </w:rPr>
        <w:t xml:space="preserve">. </w:t>
      </w:r>
      <w:r w:rsidR="00891F3F">
        <w:rPr>
          <w:rFonts w:cs="Times New Roman"/>
          <w:b/>
          <w:lang w:val="en-US"/>
        </w:rPr>
        <w:t>T</w:t>
      </w:r>
      <w:r w:rsidRPr="005833D9">
        <w:rPr>
          <w:rFonts w:cs="Times New Roman"/>
          <w:b/>
          <w:lang w:val="en-US"/>
        </w:rPr>
        <w:t xml:space="preserve">he Committee also recommends that the State party </w:t>
      </w:r>
      <w:r w:rsidR="005833D9" w:rsidRPr="005833D9">
        <w:rPr>
          <w:rFonts w:cs="Times New Roman"/>
          <w:b/>
          <w:lang w:val="en-US"/>
        </w:rPr>
        <w:t xml:space="preserve">ensure that primary education is free of charge and that it </w:t>
      </w:r>
      <w:r w:rsidRPr="005833D9">
        <w:rPr>
          <w:rFonts w:cs="Times New Roman"/>
          <w:b/>
          <w:lang w:val="en-US"/>
        </w:rPr>
        <w:t xml:space="preserve">take measures, including awareness-raising, to address school dropout among girls. </w:t>
      </w:r>
      <w:r w:rsidR="00891F3F">
        <w:rPr>
          <w:rFonts w:cs="Times New Roman"/>
          <w:b/>
          <w:lang w:val="en-US"/>
        </w:rPr>
        <w:t xml:space="preserve">Moreover, the Committee recommends that the State party introduce, in consultation with local communities, education in local languages where appropriate. </w:t>
      </w:r>
      <w:r w:rsidRPr="005833D9">
        <w:rPr>
          <w:rFonts w:cs="Times New Roman"/>
          <w:b/>
          <w:lang w:val="en-US"/>
        </w:rPr>
        <w:t>The Committee refers the State p</w:t>
      </w:r>
      <w:r w:rsidR="00111B70">
        <w:rPr>
          <w:rFonts w:cs="Times New Roman"/>
          <w:b/>
          <w:lang w:val="en-US"/>
        </w:rPr>
        <w:t>arty to its general comment No. </w:t>
      </w:r>
      <w:r w:rsidR="005833D9" w:rsidRPr="005833D9">
        <w:rPr>
          <w:rFonts w:cs="Times New Roman"/>
          <w:b/>
          <w:lang w:val="en-US"/>
        </w:rPr>
        <w:t>11 (1999) on plans of action for primary education.</w:t>
      </w:r>
    </w:p>
    <w:p w:rsidR="007C51E7" w:rsidRDefault="004E1049" w:rsidP="000A5855">
      <w:pPr>
        <w:pStyle w:val="H1G"/>
      </w:pPr>
      <w:r>
        <w:tab/>
      </w:r>
      <w:r>
        <w:tab/>
      </w:r>
      <w:r w:rsidR="005833D9">
        <w:t>Higher</w:t>
      </w:r>
      <w:r w:rsidR="007C51E7">
        <w:t xml:space="preserve"> </w:t>
      </w:r>
      <w:r w:rsidR="007C51E7" w:rsidRPr="006E27D3">
        <w:rPr>
          <w:lang w:val="en-US"/>
        </w:rPr>
        <w:t>education</w:t>
      </w:r>
    </w:p>
    <w:p w:rsidR="00E36D56" w:rsidRDefault="003E52F9" w:rsidP="006F38A8">
      <w:pPr>
        <w:pStyle w:val="SingleTxtG"/>
        <w:numPr>
          <w:ilvl w:val="0"/>
          <w:numId w:val="17"/>
        </w:numPr>
        <w:tabs>
          <w:tab w:val="left" w:pos="1701"/>
        </w:tabs>
        <w:ind w:left="1134" w:firstLine="0"/>
        <w:rPr>
          <w:rFonts w:cs="Times New Roman"/>
        </w:rPr>
      </w:pPr>
      <w:r>
        <w:rPr>
          <w:rFonts w:cs="Times New Roman"/>
        </w:rPr>
        <w:t xml:space="preserve">While noting the process of privatization of higher education, the Committee regrets the lack of information on measures taken to ensure that </w:t>
      </w:r>
      <w:r w:rsidR="006F38A8">
        <w:rPr>
          <w:rFonts w:cs="Times New Roman"/>
        </w:rPr>
        <w:t>higher</w:t>
      </w:r>
      <w:r>
        <w:rPr>
          <w:rFonts w:cs="Times New Roman"/>
        </w:rPr>
        <w:t xml:space="preserve"> education remain</w:t>
      </w:r>
      <w:r w:rsidR="006F38A8">
        <w:rPr>
          <w:rFonts w:cs="Times New Roman"/>
        </w:rPr>
        <w:t>s</w:t>
      </w:r>
      <w:r>
        <w:rPr>
          <w:rFonts w:cs="Times New Roman"/>
        </w:rPr>
        <w:t xml:space="preserve"> accessible to all (art. 13)</w:t>
      </w:r>
      <w:r w:rsidR="004C47A8">
        <w:rPr>
          <w:rFonts w:cs="Times New Roman"/>
        </w:rPr>
        <w:t>.</w:t>
      </w:r>
    </w:p>
    <w:p w:rsidR="003E52F9" w:rsidRPr="003E52F9" w:rsidRDefault="003E52F9" w:rsidP="003E52F9">
      <w:pPr>
        <w:pStyle w:val="SingleTxtG"/>
        <w:tabs>
          <w:tab w:val="left" w:pos="1701"/>
        </w:tabs>
        <w:rPr>
          <w:rFonts w:cs="Times New Roman"/>
          <w:b/>
          <w:bCs/>
        </w:rPr>
      </w:pPr>
      <w:r>
        <w:rPr>
          <w:rFonts w:cs="Times New Roman"/>
          <w:b/>
          <w:bCs/>
        </w:rPr>
        <w:t>The Committee recommends that the process of privatization of higher education is accompanied by measures for ensuring that it remains equally accessible to all, on the basis of capacity.</w:t>
      </w:r>
      <w:r w:rsidR="00681F90">
        <w:rPr>
          <w:rFonts w:cs="Times New Roman"/>
          <w:b/>
          <w:bCs/>
        </w:rPr>
        <w:t xml:space="preserve"> The Committee refers the State p</w:t>
      </w:r>
      <w:r w:rsidR="00111B70">
        <w:rPr>
          <w:rFonts w:cs="Times New Roman"/>
          <w:b/>
          <w:bCs/>
        </w:rPr>
        <w:t>arty to its general comment No. </w:t>
      </w:r>
      <w:r w:rsidR="00681F90">
        <w:rPr>
          <w:rFonts w:cs="Times New Roman"/>
          <w:b/>
          <w:bCs/>
        </w:rPr>
        <w:t>13 (1999) on the right to education.</w:t>
      </w:r>
    </w:p>
    <w:p w:rsidR="007236FE" w:rsidRPr="00BA5630" w:rsidRDefault="004E1049" w:rsidP="000A5855">
      <w:pPr>
        <w:pStyle w:val="H1G"/>
        <w:rPr>
          <w:i/>
        </w:rPr>
      </w:pPr>
      <w:r w:rsidRPr="00BA5630">
        <w:rPr>
          <w:i/>
          <w:lang w:val="en-US"/>
        </w:rPr>
        <w:tab/>
      </w:r>
      <w:r w:rsidRPr="00BA5630">
        <w:rPr>
          <w:i/>
          <w:lang w:val="en-US"/>
        </w:rPr>
        <w:tab/>
      </w:r>
      <w:r w:rsidR="007236FE" w:rsidRPr="00BA5630">
        <w:rPr>
          <w:i/>
        </w:rPr>
        <w:t xml:space="preserve">Masyarakat </w:t>
      </w:r>
      <w:r w:rsidR="007236FE" w:rsidRPr="00BA5630">
        <w:rPr>
          <w:i/>
          <w:lang w:val="en-US"/>
        </w:rPr>
        <w:t>Hukum</w:t>
      </w:r>
      <w:r w:rsidR="007236FE" w:rsidRPr="00BA5630">
        <w:rPr>
          <w:i/>
        </w:rPr>
        <w:t xml:space="preserve"> Adat</w:t>
      </w:r>
    </w:p>
    <w:p w:rsidR="007236FE" w:rsidRDefault="007236FE" w:rsidP="00111B70">
      <w:pPr>
        <w:pStyle w:val="SingleTxtG"/>
        <w:numPr>
          <w:ilvl w:val="0"/>
          <w:numId w:val="17"/>
        </w:numPr>
        <w:tabs>
          <w:tab w:val="left" w:pos="1701"/>
        </w:tabs>
        <w:ind w:left="1134" w:firstLine="0"/>
        <w:rPr>
          <w:rFonts w:cs="Times New Roman"/>
        </w:rPr>
      </w:pPr>
      <w:r>
        <w:rPr>
          <w:rFonts w:cs="Times New Roman"/>
        </w:rPr>
        <w:t xml:space="preserve">The Committee is concerned at the absence of an effective legal protection framework of the rights of </w:t>
      </w:r>
      <w:r>
        <w:rPr>
          <w:rFonts w:cs="Times New Roman"/>
          <w:i/>
          <w:iCs/>
        </w:rPr>
        <w:t xml:space="preserve">Masyarakat Hukum </w:t>
      </w:r>
      <w:r w:rsidRPr="00B81337">
        <w:rPr>
          <w:rFonts w:cs="Times New Roman"/>
          <w:i/>
          <w:iCs/>
        </w:rPr>
        <w:t>Adat</w:t>
      </w:r>
      <w:r>
        <w:rPr>
          <w:rFonts w:cs="Times New Roman"/>
          <w:i/>
          <w:iCs/>
        </w:rPr>
        <w:t xml:space="preserve"> </w:t>
      </w:r>
      <w:r>
        <w:rPr>
          <w:rFonts w:cs="Times New Roman"/>
        </w:rPr>
        <w:t xml:space="preserve">due to inconsistencies in relevant legislative provisions </w:t>
      </w:r>
      <w:r w:rsidR="00D51678">
        <w:rPr>
          <w:rFonts w:cs="Times New Roman"/>
        </w:rPr>
        <w:t>(arts.</w:t>
      </w:r>
      <w:r w:rsidR="00111B70">
        <w:rPr>
          <w:rFonts w:cs="Times New Roman"/>
        </w:rPr>
        <w:t> </w:t>
      </w:r>
      <w:r w:rsidR="00D51678">
        <w:rPr>
          <w:rFonts w:cs="Times New Roman"/>
        </w:rPr>
        <w:t>15</w:t>
      </w:r>
      <w:r w:rsidR="00BA5630">
        <w:rPr>
          <w:rFonts w:cs="Times New Roman"/>
        </w:rPr>
        <w:t xml:space="preserve"> and</w:t>
      </w:r>
      <w:r w:rsidR="00111B70">
        <w:rPr>
          <w:rFonts w:cs="Times New Roman"/>
        </w:rPr>
        <w:t> </w:t>
      </w:r>
      <w:r w:rsidR="00D51678">
        <w:rPr>
          <w:rFonts w:cs="Times New Roman"/>
        </w:rPr>
        <w:t>2.1)</w:t>
      </w:r>
      <w:r w:rsidR="004C47A8">
        <w:rPr>
          <w:rFonts w:cs="Times New Roman"/>
        </w:rPr>
        <w:t>.</w:t>
      </w:r>
    </w:p>
    <w:p w:rsidR="007236FE" w:rsidRDefault="007236FE" w:rsidP="007236FE">
      <w:pPr>
        <w:pStyle w:val="SingleTxtG"/>
        <w:tabs>
          <w:tab w:val="left" w:pos="1701"/>
        </w:tabs>
        <w:rPr>
          <w:rFonts w:cs="Times New Roman"/>
          <w:b/>
          <w:bCs/>
        </w:rPr>
      </w:pPr>
      <w:r>
        <w:rPr>
          <w:rFonts w:cs="Times New Roman"/>
          <w:b/>
          <w:bCs/>
        </w:rPr>
        <w:t>Referring to the State party’s statement that it would make use of relevant principles contained in the United Nations Declaration on the Rights of Indigenous Peoples, the Committee urges the State party to</w:t>
      </w:r>
      <w:r w:rsidRPr="00D60651">
        <w:rPr>
          <w:rFonts w:cs="Times New Roman"/>
          <w:b/>
          <w:bCs/>
          <w:lang w:val="en-US"/>
        </w:rPr>
        <w:t xml:space="preserve"> </w:t>
      </w:r>
      <w:r>
        <w:rPr>
          <w:rFonts w:cs="Times New Roman"/>
          <w:b/>
          <w:bCs/>
          <w:lang w:val="en-US"/>
        </w:rPr>
        <w:t>expedite the adoption of the</w:t>
      </w:r>
      <w:r>
        <w:rPr>
          <w:rFonts w:cs="Times New Roman"/>
          <w:b/>
          <w:bCs/>
        </w:rPr>
        <w:t xml:space="preserve"> draft law on the rights of </w:t>
      </w:r>
      <w:r w:rsidRPr="00D60651">
        <w:rPr>
          <w:rFonts w:cs="Times New Roman"/>
          <w:b/>
          <w:bCs/>
          <w:i/>
          <w:iCs/>
        </w:rPr>
        <w:t>Masyarakat Hukum Adat</w:t>
      </w:r>
      <w:r>
        <w:rPr>
          <w:rFonts w:cs="Times New Roman"/>
          <w:b/>
          <w:bCs/>
        </w:rPr>
        <w:t xml:space="preserve"> and ensure that it:</w:t>
      </w:r>
    </w:p>
    <w:p w:rsidR="007236FE" w:rsidRPr="00111B70" w:rsidRDefault="00111B70" w:rsidP="00111B70">
      <w:pPr>
        <w:pStyle w:val="SingleTxtG"/>
        <w:rPr>
          <w:b/>
          <w:bCs/>
        </w:rPr>
      </w:pPr>
      <w:r>
        <w:rPr>
          <w:b/>
          <w:bCs/>
        </w:rPr>
        <w:tab/>
        <w:t>(a)</w:t>
      </w:r>
      <w:r>
        <w:rPr>
          <w:b/>
          <w:bCs/>
        </w:rPr>
        <w:tab/>
      </w:r>
      <w:r w:rsidR="007236FE" w:rsidRPr="00111B70">
        <w:rPr>
          <w:b/>
          <w:bCs/>
        </w:rPr>
        <w:t xml:space="preserve">Defines </w:t>
      </w:r>
      <w:r w:rsidR="007236FE" w:rsidRPr="00111B70">
        <w:rPr>
          <w:b/>
          <w:bCs/>
          <w:i/>
          <w:iCs/>
        </w:rPr>
        <w:t>Masyarakat Hukum Adat</w:t>
      </w:r>
      <w:r w:rsidR="007236FE" w:rsidRPr="00111B70">
        <w:rPr>
          <w:b/>
          <w:bCs/>
        </w:rPr>
        <w:t xml:space="preserve"> and provides for the principle of self-identification, including the possibility to self-identify as indigenous peoples;</w:t>
      </w:r>
    </w:p>
    <w:p w:rsidR="007236FE" w:rsidRPr="00111B70" w:rsidRDefault="00111B70" w:rsidP="00111B70">
      <w:pPr>
        <w:pStyle w:val="SingleTxtG"/>
        <w:rPr>
          <w:b/>
          <w:bCs/>
        </w:rPr>
      </w:pPr>
      <w:r>
        <w:rPr>
          <w:b/>
          <w:bCs/>
        </w:rPr>
        <w:tab/>
        <w:t>(b)</w:t>
      </w:r>
      <w:r>
        <w:rPr>
          <w:b/>
          <w:bCs/>
        </w:rPr>
        <w:tab/>
      </w:r>
      <w:r w:rsidR="007236FE" w:rsidRPr="00111B70">
        <w:rPr>
          <w:b/>
          <w:bCs/>
        </w:rPr>
        <w:t>Effectively guarantees their inalienable right to own, develop, control and use their customary lands and resources;</w:t>
      </w:r>
    </w:p>
    <w:p w:rsidR="007236FE" w:rsidRPr="00111B70" w:rsidRDefault="00111B70" w:rsidP="00111B70">
      <w:pPr>
        <w:pStyle w:val="SingleTxtG"/>
        <w:rPr>
          <w:b/>
          <w:bCs/>
        </w:rPr>
      </w:pPr>
      <w:r>
        <w:rPr>
          <w:b/>
          <w:bCs/>
        </w:rPr>
        <w:tab/>
        <w:t>(c)</w:t>
      </w:r>
      <w:r>
        <w:rPr>
          <w:b/>
          <w:bCs/>
        </w:rPr>
        <w:tab/>
      </w:r>
      <w:r w:rsidR="007236FE" w:rsidRPr="00111B70">
        <w:rPr>
          <w:b/>
          <w:bCs/>
        </w:rPr>
        <w:t>Define strong mechanisms for ensuring the respect of their free, prior and informed consent on decisions affecting them and their resources, as well as adequate compensation and effective remedies in case of violation.</w:t>
      </w:r>
    </w:p>
    <w:p w:rsidR="007236FE" w:rsidRPr="00B03080" w:rsidRDefault="007236FE" w:rsidP="007236FE">
      <w:pPr>
        <w:pStyle w:val="SingleTxtG"/>
        <w:tabs>
          <w:tab w:val="left" w:pos="1701"/>
        </w:tabs>
        <w:rPr>
          <w:rFonts w:cs="Times New Roman"/>
          <w:b/>
          <w:bCs/>
          <w:lang w:val="en-US"/>
        </w:rPr>
      </w:pPr>
      <w:r>
        <w:rPr>
          <w:rFonts w:cs="Times New Roman"/>
          <w:b/>
          <w:bCs/>
          <w:lang w:val="en-US"/>
        </w:rPr>
        <w:t xml:space="preserve">The Committee also recommends that the State party undertake to harmonize existing laws according to the new law on the rights of </w:t>
      </w:r>
      <w:r w:rsidRPr="00D60651">
        <w:rPr>
          <w:rFonts w:cs="Times New Roman"/>
          <w:b/>
          <w:bCs/>
          <w:i/>
          <w:iCs/>
        </w:rPr>
        <w:t>Masyarakat Hukum Adat</w:t>
      </w:r>
      <w:r>
        <w:rPr>
          <w:rFonts w:cs="Times New Roman"/>
          <w:b/>
          <w:bCs/>
        </w:rPr>
        <w:t xml:space="preserve"> </w:t>
      </w:r>
      <w:r>
        <w:rPr>
          <w:rFonts w:cs="Times New Roman"/>
          <w:b/>
          <w:bCs/>
          <w:lang w:val="en-US"/>
        </w:rPr>
        <w:t xml:space="preserve"> and ratify the ILO Convention on Indigenous and Tribal Populations, 1989</w:t>
      </w:r>
      <w:r w:rsidRPr="00F2557D">
        <w:rPr>
          <w:rFonts w:cs="Times New Roman"/>
          <w:b/>
          <w:bCs/>
          <w:lang w:val="en-US"/>
        </w:rPr>
        <w:t xml:space="preserve"> </w:t>
      </w:r>
      <w:r>
        <w:rPr>
          <w:rFonts w:cs="Times New Roman"/>
          <w:b/>
          <w:bCs/>
          <w:lang w:val="en-US"/>
        </w:rPr>
        <w:t>(No.</w:t>
      </w:r>
      <w:r w:rsidR="00111B70">
        <w:rPr>
          <w:rFonts w:cs="Times New Roman"/>
          <w:b/>
          <w:bCs/>
          <w:lang w:val="en-US"/>
        </w:rPr>
        <w:t> </w:t>
      </w:r>
      <w:r>
        <w:rPr>
          <w:rFonts w:cs="Times New Roman"/>
          <w:b/>
          <w:bCs/>
          <w:lang w:val="en-US"/>
        </w:rPr>
        <w:t>169).</w:t>
      </w:r>
    </w:p>
    <w:p w:rsidR="007236FE" w:rsidRDefault="007236FE" w:rsidP="00111B70">
      <w:pPr>
        <w:pStyle w:val="SingleTxtG"/>
        <w:numPr>
          <w:ilvl w:val="0"/>
          <w:numId w:val="17"/>
        </w:numPr>
        <w:tabs>
          <w:tab w:val="left" w:pos="1701"/>
        </w:tabs>
        <w:ind w:left="1134" w:firstLine="0"/>
        <w:rPr>
          <w:rFonts w:cs="Times New Roman"/>
          <w:b/>
          <w:bCs/>
          <w:lang w:val="en-US"/>
        </w:rPr>
      </w:pPr>
      <w:r>
        <w:rPr>
          <w:rFonts w:cs="Times New Roman"/>
        </w:rPr>
        <w:t>The Committee is concerned at provisions of recently adopted Law No.</w:t>
      </w:r>
      <w:r w:rsidR="00111B70">
        <w:rPr>
          <w:rFonts w:cs="Times New Roman"/>
        </w:rPr>
        <w:t> </w:t>
      </w:r>
      <w:r>
        <w:rPr>
          <w:rFonts w:cs="Times New Roman"/>
        </w:rPr>
        <w:t xml:space="preserve">18/2013 on Prevention and Eradication of Forest Destruction as well as other laws in force in the State party which contravene the Decision 35/PUU-X/2012 of the </w:t>
      </w:r>
      <w:smartTag w:uri="urn:schemas-microsoft-com:office:smarttags" w:element="Street">
        <w:smartTag w:uri="urn:schemas-microsoft-com:office:smarttags" w:element="address">
          <w:r>
            <w:rPr>
              <w:rFonts w:cs="Times New Roman"/>
            </w:rPr>
            <w:t>Constitutional Court</w:t>
          </w:r>
        </w:smartTag>
      </w:smartTag>
      <w:r>
        <w:rPr>
          <w:rFonts w:cs="Times New Roman"/>
        </w:rPr>
        <w:t xml:space="preserve"> on the right of ownership of customary forests by </w:t>
      </w:r>
      <w:r>
        <w:rPr>
          <w:rFonts w:cs="Times New Roman"/>
          <w:i/>
          <w:iCs/>
        </w:rPr>
        <w:t>Masyarakat Hukum Adat</w:t>
      </w:r>
      <w:r>
        <w:rPr>
          <w:rFonts w:cs="Times New Roman"/>
        </w:rPr>
        <w:t xml:space="preserve">. It is further concerned that, while the State party has granted concessions on forested land to develop palm oil plantations, members of </w:t>
      </w:r>
      <w:r>
        <w:rPr>
          <w:rFonts w:cs="Times New Roman"/>
          <w:i/>
          <w:iCs/>
        </w:rPr>
        <w:t>Masyarakat Hukum Adat</w:t>
      </w:r>
      <w:r>
        <w:rPr>
          <w:rFonts w:cs="Times New Roman"/>
        </w:rPr>
        <w:t xml:space="preserve"> have reportedly been arrested on the basis of the Law No.</w:t>
      </w:r>
      <w:r w:rsidR="00111B70">
        <w:rPr>
          <w:rFonts w:cs="Times New Roman"/>
        </w:rPr>
        <w:t> </w:t>
      </w:r>
      <w:r>
        <w:rPr>
          <w:rFonts w:cs="Times New Roman"/>
        </w:rPr>
        <w:t>18/2013 (arts.</w:t>
      </w:r>
      <w:r w:rsidR="00111B70">
        <w:rPr>
          <w:rFonts w:cs="Times New Roman"/>
        </w:rPr>
        <w:t> </w:t>
      </w:r>
      <w:r w:rsidR="00D51678">
        <w:rPr>
          <w:rFonts w:cs="Times New Roman"/>
        </w:rPr>
        <w:t>15</w:t>
      </w:r>
      <w:r w:rsidR="00BA5630">
        <w:rPr>
          <w:rFonts w:cs="Times New Roman"/>
        </w:rPr>
        <w:t xml:space="preserve"> and</w:t>
      </w:r>
      <w:r w:rsidR="00111B70">
        <w:rPr>
          <w:rFonts w:cs="Times New Roman"/>
        </w:rPr>
        <w:t> </w:t>
      </w:r>
      <w:r>
        <w:rPr>
          <w:rFonts w:cs="Times New Roman"/>
        </w:rPr>
        <w:t>1.2)</w:t>
      </w:r>
      <w:r w:rsidR="004C47A8">
        <w:rPr>
          <w:rFonts w:cs="Times New Roman"/>
        </w:rPr>
        <w:t>.</w:t>
      </w:r>
    </w:p>
    <w:p w:rsidR="007236FE" w:rsidRDefault="007236FE" w:rsidP="007236FE">
      <w:pPr>
        <w:pStyle w:val="SingleTxtG"/>
        <w:tabs>
          <w:tab w:val="left" w:pos="1701"/>
        </w:tabs>
        <w:rPr>
          <w:rFonts w:cs="Times New Roman"/>
          <w:b/>
          <w:bCs/>
          <w:lang w:val="en-US"/>
        </w:rPr>
      </w:pPr>
      <w:r>
        <w:rPr>
          <w:rFonts w:cs="Times New Roman"/>
          <w:b/>
          <w:bCs/>
          <w:lang w:val="en-US"/>
        </w:rPr>
        <w:t>The Committee recommends that, as</w:t>
      </w:r>
      <w:r w:rsidRPr="00B03080">
        <w:rPr>
          <w:rFonts w:cs="Times New Roman"/>
          <w:b/>
          <w:bCs/>
          <w:lang w:val="en-US"/>
        </w:rPr>
        <w:t xml:space="preserve"> </w:t>
      </w:r>
      <w:r>
        <w:rPr>
          <w:rFonts w:cs="Times New Roman"/>
          <w:b/>
          <w:bCs/>
          <w:lang w:val="en-US"/>
        </w:rPr>
        <w:t>a priority for the implementation of the Plan of Action of the Joint Agreement for the Acceleration in the Determination of Forest Regions, the State party:</w:t>
      </w:r>
    </w:p>
    <w:p w:rsidR="007236FE" w:rsidRPr="00111B70" w:rsidRDefault="00111B70" w:rsidP="00111B70">
      <w:pPr>
        <w:pStyle w:val="SingleTxtG"/>
        <w:rPr>
          <w:b/>
          <w:bCs/>
        </w:rPr>
      </w:pPr>
      <w:r>
        <w:rPr>
          <w:b/>
          <w:bCs/>
        </w:rPr>
        <w:tab/>
        <w:t>(a)</w:t>
      </w:r>
      <w:r>
        <w:rPr>
          <w:b/>
          <w:bCs/>
        </w:rPr>
        <w:tab/>
        <w:t>A</w:t>
      </w:r>
      <w:r w:rsidR="007236FE" w:rsidRPr="00111B70">
        <w:rPr>
          <w:b/>
          <w:bCs/>
        </w:rPr>
        <w:t xml:space="preserve">mend all legislative provisions which are incompatible with the Constitution Court Decision 35/PUU-X/2012, including those contained in the Law 18/2013 on Prevention and Eradication of Forest Destruction, and take steps for the review of decisions against members of </w:t>
      </w:r>
      <w:r w:rsidR="007236FE" w:rsidRPr="00BA5630">
        <w:rPr>
          <w:b/>
          <w:bCs/>
          <w:i/>
        </w:rPr>
        <w:t>Masyarakat Hukum Adat</w:t>
      </w:r>
      <w:r w:rsidR="007236FE" w:rsidRPr="00111B70">
        <w:rPr>
          <w:b/>
          <w:bCs/>
        </w:rPr>
        <w:t xml:space="preserve"> based thereon;</w:t>
      </w:r>
      <w:r w:rsidR="00BA5630">
        <w:rPr>
          <w:b/>
          <w:bCs/>
        </w:rPr>
        <w:t xml:space="preserve"> and</w:t>
      </w:r>
    </w:p>
    <w:p w:rsidR="007236FE" w:rsidRPr="00111B70" w:rsidRDefault="00111B70" w:rsidP="00111B70">
      <w:pPr>
        <w:pStyle w:val="SingleTxtG"/>
        <w:rPr>
          <w:b/>
          <w:bCs/>
        </w:rPr>
      </w:pPr>
      <w:r>
        <w:rPr>
          <w:b/>
          <w:bCs/>
        </w:rPr>
        <w:tab/>
        <w:t>(b)</w:t>
      </w:r>
      <w:r>
        <w:rPr>
          <w:b/>
          <w:bCs/>
        </w:rPr>
        <w:tab/>
        <w:t>I</w:t>
      </w:r>
      <w:r w:rsidR="007236FE" w:rsidRPr="00111B70">
        <w:rPr>
          <w:b/>
          <w:bCs/>
        </w:rPr>
        <w:t xml:space="preserve">dentify and demarcate customary lands and forests, resolve disputes thereon, in consultation with representatives of </w:t>
      </w:r>
      <w:r w:rsidR="007236FE" w:rsidRPr="00111B70">
        <w:rPr>
          <w:b/>
          <w:bCs/>
          <w:i/>
          <w:iCs/>
        </w:rPr>
        <w:t>Masyarakat Hukum Adat</w:t>
      </w:r>
      <w:r w:rsidR="007236FE" w:rsidRPr="00111B70">
        <w:rPr>
          <w:b/>
          <w:bCs/>
        </w:rPr>
        <w:t xml:space="preserve"> and </w:t>
      </w:r>
      <w:r w:rsidR="00975BD8" w:rsidRPr="00111B70">
        <w:rPr>
          <w:b/>
          <w:bCs/>
        </w:rPr>
        <w:t xml:space="preserve">the </w:t>
      </w:r>
      <w:r w:rsidR="007236FE" w:rsidRPr="00111B70">
        <w:rPr>
          <w:b/>
          <w:bCs/>
        </w:rPr>
        <w:t>national human rights institutions</w:t>
      </w:r>
      <w:r w:rsidR="00BA5630">
        <w:rPr>
          <w:b/>
          <w:bCs/>
        </w:rPr>
        <w:t>.</w:t>
      </w:r>
    </w:p>
    <w:p w:rsidR="007C51E7" w:rsidRDefault="007236FE" w:rsidP="000A5855">
      <w:pPr>
        <w:pStyle w:val="H1G"/>
      </w:pPr>
      <w:r>
        <w:rPr>
          <w:rFonts w:cs="Times New Roman"/>
          <w:bCs/>
          <w:iCs/>
        </w:rPr>
        <w:tab/>
      </w:r>
      <w:r>
        <w:rPr>
          <w:rFonts w:cs="Times New Roman"/>
          <w:bCs/>
          <w:iCs/>
        </w:rPr>
        <w:tab/>
      </w:r>
      <w:r w:rsidR="007C51E7" w:rsidRPr="006E27D3">
        <w:rPr>
          <w:lang w:val="en-US"/>
        </w:rPr>
        <w:t>Languages</w:t>
      </w:r>
    </w:p>
    <w:p w:rsidR="00DA24EB" w:rsidRDefault="00FD0549" w:rsidP="000F4847">
      <w:pPr>
        <w:pStyle w:val="SingleTxtG"/>
        <w:numPr>
          <w:ilvl w:val="0"/>
          <w:numId w:val="17"/>
        </w:numPr>
        <w:tabs>
          <w:tab w:val="left" w:pos="1701"/>
        </w:tabs>
        <w:ind w:left="1134" w:firstLine="0"/>
        <w:rPr>
          <w:rFonts w:cs="Times New Roman"/>
        </w:rPr>
      </w:pPr>
      <w:r>
        <w:rPr>
          <w:rFonts w:cs="Times New Roman"/>
        </w:rPr>
        <w:t>The Committee is concerned that a number of l</w:t>
      </w:r>
      <w:r w:rsidR="00E36D56">
        <w:rPr>
          <w:rFonts w:cs="Times New Roman"/>
        </w:rPr>
        <w:t>anguages</w:t>
      </w:r>
      <w:r>
        <w:rPr>
          <w:rFonts w:cs="Times New Roman"/>
        </w:rPr>
        <w:t xml:space="preserve"> in the State party are at risk of disappearance</w:t>
      </w:r>
      <w:r w:rsidR="00DA24EB">
        <w:rPr>
          <w:rFonts w:cs="Times New Roman"/>
        </w:rPr>
        <w:t>, in spite of the measures taken by the Language Development Agency</w:t>
      </w:r>
      <w:r w:rsidR="00111B70">
        <w:rPr>
          <w:rFonts w:cs="Times New Roman"/>
        </w:rPr>
        <w:t xml:space="preserve"> (art. </w:t>
      </w:r>
      <w:r w:rsidR="00DA24EB">
        <w:rPr>
          <w:rFonts w:cs="Times New Roman"/>
        </w:rPr>
        <w:t>15)</w:t>
      </w:r>
      <w:r w:rsidR="004C47A8">
        <w:rPr>
          <w:rFonts w:cs="Times New Roman"/>
        </w:rPr>
        <w:t>.</w:t>
      </w:r>
    </w:p>
    <w:p w:rsidR="00E36D56" w:rsidRDefault="00DA24EB" w:rsidP="00DA24EB">
      <w:pPr>
        <w:pStyle w:val="SingleTxtG"/>
        <w:tabs>
          <w:tab w:val="left" w:pos="1701"/>
        </w:tabs>
        <w:rPr>
          <w:rFonts w:cs="Times New Roman"/>
          <w:b/>
          <w:bCs/>
        </w:rPr>
      </w:pPr>
      <w:r>
        <w:rPr>
          <w:rFonts w:cs="Times New Roman"/>
          <w:b/>
          <w:bCs/>
        </w:rPr>
        <w:t xml:space="preserve">The Committee recommends that the State party pursue efforts aimed at </w:t>
      </w:r>
      <w:r>
        <w:rPr>
          <w:rFonts w:cs="Times New Roman"/>
          <w:b/>
          <w:bCs/>
          <w:lang w:val="en-US"/>
        </w:rPr>
        <w:t xml:space="preserve">the preservation of endangered </w:t>
      </w:r>
      <w:r w:rsidR="00D61251">
        <w:rPr>
          <w:rFonts w:cs="Times New Roman"/>
          <w:b/>
          <w:bCs/>
          <w:lang w:val="en-US"/>
        </w:rPr>
        <w:t>languages, including by promoti</w:t>
      </w:r>
      <w:r>
        <w:rPr>
          <w:rFonts w:cs="Times New Roman"/>
          <w:b/>
          <w:bCs/>
          <w:lang w:val="en-US"/>
        </w:rPr>
        <w:t>n</w:t>
      </w:r>
      <w:r w:rsidR="00D61251">
        <w:rPr>
          <w:rFonts w:cs="Times New Roman"/>
          <w:b/>
          <w:bCs/>
          <w:lang w:val="en-US"/>
        </w:rPr>
        <w:t>g</w:t>
      </w:r>
      <w:r>
        <w:rPr>
          <w:rFonts w:cs="Times New Roman"/>
          <w:b/>
          <w:bCs/>
          <w:lang w:val="en-US"/>
        </w:rPr>
        <w:t xml:space="preserve"> their use and by documenting them. </w:t>
      </w:r>
      <w:r w:rsidR="001F1DD0">
        <w:rPr>
          <w:rFonts w:cs="Times New Roman"/>
          <w:b/>
          <w:bCs/>
          <w:lang w:val="en-US"/>
        </w:rPr>
        <w:t>In this regard, th</w:t>
      </w:r>
      <w:r>
        <w:rPr>
          <w:rFonts w:cs="Times New Roman"/>
          <w:b/>
          <w:bCs/>
          <w:lang w:val="en-US"/>
        </w:rPr>
        <w:t xml:space="preserve">e Committee </w:t>
      </w:r>
      <w:r w:rsidR="001F1DD0">
        <w:rPr>
          <w:rFonts w:cs="Times New Roman"/>
          <w:b/>
          <w:bCs/>
          <w:lang w:val="en-US"/>
        </w:rPr>
        <w:t xml:space="preserve">recommends that the State party invest resources for the effective </w:t>
      </w:r>
      <w:r>
        <w:rPr>
          <w:rFonts w:cs="Times New Roman"/>
          <w:b/>
          <w:bCs/>
          <w:lang w:val="en-US"/>
        </w:rPr>
        <w:t>implementation of</w:t>
      </w:r>
      <w:r w:rsidR="00FD0549">
        <w:rPr>
          <w:rFonts w:cs="Times New Roman"/>
        </w:rPr>
        <w:t xml:space="preserve"> </w:t>
      </w:r>
      <w:r w:rsidRPr="00DA24EB">
        <w:rPr>
          <w:rFonts w:cs="Times New Roman"/>
          <w:b/>
          <w:bCs/>
        </w:rPr>
        <w:t>Ministry of Education and Culture Regulation 81</w:t>
      </w:r>
      <w:r w:rsidR="00111B70">
        <w:rPr>
          <w:rFonts w:cs="Times New Roman"/>
          <w:b/>
          <w:bCs/>
        </w:rPr>
        <w:t> </w:t>
      </w:r>
      <w:r w:rsidRPr="00DA24EB">
        <w:rPr>
          <w:rFonts w:cs="Times New Roman"/>
          <w:b/>
          <w:bCs/>
        </w:rPr>
        <w:t>A of 2013</w:t>
      </w:r>
      <w:r w:rsidR="005339E9">
        <w:rPr>
          <w:rFonts w:cs="Times New Roman"/>
          <w:b/>
          <w:bCs/>
        </w:rPr>
        <w:t xml:space="preserve"> on Implementation</w:t>
      </w:r>
      <w:r w:rsidRPr="00DA24EB">
        <w:rPr>
          <w:rFonts w:cs="Times New Roman"/>
          <w:b/>
          <w:bCs/>
        </w:rPr>
        <w:t xml:space="preserve"> </w:t>
      </w:r>
      <w:r w:rsidR="005339E9">
        <w:rPr>
          <w:rFonts w:cs="Times New Roman"/>
          <w:b/>
          <w:bCs/>
        </w:rPr>
        <w:t xml:space="preserve">of Curriculum </w:t>
      </w:r>
      <w:r w:rsidR="003B79CE">
        <w:rPr>
          <w:rFonts w:cs="Times New Roman"/>
          <w:b/>
          <w:bCs/>
        </w:rPr>
        <w:t>for</w:t>
      </w:r>
      <w:r w:rsidR="003B79CE" w:rsidRPr="00DA24EB">
        <w:rPr>
          <w:rFonts w:cs="Times New Roman"/>
          <w:b/>
          <w:bCs/>
        </w:rPr>
        <w:t xml:space="preserve"> </w:t>
      </w:r>
      <w:r w:rsidRPr="00DA24EB">
        <w:rPr>
          <w:rFonts w:cs="Times New Roman"/>
          <w:b/>
          <w:bCs/>
        </w:rPr>
        <w:t>the inclusion of</w:t>
      </w:r>
      <w:r w:rsidR="00DC2BE5">
        <w:rPr>
          <w:rFonts w:cs="Times New Roman"/>
          <w:b/>
          <w:bCs/>
        </w:rPr>
        <w:t xml:space="preserve"> the teaching of</w:t>
      </w:r>
      <w:r w:rsidRPr="00DA24EB">
        <w:rPr>
          <w:rFonts w:cs="Times New Roman"/>
          <w:b/>
          <w:bCs/>
        </w:rPr>
        <w:t xml:space="preserve"> local languages in the primary school curricula,</w:t>
      </w:r>
      <w:r w:rsidR="001F1DD0">
        <w:rPr>
          <w:rFonts w:cs="Times New Roman"/>
          <w:b/>
          <w:bCs/>
        </w:rPr>
        <w:t xml:space="preserve"> especially as it pertains</w:t>
      </w:r>
      <w:r w:rsidRPr="00DA24EB">
        <w:rPr>
          <w:rFonts w:cs="Times New Roman"/>
          <w:b/>
          <w:bCs/>
        </w:rPr>
        <w:t xml:space="preserve"> to endangered languages.</w:t>
      </w:r>
    </w:p>
    <w:p w:rsidR="009F0924" w:rsidRPr="009F0924" w:rsidRDefault="009F0924" w:rsidP="009F0924">
      <w:pPr>
        <w:pStyle w:val="HChG"/>
      </w:pPr>
      <w:r>
        <w:tab/>
        <w:t>D</w:t>
      </w:r>
      <w:r w:rsidRPr="005746C4">
        <w:t>.</w:t>
      </w:r>
      <w:r w:rsidRPr="005746C4">
        <w:tab/>
      </w:r>
      <w:r>
        <w:t>Other recommendations</w:t>
      </w:r>
    </w:p>
    <w:p w:rsidR="00080A3E" w:rsidRPr="00C77EB4" w:rsidRDefault="00080A3E" w:rsidP="00080A3E">
      <w:pPr>
        <w:pStyle w:val="SingleTxtG"/>
        <w:numPr>
          <w:ilvl w:val="0"/>
          <w:numId w:val="17"/>
        </w:numPr>
        <w:ind w:left="1134" w:firstLine="0"/>
        <w:rPr>
          <w:b/>
          <w:lang/>
        </w:rPr>
      </w:pPr>
      <w:r w:rsidRPr="00C77EB4">
        <w:rPr>
          <w:b/>
        </w:rPr>
        <w:t xml:space="preserve">The </w:t>
      </w:r>
      <w:r w:rsidRPr="00C77EB4">
        <w:rPr>
          <w:b/>
          <w:lang w:val="en-US"/>
        </w:rPr>
        <w:t>Committee</w:t>
      </w:r>
      <w:r w:rsidRPr="00C77EB4">
        <w:rPr>
          <w:b/>
        </w:rPr>
        <w:t xml:space="preserve"> encourages the State party to consider signing and ratifying the Optional Protocol to the International Covenant on Economic, Social and Cultural Rights. </w:t>
      </w:r>
    </w:p>
    <w:p w:rsidR="00080A3E" w:rsidRPr="00C77EB4" w:rsidRDefault="00080A3E" w:rsidP="00080A3E">
      <w:pPr>
        <w:pStyle w:val="SingleTxtG"/>
        <w:numPr>
          <w:ilvl w:val="0"/>
          <w:numId w:val="17"/>
        </w:numPr>
        <w:tabs>
          <w:tab w:val="num" w:pos="1637"/>
          <w:tab w:val="left" w:pos="1701"/>
        </w:tabs>
        <w:ind w:left="1134" w:firstLine="0"/>
        <w:rPr>
          <w:b/>
        </w:rPr>
      </w:pPr>
      <w:r w:rsidRPr="00C77EB4">
        <w:rPr>
          <w:b/>
        </w:rPr>
        <w:t>The Committee requests the State party to disseminate the</w:t>
      </w:r>
      <w:r>
        <w:rPr>
          <w:b/>
        </w:rPr>
        <w:t xml:space="preserve"> present</w:t>
      </w:r>
      <w:r w:rsidRPr="00C77EB4">
        <w:rPr>
          <w:b/>
        </w:rPr>
        <w:t xml:space="preserve"> concluding observations widely at all levels of society, particularly among</w:t>
      </w:r>
      <w:r w:rsidR="009F0924">
        <w:rPr>
          <w:b/>
        </w:rPr>
        <w:t xml:space="preserve"> parliamentarians,</w:t>
      </w:r>
      <w:r w:rsidRPr="00C77EB4">
        <w:rPr>
          <w:b/>
        </w:rPr>
        <w:t xml:space="preserve"> public officials, judicial authorities and civil society organizations, and to inform the Committee in its next periodic report on the steps taken to implement them. </w:t>
      </w:r>
    </w:p>
    <w:p w:rsidR="00080A3E" w:rsidRPr="00C77EB4" w:rsidRDefault="00080A3E" w:rsidP="00080A3E">
      <w:pPr>
        <w:pStyle w:val="SingleTxtG"/>
        <w:numPr>
          <w:ilvl w:val="0"/>
          <w:numId w:val="17"/>
        </w:numPr>
        <w:ind w:left="1134" w:firstLine="0"/>
        <w:rPr>
          <w:b/>
        </w:rPr>
      </w:pPr>
      <w:r w:rsidRPr="00C77EB4">
        <w:rPr>
          <w:b/>
        </w:rPr>
        <w:t xml:space="preserve">The Committee encourages the State party to engage civil society organizations in constructive cooperation </w:t>
      </w:r>
      <w:r w:rsidR="00DC2BE5">
        <w:rPr>
          <w:b/>
        </w:rPr>
        <w:t>in the process of</w:t>
      </w:r>
      <w:r w:rsidRPr="00C77EB4">
        <w:rPr>
          <w:b/>
        </w:rPr>
        <w:t xml:space="preserve"> preparation and submission of its next periodic report. </w:t>
      </w:r>
    </w:p>
    <w:p w:rsidR="00E04FFD" w:rsidRDefault="00080A3E" w:rsidP="00566DC2">
      <w:pPr>
        <w:pStyle w:val="SingleTxtG"/>
        <w:numPr>
          <w:ilvl w:val="0"/>
          <w:numId w:val="17"/>
        </w:numPr>
        <w:ind w:left="1134" w:firstLine="0"/>
        <w:rPr>
          <w:b/>
        </w:rPr>
      </w:pPr>
      <w:r w:rsidRPr="00C77EB4">
        <w:rPr>
          <w:b/>
        </w:rPr>
        <w:t xml:space="preserve">The Committee requests the State party to submit its </w:t>
      </w:r>
      <w:r w:rsidR="00566DC2">
        <w:rPr>
          <w:b/>
        </w:rPr>
        <w:t>second</w:t>
      </w:r>
      <w:r w:rsidRPr="00C77EB4">
        <w:rPr>
          <w:b/>
        </w:rPr>
        <w:t xml:space="preserve"> periodic report in accordance with the guidelines adopted by the Committee in 2008 (E/C.12/2008/2), by </w:t>
      </w:r>
      <w:r w:rsidR="006E27D3" w:rsidRPr="006E27D3">
        <w:rPr>
          <w:b/>
        </w:rPr>
        <w:t>30</w:t>
      </w:r>
      <w:r w:rsidR="00111B70">
        <w:rPr>
          <w:b/>
        </w:rPr>
        <w:t xml:space="preserve"> May </w:t>
      </w:r>
      <w:r w:rsidR="00DB0C7E" w:rsidRPr="006E27D3">
        <w:rPr>
          <w:b/>
        </w:rPr>
        <w:t>2019</w:t>
      </w:r>
      <w:r w:rsidRPr="00C77EB4">
        <w:rPr>
          <w:b/>
        </w:rPr>
        <w:t>.</w:t>
      </w:r>
    </w:p>
    <w:p w:rsidR="002D123D" w:rsidRPr="002D123D" w:rsidRDefault="008F7CD8" w:rsidP="008F7CD8">
      <w:pPr>
        <w:pStyle w:val="SingleTxtG"/>
        <w:spacing w:before="240" w:after="0"/>
        <w:jc w:val="center"/>
      </w:pPr>
      <w:r>
        <w:rPr>
          <w:u w:val="single"/>
        </w:rPr>
        <w:tab/>
      </w:r>
      <w:r>
        <w:rPr>
          <w:u w:val="single"/>
        </w:rPr>
        <w:tab/>
      </w:r>
      <w:r>
        <w:rPr>
          <w:u w:val="single"/>
        </w:rPr>
        <w:tab/>
      </w:r>
    </w:p>
    <w:sectPr w:rsidR="002D123D" w:rsidRPr="002D123D" w:rsidSect="002416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39" w:rsidRDefault="00606839"/>
  </w:endnote>
  <w:endnote w:type="continuationSeparator" w:id="0">
    <w:p w:rsidR="00606839" w:rsidRDefault="00606839"/>
  </w:endnote>
  <w:endnote w:type="continuationNotice" w:id="1">
    <w:p w:rsidR="00606839" w:rsidRDefault="0060683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39" w:rsidRPr="0024165B" w:rsidRDefault="00606839" w:rsidP="0024165B">
    <w:pPr>
      <w:pStyle w:val="Footer"/>
      <w:tabs>
        <w:tab w:val="right" w:pos="9598"/>
      </w:tabs>
    </w:pPr>
    <w:r w:rsidRPr="0024165B">
      <w:rPr>
        <w:b/>
        <w:sz w:val="18"/>
      </w:rPr>
      <w:fldChar w:fldCharType="begin"/>
    </w:r>
    <w:r w:rsidRPr="0024165B">
      <w:rPr>
        <w:b/>
        <w:sz w:val="18"/>
      </w:rPr>
      <w:instrText xml:space="preserve"> PAGE  \* MERGEFORMAT </w:instrText>
    </w:r>
    <w:r w:rsidRPr="0024165B">
      <w:rPr>
        <w:b/>
        <w:sz w:val="18"/>
      </w:rPr>
      <w:fldChar w:fldCharType="separate"/>
    </w:r>
    <w:r>
      <w:rPr>
        <w:b/>
        <w:noProof/>
        <w:sz w:val="18"/>
      </w:rPr>
      <w:t>2</w:t>
    </w:r>
    <w:r w:rsidRPr="0024165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39" w:rsidRPr="0024165B" w:rsidRDefault="00606839" w:rsidP="0024165B">
    <w:pPr>
      <w:pStyle w:val="Footer"/>
      <w:tabs>
        <w:tab w:val="right" w:pos="9598"/>
      </w:tabs>
      <w:rPr>
        <w:b/>
        <w:sz w:val="18"/>
      </w:rPr>
    </w:pPr>
    <w:r>
      <w:tab/>
    </w:r>
    <w:r w:rsidRPr="0024165B">
      <w:rPr>
        <w:b/>
        <w:sz w:val="18"/>
      </w:rPr>
      <w:fldChar w:fldCharType="begin"/>
    </w:r>
    <w:r w:rsidRPr="0024165B">
      <w:rPr>
        <w:b/>
        <w:sz w:val="18"/>
      </w:rPr>
      <w:instrText xml:space="preserve"> PAGE  \* MERGEFORMAT </w:instrText>
    </w:r>
    <w:r w:rsidRPr="0024165B">
      <w:rPr>
        <w:b/>
        <w:sz w:val="18"/>
      </w:rPr>
      <w:fldChar w:fldCharType="separate"/>
    </w:r>
    <w:r>
      <w:rPr>
        <w:b/>
        <w:noProof/>
        <w:sz w:val="18"/>
      </w:rPr>
      <w:t>13</w:t>
    </w:r>
    <w:r w:rsidRPr="002416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39" w:rsidRPr="006F5D56" w:rsidRDefault="00606839" w:rsidP="001D186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Pr="006F5D56">
      <w:t>GE.14</w:t>
    </w:r>
    <w:r>
      <w:t>-05691  (E)</w:t>
    </w:r>
    <w:r>
      <w:br/>
    </w:r>
    <w:r w:rsidRPr="009517F6">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9517F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39" w:rsidRPr="000B175B" w:rsidRDefault="00606839" w:rsidP="000B175B">
      <w:pPr>
        <w:tabs>
          <w:tab w:val="right" w:pos="2155"/>
        </w:tabs>
        <w:spacing w:after="80"/>
        <w:ind w:left="680"/>
        <w:rPr>
          <w:u w:val="single"/>
        </w:rPr>
      </w:pPr>
      <w:r>
        <w:rPr>
          <w:u w:val="single"/>
        </w:rPr>
        <w:tab/>
      </w:r>
    </w:p>
  </w:footnote>
  <w:footnote w:type="continuationSeparator" w:id="0">
    <w:p w:rsidR="00606839" w:rsidRPr="00FC68B7" w:rsidRDefault="00606839" w:rsidP="00FC68B7">
      <w:pPr>
        <w:tabs>
          <w:tab w:val="left" w:pos="2155"/>
        </w:tabs>
        <w:spacing w:after="80"/>
        <w:ind w:left="680"/>
        <w:rPr>
          <w:u w:val="single"/>
        </w:rPr>
      </w:pPr>
      <w:r>
        <w:rPr>
          <w:u w:val="single"/>
        </w:rPr>
        <w:tab/>
      </w:r>
    </w:p>
  </w:footnote>
  <w:footnote w:type="continuationNotice" w:id="1">
    <w:p w:rsidR="00606839" w:rsidRDefault="00606839"/>
  </w:footnote>
  <w:footnote w:id="2">
    <w:p w:rsidR="00606839" w:rsidRPr="00A300F8" w:rsidRDefault="00606839" w:rsidP="00CF124A">
      <w:pPr>
        <w:pStyle w:val="FootnoteText"/>
        <w:spacing w:after="0" w:line="220" w:lineRule="exact"/>
        <w:ind w:hanging="1134"/>
      </w:pPr>
      <w:r>
        <w:tab/>
      </w:r>
      <w:r w:rsidRPr="000A5855">
        <w:rPr>
          <w:rStyle w:val="FootnoteReference"/>
          <w:sz w:val="20"/>
          <w:vertAlign w:val="baseline"/>
        </w:rPr>
        <w:t>*</w:t>
      </w:r>
      <w:r w:rsidRPr="00424560">
        <w:tab/>
      </w:r>
      <w:r w:rsidRPr="00CF124A">
        <w:t>Adopted</w:t>
      </w:r>
      <w:r w:rsidRPr="00357270">
        <w:t xml:space="preserve"> by the Committee at its fifty-</w:t>
      </w:r>
      <w:r>
        <w:t xml:space="preserve">second </w:t>
      </w:r>
      <w:r w:rsidRPr="00424560">
        <w:t>session</w:t>
      </w:r>
      <w:r w:rsidRPr="00357270">
        <w:t xml:space="preserve"> (</w:t>
      </w:r>
      <w:r>
        <w:t xml:space="preserve">28 April–23 May </w:t>
      </w:r>
      <w:r w:rsidRPr="00357270">
        <w:t>201</w:t>
      </w:r>
      <w:r>
        <w:t>4</w:t>
      </w:r>
      <w:r w:rsidRPr="0035727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39" w:rsidRPr="00DB0C7E" w:rsidRDefault="00606839" w:rsidP="00DB0C7E">
    <w:pPr>
      <w:pStyle w:val="Header"/>
    </w:pPr>
    <w:r>
      <w:t>E/</w:t>
    </w:r>
    <w:r w:rsidRPr="008F12B7">
      <w:t>C.12/IDN/CO/1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39" w:rsidRPr="0024165B" w:rsidRDefault="00606839" w:rsidP="00197939">
    <w:pPr>
      <w:pStyle w:val="Header"/>
      <w:jc w:val="right"/>
    </w:pPr>
    <w:r w:rsidRPr="00197939">
      <w:rPr>
        <w:lang w:val="pt-BR"/>
      </w:rPr>
      <w:t>E/C.</w:t>
    </w:r>
    <w:r>
      <w:rPr>
        <w:lang w:val="pt-BR"/>
      </w:rPr>
      <w:t>12</w:t>
    </w:r>
    <w:r w:rsidRPr="00197939">
      <w:rPr>
        <w:lang w:val="pt-BR"/>
      </w:rPr>
      <w:t>/</w:t>
    </w:r>
    <w:r>
      <w:rPr>
        <w:lang w:val="pt-BR"/>
      </w:rPr>
      <w:t>IDN</w:t>
    </w:r>
    <w:r w:rsidRPr="00197939">
      <w:rPr>
        <w:lang w:val="pt-BR"/>
      </w:rPr>
      <w: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isLgl/>
      <w:lvlText w:val="%1."/>
      <w:lvlJc w:val="left"/>
      <w:pPr>
        <w:tabs>
          <w:tab w:val="num" w:pos="360"/>
        </w:tabs>
        <w:ind w:left="360" w:firstLine="72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11">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B46128"/>
    <w:multiLevelType w:val="hybridMultilevel"/>
    <w:tmpl w:val="80F227CA"/>
    <w:lvl w:ilvl="0" w:tplc="7E9CB970">
      <w:start w:val="1"/>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1CE366DD"/>
    <w:multiLevelType w:val="hybridMultilevel"/>
    <w:tmpl w:val="DAFC94F6"/>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260"/>
        </w:tabs>
        <w:ind w:left="260" w:hanging="360"/>
      </w:pPr>
    </w:lvl>
    <w:lvl w:ilvl="2" w:tplc="0409001B" w:tentative="1">
      <w:start w:val="1"/>
      <w:numFmt w:val="lowerRoman"/>
      <w:lvlText w:val="%3."/>
      <w:lvlJc w:val="right"/>
      <w:pPr>
        <w:tabs>
          <w:tab w:val="num" w:pos="980"/>
        </w:tabs>
        <w:ind w:left="980" w:hanging="180"/>
      </w:pPr>
    </w:lvl>
    <w:lvl w:ilvl="3" w:tplc="0409000F" w:tentative="1">
      <w:start w:val="1"/>
      <w:numFmt w:val="decimal"/>
      <w:lvlText w:val="%4."/>
      <w:lvlJc w:val="left"/>
      <w:pPr>
        <w:tabs>
          <w:tab w:val="num" w:pos="1700"/>
        </w:tabs>
        <w:ind w:left="1700" w:hanging="360"/>
      </w:pPr>
    </w:lvl>
    <w:lvl w:ilvl="4" w:tplc="04090019" w:tentative="1">
      <w:start w:val="1"/>
      <w:numFmt w:val="lowerLetter"/>
      <w:lvlText w:val="%5."/>
      <w:lvlJc w:val="left"/>
      <w:pPr>
        <w:tabs>
          <w:tab w:val="num" w:pos="2420"/>
        </w:tabs>
        <w:ind w:left="2420" w:hanging="360"/>
      </w:pPr>
    </w:lvl>
    <w:lvl w:ilvl="5" w:tplc="0409001B" w:tentative="1">
      <w:start w:val="1"/>
      <w:numFmt w:val="lowerRoman"/>
      <w:lvlText w:val="%6."/>
      <w:lvlJc w:val="right"/>
      <w:pPr>
        <w:tabs>
          <w:tab w:val="num" w:pos="3140"/>
        </w:tabs>
        <w:ind w:left="3140" w:hanging="180"/>
      </w:pPr>
    </w:lvl>
    <w:lvl w:ilvl="6" w:tplc="0409000F" w:tentative="1">
      <w:start w:val="1"/>
      <w:numFmt w:val="decimal"/>
      <w:lvlText w:val="%7."/>
      <w:lvlJc w:val="left"/>
      <w:pPr>
        <w:tabs>
          <w:tab w:val="num" w:pos="3860"/>
        </w:tabs>
        <w:ind w:left="3860" w:hanging="360"/>
      </w:pPr>
    </w:lvl>
    <w:lvl w:ilvl="7" w:tplc="04090019" w:tentative="1">
      <w:start w:val="1"/>
      <w:numFmt w:val="lowerLetter"/>
      <w:lvlText w:val="%8."/>
      <w:lvlJc w:val="left"/>
      <w:pPr>
        <w:tabs>
          <w:tab w:val="num" w:pos="4580"/>
        </w:tabs>
        <w:ind w:left="4580" w:hanging="360"/>
      </w:pPr>
    </w:lvl>
    <w:lvl w:ilvl="8" w:tplc="0409001B" w:tentative="1">
      <w:start w:val="1"/>
      <w:numFmt w:val="lowerRoman"/>
      <w:lvlText w:val="%9."/>
      <w:lvlJc w:val="right"/>
      <w:pPr>
        <w:tabs>
          <w:tab w:val="num" w:pos="5300"/>
        </w:tabs>
        <w:ind w:left="5300" w:hanging="180"/>
      </w:pPr>
    </w:lvl>
  </w:abstractNum>
  <w:abstractNum w:abstractNumId="16">
    <w:nsid w:val="1DE50B84"/>
    <w:multiLevelType w:val="hybridMultilevel"/>
    <w:tmpl w:val="CF70A35A"/>
    <w:lvl w:ilvl="0" w:tplc="47342AC2">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891B97"/>
    <w:multiLevelType w:val="multilevel"/>
    <w:tmpl w:val="F38002FE"/>
    <w:lvl w:ilvl="0">
      <w:start w:val="1"/>
      <w:numFmt w:val="lowerLetter"/>
      <w:lvlText w:val="(%1)"/>
      <w:lvlJc w:val="left"/>
      <w:pPr>
        <w:tabs>
          <w:tab w:val="num" w:pos="1"/>
        </w:tabs>
        <w:ind w:left="1134"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3E1317"/>
    <w:multiLevelType w:val="hybridMultilevel"/>
    <w:tmpl w:val="6CC41CD2"/>
    <w:lvl w:ilvl="0" w:tplc="3E408ADA">
      <w:start w:val="1"/>
      <w:numFmt w:val="bullet"/>
      <w:lvlText w:val=""/>
      <w:lvlJc w:val="left"/>
      <w:pPr>
        <w:ind w:left="1494" w:hanging="360"/>
      </w:pPr>
      <w:rPr>
        <w:rFonts w:ascii="Wingdings" w:eastAsia="Times New Roman" w:hAnsi="Wingdings" w:cs="Angsana New"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34C073EA"/>
    <w:multiLevelType w:val="hybridMultilevel"/>
    <w:tmpl w:val="186C6D7E"/>
    <w:lvl w:ilvl="0" w:tplc="34A298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A33688C"/>
    <w:multiLevelType w:val="hybridMultilevel"/>
    <w:tmpl w:val="075495E4"/>
    <w:lvl w:ilvl="0" w:tplc="DD6C30C0">
      <w:start w:val="1"/>
      <w:numFmt w:val="lowerLetter"/>
      <w:lvlText w:val="(%1)"/>
      <w:lvlJc w:val="left"/>
      <w:pPr>
        <w:tabs>
          <w:tab w:val="num" w:pos="2361"/>
        </w:tabs>
        <w:ind w:left="3494" w:firstLine="567"/>
      </w:pPr>
      <w:rPr>
        <w:rFonts w:hint="default"/>
      </w:rPr>
    </w:lvl>
    <w:lvl w:ilvl="1" w:tplc="04090019" w:tentative="1">
      <w:start w:val="1"/>
      <w:numFmt w:val="lowerLetter"/>
      <w:lvlText w:val="%2."/>
      <w:lvlJc w:val="left"/>
      <w:pPr>
        <w:tabs>
          <w:tab w:val="num" w:pos="2620"/>
        </w:tabs>
        <w:ind w:left="2620" w:hanging="360"/>
      </w:pPr>
    </w:lvl>
    <w:lvl w:ilvl="2" w:tplc="0409001B">
      <w:start w:val="1"/>
      <w:numFmt w:val="lowerRoman"/>
      <w:lvlText w:val="%3."/>
      <w:lvlJc w:val="right"/>
      <w:pPr>
        <w:tabs>
          <w:tab w:val="num" w:pos="3340"/>
        </w:tabs>
        <w:ind w:left="3340" w:hanging="180"/>
      </w:pPr>
    </w:lvl>
    <w:lvl w:ilvl="3" w:tplc="0409000F" w:tentative="1">
      <w:start w:val="1"/>
      <w:numFmt w:val="decimal"/>
      <w:lvlText w:val="%4."/>
      <w:lvlJc w:val="left"/>
      <w:pPr>
        <w:tabs>
          <w:tab w:val="num" w:pos="4060"/>
        </w:tabs>
        <w:ind w:left="4060" w:hanging="360"/>
      </w:pPr>
    </w:lvl>
    <w:lvl w:ilvl="4" w:tplc="04090019" w:tentative="1">
      <w:start w:val="1"/>
      <w:numFmt w:val="lowerLetter"/>
      <w:lvlText w:val="%5."/>
      <w:lvlJc w:val="left"/>
      <w:pPr>
        <w:tabs>
          <w:tab w:val="num" w:pos="4780"/>
        </w:tabs>
        <w:ind w:left="4780" w:hanging="360"/>
      </w:pPr>
    </w:lvl>
    <w:lvl w:ilvl="5" w:tplc="0409001B" w:tentative="1">
      <w:start w:val="1"/>
      <w:numFmt w:val="lowerRoman"/>
      <w:lvlText w:val="%6."/>
      <w:lvlJc w:val="right"/>
      <w:pPr>
        <w:tabs>
          <w:tab w:val="num" w:pos="5500"/>
        </w:tabs>
        <w:ind w:left="5500" w:hanging="180"/>
      </w:pPr>
    </w:lvl>
    <w:lvl w:ilvl="6" w:tplc="0409000F" w:tentative="1">
      <w:start w:val="1"/>
      <w:numFmt w:val="decimal"/>
      <w:lvlText w:val="%7."/>
      <w:lvlJc w:val="left"/>
      <w:pPr>
        <w:tabs>
          <w:tab w:val="num" w:pos="6220"/>
        </w:tabs>
        <w:ind w:left="6220" w:hanging="360"/>
      </w:pPr>
    </w:lvl>
    <w:lvl w:ilvl="7" w:tplc="04090019" w:tentative="1">
      <w:start w:val="1"/>
      <w:numFmt w:val="lowerLetter"/>
      <w:lvlText w:val="%8."/>
      <w:lvlJc w:val="left"/>
      <w:pPr>
        <w:tabs>
          <w:tab w:val="num" w:pos="6940"/>
        </w:tabs>
        <w:ind w:left="6940" w:hanging="360"/>
      </w:pPr>
    </w:lvl>
    <w:lvl w:ilvl="8" w:tplc="0409001B" w:tentative="1">
      <w:start w:val="1"/>
      <w:numFmt w:val="lowerRoman"/>
      <w:lvlText w:val="%9."/>
      <w:lvlJc w:val="right"/>
      <w:pPr>
        <w:tabs>
          <w:tab w:val="num" w:pos="7660"/>
        </w:tabs>
        <w:ind w:left="7660" w:hanging="180"/>
      </w:pPr>
    </w:lvl>
  </w:abstractNum>
  <w:abstractNum w:abstractNumId="23">
    <w:nsid w:val="3E9D4BD0"/>
    <w:multiLevelType w:val="hybridMultilevel"/>
    <w:tmpl w:val="47F85092"/>
    <w:lvl w:ilvl="0" w:tplc="29AAB2F8">
      <w:start w:val="1"/>
      <w:numFmt w:val="lowerLetter"/>
      <w:lvlText w:val="(%1)"/>
      <w:lvlJc w:val="left"/>
      <w:pPr>
        <w:ind w:left="2271"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84269A"/>
    <w:multiLevelType w:val="hybridMultilevel"/>
    <w:tmpl w:val="1CA2BDF4"/>
    <w:lvl w:ilvl="0" w:tplc="DD6C30C0">
      <w:start w:val="1"/>
      <w:numFmt w:val="lowerLetter"/>
      <w:lvlText w:val="(%1)"/>
      <w:lvlJc w:val="left"/>
      <w:pPr>
        <w:tabs>
          <w:tab w:val="num" w:pos="2361"/>
        </w:tabs>
        <w:ind w:left="3494" w:firstLine="567"/>
      </w:pPr>
      <w:rPr>
        <w:rFonts w:hint="default"/>
      </w:rPr>
    </w:lvl>
    <w:lvl w:ilvl="1" w:tplc="04090019" w:tentative="1">
      <w:start w:val="1"/>
      <w:numFmt w:val="lowerLetter"/>
      <w:lvlText w:val="%2."/>
      <w:lvlJc w:val="left"/>
      <w:pPr>
        <w:tabs>
          <w:tab w:val="num" w:pos="2620"/>
        </w:tabs>
        <w:ind w:left="2620" w:hanging="360"/>
      </w:pPr>
    </w:lvl>
    <w:lvl w:ilvl="2" w:tplc="0409001B">
      <w:start w:val="1"/>
      <w:numFmt w:val="lowerRoman"/>
      <w:lvlText w:val="%3."/>
      <w:lvlJc w:val="right"/>
      <w:pPr>
        <w:tabs>
          <w:tab w:val="num" w:pos="3340"/>
        </w:tabs>
        <w:ind w:left="3340" w:hanging="180"/>
      </w:pPr>
    </w:lvl>
    <w:lvl w:ilvl="3" w:tplc="0409000F" w:tentative="1">
      <w:start w:val="1"/>
      <w:numFmt w:val="decimal"/>
      <w:lvlText w:val="%4."/>
      <w:lvlJc w:val="left"/>
      <w:pPr>
        <w:tabs>
          <w:tab w:val="num" w:pos="4060"/>
        </w:tabs>
        <w:ind w:left="4060" w:hanging="360"/>
      </w:pPr>
    </w:lvl>
    <w:lvl w:ilvl="4" w:tplc="04090019" w:tentative="1">
      <w:start w:val="1"/>
      <w:numFmt w:val="lowerLetter"/>
      <w:lvlText w:val="%5."/>
      <w:lvlJc w:val="left"/>
      <w:pPr>
        <w:tabs>
          <w:tab w:val="num" w:pos="4780"/>
        </w:tabs>
        <w:ind w:left="4780" w:hanging="360"/>
      </w:pPr>
    </w:lvl>
    <w:lvl w:ilvl="5" w:tplc="0409001B" w:tentative="1">
      <w:start w:val="1"/>
      <w:numFmt w:val="lowerRoman"/>
      <w:lvlText w:val="%6."/>
      <w:lvlJc w:val="right"/>
      <w:pPr>
        <w:tabs>
          <w:tab w:val="num" w:pos="5500"/>
        </w:tabs>
        <w:ind w:left="5500" w:hanging="180"/>
      </w:pPr>
    </w:lvl>
    <w:lvl w:ilvl="6" w:tplc="0409000F" w:tentative="1">
      <w:start w:val="1"/>
      <w:numFmt w:val="decimal"/>
      <w:lvlText w:val="%7."/>
      <w:lvlJc w:val="left"/>
      <w:pPr>
        <w:tabs>
          <w:tab w:val="num" w:pos="6220"/>
        </w:tabs>
        <w:ind w:left="6220" w:hanging="360"/>
      </w:pPr>
    </w:lvl>
    <w:lvl w:ilvl="7" w:tplc="04090019" w:tentative="1">
      <w:start w:val="1"/>
      <w:numFmt w:val="lowerLetter"/>
      <w:lvlText w:val="%8."/>
      <w:lvlJc w:val="left"/>
      <w:pPr>
        <w:tabs>
          <w:tab w:val="num" w:pos="6940"/>
        </w:tabs>
        <w:ind w:left="6940" w:hanging="360"/>
      </w:pPr>
    </w:lvl>
    <w:lvl w:ilvl="8" w:tplc="0409001B" w:tentative="1">
      <w:start w:val="1"/>
      <w:numFmt w:val="lowerRoman"/>
      <w:lvlText w:val="%9."/>
      <w:lvlJc w:val="right"/>
      <w:pPr>
        <w:tabs>
          <w:tab w:val="num" w:pos="7660"/>
        </w:tabs>
        <w:ind w:left="7660" w:hanging="180"/>
      </w:pPr>
    </w:lvl>
  </w:abstractNum>
  <w:abstractNum w:abstractNumId="25">
    <w:nsid w:val="486A5364"/>
    <w:multiLevelType w:val="multilevel"/>
    <w:tmpl w:val="1CA2BDF4"/>
    <w:lvl w:ilvl="0">
      <w:start w:val="1"/>
      <w:numFmt w:val="lowerLetter"/>
      <w:lvlText w:val="(%1)"/>
      <w:lvlJc w:val="left"/>
      <w:pPr>
        <w:tabs>
          <w:tab w:val="num" w:pos="2361"/>
        </w:tabs>
        <w:ind w:left="3494" w:firstLine="567"/>
      </w:pPr>
      <w:rPr>
        <w:rFonts w:hint="default"/>
      </w:rPr>
    </w:lvl>
    <w:lvl w:ilvl="1">
      <w:start w:val="1"/>
      <w:numFmt w:val="lowerLetter"/>
      <w:lvlText w:val="%2."/>
      <w:lvlJc w:val="left"/>
      <w:pPr>
        <w:tabs>
          <w:tab w:val="num" w:pos="2620"/>
        </w:tabs>
        <w:ind w:left="2620" w:hanging="360"/>
      </w:pPr>
    </w:lvl>
    <w:lvl w:ilvl="2">
      <w:start w:val="1"/>
      <w:numFmt w:val="lowerRoman"/>
      <w:lvlText w:val="%3."/>
      <w:lvlJc w:val="right"/>
      <w:pPr>
        <w:tabs>
          <w:tab w:val="num" w:pos="3340"/>
        </w:tabs>
        <w:ind w:left="3340" w:hanging="180"/>
      </w:pPr>
    </w:lvl>
    <w:lvl w:ilvl="3">
      <w:start w:val="1"/>
      <w:numFmt w:val="decimal"/>
      <w:lvlText w:val="%4."/>
      <w:lvlJc w:val="left"/>
      <w:pPr>
        <w:tabs>
          <w:tab w:val="num" w:pos="4060"/>
        </w:tabs>
        <w:ind w:left="4060" w:hanging="360"/>
      </w:pPr>
    </w:lvl>
    <w:lvl w:ilvl="4">
      <w:start w:val="1"/>
      <w:numFmt w:val="lowerLetter"/>
      <w:lvlText w:val="%5."/>
      <w:lvlJc w:val="left"/>
      <w:pPr>
        <w:tabs>
          <w:tab w:val="num" w:pos="4780"/>
        </w:tabs>
        <w:ind w:left="4780" w:hanging="360"/>
      </w:pPr>
    </w:lvl>
    <w:lvl w:ilvl="5">
      <w:start w:val="1"/>
      <w:numFmt w:val="lowerRoman"/>
      <w:lvlText w:val="%6."/>
      <w:lvlJc w:val="right"/>
      <w:pPr>
        <w:tabs>
          <w:tab w:val="num" w:pos="5500"/>
        </w:tabs>
        <w:ind w:left="5500" w:hanging="180"/>
      </w:pPr>
    </w:lvl>
    <w:lvl w:ilvl="6">
      <w:start w:val="1"/>
      <w:numFmt w:val="decimal"/>
      <w:lvlText w:val="%7."/>
      <w:lvlJc w:val="left"/>
      <w:pPr>
        <w:tabs>
          <w:tab w:val="num" w:pos="6220"/>
        </w:tabs>
        <w:ind w:left="6220" w:hanging="360"/>
      </w:pPr>
    </w:lvl>
    <w:lvl w:ilvl="7">
      <w:start w:val="1"/>
      <w:numFmt w:val="lowerLetter"/>
      <w:lvlText w:val="%8."/>
      <w:lvlJc w:val="left"/>
      <w:pPr>
        <w:tabs>
          <w:tab w:val="num" w:pos="6940"/>
        </w:tabs>
        <w:ind w:left="6940" w:hanging="360"/>
      </w:pPr>
    </w:lvl>
    <w:lvl w:ilvl="8">
      <w:start w:val="1"/>
      <w:numFmt w:val="lowerRoman"/>
      <w:lvlText w:val="%9."/>
      <w:lvlJc w:val="right"/>
      <w:pPr>
        <w:tabs>
          <w:tab w:val="num" w:pos="7660"/>
        </w:tabs>
        <w:ind w:left="7660" w:hanging="180"/>
      </w:pPr>
    </w:lvl>
  </w:abstractNum>
  <w:abstractNum w:abstractNumId="26">
    <w:nsid w:val="58754657"/>
    <w:multiLevelType w:val="hybridMultilevel"/>
    <w:tmpl w:val="58948C6A"/>
    <w:lvl w:ilvl="0" w:tplc="47342AC2">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F05D09"/>
    <w:multiLevelType w:val="hybridMultilevel"/>
    <w:tmpl w:val="DAFC94F6"/>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260"/>
        </w:tabs>
        <w:ind w:left="260" w:hanging="360"/>
      </w:pPr>
    </w:lvl>
    <w:lvl w:ilvl="2" w:tplc="0409001B" w:tentative="1">
      <w:start w:val="1"/>
      <w:numFmt w:val="lowerRoman"/>
      <w:lvlText w:val="%3."/>
      <w:lvlJc w:val="right"/>
      <w:pPr>
        <w:tabs>
          <w:tab w:val="num" w:pos="980"/>
        </w:tabs>
        <w:ind w:left="980" w:hanging="180"/>
      </w:pPr>
    </w:lvl>
    <w:lvl w:ilvl="3" w:tplc="0409000F" w:tentative="1">
      <w:start w:val="1"/>
      <w:numFmt w:val="decimal"/>
      <w:lvlText w:val="%4."/>
      <w:lvlJc w:val="left"/>
      <w:pPr>
        <w:tabs>
          <w:tab w:val="num" w:pos="1700"/>
        </w:tabs>
        <w:ind w:left="1700" w:hanging="360"/>
      </w:pPr>
    </w:lvl>
    <w:lvl w:ilvl="4" w:tplc="04090019" w:tentative="1">
      <w:start w:val="1"/>
      <w:numFmt w:val="lowerLetter"/>
      <w:lvlText w:val="%5."/>
      <w:lvlJc w:val="left"/>
      <w:pPr>
        <w:tabs>
          <w:tab w:val="num" w:pos="2420"/>
        </w:tabs>
        <w:ind w:left="2420" w:hanging="360"/>
      </w:pPr>
    </w:lvl>
    <w:lvl w:ilvl="5" w:tplc="0409001B" w:tentative="1">
      <w:start w:val="1"/>
      <w:numFmt w:val="lowerRoman"/>
      <w:lvlText w:val="%6."/>
      <w:lvlJc w:val="right"/>
      <w:pPr>
        <w:tabs>
          <w:tab w:val="num" w:pos="3140"/>
        </w:tabs>
        <w:ind w:left="3140" w:hanging="180"/>
      </w:pPr>
    </w:lvl>
    <w:lvl w:ilvl="6" w:tplc="0409000F" w:tentative="1">
      <w:start w:val="1"/>
      <w:numFmt w:val="decimal"/>
      <w:lvlText w:val="%7."/>
      <w:lvlJc w:val="left"/>
      <w:pPr>
        <w:tabs>
          <w:tab w:val="num" w:pos="3860"/>
        </w:tabs>
        <w:ind w:left="3860" w:hanging="360"/>
      </w:pPr>
    </w:lvl>
    <w:lvl w:ilvl="7" w:tplc="04090019" w:tentative="1">
      <w:start w:val="1"/>
      <w:numFmt w:val="lowerLetter"/>
      <w:lvlText w:val="%8."/>
      <w:lvlJc w:val="left"/>
      <w:pPr>
        <w:tabs>
          <w:tab w:val="num" w:pos="4580"/>
        </w:tabs>
        <w:ind w:left="4580" w:hanging="360"/>
      </w:pPr>
    </w:lvl>
    <w:lvl w:ilvl="8" w:tplc="0409001B" w:tentative="1">
      <w:start w:val="1"/>
      <w:numFmt w:val="lowerRoman"/>
      <w:lvlText w:val="%9."/>
      <w:lvlJc w:val="right"/>
      <w:pPr>
        <w:tabs>
          <w:tab w:val="num" w:pos="5300"/>
        </w:tabs>
        <w:ind w:left="5300" w:hanging="180"/>
      </w:pPr>
    </w:lvl>
  </w:abstractNum>
  <w:abstractNum w:abstractNumId="28">
    <w:nsid w:val="5CAB44C9"/>
    <w:multiLevelType w:val="hybridMultilevel"/>
    <w:tmpl w:val="0EFE6202"/>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260"/>
        </w:tabs>
        <w:ind w:left="260" w:hanging="360"/>
      </w:pPr>
    </w:lvl>
    <w:lvl w:ilvl="2" w:tplc="0409001B" w:tentative="1">
      <w:start w:val="1"/>
      <w:numFmt w:val="lowerRoman"/>
      <w:lvlText w:val="%3."/>
      <w:lvlJc w:val="right"/>
      <w:pPr>
        <w:tabs>
          <w:tab w:val="num" w:pos="980"/>
        </w:tabs>
        <w:ind w:left="980" w:hanging="180"/>
      </w:pPr>
    </w:lvl>
    <w:lvl w:ilvl="3" w:tplc="0409000F" w:tentative="1">
      <w:start w:val="1"/>
      <w:numFmt w:val="decimal"/>
      <w:lvlText w:val="%4."/>
      <w:lvlJc w:val="left"/>
      <w:pPr>
        <w:tabs>
          <w:tab w:val="num" w:pos="1700"/>
        </w:tabs>
        <w:ind w:left="1700" w:hanging="360"/>
      </w:pPr>
    </w:lvl>
    <w:lvl w:ilvl="4" w:tplc="04090019" w:tentative="1">
      <w:start w:val="1"/>
      <w:numFmt w:val="lowerLetter"/>
      <w:lvlText w:val="%5."/>
      <w:lvlJc w:val="left"/>
      <w:pPr>
        <w:tabs>
          <w:tab w:val="num" w:pos="2420"/>
        </w:tabs>
        <w:ind w:left="2420" w:hanging="360"/>
      </w:pPr>
    </w:lvl>
    <w:lvl w:ilvl="5" w:tplc="0409001B" w:tentative="1">
      <w:start w:val="1"/>
      <w:numFmt w:val="lowerRoman"/>
      <w:lvlText w:val="%6."/>
      <w:lvlJc w:val="right"/>
      <w:pPr>
        <w:tabs>
          <w:tab w:val="num" w:pos="3140"/>
        </w:tabs>
        <w:ind w:left="3140" w:hanging="180"/>
      </w:pPr>
    </w:lvl>
    <w:lvl w:ilvl="6" w:tplc="0409000F" w:tentative="1">
      <w:start w:val="1"/>
      <w:numFmt w:val="decimal"/>
      <w:lvlText w:val="%7."/>
      <w:lvlJc w:val="left"/>
      <w:pPr>
        <w:tabs>
          <w:tab w:val="num" w:pos="3860"/>
        </w:tabs>
        <w:ind w:left="3860" w:hanging="360"/>
      </w:pPr>
    </w:lvl>
    <w:lvl w:ilvl="7" w:tplc="04090019" w:tentative="1">
      <w:start w:val="1"/>
      <w:numFmt w:val="lowerLetter"/>
      <w:lvlText w:val="%8."/>
      <w:lvlJc w:val="left"/>
      <w:pPr>
        <w:tabs>
          <w:tab w:val="num" w:pos="4580"/>
        </w:tabs>
        <w:ind w:left="4580" w:hanging="360"/>
      </w:pPr>
    </w:lvl>
    <w:lvl w:ilvl="8" w:tplc="0409001B" w:tentative="1">
      <w:start w:val="1"/>
      <w:numFmt w:val="lowerRoman"/>
      <w:lvlText w:val="%9."/>
      <w:lvlJc w:val="right"/>
      <w:pPr>
        <w:tabs>
          <w:tab w:val="num" w:pos="5300"/>
        </w:tabs>
        <w:ind w:left="5300" w:hanging="180"/>
      </w:pPr>
    </w:lvl>
  </w:abstractNum>
  <w:abstractNum w:abstractNumId="29">
    <w:nsid w:val="5CC11D39"/>
    <w:multiLevelType w:val="hybridMultilevel"/>
    <w:tmpl w:val="80C22110"/>
    <w:lvl w:ilvl="0" w:tplc="47342AC2">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2B3CDF"/>
    <w:multiLevelType w:val="hybridMultilevel"/>
    <w:tmpl w:val="F38002FE"/>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4027A52"/>
    <w:multiLevelType w:val="hybridMultilevel"/>
    <w:tmpl w:val="F4A048BA"/>
    <w:lvl w:ilvl="0" w:tplc="267CC24E">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651C317A"/>
    <w:multiLevelType w:val="hybridMultilevel"/>
    <w:tmpl w:val="8BE2FB5C"/>
    <w:lvl w:ilvl="0" w:tplc="47342AC2">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5F621E"/>
    <w:multiLevelType w:val="hybridMultilevel"/>
    <w:tmpl w:val="A7C01EEE"/>
    <w:lvl w:ilvl="0" w:tplc="1688A74C">
      <w:start w:val="1"/>
      <w:numFmt w:val="lowerLetter"/>
      <w:lvlText w:val="(%1)"/>
      <w:lvlJc w:val="left"/>
      <w:pPr>
        <w:tabs>
          <w:tab w:val="num" w:pos="1"/>
        </w:tabs>
        <w:ind w:left="1134" w:firstLine="568"/>
      </w:pPr>
      <w:rPr>
        <w:rFonts w:hint="default"/>
      </w:rPr>
    </w:lvl>
    <w:lvl w:ilvl="1" w:tplc="FB8E32C2">
      <w:numFmt w:val="bullet"/>
      <w:lvlText w:val=""/>
      <w:lvlJc w:val="left"/>
      <w:pPr>
        <w:tabs>
          <w:tab w:val="num" w:pos="1440"/>
        </w:tabs>
        <w:ind w:left="1440" w:hanging="360"/>
      </w:pPr>
      <w:rPr>
        <w:rFonts w:ascii="Wingdings" w:eastAsia="Times New Roman" w:hAnsi="Wingdings" w:cs="Angsana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9A39CB"/>
    <w:multiLevelType w:val="hybridMultilevel"/>
    <w:tmpl w:val="901C2CA8"/>
    <w:lvl w:ilvl="0" w:tplc="47342AC2">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5313E2"/>
    <w:multiLevelType w:val="hybridMultilevel"/>
    <w:tmpl w:val="0AD287F6"/>
    <w:lvl w:ilvl="0" w:tplc="BB08D66A">
      <w:start w:val="1"/>
      <w:numFmt w:val="lowerLetter"/>
      <w:lvlText w:val="(%1)"/>
      <w:lvlJc w:val="left"/>
      <w:pPr>
        <w:tabs>
          <w:tab w:val="num" w:pos="0"/>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B167C1"/>
    <w:multiLevelType w:val="hybridMultilevel"/>
    <w:tmpl w:val="48D8E236"/>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260"/>
        </w:tabs>
        <w:ind w:left="260" w:hanging="360"/>
      </w:pPr>
    </w:lvl>
    <w:lvl w:ilvl="2" w:tplc="0409001B" w:tentative="1">
      <w:start w:val="1"/>
      <w:numFmt w:val="lowerRoman"/>
      <w:lvlText w:val="%3."/>
      <w:lvlJc w:val="right"/>
      <w:pPr>
        <w:tabs>
          <w:tab w:val="num" w:pos="980"/>
        </w:tabs>
        <w:ind w:left="980" w:hanging="180"/>
      </w:pPr>
    </w:lvl>
    <w:lvl w:ilvl="3" w:tplc="0409000F" w:tentative="1">
      <w:start w:val="1"/>
      <w:numFmt w:val="decimal"/>
      <w:lvlText w:val="%4."/>
      <w:lvlJc w:val="left"/>
      <w:pPr>
        <w:tabs>
          <w:tab w:val="num" w:pos="1700"/>
        </w:tabs>
        <w:ind w:left="1700" w:hanging="360"/>
      </w:pPr>
    </w:lvl>
    <w:lvl w:ilvl="4" w:tplc="04090019" w:tentative="1">
      <w:start w:val="1"/>
      <w:numFmt w:val="lowerLetter"/>
      <w:lvlText w:val="%5."/>
      <w:lvlJc w:val="left"/>
      <w:pPr>
        <w:tabs>
          <w:tab w:val="num" w:pos="2420"/>
        </w:tabs>
        <w:ind w:left="2420" w:hanging="360"/>
      </w:pPr>
    </w:lvl>
    <w:lvl w:ilvl="5" w:tplc="0409001B" w:tentative="1">
      <w:start w:val="1"/>
      <w:numFmt w:val="lowerRoman"/>
      <w:lvlText w:val="%6."/>
      <w:lvlJc w:val="right"/>
      <w:pPr>
        <w:tabs>
          <w:tab w:val="num" w:pos="3140"/>
        </w:tabs>
        <w:ind w:left="3140" w:hanging="180"/>
      </w:pPr>
    </w:lvl>
    <w:lvl w:ilvl="6" w:tplc="0409000F" w:tentative="1">
      <w:start w:val="1"/>
      <w:numFmt w:val="decimal"/>
      <w:lvlText w:val="%7."/>
      <w:lvlJc w:val="left"/>
      <w:pPr>
        <w:tabs>
          <w:tab w:val="num" w:pos="3860"/>
        </w:tabs>
        <w:ind w:left="3860" w:hanging="360"/>
      </w:pPr>
    </w:lvl>
    <w:lvl w:ilvl="7" w:tplc="04090019" w:tentative="1">
      <w:start w:val="1"/>
      <w:numFmt w:val="lowerLetter"/>
      <w:lvlText w:val="%8."/>
      <w:lvlJc w:val="left"/>
      <w:pPr>
        <w:tabs>
          <w:tab w:val="num" w:pos="4580"/>
        </w:tabs>
        <w:ind w:left="4580" w:hanging="360"/>
      </w:pPr>
    </w:lvl>
    <w:lvl w:ilvl="8" w:tplc="0409001B" w:tentative="1">
      <w:start w:val="1"/>
      <w:numFmt w:val="lowerRoman"/>
      <w:lvlText w:val="%9."/>
      <w:lvlJc w:val="right"/>
      <w:pPr>
        <w:tabs>
          <w:tab w:val="num" w:pos="5300"/>
        </w:tabs>
        <w:ind w:left="5300" w:hanging="180"/>
      </w:pPr>
    </w:lvl>
  </w:abstractNum>
  <w:abstractNum w:abstractNumId="38">
    <w:nsid w:val="70302EEF"/>
    <w:multiLevelType w:val="hybridMultilevel"/>
    <w:tmpl w:val="901C2CA8"/>
    <w:lvl w:ilvl="0" w:tplc="47342AC2">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30201D"/>
    <w:multiLevelType w:val="hybridMultilevel"/>
    <w:tmpl w:val="322AF48C"/>
    <w:lvl w:ilvl="0" w:tplc="8024594A">
      <w:start w:val="1"/>
      <w:numFmt w:val="decimal"/>
      <w:lvlText w:val="%1 --&gt;"/>
      <w:lvlJc w:val="left"/>
      <w:pPr>
        <w:tabs>
          <w:tab w:val="num" w:pos="0"/>
        </w:tabs>
        <w:ind w:left="0" w:firstLine="1134"/>
      </w:pPr>
      <w:rPr>
        <w:rFonts w:hint="default"/>
      </w:rPr>
    </w:lvl>
    <w:lvl w:ilvl="1" w:tplc="5C38353A">
      <w:start w:val="1"/>
      <w:numFmt w:val="decimal"/>
      <w:lvlText w:val="%2 "/>
      <w:lvlJc w:val="left"/>
      <w:pPr>
        <w:tabs>
          <w:tab w:val="num" w:pos="0"/>
        </w:tabs>
        <w:ind w:left="0" w:firstLine="1134"/>
      </w:pPr>
      <w:rPr>
        <w:rFonts w:hint="default"/>
      </w:rPr>
    </w:lvl>
    <w:lvl w:ilvl="2" w:tplc="BB08D66A">
      <w:start w:val="1"/>
      <w:numFmt w:val="lowerLetter"/>
      <w:lvlText w:val="(%3)"/>
      <w:lvlJc w:val="left"/>
      <w:pPr>
        <w:tabs>
          <w:tab w:val="num" w:pos="279"/>
        </w:tabs>
        <w:ind w:left="1413" w:firstLine="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DA5032"/>
    <w:multiLevelType w:val="hybridMultilevel"/>
    <w:tmpl w:val="B7E8D7C0"/>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260"/>
        </w:tabs>
        <w:ind w:left="260" w:hanging="360"/>
      </w:pPr>
    </w:lvl>
    <w:lvl w:ilvl="2" w:tplc="0409001B" w:tentative="1">
      <w:start w:val="1"/>
      <w:numFmt w:val="lowerRoman"/>
      <w:lvlText w:val="%3."/>
      <w:lvlJc w:val="right"/>
      <w:pPr>
        <w:tabs>
          <w:tab w:val="num" w:pos="980"/>
        </w:tabs>
        <w:ind w:left="980" w:hanging="180"/>
      </w:pPr>
    </w:lvl>
    <w:lvl w:ilvl="3" w:tplc="0409000F" w:tentative="1">
      <w:start w:val="1"/>
      <w:numFmt w:val="decimal"/>
      <w:lvlText w:val="%4."/>
      <w:lvlJc w:val="left"/>
      <w:pPr>
        <w:tabs>
          <w:tab w:val="num" w:pos="1700"/>
        </w:tabs>
        <w:ind w:left="1700" w:hanging="360"/>
      </w:pPr>
    </w:lvl>
    <w:lvl w:ilvl="4" w:tplc="04090019" w:tentative="1">
      <w:start w:val="1"/>
      <w:numFmt w:val="lowerLetter"/>
      <w:lvlText w:val="%5."/>
      <w:lvlJc w:val="left"/>
      <w:pPr>
        <w:tabs>
          <w:tab w:val="num" w:pos="2420"/>
        </w:tabs>
        <w:ind w:left="2420" w:hanging="360"/>
      </w:pPr>
    </w:lvl>
    <w:lvl w:ilvl="5" w:tplc="0409001B" w:tentative="1">
      <w:start w:val="1"/>
      <w:numFmt w:val="lowerRoman"/>
      <w:lvlText w:val="%6."/>
      <w:lvlJc w:val="right"/>
      <w:pPr>
        <w:tabs>
          <w:tab w:val="num" w:pos="3140"/>
        </w:tabs>
        <w:ind w:left="3140" w:hanging="180"/>
      </w:pPr>
    </w:lvl>
    <w:lvl w:ilvl="6" w:tplc="0409000F" w:tentative="1">
      <w:start w:val="1"/>
      <w:numFmt w:val="decimal"/>
      <w:lvlText w:val="%7."/>
      <w:lvlJc w:val="left"/>
      <w:pPr>
        <w:tabs>
          <w:tab w:val="num" w:pos="3860"/>
        </w:tabs>
        <w:ind w:left="3860" w:hanging="360"/>
      </w:pPr>
    </w:lvl>
    <w:lvl w:ilvl="7" w:tplc="04090019" w:tentative="1">
      <w:start w:val="1"/>
      <w:numFmt w:val="lowerLetter"/>
      <w:lvlText w:val="%8."/>
      <w:lvlJc w:val="left"/>
      <w:pPr>
        <w:tabs>
          <w:tab w:val="num" w:pos="4580"/>
        </w:tabs>
        <w:ind w:left="4580" w:hanging="360"/>
      </w:pPr>
    </w:lvl>
    <w:lvl w:ilvl="8" w:tplc="0409001B" w:tentative="1">
      <w:start w:val="1"/>
      <w:numFmt w:val="lowerRoman"/>
      <w:lvlText w:val="%9."/>
      <w:lvlJc w:val="right"/>
      <w:pPr>
        <w:tabs>
          <w:tab w:val="num" w:pos="5300"/>
        </w:tabs>
        <w:ind w:left="5300" w:hanging="180"/>
      </w:pPr>
    </w:lvl>
  </w:abstractNum>
  <w:abstractNum w:abstractNumId="41">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7C883D72"/>
    <w:multiLevelType w:val="hybridMultilevel"/>
    <w:tmpl w:val="0AD287F6"/>
    <w:lvl w:ilvl="0" w:tplc="BB08D66A">
      <w:start w:val="1"/>
      <w:numFmt w:val="lowerLetter"/>
      <w:lvlText w:val="(%1)"/>
      <w:lvlJc w:val="left"/>
      <w:pPr>
        <w:tabs>
          <w:tab w:val="num" w:pos="0"/>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D2137"/>
    <w:multiLevelType w:val="multilevel"/>
    <w:tmpl w:val="075495E4"/>
    <w:lvl w:ilvl="0">
      <w:start w:val="1"/>
      <w:numFmt w:val="lowerLetter"/>
      <w:lvlText w:val="(%1)"/>
      <w:lvlJc w:val="left"/>
      <w:pPr>
        <w:tabs>
          <w:tab w:val="num" w:pos="2361"/>
        </w:tabs>
        <w:ind w:left="3494" w:firstLine="567"/>
      </w:pPr>
      <w:rPr>
        <w:rFonts w:hint="default"/>
      </w:rPr>
    </w:lvl>
    <w:lvl w:ilvl="1">
      <w:start w:val="1"/>
      <w:numFmt w:val="lowerLetter"/>
      <w:lvlText w:val="%2."/>
      <w:lvlJc w:val="left"/>
      <w:pPr>
        <w:tabs>
          <w:tab w:val="num" w:pos="2620"/>
        </w:tabs>
        <w:ind w:left="2620" w:hanging="360"/>
      </w:pPr>
    </w:lvl>
    <w:lvl w:ilvl="2">
      <w:start w:val="1"/>
      <w:numFmt w:val="lowerRoman"/>
      <w:lvlText w:val="%3."/>
      <w:lvlJc w:val="right"/>
      <w:pPr>
        <w:tabs>
          <w:tab w:val="num" w:pos="3340"/>
        </w:tabs>
        <w:ind w:left="3340" w:hanging="180"/>
      </w:pPr>
    </w:lvl>
    <w:lvl w:ilvl="3">
      <w:start w:val="1"/>
      <w:numFmt w:val="decimal"/>
      <w:lvlText w:val="%4."/>
      <w:lvlJc w:val="left"/>
      <w:pPr>
        <w:tabs>
          <w:tab w:val="num" w:pos="4060"/>
        </w:tabs>
        <w:ind w:left="4060" w:hanging="360"/>
      </w:pPr>
    </w:lvl>
    <w:lvl w:ilvl="4">
      <w:start w:val="1"/>
      <w:numFmt w:val="lowerLetter"/>
      <w:lvlText w:val="%5."/>
      <w:lvlJc w:val="left"/>
      <w:pPr>
        <w:tabs>
          <w:tab w:val="num" w:pos="4780"/>
        </w:tabs>
        <w:ind w:left="4780" w:hanging="360"/>
      </w:pPr>
    </w:lvl>
    <w:lvl w:ilvl="5">
      <w:start w:val="1"/>
      <w:numFmt w:val="lowerRoman"/>
      <w:lvlText w:val="%6."/>
      <w:lvlJc w:val="right"/>
      <w:pPr>
        <w:tabs>
          <w:tab w:val="num" w:pos="5500"/>
        </w:tabs>
        <w:ind w:left="5500" w:hanging="180"/>
      </w:pPr>
    </w:lvl>
    <w:lvl w:ilvl="6">
      <w:start w:val="1"/>
      <w:numFmt w:val="decimal"/>
      <w:lvlText w:val="%7."/>
      <w:lvlJc w:val="left"/>
      <w:pPr>
        <w:tabs>
          <w:tab w:val="num" w:pos="6220"/>
        </w:tabs>
        <w:ind w:left="6220" w:hanging="360"/>
      </w:pPr>
    </w:lvl>
    <w:lvl w:ilvl="7">
      <w:start w:val="1"/>
      <w:numFmt w:val="lowerLetter"/>
      <w:lvlText w:val="%8."/>
      <w:lvlJc w:val="left"/>
      <w:pPr>
        <w:tabs>
          <w:tab w:val="num" w:pos="6940"/>
        </w:tabs>
        <w:ind w:left="6940" w:hanging="360"/>
      </w:pPr>
    </w:lvl>
    <w:lvl w:ilvl="8">
      <w:start w:val="1"/>
      <w:numFmt w:val="lowerRoman"/>
      <w:lvlText w:val="%9."/>
      <w:lvlJc w:val="right"/>
      <w:pPr>
        <w:tabs>
          <w:tab w:val="num" w:pos="7660"/>
        </w:tabs>
        <w:ind w:left="76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31"/>
  </w:num>
  <w:num w:numId="15">
    <w:abstractNumId w:val="13"/>
  </w:num>
  <w:num w:numId="16">
    <w:abstractNumId w:val="12"/>
  </w:num>
  <w:num w:numId="17">
    <w:abstractNumId w:val="4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26"/>
  </w:num>
  <w:num w:numId="22">
    <w:abstractNumId w:val="38"/>
  </w:num>
  <w:num w:numId="23">
    <w:abstractNumId w:val="29"/>
  </w:num>
  <w:num w:numId="24">
    <w:abstractNumId w:val="33"/>
  </w:num>
  <w:num w:numId="25">
    <w:abstractNumId w:val="32"/>
  </w:num>
  <w:num w:numId="26">
    <w:abstractNumId w:val="42"/>
  </w:num>
  <w:num w:numId="27">
    <w:abstractNumId w:val="30"/>
  </w:num>
  <w:num w:numId="28">
    <w:abstractNumId w:val="15"/>
  </w:num>
  <w:num w:numId="29">
    <w:abstractNumId w:val="39"/>
  </w:num>
  <w:num w:numId="30">
    <w:abstractNumId w:val="37"/>
  </w:num>
  <w:num w:numId="31">
    <w:abstractNumId w:val="23"/>
  </w:num>
  <w:num w:numId="32">
    <w:abstractNumId w:val="22"/>
  </w:num>
  <w:num w:numId="33">
    <w:abstractNumId w:val="43"/>
  </w:num>
  <w:num w:numId="34">
    <w:abstractNumId w:val="40"/>
  </w:num>
  <w:num w:numId="35">
    <w:abstractNumId w:val="10"/>
  </w:num>
  <w:num w:numId="36">
    <w:abstractNumId w:val="24"/>
  </w:num>
  <w:num w:numId="37">
    <w:abstractNumId w:val="25"/>
  </w:num>
  <w:num w:numId="38">
    <w:abstractNumId w:val="28"/>
  </w:num>
  <w:num w:numId="39">
    <w:abstractNumId w:val="14"/>
  </w:num>
  <w:num w:numId="40">
    <w:abstractNumId w:val="20"/>
  </w:num>
  <w:num w:numId="41">
    <w:abstractNumId w:val="36"/>
  </w:num>
  <w:num w:numId="42">
    <w:abstractNumId w:val="21"/>
  </w:num>
  <w:num w:numId="43">
    <w:abstractNumId w:val="35"/>
  </w:num>
  <w:num w:numId="44">
    <w:abstractNumId w:val="27"/>
  </w:num>
  <w:num w:numId="4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color="white">
      <v:fill color="white"/>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A93"/>
    <w:rsid w:val="00003796"/>
    <w:rsid w:val="00003A63"/>
    <w:rsid w:val="000122A5"/>
    <w:rsid w:val="00013DE0"/>
    <w:rsid w:val="00014165"/>
    <w:rsid w:val="000165A5"/>
    <w:rsid w:val="00016AA6"/>
    <w:rsid w:val="00030B99"/>
    <w:rsid w:val="00032DEC"/>
    <w:rsid w:val="000411BC"/>
    <w:rsid w:val="00050DEF"/>
    <w:rsid w:val="00050F6B"/>
    <w:rsid w:val="000574BE"/>
    <w:rsid w:val="0006257C"/>
    <w:rsid w:val="00063837"/>
    <w:rsid w:val="000671D0"/>
    <w:rsid w:val="00072079"/>
    <w:rsid w:val="000726E8"/>
    <w:rsid w:val="00072C8C"/>
    <w:rsid w:val="00073DFC"/>
    <w:rsid w:val="00080A3E"/>
    <w:rsid w:val="00083B37"/>
    <w:rsid w:val="00087F17"/>
    <w:rsid w:val="0009066E"/>
    <w:rsid w:val="00090A84"/>
    <w:rsid w:val="000931C0"/>
    <w:rsid w:val="000966FE"/>
    <w:rsid w:val="000A2266"/>
    <w:rsid w:val="000A345F"/>
    <w:rsid w:val="000A5855"/>
    <w:rsid w:val="000A727B"/>
    <w:rsid w:val="000B175B"/>
    <w:rsid w:val="000B2121"/>
    <w:rsid w:val="000B2993"/>
    <w:rsid w:val="000B3A0F"/>
    <w:rsid w:val="000B595D"/>
    <w:rsid w:val="000B7C86"/>
    <w:rsid w:val="000C3162"/>
    <w:rsid w:val="000C4C55"/>
    <w:rsid w:val="000C4FB6"/>
    <w:rsid w:val="000D2D52"/>
    <w:rsid w:val="000D71CC"/>
    <w:rsid w:val="000E0415"/>
    <w:rsid w:val="000E09D1"/>
    <w:rsid w:val="000E3672"/>
    <w:rsid w:val="000E4A64"/>
    <w:rsid w:val="000F1234"/>
    <w:rsid w:val="000F4847"/>
    <w:rsid w:val="00111B70"/>
    <w:rsid w:val="001142A7"/>
    <w:rsid w:val="00120C6D"/>
    <w:rsid w:val="0013158A"/>
    <w:rsid w:val="001326CE"/>
    <w:rsid w:val="0013379A"/>
    <w:rsid w:val="001474D1"/>
    <w:rsid w:val="0015447C"/>
    <w:rsid w:val="00162B54"/>
    <w:rsid w:val="00162E46"/>
    <w:rsid w:val="00165A7D"/>
    <w:rsid w:val="001663A7"/>
    <w:rsid w:val="00171D66"/>
    <w:rsid w:val="00173234"/>
    <w:rsid w:val="00183058"/>
    <w:rsid w:val="001836C4"/>
    <w:rsid w:val="00187ED5"/>
    <w:rsid w:val="00192119"/>
    <w:rsid w:val="00192722"/>
    <w:rsid w:val="001937A7"/>
    <w:rsid w:val="00197939"/>
    <w:rsid w:val="001A01A5"/>
    <w:rsid w:val="001A5F06"/>
    <w:rsid w:val="001B02DA"/>
    <w:rsid w:val="001B194C"/>
    <w:rsid w:val="001B4B04"/>
    <w:rsid w:val="001B4BE0"/>
    <w:rsid w:val="001C18D6"/>
    <w:rsid w:val="001C6663"/>
    <w:rsid w:val="001C7895"/>
    <w:rsid w:val="001D1861"/>
    <w:rsid w:val="001D26DF"/>
    <w:rsid w:val="001D760B"/>
    <w:rsid w:val="001E48CB"/>
    <w:rsid w:val="001E567B"/>
    <w:rsid w:val="001F1DD0"/>
    <w:rsid w:val="001F3FDF"/>
    <w:rsid w:val="001F74B2"/>
    <w:rsid w:val="00202AF1"/>
    <w:rsid w:val="00204081"/>
    <w:rsid w:val="00204FA4"/>
    <w:rsid w:val="00205E77"/>
    <w:rsid w:val="00211E0B"/>
    <w:rsid w:val="002267E3"/>
    <w:rsid w:val="00230B3B"/>
    <w:rsid w:val="00236502"/>
    <w:rsid w:val="002377E3"/>
    <w:rsid w:val="00240874"/>
    <w:rsid w:val="0024165B"/>
    <w:rsid w:val="00242A93"/>
    <w:rsid w:val="002433E5"/>
    <w:rsid w:val="002433E9"/>
    <w:rsid w:val="00244066"/>
    <w:rsid w:val="00246FD4"/>
    <w:rsid w:val="002540DC"/>
    <w:rsid w:val="00272ED2"/>
    <w:rsid w:val="00283F4B"/>
    <w:rsid w:val="00293AD0"/>
    <w:rsid w:val="002A66E8"/>
    <w:rsid w:val="002B0354"/>
    <w:rsid w:val="002B0C60"/>
    <w:rsid w:val="002C145B"/>
    <w:rsid w:val="002C1690"/>
    <w:rsid w:val="002C1ADF"/>
    <w:rsid w:val="002C6FC6"/>
    <w:rsid w:val="002D123D"/>
    <w:rsid w:val="002D272F"/>
    <w:rsid w:val="002D317E"/>
    <w:rsid w:val="002D6604"/>
    <w:rsid w:val="002E0CED"/>
    <w:rsid w:val="002E0EBC"/>
    <w:rsid w:val="002E416E"/>
    <w:rsid w:val="002E4711"/>
    <w:rsid w:val="002F3320"/>
    <w:rsid w:val="002F6E5E"/>
    <w:rsid w:val="003107FA"/>
    <w:rsid w:val="00312127"/>
    <w:rsid w:val="00313BB7"/>
    <w:rsid w:val="003157F3"/>
    <w:rsid w:val="00315D28"/>
    <w:rsid w:val="003229D8"/>
    <w:rsid w:val="00332CD3"/>
    <w:rsid w:val="003335E1"/>
    <w:rsid w:val="003423AE"/>
    <w:rsid w:val="00347403"/>
    <w:rsid w:val="00351568"/>
    <w:rsid w:val="003528E8"/>
    <w:rsid w:val="00354854"/>
    <w:rsid w:val="00357971"/>
    <w:rsid w:val="003710F6"/>
    <w:rsid w:val="0037157F"/>
    <w:rsid w:val="00371B04"/>
    <w:rsid w:val="00382B94"/>
    <w:rsid w:val="00383D96"/>
    <w:rsid w:val="0039277A"/>
    <w:rsid w:val="0039474F"/>
    <w:rsid w:val="00396D66"/>
    <w:rsid w:val="003972E0"/>
    <w:rsid w:val="003A3758"/>
    <w:rsid w:val="003A565B"/>
    <w:rsid w:val="003B1581"/>
    <w:rsid w:val="003B79CE"/>
    <w:rsid w:val="003C1DAF"/>
    <w:rsid w:val="003C2CC4"/>
    <w:rsid w:val="003D4B23"/>
    <w:rsid w:val="003D675F"/>
    <w:rsid w:val="003E4DFF"/>
    <w:rsid w:val="003E52F9"/>
    <w:rsid w:val="003E7D32"/>
    <w:rsid w:val="003F111F"/>
    <w:rsid w:val="0041099C"/>
    <w:rsid w:val="00414C2D"/>
    <w:rsid w:val="0041518E"/>
    <w:rsid w:val="004170E9"/>
    <w:rsid w:val="00424560"/>
    <w:rsid w:val="004325CB"/>
    <w:rsid w:val="00436A52"/>
    <w:rsid w:val="004464E0"/>
    <w:rsid w:val="00446DE4"/>
    <w:rsid w:val="004474BB"/>
    <w:rsid w:val="0044782C"/>
    <w:rsid w:val="004478B2"/>
    <w:rsid w:val="00452E3C"/>
    <w:rsid w:val="00457830"/>
    <w:rsid w:val="00461825"/>
    <w:rsid w:val="00467C3E"/>
    <w:rsid w:val="00473F50"/>
    <w:rsid w:val="004762A7"/>
    <w:rsid w:val="004769AE"/>
    <w:rsid w:val="00477210"/>
    <w:rsid w:val="00477CDA"/>
    <w:rsid w:val="00477CE1"/>
    <w:rsid w:val="00477F15"/>
    <w:rsid w:val="00480DD8"/>
    <w:rsid w:val="004864BA"/>
    <w:rsid w:val="004904B6"/>
    <w:rsid w:val="00490551"/>
    <w:rsid w:val="004A3051"/>
    <w:rsid w:val="004A41CA"/>
    <w:rsid w:val="004B4777"/>
    <w:rsid w:val="004B7FC9"/>
    <w:rsid w:val="004C019A"/>
    <w:rsid w:val="004C47A8"/>
    <w:rsid w:val="004D2A5D"/>
    <w:rsid w:val="004D6867"/>
    <w:rsid w:val="004E1049"/>
    <w:rsid w:val="004E4684"/>
    <w:rsid w:val="004F62C7"/>
    <w:rsid w:val="005276AC"/>
    <w:rsid w:val="00527FBC"/>
    <w:rsid w:val="00531EC8"/>
    <w:rsid w:val="00532E7D"/>
    <w:rsid w:val="005339E9"/>
    <w:rsid w:val="00540E79"/>
    <w:rsid w:val="005420F2"/>
    <w:rsid w:val="00542D8C"/>
    <w:rsid w:val="00547756"/>
    <w:rsid w:val="005478D3"/>
    <w:rsid w:val="00553D18"/>
    <w:rsid w:val="00555D34"/>
    <w:rsid w:val="00561C31"/>
    <w:rsid w:val="00564566"/>
    <w:rsid w:val="00566DC2"/>
    <w:rsid w:val="0056745C"/>
    <w:rsid w:val="00567874"/>
    <w:rsid w:val="00575739"/>
    <w:rsid w:val="005833D9"/>
    <w:rsid w:val="005849CA"/>
    <w:rsid w:val="00586CAF"/>
    <w:rsid w:val="005932BC"/>
    <w:rsid w:val="00597B2E"/>
    <w:rsid w:val="005A1ED0"/>
    <w:rsid w:val="005B3DB3"/>
    <w:rsid w:val="005C2F60"/>
    <w:rsid w:val="005C43D7"/>
    <w:rsid w:val="005C489E"/>
    <w:rsid w:val="005C4ACE"/>
    <w:rsid w:val="005C776F"/>
    <w:rsid w:val="005D7A78"/>
    <w:rsid w:val="005F0D1D"/>
    <w:rsid w:val="005F4C7C"/>
    <w:rsid w:val="005F68E8"/>
    <w:rsid w:val="00605516"/>
    <w:rsid w:val="00606839"/>
    <w:rsid w:val="00607F9B"/>
    <w:rsid w:val="00611958"/>
    <w:rsid w:val="00611FC4"/>
    <w:rsid w:val="0061628C"/>
    <w:rsid w:val="006176FB"/>
    <w:rsid w:val="00622AA7"/>
    <w:rsid w:val="00627ED0"/>
    <w:rsid w:val="00630BA0"/>
    <w:rsid w:val="00637580"/>
    <w:rsid w:val="00640B26"/>
    <w:rsid w:val="00646B24"/>
    <w:rsid w:val="00652599"/>
    <w:rsid w:val="00654158"/>
    <w:rsid w:val="00662121"/>
    <w:rsid w:val="0066474E"/>
    <w:rsid w:val="00665595"/>
    <w:rsid w:val="0066575D"/>
    <w:rsid w:val="00671223"/>
    <w:rsid w:val="006748CC"/>
    <w:rsid w:val="00680F74"/>
    <w:rsid w:val="0068147C"/>
    <w:rsid w:val="006818E2"/>
    <w:rsid w:val="00681F90"/>
    <w:rsid w:val="006925D2"/>
    <w:rsid w:val="00697F2A"/>
    <w:rsid w:val="006A7392"/>
    <w:rsid w:val="006A7BBB"/>
    <w:rsid w:val="006B3E7D"/>
    <w:rsid w:val="006C7C10"/>
    <w:rsid w:val="006D054B"/>
    <w:rsid w:val="006D2AE9"/>
    <w:rsid w:val="006D6CD0"/>
    <w:rsid w:val="006E0A73"/>
    <w:rsid w:val="006E2762"/>
    <w:rsid w:val="006E27D3"/>
    <w:rsid w:val="006E564B"/>
    <w:rsid w:val="006E722A"/>
    <w:rsid w:val="006F0162"/>
    <w:rsid w:val="006F2455"/>
    <w:rsid w:val="006F38A8"/>
    <w:rsid w:val="006F5D56"/>
    <w:rsid w:val="007005CE"/>
    <w:rsid w:val="0070466A"/>
    <w:rsid w:val="00722839"/>
    <w:rsid w:val="007232A9"/>
    <w:rsid w:val="0072332E"/>
    <w:rsid w:val="007236FE"/>
    <w:rsid w:val="0072534B"/>
    <w:rsid w:val="0072632A"/>
    <w:rsid w:val="00744609"/>
    <w:rsid w:val="00747D37"/>
    <w:rsid w:val="00747DB4"/>
    <w:rsid w:val="007641FF"/>
    <w:rsid w:val="00765ADB"/>
    <w:rsid w:val="00772A6F"/>
    <w:rsid w:val="00773E7E"/>
    <w:rsid w:val="00781D9E"/>
    <w:rsid w:val="00784C0B"/>
    <w:rsid w:val="0079030E"/>
    <w:rsid w:val="0079118C"/>
    <w:rsid w:val="007A1923"/>
    <w:rsid w:val="007A690C"/>
    <w:rsid w:val="007B6BA5"/>
    <w:rsid w:val="007C1FBF"/>
    <w:rsid w:val="007C3390"/>
    <w:rsid w:val="007C3C1E"/>
    <w:rsid w:val="007C3CDC"/>
    <w:rsid w:val="007C4F4B"/>
    <w:rsid w:val="007C51E7"/>
    <w:rsid w:val="007D09DA"/>
    <w:rsid w:val="007D3CED"/>
    <w:rsid w:val="007E1429"/>
    <w:rsid w:val="007E2738"/>
    <w:rsid w:val="007E2C6D"/>
    <w:rsid w:val="007E5BB2"/>
    <w:rsid w:val="007E6C7C"/>
    <w:rsid w:val="007F0B83"/>
    <w:rsid w:val="007F477C"/>
    <w:rsid w:val="007F6611"/>
    <w:rsid w:val="007F7A0B"/>
    <w:rsid w:val="00803C67"/>
    <w:rsid w:val="0081054F"/>
    <w:rsid w:val="008175E9"/>
    <w:rsid w:val="00821069"/>
    <w:rsid w:val="00823671"/>
    <w:rsid w:val="008242D7"/>
    <w:rsid w:val="008311A3"/>
    <w:rsid w:val="00834EF9"/>
    <w:rsid w:val="008362F0"/>
    <w:rsid w:val="00840224"/>
    <w:rsid w:val="00854B72"/>
    <w:rsid w:val="00861B72"/>
    <w:rsid w:val="00871FD5"/>
    <w:rsid w:val="00873DC8"/>
    <w:rsid w:val="00891F3F"/>
    <w:rsid w:val="008920D5"/>
    <w:rsid w:val="008979B1"/>
    <w:rsid w:val="00897B65"/>
    <w:rsid w:val="008A382A"/>
    <w:rsid w:val="008A6B25"/>
    <w:rsid w:val="008A6C4F"/>
    <w:rsid w:val="008B43B0"/>
    <w:rsid w:val="008B4BA4"/>
    <w:rsid w:val="008B753C"/>
    <w:rsid w:val="008B796F"/>
    <w:rsid w:val="008B7A3C"/>
    <w:rsid w:val="008C57EF"/>
    <w:rsid w:val="008D74FE"/>
    <w:rsid w:val="008D7AE8"/>
    <w:rsid w:val="008E0E46"/>
    <w:rsid w:val="008E4FCB"/>
    <w:rsid w:val="008E653C"/>
    <w:rsid w:val="008E6BC9"/>
    <w:rsid w:val="008F12B7"/>
    <w:rsid w:val="008F1555"/>
    <w:rsid w:val="008F243C"/>
    <w:rsid w:val="008F45A0"/>
    <w:rsid w:val="008F7082"/>
    <w:rsid w:val="008F78EE"/>
    <w:rsid w:val="008F79B2"/>
    <w:rsid w:val="008F7CD8"/>
    <w:rsid w:val="00901149"/>
    <w:rsid w:val="00903522"/>
    <w:rsid w:val="009065F5"/>
    <w:rsid w:val="00907AD2"/>
    <w:rsid w:val="00910551"/>
    <w:rsid w:val="00916976"/>
    <w:rsid w:val="00917D36"/>
    <w:rsid w:val="00921645"/>
    <w:rsid w:val="00922B52"/>
    <w:rsid w:val="00925E4E"/>
    <w:rsid w:val="00926788"/>
    <w:rsid w:val="00932FE9"/>
    <w:rsid w:val="00933A49"/>
    <w:rsid w:val="00935580"/>
    <w:rsid w:val="009372CE"/>
    <w:rsid w:val="00940336"/>
    <w:rsid w:val="009417D6"/>
    <w:rsid w:val="00943979"/>
    <w:rsid w:val="009517F6"/>
    <w:rsid w:val="009541F5"/>
    <w:rsid w:val="009559BE"/>
    <w:rsid w:val="00963CBA"/>
    <w:rsid w:val="00965F52"/>
    <w:rsid w:val="00974A8D"/>
    <w:rsid w:val="00975BD8"/>
    <w:rsid w:val="009777F6"/>
    <w:rsid w:val="00977E98"/>
    <w:rsid w:val="009830C9"/>
    <w:rsid w:val="00986F7D"/>
    <w:rsid w:val="00991261"/>
    <w:rsid w:val="00997DF5"/>
    <w:rsid w:val="009A60AE"/>
    <w:rsid w:val="009B2BD0"/>
    <w:rsid w:val="009C1261"/>
    <w:rsid w:val="009C43CE"/>
    <w:rsid w:val="009C4D99"/>
    <w:rsid w:val="009C6845"/>
    <w:rsid w:val="009D12F9"/>
    <w:rsid w:val="009D53B5"/>
    <w:rsid w:val="009D5609"/>
    <w:rsid w:val="009E194F"/>
    <w:rsid w:val="009E1CC3"/>
    <w:rsid w:val="009E4EA4"/>
    <w:rsid w:val="009E4FED"/>
    <w:rsid w:val="009E63AD"/>
    <w:rsid w:val="009E7C2A"/>
    <w:rsid w:val="009F0924"/>
    <w:rsid w:val="009F22A1"/>
    <w:rsid w:val="009F238B"/>
    <w:rsid w:val="009F3A17"/>
    <w:rsid w:val="009F6B5E"/>
    <w:rsid w:val="00A043CF"/>
    <w:rsid w:val="00A11821"/>
    <w:rsid w:val="00A1427D"/>
    <w:rsid w:val="00A14EFE"/>
    <w:rsid w:val="00A200CB"/>
    <w:rsid w:val="00A21ADA"/>
    <w:rsid w:val="00A2252F"/>
    <w:rsid w:val="00A4594D"/>
    <w:rsid w:val="00A50F86"/>
    <w:rsid w:val="00A609FF"/>
    <w:rsid w:val="00A7150E"/>
    <w:rsid w:val="00A72F22"/>
    <w:rsid w:val="00A748A6"/>
    <w:rsid w:val="00A7539A"/>
    <w:rsid w:val="00A77059"/>
    <w:rsid w:val="00A80907"/>
    <w:rsid w:val="00A816F9"/>
    <w:rsid w:val="00A83F24"/>
    <w:rsid w:val="00A879A4"/>
    <w:rsid w:val="00A9232E"/>
    <w:rsid w:val="00AA2B82"/>
    <w:rsid w:val="00AB2D79"/>
    <w:rsid w:val="00AB3955"/>
    <w:rsid w:val="00AB4212"/>
    <w:rsid w:val="00AD0F72"/>
    <w:rsid w:val="00AD31F1"/>
    <w:rsid w:val="00AD33E2"/>
    <w:rsid w:val="00AD4202"/>
    <w:rsid w:val="00AE3ADD"/>
    <w:rsid w:val="00AE4975"/>
    <w:rsid w:val="00AF3A0B"/>
    <w:rsid w:val="00AF71EE"/>
    <w:rsid w:val="00B03080"/>
    <w:rsid w:val="00B06459"/>
    <w:rsid w:val="00B10F56"/>
    <w:rsid w:val="00B15C11"/>
    <w:rsid w:val="00B1624A"/>
    <w:rsid w:val="00B20D2F"/>
    <w:rsid w:val="00B222CE"/>
    <w:rsid w:val="00B26BF6"/>
    <w:rsid w:val="00B27AF8"/>
    <w:rsid w:val="00B30179"/>
    <w:rsid w:val="00B30CB3"/>
    <w:rsid w:val="00B31AA8"/>
    <w:rsid w:val="00B33EC0"/>
    <w:rsid w:val="00B34438"/>
    <w:rsid w:val="00B372FF"/>
    <w:rsid w:val="00B44C3B"/>
    <w:rsid w:val="00B45A0B"/>
    <w:rsid w:val="00B50957"/>
    <w:rsid w:val="00B615C6"/>
    <w:rsid w:val="00B73CFC"/>
    <w:rsid w:val="00B81337"/>
    <w:rsid w:val="00B81E12"/>
    <w:rsid w:val="00B83CB4"/>
    <w:rsid w:val="00B847E9"/>
    <w:rsid w:val="00B874C9"/>
    <w:rsid w:val="00B91D16"/>
    <w:rsid w:val="00B922A8"/>
    <w:rsid w:val="00B92736"/>
    <w:rsid w:val="00BA0659"/>
    <w:rsid w:val="00BA3A0E"/>
    <w:rsid w:val="00BA5630"/>
    <w:rsid w:val="00BB1851"/>
    <w:rsid w:val="00BB476A"/>
    <w:rsid w:val="00BB52B6"/>
    <w:rsid w:val="00BC0578"/>
    <w:rsid w:val="00BC74E9"/>
    <w:rsid w:val="00BD07EF"/>
    <w:rsid w:val="00BE455D"/>
    <w:rsid w:val="00BE4F74"/>
    <w:rsid w:val="00BE5A5B"/>
    <w:rsid w:val="00BE618E"/>
    <w:rsid w:val="00BE6696"/>
    <w:rsid w:val="00C043D8"/>
    <w:rsid w:val="00C11A55"/>
    <w:rsid w:val="00C11B6B"/>
    <w:rsid w:val="00C24251"/>
    <w:rsid w:val="00C31E8A"/>
    <w:rsid w:val="00C43863"/>
    <w:rsid w:val="00C463DD"/>
    <w:rsid w:val="00C51B63"/>
    <w:rsid w:val="00C54C2D"/>
    <w:rsid w:val="00C67CEE"/>
    <w:rsid w:val="00C728BC"/>
    <w:rsid w:val="00C745C3"/>
    <w:rsid w:val="00C7649E"/>
    <w:rsid w:val="00C823D1"/>
    <w:rsid w:val="00C85A4D"/>
    <w:rsid w:val="00C97AA3"/>
    <w:rsid w:val="00CA1787"/>
    <w:rsid w:val="00CA5C47"/>
    <w:rsid w:val="00CA5C51"/>
    <w:rsid w:val="00CC0BB1"/>
    <w:rsid w:val="00CC2BE1"/>
    <w:rsid w:val="00CD1980"/>
    <w:rsid w:val="00CD2030"/>
    <w:rsid w:val="00CD636A"/>
    <w:rsid w:val="00CE4A8F"/>
    <w:rsid w:val="00CE55A0"/>
    <w:rsid w:val="00CE587E"/>
    <w:rsid w:val="00CE6C07"/>
    <w:rsid w:val="00CF124A"/>
    <w:rsid w:val="00CF6F95"/>
    <w:rsid w:val="00D13424"/>
    <w:rsid w:val="00D177AB"/>
    <w:rsid w:val="00D17D43"/>
    <w:rsid w:val="00D17ECD"/>
    <w:rsid w:val="00D2031B"/>
    <w:rsid w:val="00D20BE6"/>
    <w:rsid w:val="00D20E44"/>
    <w:rsid w:val="00D25FE2"/>
    <w:rsid w:val="00D30F02"/>
    <w:rsid w:val="00D317BB"/>
    <w:rsid w:val="00D3307E"/>
    <w:rsid w:val="00D43252"/>
    <w:rsid w:val="00D43318"/>
    <w:rsid w:val="00D4378C"/>
    <w:rsid w:val="00D45F63"/>
    <w:rsid w:val="00D46FD2"/>
    <w:rsid w:val="00D47C13"/>
    <w:rsid w:val="00D51678"/>
    <w:rsid w:val="00D60651"/>
    <w:rsid w:val="00D61251"/>
    <w:rsid w:val="00D63BAE"/>
    <w:rsid w:val="00D63E0E"/>
    <w:rsid w:val="00D649E8"/>
    <w:rsid w:val="00D7562C"/>
    <w:rsid w:val="00D80302"/>
    <w:rsid w:val="00D80E8B"/>
    <w:rsid w:val="00D81256"/>
    <w:rsid w:val="00D83DAE"/>
    <w:rsid w:val="00D90FE1"/>
    <w:rsid w:val="00D968F0"/>
    <w:rsid w:val="00D978C6"/>
    <w:rsid w:val="00DA24EB"/>
    <w:rsid w:val="00DA5C07"/>
    <w:rsid w:val="00DA67AD"/>
    <w:rsid w:val="00DA70D4"/>
    <w:rsid w:val="00DB0C7E"/>
    <w:rsid w:val="00DB0F0D"/>
    <w:rsid w:val="00DC242D"/>
    <w:rsid w:val="00DC254B"/>
    <w:rsid w:val="00DC2BE5"/>
    <w:rsid w:val="00DC6FE4"/>
    <w:rsid w:val="00DD1051"/>
    <w:rsid w:val="00DD4969"/>
    <w:rsid w:val="00DF12F7"/>
    <w:rsid w:val="00DF1C5C"/>
    <w:rsid w:val="00E02C81"/>
    <w:rsid w:val="00E04FFD"/>
    <w:rsid w:val="00E0678D"/>
    <w:rsid w:val="00E06901"/>
    <w:rsid w:val="00E069D4"/>
    <w:rsid w:val="00E11495"/>
    <w:rsid w:val="00E121F1"/>
    <w:rsid w:val="00E130AB"/>
    <w:rsid w:val="00E134E2"/>
    <w:rsid w:val="00E15523"/>
    <w:rsid w:val="00E20FCE"/>
    <w:rsid w:val="00E229B3"/>
    <w:rsid w:val="00E23842"/>
    <w:rsid w:val="00E3010C"/>
    <w:rsid w:val="00E3431D"/>
    <w:rsid w:val="00E36D56"/>
    <w:rsid w:val="00E3783D"/>
    <w:rsid w:val="00E40F25"/>
    <w:rsid w:val="00E46BA1"/>
    <w:rsid w:val="00E5203C"/>
    <w:rsid w:val="00E55FE5"/>
    <w:rsid w:val="00E56CEB"/>
    <w:rsid w:val="00E57021"/>
    <w:rsid w:val="00E62BA3"/>
    <w:rsid w:val="00E62C9D"/>
    <w:rsid w:val="00E65FA5"/>
    <w:rsid w:val="00E7260F"/>
    <w:rsid w:val="00E72B1C"/>
    <w:rsid w:val="00E73015"/>
    <w:rsid w:val="00E7325B"/>
    <w:rsid w:val="00E76B60"/>
    <w:rsid w:val="00E76ED5"/>
    <w:rsid w:val="00E804D4"/>
    <w:rsid w:val="00E82F77"/>
    <w:rsid w:val="00E87921"/>
    <w:rsid w:val="00E91DAB"/>
    <w:rsid w:val="00E96630"/>
    <w:rsid w:val="00EA53E5"/>
    <w:rsid w:val="00EB12D8"/>
    <w:rsid w:val="00EB1690"/>
    <w:rsid w:val="00EB6BCF"/>
    <w:rsid w:val="00EB7178"/>
    <w:rsid w:val="00EC650E"/>
    <w:rsid w:val="00EC6D33"/>
    <w:rsid w:val="00ED7A2A"/>
    <w:rsid w:val="00EE7280"/>
    <w:rsid w:val="00EF1D7F"/>
    <w:rsid w:val="00EF215B"/>
    <w:rsid w:val="00EF36ED"/>
    <w:rsid w:val="00EF3CE6"/>
    <w:rsid w:val="00EF49A8"/>
    <w:rsid w:val="00EF6755"/>
    <w:rsid w:val="00F02CB2"/>
    <w:rsid w:val="00F139E7"/>
    <w:rsid w:val="00F1616A"/>
    <w:rsid w:val="00F2557D"/>
    <w:rsid w:val="00F31D58"/>
    <w:rsid w:val="00F32E56"/>
    <w:rsid w:val="00F3330D"/>
    <w:rsid w:val="00F35C13"/>
    <w:rsid w:val="00F40C15"/>
    <w:rsid w:val="00F410F5"/>
    <w:rsid w:val="00F44B78"/>
    <w:rsid w:val="00F472CA"/>
    <w:rsid w:val="00F51ECD"/>
    <w:rsid w:val="00F53EDA"/>
    <w:rsid w:val="00F552D6"/>
    <w:rsid w:val="00F61A5F"/>
    <w:rsid w:val="00F620ED"/>
    <w:rsid w:val="00F72C61"/>
    <w:rsid w:val="00F76581"/>
    <w:rsid w:val="00F7753D"/>
    <w:rsid w:val="00F85F34"/>
    <w:rsid w:val="00F9054F"/>
    <w:rsid w:val="00F91897"/>
    <w:rsid w:val="00F94A9C"/>
    <w:rsid w:val="00F97A23"/>
    <w:rsid w:val="00FA06F7"/>
    <w:rsid w:val="00FA69F8"/>
    <w:rsid w:val="00FA778F"/>
    <w:rsid w:val="00FB1138"/>
    <w:rsid w:val="00FB171A"/>
    <w:rsid w:val="00FB2C1E"/>
    <w:rsid w:val="00FB6EFF"/>
    <w:rsid w:val="00FC0156"/>
    <w:rsid w:val="00FC0DB9"/>
    <w:rsid w:val="00FC62B7"/>
    <w:rsid w:val="00FC68B7"/>
    <w:rsid w:val="00FD0549"/>
    <w:rsid w:val="00FD2B55"/>
    <w:rsid w:val="00FD7BF6"/>
    <w:rsid w:val="00FF1B15"/>
    <w:rsid w:val="00FF2DE3"/>
    <w:rsid w:val="00FF4FB8"/>
    <w:rsid w:val="00FF74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rsid w:val="004B4777"/>
    <w:pPr>
      <w:spacing w:before="240" w:after="120"/>
      <w:ind w:left="1134"/>
      <w:outlineLvl w:val="2"/>
    </w:pPr>
    <w:rPr>
      <w:b/>
      <w:bCs/>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
    <w:rsid w:val="007B6BA5"/>
    <w:rPr>
      <w:rFonts w:ascii="Times New Roman" w:hAnsi="Times New Roman"/>
      <w:sz w:val="18"/>
      <w:vertAlign w:val="superscript"/>
    </w:rPr>
  </w:style>
  <w:style w:type="paragraph" w:styleId="FootnoteText">
    <w:name w:val="footnote text"/>
    <w:aliases w:val="5_G,Footnote Text Char Char Char,Footnote Text Char Char,Footnote Text Char1,single space Char,ft Char,single space,ft,Footnote Text Char Char Char Char Char Char Char Char,Footnote Text Char Char Char Char1 Char,fn,Fußnote,ft Char Char Ch"/>
    <w:basedOn w:val="Normal"/>
    <w:link w:val="FootnoteTextChar"/>
    <w:rsid w:val="003B1581"/>
    <w:pPr>
      <w:tabs>
        <w:tab w:val="right" w:pos="1021"/>
      </w:tabs>
      <w:spacing w:after="120" w:line="240" w:lineRule="auto"/>
      <w:ind w:left="1134" w:right="1134"/>
    </w:pPr>
    <w:rPr>
      <w:rFonts w:cs="Times New Roman"/>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rFonts w:cs="Times New Roman"/>
      <w:lang/>
    </w:rP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8F12B7"/>
    <w:rPr>
      <w:rFonts w:cs="Angsana New"/>
      <w:b/>
      <w:sz w:val="24"/>
      <w:lang w:val="en-GB" w:eastAsia="en-US" w:bidi="ar-SA"/>
    </w:rPr>
  </w:style>
  <w:style w:type="character" w:customStyle="1" w:styleId="highlight1">
    <w:name w:val="highlight1"/>
    <w:rsid w:val="002D317E"/>
    <w:rPr>
      <w:shd w:val="clear" w:color="auto" w:fill="FFCC33"/>
    </w:rPr>
  </w:style>
  <w:style w:type="character" w:customStyle="1" w:styleId="SingleTxtGCar">
    <w:name w:val="_ Single Txt_G Car"/>
    <w:locked/>
    <w:rsid w:val="00072079"/>
    <w:rPr>
      <w:lang w:eastAsia="en-US"/>
    </w:rPr>
  </w:style>
  <w:style w:type="paragraph" w:customStyle="1" w:styleId="StyleSingleTxtGLatinBold">
    <w:name w:val="Style _ Single Txt_G + (Latin) Bold"/>
    <w:basedOn w:val="SingleTxtG"/>
    <w:rsid w:val="00072079"/>
    <w:pPr>
      <w:spacing w:line="240" w:lineRule="auto"/>
    </w:pPr>
    <w:rPr>
      <w:b/>
    </w:rPr>
  </w:style>
  <w:style w:type="paragraph" w:styleId="DocumentMap">
    <w:name w:val="Document Map"/>
    <w:basedOn w:val="Normal"/>
    <w:semiHidden/>
    <w:rsid w:val="00654158"/>
    <w:pPr>
      <w:shd w:val="clear" w:color="auto" w:fill="000080"/>
    </w:pPr>
    <w:rPr>
      <w:rFonts w:ascii="Tahoma" w:hAnsi="Tahoma"/>
      <w:szCs w:val="24"/>
    </w:rPr>
  </w:style>
  <w:style w:type="paragraph" w:customStyle="1" w:styleId="StyleSingleTxtGAsianSimSunLatinBold">
    <w:name w:val="Style _ Single Txt_G + (Asian) SimSun (Latin) Bold"/>
    <w:basedOn w:val="SingleTxtG"/>
    <w:link w:val="StyleSingleTxtGAsianSimSunLatinBoldChar"/>
    <w:rsid w:val="004F62C7"/>
    <w:pPr>
      <w:spacing w:line="240" w:lineRule="auto"/>
    </w:pPr>
    <w:rPr>
      <w:rFonts w:eastAsia="SimSun"/>
      <w:b/>
    </w:rPr>
  </w:style>
  <w:style w:type="character" w:customStyle="1" w:styleId="StyleSingleTxtGAsianSimSunLatinBoldChar">
    <w:name w:val="Style _ Single Txt_G + (Asian) SimSun (Latin) Bold Char"/>
    <w:link w:val="StyleSingleTxtGAsianSimSunLatinBold"/>
    <w:rsid w:val="004F62C7"/>
    <w:rPr>
      <w:rFonts w:eastAsia="SimSun" w:cs="Angsana New"/>
      <w:b/>
      <w:lang w:val="en-GB" w:eastAsia="en-US" w:bidi="ar-SA"/>
    </w:rPr>
  </w:style>
  <w:style w:type="paragraph" w:customStyle="1" w:styleId="StyleSingleTxtGComplexTimesNewRoman">
    <w:name w:val="Style _ Single Txt_G + (Complex) Times New Roman"/>
    <w:basedOn w:val="SingleTxtG"/>
    <w:rsid w:val="00BE6696"/>
    <w:rPr>
      <w:rFonts w:cs="Times New Roman"/>
    </w:rPr>
  </w:style>
  <w:style w:type="character" w:customStyle="1" w:styleId="FootnoteTextChar">
    <w:name w:val="Footnote Text Char"/>
    <w:aliases w:val="5_G Char,Footnote Text Char Char Char Char,Footnote Text Char Char Char1,Footnote Text Char1 Char,single space Char Char,ft Char Char,single space Char1,ft Char1,Footnote Text Char Char Char Char Char Char Char Char Char,fn Char"/>
    <w:link w:val="FootnoteText"/>
    <w:locked/>
    <w:rsid w:val="006E27D3"/>
    <w:rPr>
      <w:sz w:val="18"/>
      <w:lang w:eastAsia="en-US"/>
    </w:rPr>
  </w:style>
  <w:style w:type="paragraph" w:styleId="CommentSubject">
    <w:name w:val="annotation subject"/>
    <w:basedOn w:val="CommentText"/>
    <w:next w:val="CommentText"/>
    <w:link w:val="CommentSubjectChar"/>
    <w:rsid w:val="00901149"/>
    <w:rPr>
      <w:b/>
      <w:bCs/>
    </w:rPr>
  </w:style>
  <w:style w:type="character" w:customStyle="1" w:styleId="CommentTextChar">
    <w:name w:val="Comment Text Char"/>
    <w:link w:val="CommentText"/>
    <w:semiHidden/>
    <w:rsid w:val="00901149"/>
    <w:rPr>
      <w:lang w:eastAsia="en-US"/>
    </w:rPr>
  </w:style>
  <w:style w:type="character" w:customStyle="1" w:styleId="CommentSubjectChar">
    <w:name w:val="Comment Subject Char"/>
    <w:link w:val="CommentSubject"/>
    <w:rsid w:val="00901149"/>
    <w:rPr>
      <w:b/>
      <w:bCs/>
      <w:lang w:eastAsia="en-US"/>
    </w:rPr>
  </w:style>
  <w:style w:type="paragraph" w:styleId="Revision">
    <w:name w:val="Revision"/>
    <w:hidden/>
    <w:uiPriority w:val="99"/>
    <w:semiHidden/>
    <w:rsid w:val="004E468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1</TotalTime>
  <Pages>14</Pages>
  <Words>5840</Words>
  <Characters>32358</Characters>
  <Application>Microsoft Office Outlook</Application>
  <DocSecurity>4</DocSecurity>
  <Lines>567</Lines>
  <Paragraphs>218</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cp:keywords/>
  <dc:description>final</dc:description>
  <cp:lastModifiedBy>PDF</cp:lastModifiedBy>
  <cp:revision>2</cp:revision>
  <cp:lastPrinted>2014-05-22T13:12:00Z</cp:lastPrinted>
  <dcterms:created xsi:type="dcterms:W3CDTF">2014-06-20T06:42:00Z</dcterms:created>
  <dcterms:modified xsi:type="dcterms:W3CDTF">2014-06-20T06:42:00Z</dcterms:modified>
</cp:coreProperties>
</file>